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67741" w:rsidRPr="00E540FA" w14:paraId="609EB5D7" w14:textId="77777777" w:rsidTr="00237BB4">
        <w:trPr>
          <w:trHeight w:hRule="exact" w:val="851"/>
          <w:jc w:val="center"/>
        </w:trPr>
        <w:tc>
          <w:tcPr>
            <w:tcW w:w="8721" w:type="dxa"/>
            <w:gridSpan w:val="2"/>
          </w:tcPr>
          <w:p w14:paraId="6757C253" w14:textId="77777777" w:rsidR="00667741" w:rsidRPr="00E540FA" w:rsidRDefault="00667741" w:rsidP="00B867B6">
            <w:pPr>
              <w:pStyle w:val="a3"/>
              <w:jc w:val="center"/>
              <w:rPr>
                <w:rFonts w:ascii="Tahoma" w:hAnsi="Tahoma" w:cs="Tahoma"/>
                <w:b/>
                <w:bCs/>
                <w:color w:val="000080"/>
                <w:rtl/>
              </w:rPr>
            </w:pPr>
            <w:bookmarkStart w:id="0" w:name="LastJudge"/>
            <w:r w:rsidRPr="00E540FA">
              <w:rPr>
                <w:rFonts w:ascii="Tahoma" w:hAnsi="Tahoma" w:cs="Tahoma"/>
                <w:b/>
                <w:bCs/>
                <w:color w:val="000080"/>
                <w:rtl/>
              </w:rPr>
              <w:t>בית המשפט המחוזי בירושלי</w:t>
            </w:r>
            <w:r w:rsidRPr="00E540FA">
              <w:rPr>
                <w:rFonts w:ascii="Tahoma" w:hAnsi="Tahoma" w:cs="Tahoma" w:hint="cs"/>
                <w:b/>
                <w:bCs/>
                <w:color w:val="000080"/>
                <w:rtl/>
              </w:rPr>
              <w:t>ם</w:t>
            </w:r>
          </w:p>
          <w:p w14:paraId="2CC6C5CB" w14:textId="77777777" w:rsidR="00667741" w:rsidRPr="00E540FA" w:rsidRDefault="00667741" w:rsidP="00B867B6">
            <w:pPr>
              <w:pStyle w:val="a3"/>
              <w:jc w:val="center"/>
              <w:rPr>
                <w:rFonts w:ascii="Tahoma" w:hAnsi="Tahoma" w:cs="Tahoma"/>
                <w:b/>
                <w:bCs/>
                <w:color w:val="000080"/>
                <w:rtl/>
              </w:rPr>
            </w:pPr>
            <w:r w:rsidRPr="00E540FA">
              <w:rPr>
                <w:rFonts w:ascii="Tahoma" w:hAnsi="Tahoma" w:cs="Tahoma" w:hint="cs"/>
                <w:b/>
                <w:bCs/>
                <w:color w:val="000080"/>
                <w:rtl/>
              </w:rPr>
              <w:t xml:space="preserve">לפני כב' השופט דניאל טפרברג </w:t>
            </w:r>
          </w:p>
        </w:tc>
      </w:tr>
      <w:tr w:rsidR="00667741" w:rsidRPr="00E540FA" w14:paraId="478834E8" w14:textId="77777777" w:rsidTr="00237BB4">
        <w:trPr>
          <w:trHeight w:val="337"/>
          <w:jc w:val="center"/>
        </w:trPr>
        <w:tc>
          <w:tcPr>
            <w:tcW w:w="5054" w:type="dxa"/>
          </w:tcPr>
          <w:p w14:paraId="43B2E2AE" w14:textId="77777777" w:rsidR="00667741" w:rsidRPr="00E540FA" w:rsidRDefault="00667741" w:rsidP="00B867B6">
            <w:pPr>
              <w:rPr>
                <w:rFonts w:cs="FrankRuehl"/>
                <w:sz w:val="28"/>
                <w:szCs w:val="28"/>
                <w:rtl/>
              </w:rPr>
            </w:pPr>
            <w:r w:rsidRPr="00E540FA">
              <w:rPr>
                <w:rFonts w:cs="FrankRuehl"/>
                <w:sz w:val="28"/>
                <w:szCs w:val="28"/>
                <w:rtl/>
              </w:rPr>
              <w:t>ת"פ</w:t>
            </w:r>
            <w:r w:rsidRPr="00E540FA">
              <w:rPr>
                <w:rFonts w:cs="FrankRuehl" w:hint="cs"/>
                <w:sz w:val="28"/>
                <w:szCs w:val="28"/>
                <w:rtl/>
              </w:rPr>
              <w:t xml:space="preserve"> </w:t>
            </w:r>
            <w:r w:rsidRPr="00E540FA">
              <w:rPr>
                <w:rFonts w:cs="FrankRuehl"/>
                <w:sz w:val="28"/>
                <w:szCs w:val="28"/>
                <w:rtl/>
              </w:rPr>
              <w:t>44404-01-16</w:t>
            </w:r>
            <w:r w:rsidRPr="00E540FA">
              <w:rPr>
                <w:rFonts w:cs="FrankRuehl" w:hint="cs"/>
                <w:sz w:val="28"/>
                <w:szCs w:val="28"/>
                <w:rtl/>
              </w:rPr>
              <w:t xml:space="preserve"> </w:t>
            </w:r>
            <w:r w:rsidRPr="00E540FA">
              <w:rPr>
                <w:rFonts w:cs="FrankRuehl"/>
                <w:sz w:val="28"/>
                <w:szCs w:val="28"/>
                <w:rtl/>
              </w:rPr>
              <w:t>מדינת ישראל נ' לוי</w:t>
            </w:r>
          </w:p>
          <w:p w14:paraId="40AF046E" w14:textId="77777777" w:rsidR="00667741" w:rsidRPr="00E540FA" w:rsidRDefault="00667741" w:rsidP="00B867B6">
            <w:pPr>
              <w:pStyle w:val="a3"/>
              <w:rPr>
                <w:rFonts w:cs="FrankRuehl"/>
                <w:sz w:val="28"/>
                <w:szCs w:val="28"/>
                <w:rtl/>
              </w:rPr>
            </w:pPr>
          </w:p>
        </w:tc>
        <w:tc>
          <w:tcPr>
            <w:tcW w:w="3667" w:type="dxa"/>
          </w:tcPr>
          <w:p w14:paraId="1549B3ED" w14:textId="77777777" w:rsidR="00667741" w:rsidRPr="00E540FA" w:rsidRDefault="00667741" w:rsidP="00B867B6">
            <w:pPr>
              <w:pStyle w:val="a3"/>
              <w:jc w:val="right"/>
              <w:rPr>
                <w:rFonts w:cs="FrankRuehl"/>
                <w:sz w:val="28"/>
                <w:szCs w:val="28"/>
                <w:rtl/>
              </w:rPr>
            </w:pPr>
          </w:p>
        </w:tc>
      </w:tr>
    </w:tbl>
    <w:p w14:paraId="4F628FC2" w14:textId="77777777" w:rsidR="00667741" w:rsidRPr="00E540FA" w:rsidRDefault="00667741" w:rsidP="00667741">
      <w:pPr>
        <w:pStyle w:val="a3"/>
        <w:rPr>
          <w:rtl/>
        </w:rPr>
      </w:pPr>
      <w:r w:rsidRPr="00E540FA">
        <w:rPr>
          <w:rFonts w:hint="cs"/>
          <w:rtl/>
        </w:rPr>
        <w:t xml:space="preserve"> </w:t>
      </w:r>
    </w:p>
    <w:p w14:paraId="1331D966" w14:textId="77777777" w:rsidR="00667741" w:rsidRPr="00E540FA" w:rsidRDefault="00667741" w:rsidP="00667741">
      <w:pPr>
        <w:spacing w:line="360" w:lineRule="auto"/>
        <w:jc w:val="both"/>
        <w:rPr>
          <w:rFonts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67741" w:rsidRPr="00E540FA" w14:paraId="03D42051" w14:textId="77777777" w:rsidTr="00667741">
        <w:trPr>
          <w:trHeight w:val="295"/>
          <w:jc w:val="center"/>
        </w:trPr>
        <w:tc>
          <w:tcPr>
            <w:tcW w:w="923" w:type="dxa"/>
            <w:tcBorders>
              <w:top w:val="nil"/>
              <w:left w:val="nil"/>
              <w:bottom w:val="nil"/>
              <w:right w:val="nil"/>
            </w:tcBorders>
            <w:shd w:val="clear" w:color="auto" w:fill="auto"/>
          </w:tcPr>
          <w:p w14:paraId="7A6DE250" w14:textId="77777777" w:rsidR="00667741" w:rsidRPr="00E540FA" w:rsidRDefault="00667741" w:rsidP="00667741">
            <w:pPr>
              <w:bidi w:val="0"/>
              <w:spacing w:line="360" w:lineRule="auto"/>
              <w:jc w:val="both"/>
              <w:rPr>
                <w:rFonts w:ascii="Arial" w:hAnsi="Arial" w:cs="FrankRuehl"/>
                <w:sz w:val="26"/>
                <w:szCs w:val="26"/>
              </w:rPr>
            </w:pPr>
          </w:p>
        </w:tc>
        <w:tc>
          <w:tcPr>
            <w:tcW w:w="7897" w:type="dxa"/>
            <w:gridSpan w:val="2"/>
            <w:tcBorders>
              <w:top w:val="nil"/>
              <w:left w:val="nil"/>
              <w:bottom w:val="nil"/>
              <w:right w:val="nil"/>
            </w:tcBorders>
            <w:shd w:val="clear" w:color="auto" w:fill="auto"/>
          </w:tcPr>
          <w:p w14:paraId="6490031B" w14:textId="77777777" w:rsidR="00667741" w:rsidRPr="00E540FA" w:rsidRDefault="00667741" w:rsidP="00667741">
            <w:pPr>
              <w:spacing w:line="360" w:lineRule="auto"/>
              <w:jc w:val="both"/>
              <w:rPr>
                <w:rFonts w:ascii="Arial" w:hAnsi="Arial" w:cs="FrankRuehl"/>
                <w:sz w:val="26"/>
                <w:szCs w:val="26"/>
              </w:rPr>
            </w:pPr>
          </w:p>
        </w:tc>
      </w:tr>
      <w:tr w:rsidR="00667741" w:rsidRPr="00E540FA" w14:paraId="0165940B" w14:textId="77777777" w:rsidTr="00667741">
        <w:trPr>
          <w:trHeight w:val="355"/>
          <w:jc w:val="center"/>
        </w:trPr>
        <w:tc>
          <w:tcPr>
            <w:tcW w:w="923" w:type="dxa"/>
            <w:tcBorders>
              <w:top w:val="nil"/>
              <w:left w:val="nil"/>
              <w:bottom w:val="nil"/>
              <w:right w:val="nil"/>
            </w:tcBorders>
            <w:shd w:val="clear" w:color="auto" w:fill="auto"/>
          </w:tcPr>
          <w:p w14:paraId="7BE8806A" w14:textId="77777777" w:rsidR="00667741" w:rsidRPr="00E540FA" w:rsidRDefault="00667741" w:rsidP="00667741">
            <w:pPr>
              <w:spacing w:line="360" w:lineRule="auto"/>
              <w:jc w:val="both"/>
              <w:rPr>
                <w:rFonts w:ascii="Arial" w:hAnsi="Arial" w:cs="FrankRuehl"/>
                <w:sz w:val="26"/>
                <w:szCs w:val="26"/>
                <w:rtl/>
              </w:rPr>
            </w:pPr>
            <w:bookmarkStart w:id="1" w:name="FirstAppellant"/>
            <w:bookmarkStart w:id="2" w:name="FirstLawyer"/>
            <w:r w:rsidRPr="00E540FA">
              <w:rPr>
                <w:rFonts w:ascii="Arial" w:hAnsi="Arial" w:cs="FrankRuehl" w:hint="cs"/>
                <w:sz w:val="26"/>
                <w:szCs w:val="26"/>
                <w:rtl/>
              </w:rPr>
              <w:t>בעניין:</w:t>
            </w:r>
          </w:p>
        </w:tc>
        <w:tc>
          <w:tcPr>
            <w:tcW w:w="4126" w:type="dxa"/>
            <w:tcBorders>
              <w:top w:val="nil"/>
              <w:left w:val="nil"/>
              <w:bottom w:val="nil"/>
              <w:right w:val="nil"/>
            </w:tcBorders>
            <w:shd w:val="clear" w:color="auto" w:fill="auto"/>
          </w:tcPr>
          <w:p w14:paraId="21935D2B" w14:textId="77777777" w:rsidR="00667741" w:rsidRPr="00E540FA" w:rsidRDefault="00667741" w:rsidP="00667741">
            <w:pPr>
              <w:spacing w:line="360" w:lineRule="auto"/>
              <w:jc w:val="both"/>
              <w:rPr>
                <w:rFonts w:ascii="Arial" w:hAnsi="Arial" w:cs="FrankRuehl"/>
                <w:b/>
                <w:bCs/>
                <w:sz w:val="26"/>
                <w:szCs w:val="26"/>
                <w:rtl/>
              </w:rPr>
            </w:pPr>
            <w:r w:rsidRPr="00E540FA">
              <w:rPr>
                <w:rFonts w:ascii="Arial" w:hAnsi="Arial" w:cs="FrankRuehl"/>
                <w:b/>
                <w:bCs/>
                <w:sz w:val="26"/>
                <w:szCs w:val="26"/>
                <w:rtl/>
              </w:rPr>
              <w:t>מדינת</w:t>
            </w:r>
            <w:r w:rsidRPr="00E540FA">
              <w:rPr>
                <w:rFonts w:ascii="Arial" w:hAnsi="Arial" w:cs="FrankRuehl" w:hint="cs"/>
                <w:b/>
                <w:bCs/>
                <w:sz w:val="26"/>
                <w:szCs w:val="26"/>
                <w:rtl/>
              </w:rPr>
              <w:t xml:space="preserve"> ישראל </w:t>
            </w:r>
          </w:p>
          <w:p w14:paraId="2D69FB6F" w14:textId="77777777" w:rsidR="00667741" w:rsidRPr="00E540FA" w:rsidRDefault="00667741" w:rsidP="00667741">
            <w:pPr>
              <w:spacing w:line="360" w:lineRule="auto"/>
              <w:jc w:val="both"/>
              <w:rPr>
                <w:rFonts w:cs="FrankRuehl"/>
                <w:sz w:val="26"/>
                <w:szCs w:val="26"/>
              </w:rPr>
            </w:pPr>
            <w:r w:rsidRPr="00E540FA">
              <w:rPr>
                <w:rFonts w:cs="FrankRuehl" w:hint="cs"/>
                <w:b/>
                <w:bCs/>
                <w:sz w:val="26"/>
                <w:szCs w:val="26"/>
                <w:rtl/>
              </w:rPr>
              <w:t xml:space="preserve">ע"י ב"כ עו"ד עמיחי מרקס </w:t>
            </w:r>
          </w:p>
        </w:tc>
        <w:tc>
          <w:tcPr>
            <w:tcW w:w="3771" w:type="dxa"/>
            <w:tcBorders>
              <w:top w:val="nil"/>
              <w:left w:val="nil"/>
              <w:bottom w:val="nil"/>
              <w:right w:val="nil"/>
            </w:tcBorders>
            <w:shd w:val="clear" w:color="auto" w:fill="auto"/>
          </w:tcPr>
          <w:p w14:paraId="55DFAFBC" w14:textId="77777777" w:rsidR="00667741" w:rsidRPr="00E540FA" w:rsidRDefault="00667741" w:rsidP="00667741">
            <w:pPr>
              <w:spacing w:line="360" w:lineRule="auto"/>
              <w:jc w:val="both"/>
              <w:rPr>
                <w:rFonts w:ascii="Arial" w:hAnsi="Arial" w:cs="FrankRuehl"/>
                <w:sz w:val="26"/>
                <w:szCs w:val="26"/>
              </w:rPr>
            </w:pPr>
          </w:p>
        </w:tc>
      </w:tr>
      <w:bookmarkEnd w:id="1"/>
      <w:bookmarkEnd w:id="2"/>
      <w:tr w:rsidR="00667741" w:rsidRPr="00E540FA" w14:paraId="61C37054" w14:textId="77777777" w:rsidTr="00667741">
        <w:trPr>
          <w:trHeight w:val="355"/>
          <w:jc w:val="center"/>
        </w:trPr>
        <w:tc>
          <w:tcPr>
            <w:tcW w:w="923" w:type="dxa"/>
            <w:tcBorders>
              <w:top w:val="nil"/>
              <w:left w:val="nil"/>
              <w:bottom w:val="nil"/>
              <w:right w:val="nil"/>
            </w:tcBorders>
            <w:shd w:val="clear" w:color="auto" w:fill="auto"/>
          </w:tcPr>
          <w:p w14:paraId="30ED2E2F" w14:textId="77777777" w:rsidR="00667741" w:rsidRPr="00E540FA" w:rsidRDefault="00667741" w:rsidP="00667741">
            <w:pPr>
              <w:spacing w:line="360" w:lineRule="auto"/>
              <w:jc w:val="both"/>
              <w:rPr>
                <w:rFonts w:ascii="Arial" w:hAnsi="Arial" w:cs="FrankRuehl"/>
                <w:sz w:val="26"/>
                <w:szCs w:val="26"/>
                <w:rtl/>
              </w:rPr>
            </w:pPr>
          </w:p>
        </w:tc>
        <w:tc>
          <w:tcPr>
            <w:tcW w:w="4126" w:type="dxa"/>
            <w:tcBorders>
              <w:top w:val="nil"/>
              <w:left w:val="nil"/>
              <w:bottom w:val="nil"/>
              <w:right w:val="nil"/>
            </w:tcBorders>
            <w:shd w:val="clear" w:color="auto" w:fill="auto"/>
          </w:tcPr>
          <w:p w14:paraId="16117FCB" w14:textId="77777777" w:rsidR="00667741" w:rsidRPr="00E540FA" w:rsidRDefault="00667741" w:rsidP="00667741">
            <w:pPr>
              <w:spacing w:line="360" w:lineRule="auto"/>
              <w:jc w:val="both"/>
              <w:rPr>
                <w:rFonts w:cs="FrankRuehl"/>
                <w:sz w:val="26"/>
                <w:szCs w:val="26"/>
                <w:rtl/>
              </w:rPr>
            </w:pPr>
          </w:p>
        </w:tc>
        <w:tc>
          <w:tcPr>
            <w:tcW w:w="3771" w:type="dxa"/>
            <w:tcBorders>
              <w:top w:val="nil"/>
              <w:left w:val="nil"/>
              <w:bottom w:val="nil"/>
              <w:right w:val="nil"/>
            </w:tcBorders>
            <w:shd w:val="clear" w:color="auto" w:fill="auto"/>
          </w:tcPr>
          <w:p w14:paraId="38604EFF" w14:textId="77777777" w:rsidR="00667741" w:rsidRPr="00E540FA" w:rsidRDefault="00667741" w:rsidP="00667741">
            <w:pPr>
              <w:spacing w:line="360" w:lineRule="auto"/>
              <w:jc w:val="both"/>
              <w:rPr>
                <w:rFonts w:ascii="Arial" w:hAnsi="Arial" w:cs="FrankRuehl"/>
                <w:sz w:val="26"/>
                <w:szCs w:val="26"/>
                <w:rtl/>
              </w:rPr>
            </w:pPr>
            <w:r w:rsidRPr="00E540FA">
              <w:rPr>
                <w:rFonts w:ascii="Arial" w:hAnsi="Arial" w:cs="FrankRuehl" w:hint="cs"/>
                <w:b/>
                <w:bCs/>
                <w:sz w:val="26"/>
                <w:szCs w:val="26"/>
                <w:rtl/>
              </w:rPr>
              <w:t>ה</w:t>
            </w:r>
            <w:r w:rsidRPr="00E540FA">
              <w:rPr>
                <w:rFonts w:ascii="Arial" w:hAnsi="Arial" w:cs="FrankRuehl"/>
                <w:b/>
                <w:bCs/>
                <w:sz w:val="26"/>
                <w:szCs w:val="26"/>
                <w:rtl/>
              </w:rPr>
              <w:t>מאשימה</w:t>
            </w:r>
          </w:p>
        </w:tc>
      </w:tr>
      <w:tr w:rsidR="00667741" w:rsidRPr="00E540FA" w14:paraId="349AD76D" w14:textId="77777777" w:rsidTr="00667741">
        <w:trPr>
          <w:trHeight w:val="355"/>
          <w:jc w:val="center"/>
        </w:trPr>
        <w:tc>
          <w:tcPr>
            <w:tcW w:w="923" w:type="dxa"/>
            <w:tcBorders>
              <w:top w:val="nil"/>
              <w:left w:val="nil"/>
              <w:bottom w:val="nil"/>
              <w:right w:val="nil"/>
            </w:tcBorders>
            <w:shd w:val="clear" w:color="auto" w:fill="auto"/>
          </w:tcPr>
          <w:p w14:paraId="21B92707" w14:textId="77777777" w:rsidR="00667741" w:rsidRPr="00E540FA" w:rsidRDefault="00667741" w:rsidP="00667741">
            <w:pPr>
              <w:spacing w:line="360" w:lineRule="auto"/>
              <w:jc w:val="both"/>
              <w:rPr>
                <w:rFonts w:ascii="Arial" w:hAnsi="Arial" w:cs="FrankRuehl"/>
                <w:sz w:val="26"/>
                <w:szCs w:val="26"/>
                <w:rtl/>
              </w:rPr>
            </w:pPr>
          </w:p>
        </w:tc>
        <w:tc>
          <w:tcPr>
            <w:tcW w:w="7897" w:type="dxa"/>
            <w:gridSpan w:val="2"/>
            <w:tcBorders>
              <w:top w:val="nil"/>
              <w:left w:val="nil"/>
              <w:bottom w:val="nil"/>
              <w:right w:val="nil"/>
            </w:tcBorders>
            <w:shd w:val="clear" w:color="auto" w:fill="auto"/>
          </w:tcPr>
          <w:p w14:paraId="571AE938" w14:textId="77777777" w:rsidR="00667741" w:rsidRPr="00E540FA" w:rsidRDefault="00667741" w:rsidP="00667741">
            <w:pPr>
              <w:spacing w:line="360" w:lineRule="auto"/>
              <w:jc w:val="center"/>
              <w:rPr>
                <w:rFonts w:ascii="Arial" w:hAnsi="Arial" w:cs="FrankRuehl"/>
                <w:b/>
                <w:bCs/>
                <w:sz w:val="26"/>
                <w:szCs w:val="26"/>
                <w:rtl/>
              </w:rPr>
            </w:pPr>
            <w:r w:rsidRPr="00E540FA">
              <w:rPr>
                <w:rFonts w:ascii="Arial" w:hAnsi="Arial" w:cs="FrankRuehl"/>
                <w:b/>
                <w:bCs/>
                <w:sz w:val="26"/>
                <w:szCs w:val="26"/>
                <w:rtl/>
              </w:rPr>
              <w:t>נגד</w:t>
            </w:r>
          </w:p>
          <w:p w14:paraId="3E71F398" w14:textId="77777777" w:rsidR="00667741" w:rsidRPr="00E540FA" w:rsidRDefault="00667741" w:rsidP="00667741">
            <w:pPr>
              <w:spacing w:line="360" w:lineRule="auto"/>
              <w:jc w:val="both"/>
              <w:rPr>
                <w:rFonts w:ascii="Arial" w:hAnsi="Arial" w:cs="FrankRuehl"/>
                <w:sz w:val="26"/>
                <w:szCs w:val="26"/>
              </w:rPr>
            </w:pPr>
          </w:p>
        </w:tc>
      </w:tr>
      <w:tr w:rsidR="00667741" w:rsidRPr="00E540FA" w14:paraId="13B3C9BD" w14:textId="77777777" w:rsidTr="00667741">
        <w:trPr>
          <w:trHeight w:val="355"/>
          <w:jc w:val="center"/>
        </w:trPr>
        <w:tc>
          <w:tcPr>
            <w:tcW w:w="923" w:type="dxa"/>
            <w:tcBorders>
              <w:top w:val="nil"/>
              <w:left w:val="nil"/>
              <w:bottom w:val="nil"/>
              <w:right w:val="nil"/>
            </w:tcBorders>
            <w:shd w:val="clear" w:color="auto" w:fill="auto"/>
          </w:tcPr>
          <w:p w14:paraId="334735D5" w14:textId="77777777" w:rsidR="00667741" w:rsidRPr="00E540FA" w:rsidRDefault="00667741" w:rsidP="00667741">
            <w:pPr>
              <w:spacing w:line="360" w:lineRule="auto"/>
              <w:jc w:val="both"/>
              <w:rPr>
                <w:rFonts w:ascii="Arial" w:hAnsi="Arial" w:cs="FrankRuehl"/>
                <w:sz w:val="26"/>
                <w:szCs w:val="26"/>
                <w:rtl/>
              </w:rPr>
            </w:pPr>
          </w:p>
        </w:tc>
        <w:tc>
          <w:tcPr>
            <w:tcW w:w="4126" w:type="dxa"/>
            <w:tcBorders>
              <w:top w:val="nil"/>
              <w:left w:val="nil"/>
              <w:bottom w:val="nil"/>
              <w:right w:val="nil"/>
            </w:tcBorders>
            <w:shd w:val="clear" w:color="auto" w:fill="auto"/>
          </w:tcPr>
          <w:p w14:paraId="4DE8FFEC" w14:textId="77777777" w:rsidR="00667741" w:rsidRPr="00E540FA" w:rsidRDefault="00667741" w:rsidP="00667741">
            <w:pPr>
              <w:spacing w:line="360" w:lineRule="auto"/>
              <w:jc w:val="both"/>
              <w:rPr>
                <w:rFonts w:ascii="Arial" w:hAnsi="Arial" w:cs="FrankRuehl"/>
                <w:b/>
                <w:bCs/>
                <w:sz w:val="26"/>
                <w:szCs w:val="26"/>
                <w:rtl/>
              </w:rPr>
            </w:pPr>
            <w:r w:rsidRPr="00E540FA">
              <w:rPr>
                <w:rFonts w:ascii="Arial" w:hAnsi="Arial" w:cs="FrankRuehl"/>
                <w:b/>
                <w:bCs/>
                <w:sz w:val="26"/>
                <w:szCs w:val="26"/>
                <w:rtl/>
              </w:rPr>
              <w:t>אי</w:t>
            </w:r>
            <w:r w:rsidRPr="00E540FA">
              <w:rPr>
                <w:rFonts w:ascii="Arial" w:hAnsi="Arial" w:cs="FrankRuehl" w:hint="cs"/>
                <w:b/>
                <w:bCs/>
                <w:sz w:val="26"/>
                <w:szCs w:val="26"/>
                <w:rtl/>
              </w:rPr>
              <w:t>יל לוי</w:t>
            </w:r>
          </w:p>
          <w:p w14:paraId="7EAEEEE0" w14:textId="77777777" w:rsidR="00667741" w:rsidRPr="00E540FA" w:rsidRDefault="00667741" w:rsidP="00667741">
            <w:pPr>
              <w:spacing w:line="360" w:lineRule="auto"/>
              <w:jc w:val="both"/>
              <w:rPr>
                <w:rFonts w:cs="FrankRuehl"/>
                <w:sz w:val="26"/>
                <w:szCs w:val="26"/>
                <w:rtl/>
              </w:rPr>
            </w:pPr>
            <w:r w:rsidRPr="00E540FA">
              <w:rPr>
                <w:rFonts w:cs="FrankRuehl" w:hint="cs"/>
                <w:b/>
                <w:bCs/>
                <w:sz w:val="26"/>
                <w:szCs w:val="26"/>
                <w:rtl/>
              </w:rPr>
              <w:t>ע"י ב"כ עו"ד עופר אשכנזי</w:t>
            </w:r>
          </w:p>
        </w:tc>
        <w:tc>
          <w:tcPr>
            <w:tcW w:w="3771" w:type="dxa"/>
            <w:tcBorders>
              <w:top w:val="nil"/>
              <w:left w:val="nil"/>
              <w:bottom w:val="nil"/>
              <w:right w:val="nil"/>
            </w:tcBorders>
            <w:shd w:val="clear" w:color="auto" w:fill="auto"/>
          </w:tcPr>
          <w:p w14:paraId="180F0808" w14:textId="77777777" w:rsidR="00667741" w:rsidRPr="00E540FA" w:rsidRDefault="00667741" w:rsidP="00667741">
            <w:pPr>
              <w:spacing w:line="360" w:lineRule="auto"/>
              <w:jc w:val="both"/>
              <w:rPr>
                <w:rFonts w:ascii="Arial" w:hAnsi="Arial" w:cs="FrankRuehl"/>
                <w:sz w:val="26"/>
                <w:szCs w:val="26"/>
              </w:rPr>
            </w:pPr>
          </w:p>
        </w:tc>
      </w:tr>
      <w:tr w:rsidR="00667741" w:rsidRPr="00E540FA" w14:paraId="2077F1B3" w14:textId="77777777" w:rsidTr="00667741">
        <w:trPr>
          <w:trHeight w:val="355"/>
          <w:jc w:val="center"/>
        </w:trPr>
        <w:tc>
          <w:tcPr>
            <w:tcW w:w="923" w:type="dxa"/>
            <w:tcBorders>
              <w:top w:val="nil"/>
              <w:left w:val="nil"/>
              <w:bottom w:val="nil"/>
              <w:right w:val="nil"/>
            </w:tcBorders>
            <w:shd w:val="clear" w:color="auto" w:fill="auto"/>
          </w:tcPr>
          <w:p w14:paraId="734F1F4A" w14:textId="77777777" w:rsidR="00667741" w:rsidRPr="00E540FA" w:rsidRDefault="00667741" w:rsidP="00667741">
            <w:pPr>
              <w:spacing w:line="360" w:lineRule="auto"/>
              <w:jc w:val="both"/>
              <w:rPr>
                <w:rFonts w:ascii="Arial" w:hAnsi="Arial" w:cs="FrankRuehl"/>
                <w:sz w:val="26"/>
                <w:szCs w:val="26"/>
                <w:rtl/>
              </w:rPr>
            </w:pPr>
          </w:p>
        </w:tc>
        <w:tc>
          <w:tcPr>
            <w:tcW w:w="4126" w:type="dxa"/>
            <w:tcBorders>
              <w:top w:val="nil"/>
              <w:left w:val="nil"/>
              <w:bottom w:val="nil"/>
              <w:right w:val="nil"/>
            </w:tcBorders>
            <w:shd w:val="clear" w:color="auto" w:fill="auto"/>
          </w:tcPr>
          <w:p w14:paraId="3D704C99" w14:textId="77777777" w:rsidR="00667741" w:rsidRPr="00E540FA" w:rsidRDefault="00667741" w:rsidP="00667741">
            <w:pPr>
              <w:spacing w:line="360" w:lineRule="auto"/>
              <w:jc w:val="both"/>
              <w:rPr>
                <w:rFonts w:cs="FrankRuehl"/>
                <w:sz w:val="26"/>
                <w:szCs w:val="26"/>
                <w:rtl/>
              </w:rPr>
            </w:pPr>
          </w:p>
        </w:tc>
        <w:tc>
          <w:tcPr>
            <w:tcW w:w="3771" w:type="dxa"/>
            <w:tcBorders>
              <w:top w:val="nil"/>
              <w:left w:val="nil"/>
              <w:bottom w:val="nil"/>
              <w:right w:val="nil"/>
            </w:tcBorders>
            <w:shd w:val="clear" w:color="auto" w:fill="auto"/>
          </w:tcPr>
          <w:p w14:paraId="18376705" w14:textId="77777777" w:rsidR="00667741" w:rsidRPr="00E540FA" w:rsidRDefault="00667741" w:rsidP="00667741">
            <w:pPr>
              <w:spacing w:line="360" w:lineRule="auto"/>
              <w:jc w:val="both"/>
              <w:rPr>
                <w:rFonts w:ascii="Arial" w:hAnsi="Arial" w:cs="FrankRuehl"/>
                <w:b/>
                <w:bCs/>
                <w:sz w:val="26"/>
                <w:szCs w:val="26"/>
                <w:rtl/>
              </w:rPr>
            </w:pPr>
            <w:r w:rsidRPr="00E540FA">
              <w:rPr>
                <w:rFonts w:ascii="Arial" w:hAnsi="Arial" w:cs="FrankRuehl" w:hint="cs"/>
                <w:b/>
                <w:bCs/>
                <w:sz w:val="26"/>
                <w:szCs w:val="26"/>
                <w:rtl/>
              </w:rPr>
              <w:t xml:space="preserve">  הנאשם    </w:t>
            </w:r>
          </w:p>
        </w:tc>
      </w:tr>
    </w:tbl>
    <w:p w14:paraId="3480336C" w14:textId="77777777" w:rsidR="00237BB4" w:rsidRDefault="00237BB4" w:rsidP="00667741">
      <w:pPr>
        <w:spacing w:line="360" w:lineRule="auto"/>
        <w:jc w:val="both"/>
        <w:rPr>
          <w:rFonts w:cs="FrankRuehl"/>
          <w:sz w:val="26"/>
          <w:szCs w:val="26"/>
          <w:rtl/>
        </w:rPr>
      </w:pPr>
      <w:bookmarkStart w:id="3" w:name="LawTable"/>
      <w:bookmarkEnd w:id="3"/>
    </w:p>
    <w:p w14:paraId="35419671" w14:textId="77777777" w:rsidR="00237BB4" w:rsidRPr="00237BB4" w:rsidRDefault="00237BB4" w:rsidP="00237BB4">
      <w:pPr>
        <w:spacing w:after="120" w:line="240" w:lineRule="exact"/>
        <w:ind w:left="283" w:hanging="283"/>
        <w:jc w:val="both"/>
        <w:rPr>
          <w:rFonts w:ascii="FrankRuehl" w:hAnsi="FrankRuehl" w:cs="FrankRuehl"/>
          <w:rtl/>
        </w:rPr>
      </w:pPr>
    </w:p>
    <w:p w14:paraId="30354F95" w14:textId="77777777" w:rsidR="00237BB4" w:rsidRPr="00237BB4" w:rsidRDefault="00237BB4" w:rsidP="00237BB4">
      <w:pPr>
        <w:spacing w:after="120" w:line="240" w:lineRule="exact"/>
        <w:ind w:left="283" w:hanging="283"/>
        <w:jc w:val="both"/>
        <w:rPr>
          <w:rFonts w:ascii="FrankRuehl" w:hAnsi="FrankRuehl" w:cs="FrankRuehl"/>
          <w:rtl/>
        </w:rPr>
      </w:pPr>
      <w:r w:rsidRPr="00237BB4">
        <w:rPr>
          <w:rFonts w:ascii="FrankRuehl" w:hAnsi="FrankRuehl" w:cs="FrankRuehl"/>
          <w:rtl/>
        </w:rPr>
        <w:t xml:space="preserve">חקיקה שאוזכרה: </w:t>
      </w:r>
    </w:p>
    <w:p w14:paraId="083ADB80" w14:textId="77777777" w:rsidR="00237BB4" w:rsidRPr="00237BB4" w:rsidRDefault="00237BB4" w:rsidP="00237BB4">
      <w:pPr>
        <w:spacing w:after="120" w:line="240" w:lineRule="exact"/>
        <w:ind w:left="283" w:hanging="283"/>
        <w:jc w:val="both"/>
        <w:rPr>
          <w:rFonts w:ascii="FrankRuehl" w:hAnsi="FrankRuehl" w:cs="FrankRuehl"/>
          <w:rtl/>
        </w:rPr>
      </w:pPr>
      <w:hyperlink r:id="rId7" w:history="1">
        <w:r w:rsidRPr="00237BB4">
          <w:rPr>
            <w:rFonts w:ascii="FrankRuehl" w:hAnsi="FrankRuehl" w:cs="FrankRuehl"/>
            <w:color w:val="0000FF"/>
            <w:u w:val="single"/>
            <w:rtl/>
          </w:rPr>
          <w:t>חוק העונשין, תשל"ז-1977</w:t>
        </w:r>
      </w:hyperlink>
      <w:r w:rsidRPr="00237BB4">
        <w:rPr>
          <w:rFonts w:ascii="FrankRuehl" w:hAnsi="FrankRuehl" w:cs="FrankRuehl"/>
          <w:rtl/>
        </w:rPr>
        <w:t xml:space="preserve">: סע'  </w:t>
      </w:r>
      <w:hyperlink r:id="rId8" w:history="1">
        <w:r w:rsidRPr="00237BB4">
          <w:rPr>
            <w:rFonts w:ascii="FrankRuehl" w:hAnsi="FrankRuehl" w:cs="FrankRuehl"/>
            <w:color w:val="0000FF"/>
            <w:u w:val="single"/>
            <w:rtl/>
          </w:rPr>
          <w:t>25</w:t>
        </w:r>
      </w:hyperlink>
      <w:r w:rsidRPr="00237BB4">
        <w:rPr>
          <w:rFonts w:ascii="FrankRuehl" w:hAnsi="FrankRuehl" w:cs="FrankRuehl"/>
          <w:rtl/>
        </w:rPr>
        <w:t xml:space="preserve">, </w:t>
      </w:r>
      <w:hyperlink r:id="rId9" w:history="1">
        <w:r w:rsidRPr="00237BB4">
          <w:rPr>
            <w:rFonts w:ascii="FrankRuehl" w:hAnsi="FrankRuehl" w:cs="FrankRuehl"/>
            <w:color w:val="0000FF"/>
            <w:u w:val="single"/>
            <w:rtl/>
          </w:rPr>
          <w:t>40ב</w:t>
        </w:r>
      </w:hyperlink>
      <w:r w:rsidRPr="00237BB4">
        <w:rPr>
          <w:rFonts w:ascii="FrankRuehl" w:hAnsi="FrankRuehl" w:cs="FrankRuehl"/>
          <w:rtl/>
        </w:rPr>
        <w:t xml:space="preserve">, </w:t>
      </w:r>
      <w:hyperlink r:id="rId10" w:history="1">
        <w:r w:rsidRPr="00237BB4">
          <w:rPr>
            <w:rFonts w:ascii="FrankRuehl" w:hAnsi="FrankRuehl" w:cs="FrankRuehl"/>
            <w:color w:val="0000FF"/>
            <w:u w:val="single"/>
            <w:rtl/>
          </w:rPr>
          <w:t>40ג</w:t>
        </w:r>
      </w:hyperlink>
      <w:r w:rsidRPr="00237BB4">
        <w:rPr>
          <w:rFonts w:ascii="FrankRuehl" w:hAnsi="FrankRuehl" w:cs="FrankRuehl"/>
          <w:rtl/>
        </w:rPr>
        <w:t xml:space="preserve">, </w:t>
      </w:r>
      <w:hyperlink r:id="rId11" w:history="1">
        <w:r w:rsidRPr="00237BB4">
          <w:rPr>
            <w:rFonts w:ascii="FrankRuehl" w:hAnsi="FrankRuehl" w:cs="FrankRuehl"/>
            <w:color w:val="0000FF"/>
            <w:u w:val="single"/>
            <w:rtl/>
          </w:rPr>
          <w:t>40ג(ב)</w:t>
        </w:r>
      </w:hyperlink>
      <w:r w:rsidRPr="00237BB4">
        <w:rPr>
          <w:rFonts w:ascii="FrankRuehl" w:hAnsi="FrankRuehl" w:cs="FrankRuehl"/>
          <w:rtl/>
        </w:rPr>
        <w:t xml:space="preserve">, </w:t>
      </w:r>
      <w:hyperlink r:id="rId12" w:history="1">
        <w:r w:rsidRPr="00237BB4">
          <w:rPr>
            <w:rFonts w:ascii="FrankRuehl" w:hAnsi="FrankRuehl" w:cs="FrankRuehl"/>
            <w:color w:val="0000FF"/>
            <w:u w:val="single"/>
            <w:rtl/>
          </w:rPr>
          <w:t>40ד(א)</w:t>
        </w:r>
      </w:hyperlink>
      <w:r w:rsidRPr="00237BB4">
        <w:rPr>
          <w:rFonts w:ascii="FrankRuehl" w:hAnsi="FrankRuehl" w:cs="FrankRuehl"/>
          <w:rtl/>
        </w:rPr>
        <w:t xml:space="preserve">, </w:t>
      </w:r>
      <w:hyperlink r:id="rId13" w:history="1">
        <w:r w:rsidRPr="00237BB4">
          <w:rPr>
            <w:rFonts w:ascii="FrankRuehl" w:hAnsi="FrankRuehl" w:cs="FrankRuehl"/>
            <w:color w:val="0000FF"/>
            <w:u w:val="single"/>
            <w:rtl/>
          </w:rPr>
          <w:t>40ט(א)</w:t>
        </w:r>
      </w:hyperlink>
      <w:r w:rsidRPr="00237BB4">
        <w:rPr>
          <w:rFonts w:ascii="FrankRuehl" w:hAnsi="FrankRuehl" w:cs="FrankRuehl"/>
          <w:rtl/>
        </w:rPr>
        <w:t xml:space="preserve">, </w:t>
      </w:r>
      <w:hyperlink r:id="rId14" w:history="1">
        <w:r w:rsidRPr="00237BB4">
          <w:rPr>
            <w:rFonts w:ascii="FrankRuehl" w:hAnsi="FrankRuehl" w:cs="FrankRuehl"/>
            <w:color w:val="0000FF"/>
            <w:u w:val="single"/>
            <w:rtl/>
          </w:rPr>
          <w:t>499(א)(1)</w:t>
        </w:r>
      </w:hyperlink>
    </w:p>
    <w:p w14:paraId="55038535" w14:textId="77777777" w:rsidR="00237BB4" w:rsidRPr="00237BB4" w:rsidRDefault="00237BB4" w:rsidP="00237BB4">
      <w:pPr>
        <w:spacing w:after="120" w:line="240" w:lineRule="exact"/>
        <w:ind w:left="283" w:hanging="283"/>
        <w:jc w:val="both"/>
        <w:rPr>
          <w:rFonts w:ascii="FrankRuehl" w:hAnsi="FrankRuehl" w:cs="FrankRuehl"/>
          <w:rtl/>
        </w:rPr>
      </w:pPr>
      <w:hyperlink r:id="rId15" w:history="1">
        <w:r w:rsidRPr="00237BB4">
          <w:rPr>
            <w:rFonts w:ascii="FrankRuehl" w:hAnsi="FrankRuehl" w:cs="FrankRuehl"/>
            <w:color w:val="0000FF"/>
            <w:u w:val="single"/>
            <w:rtl/>
          </w:rPr>
          <w:t>פקודת הסמים המסוכנים [נוסח חדש], תשל"ג-1973</w:t>
        </w:r>
      </w:hyperlink>
      <w:r w:rsidRPr="00237BB4">
        <w:rPr>
          <w:rFonts w:ascii="FrankRuehl" w:hAnsi="FrankRuehl" w:cs="FrankRuehl"/>
          <w:rtl/>
        </w:rPr>
        <w:t xml:space="preserve">: סע'  </w:t>
      </w:r>
      <w:hyperlink r:id="rId16" w:history="1">
        <w:r w:rsidRPr="00237BB4">
          <w:rPr>
            <w:rFonts w:ascii="FrankRuehl" w:hAnsi="FrankRuehl" w:cs="FrankRuehl"/>
            <w:color w:val="0000FF"/>
            <w:u w:val="single"/>
            <w:rtl/>
          </w:rPr>
          <w:t>6</w:t>
        </w:r>
      </w:hyperlink>
      <w:r w:rsidRPr="00237BB4">
        <w:rPr>
          <w:rFonts w:ascii="FrankRuehl" w:hAnsi="FrankRuehl" w:cs="FrankRuehl"/>
          <w:rtl/>
        </w:rPr>
        <w:t xml:space="preserve">, </w:t>
      </w:r>
      <w:hyperlink r:id="rId17" w:history="1">
        <w:r w:rsidRPr="00237BB4">
          <w:rPr>
            <w:rFonts w:ascii="FrankRuehl" w:hAnsi="FrankRuehl" w:cs="FrankRuehl"/>
            <w:color w:val="0000FF"/>
            <w:u w:val="single"/>
            <w:rtl/>
          </w:rPr>
          <w:t>7</w:t>
        </w:r>
      </w:hyperlink>
      <w:r w:rsidRPr="00237BB4">
        <w:rPr>
          <w:rFonts w:ascii="FrankRuehl" w:hAnsi="FrankRuehl" w:cs="FrankRuehl"/>
          <w:rtl/>
        </w:rPr>
        <w:t xml:space="preserve">, </w:t>
      </w:r>
      <w:hyperlink r:id="rId18" w:history="1">
        <w:r w:rsidRPr="00237BB4">
          <w:rPr>
            <w:rFonts w:ascii="FrankRuehl" w:hAnsi="FrankRuehl" w:cs="FrankRuehl"/>
            <w:color w:val="0000FF"/>
            <w:u w:val="single"/>
            <w:rtl/>
          </w:rPr>
          <w:t>9</w:t>
        </w:r>
      </w:hyperlink>
      <w:r w:rsidRPr="00237BB4">
        <w:rPr>
          <w:rFonts w:ascii="FrankRuehl" w:hAnsi="FrankRuehl" w:cs="FrankRuehl"/>
          <w:rtl/>
        </w:rPr>
        <w:t xml:space="preserve">, </w:t>
      </w:r>
      <w:hyperlink r:id="rId19" w:history="1">
        <w:r w:rsidRPr="00237BB4">
          <w:rPr>
            <w:rFonts w:ascii="FrankRuehl" w:hAnsi="FrankRuehl" w:cs="FrankRuehl"/>
            <w:color w:val="0000FF"/>
            <w:u w:val="single"/>
            <w:rtl/>
          </w:rPr>
          <w:t>10</w:t>
        </w:r>
      </w:hyperlink>
      <w:r w:rsidRPr="00237BB4">
        <w:rPr>
          <w:rFonts w:ascii="FrankRuehl" w:hAnsi="FrankRuehl" w:cs="FrankRuehl"/>
          <w:rtl/>
        </w:rPr>
        <w:t xml:space="preserve">, </w:t>
      </w:r>
      <w:hyperlink r:id="rId20" w:history="1">
        <w:r w:rsidRPr="00237BB4">
          <w:rPr>
            <w:rFonts w:ascii="FrankRuehl" w:hAnsi="FrankRuehl" w:cs="FrankRuehl"/>
            <w:color w:val="0000FF"/>
            <w:u w:val="single"/>
            <w:rtl/>
          </w:rPr>
          <w:t>13</w:t>
        </w:r>
      </w:hyperlink>
      <w:r w:rsidRPr="00237BB4">
        <w:rPr>
          <w:rFonts w:ascii="FrankRuehl" w:hAnsi="FrankRuehl" w:cs="FrankRuehl"/>
          <w:rtl/>
        </w:rPr>
        <w:t xml:space="preserve">, </w:t>
      </w:r>
      <w:hyperlink r:id="rId21" w:history="1">
        <w:r w:rsidRPr="00237BB4">
          <w:rPr>
            <w:rFonts w:ascii="FrankRuehl" w:hAnsi="FrankRuehl" w:cs="FrankRuehl"/>
            <w:color w:val="0000FF"/>
            <w:u w:val="single"/>
            <w:rtl/>
          </w:rPr>
          <w:t>14</w:t>
        </w:r>
      </w:hyperlink>
      <w:r w:rsidRPr="00237BB4">
        <w:rPr>
          <w:rFonts w:ascii="FrankRuehl" w:hAnsi="FrankRuehl" w:cs="FrankRuehl"/>
          <w:rtl/>
        </w:rPr>
        <w:t xml:space="preserve">, </w:t>
      </w:r>
      <w:hyperlink r:id="rId22" w:history="1">
        <w:r w:rsidRPr="00237BB4">
          <w:rPr>
            <w:rFonts w:ascii="FrankRuehl" w:hAnsi="FrankRuehl" w:cs="FrankRuehl"/>
            <w:color w:val="0000FF"/>
            <w:u w:val="single"/>
            <w:rtl/>
          </w:rPr>
          <w:t>15</w:t>
        </w:r>
      </w:hyperlink>
      <w:r w:rsidRPr="00237BB4">
        <w:rPr>
          <w:rFonts w:ascii="FrankRuehl" w:hAnsi="FrankRuehl" w:cs="FrankRuehl"/>
          <w:rtl/>
        </w:rPr>
        <w:t xml:space="preserve">, </w:t>
      </w:r>
      <w:hyperlink r:id="rId23" w:history="1">
        <w:r w:rsidRPr="00237BB4">
          <w:rPr>
            <w:rFonts w:ascii="FrankRuehl" w:hAnsi="FrankRuehl" w:cs="FrankRuehl"/>
            <w:color w:val="0000FF"/>
            <w:u w:val="single"/>
            <w:rtl/>
          </w:rPr>
          <w:t>19א</w:t>
        </w:r>
      </w:hyperlink>
      <w:r w:rsidRPr="00237BB4">
        <w:rPr>
          <w:rFonts w:ascii="FrankRuehl" w:hAnsi="FrankRuehl" w:cs="FrankRuehl"/>
          <w:rtl/>
        </w:rPr>
        <w:t xml:space="preserve">, </w:t>
      </w:r>
      <w:hyperlink r:id="rId24" w:history="1">
        <w:r w:rsidRPr="00237BB4">
          <w:rPr>
            <w:rFonts w:ascii="FrankRuehl" w:hAnsi="FrankRuehl" w:cs="FrankRuehl"/>
            <w:color w:val="0000FF"/>
            <w:u w:val="single"/>
            <w:rtl/>
          </w:rPr>
          <w:t>21</w:t>
        </w:r>
      </w:hyperlink>
    </w:p>
    <w:p w14:paraId="031A1594" w14:textId="77777777" w:rsidR="00237BB4" w:rsidRPr="00237BB4" w:rsidRDefault="00237BB4" w:rsidP="00237BB4">
      <w:pPr>
        <w:spacing w:after="120" w:line="240" w:lineRule="exact"/>
        <w:ind w:left="283" w:hanging="283"/>
        <w:jc w:val="both"/>
        <w:rPr>
          <w:rFonts w:ascii="FrankRuehl" w:hAnsi="FrankRuehl" w:cs="FrankRuehl"/>
          <w:rtl/>
        </w:rPr>
      </w:pPr>
      <w:hyperlink r:id="rId25" w:history="1">
        <w:r w:rsidRPr="00237BB4">
          <w:rPr>
            <w:rFonts w:ascii="FrankRuehl" w:hAnsi="FrankRuehl" w:cs="FrankRuehl"/>
            <w:color w:val="0000FF"/>
            <w:u w:val="single"/>
            <w:rtl/>
          </w:rPr>
          <w:t>פקודת המבחן [נוסח חדש], תשכ"ט-1969</w:t>
        </w:r>
      </w:hyperlink>
    </w:p>
    <w:p w14:paraId="1ABA81A5" w14:textId="77777777" w:rsidR="00667741" w:rsidRPr="00E540FA" w:rsidRDefault="00667741" w:rsidP="00667741">
      <w:pPr>
        <w:spacing w:line="360" w:lineRule="auto"/>
        <w:jc w:val="both"/>
        <w:rPr>
          <w:rFonts w:cs="FrankRueh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7741" w:rsidRPr="006315D3" w14:paraId="3BBC2D7D" w14:textId="77777777" w:rsidTr="00667741">
        <w:trPr>
          <w:trHeight w:val="355"/>
          <w:jc w:val="center"/>
        </w:trPr>
        <w:tc>
          <w:tcPr>
            <w:tcW w:w="8820" w:type="dxa"/>
            <w:tcBorders>
              <w:top w:val="nil"/>
              <w:left w:val="nil"/>
              <w:bottom w:val="nil"/>
              <w:right w:val="nil"/>
            </w:tcBorders>
            <w:shd w:val="clear" w:color="auto" w:fill="auto"/>
          </w:tcPr>
          <w:p w14:paraId="000C573D" w14:textId="77777777" w:rsidR="00E540FA" w:rsidRPr="00E540FA" w:rsidRDefault="00E540FA" w:rsidP="00E540FA">
            <w:pPr>
              <w:spacing w:line="360" w:lineRule="auto"/>
              <w:jc w:val="center"/>
              <w:rPr>
                <w:rFonts w:ascii="Arial" w:hAnsi="Arial" w:cs="FrankRuehl"/>
                <w:b/>
                <w:bCs/>
                <w:sz w:val="26"/>
                <w:szCs w:val="26"/>
                <w:u w:val="single"/>
                <w:rtl/>
              </w:rPr>
            </w:pPr>
            <w:bookmarkStart w:id="4" w:name="PsakDin" w:colFirst="0" w:colLast="0"/>
            <w:bookmarkEnd w:id="0"/>
            <w:r w:rsidRPr="00E540FA">
              <w:rPr>
                <w:rFonts w:ascii="Arial" w:hAnsi="Arial" w:cs="FrankRuehl"/>
                <w:b/>
                <w:bCs/>
                <w:sz w:val="26"/>
                <w:szCs w:val="26"/>
                <w:u w:val="single"/>
                <w:rtl/>
              </w:rPr>
              <w:t>גזר דין</w:t>
            </w:r>
          </w:p>
          <w:p w14:paraId="747B5D6E" w14:textId="77777777" w:rsidR="00667741" w:rsidRPr="00E540FA" w:rsidRDefault="00667741" w:rsidP="00E540FA">
            <w:pPr>
              <w:spacing w:line="360" w:lineRule="auto"/>
              <w:jc w:val="center"/>
              <w:rPr>
                <w:rFonts w:ascii="Arial" w:hAnsi="Arial" w:cs="FrankRuehl"/>
                <w:bCs/>
                <w:sz w:val="26"/>
                <w:szCs w:val="26"/>
                <w:u w:val="single"/>
                <w:rtl/>
              </w:rPr>
            </w:pPr>
          </w:p>
        </w:tc>
      </w:tr>
      <w:bookmarkEnd w:id="4"/>
    </w:tbl>
    <w:p w14:paraId="3D29E482" w14:textId="77777777" w:rsidR="00667741" w:rsidRDefault="00667741" w:rsidP="00667741">
      <w:pPr>
        <w:spacing w:line="360" w:lineRule="auto"/>
        <w:jc w:val="both"/>
        <w:rPr>
          <w:rFonts w:cs="FrankRuehl"/>
          <w:b/>
          <w:bCs/>
          <w:sz w:val="26"/>
          <w:szCs w:val="26"/>
          <w:u w:val="single"/>
          <w:rtl/>
        </w:rPr>
      </w:pPr>
    </w:p>
    <w:p w14:paraId="0B302FBD" w14:textId="77777777" w:rsidR="00667741" w:rsidRPr="006315D3" w:rsidRDefault="00667741" w:rsidP="00667741">
      <w:pPr>
        <w:spacing w:line="360" w:lineRule="auto"/>
        <w:jc w:val="both"/>
        <w:rPr>
          <w:rFonts w:cs="FrankRuehl"/>
          <w:b/>
          <w:bCs/>
          <w:sz w:val="26"/>
          <w:szCs w:val="26"/>
          <w:u w:val="single"/>
          <w:rtl/>
        </w:rPr>
      </w:pPr>
      <w:r w:rsidRPr="006315D3">
        <w:rPr>
          <w:rFonts w:cs="FrankRuehl" w:hint="cs"/>
          <w:b/>
          <w:bCs/>
          <w:sz w:val="26"/>
          <w:szCs w:val="26"/>
          <w:u w:val="single"/>
          <w:rtl/>
        </w:rPr>
        <w:t>כתב האישום</w:t>
      </w:r>
    </w:p>
    <w:p w14:paraId="52A41756" w14:textId="77777777" w:rsidR="00667741" w:rsidRPr="006315D3" w:rsidRDefault="00667741" w:rsidP="00667741">
      <w:pPr>
        <w:spacing w:line="360" w:lineRule="auto"/>
        <w:jc w:val="both"/>
        <w:rPr>
          <w:rFonts w:cs="FrankRuehl"/>
          <w:sz w:val="26"/>
          <w:szCs w:val="26"/>
          <w:rtl/>
        </w:rPr>
      </w:pPr>
      <w:bookmarkStart w:id="5" w:name="ABSTRACT_START"/>
      <w:bookmarkEnd w:id="5"/>
      <w:r w:rsidRPr="006315D3">
        <w:rPr>
          <w:rFonts w:cs="FrankRuehl" w:hint="cs"/>
          <w:sz w:val="26"/>
          <w:szCs w:val="26"/>
          <w:rtl/>
        </w:rPr>
        <w:t xml:space="preserve">הנאשם הודה והורשע במסגרת הסדר טיעון, בביצוע העבירות הבאות: </w:t>
      </w:r>
      <w:r w:rsidRPr="006315D3">
        <w:rPr>
          <w:rFonts w:cs="FrankRuehl" w:hint="cs"/>
          <w:b/>
          <w:bCs/>
          <w:sz w:val="26"/>
          <w:szCs w:val="26"/>
          <w:rtl/>
        </w:rPr>
        <w:t xml:space="preserve">קשירת קשר לפשע </w:t>
      </w:r>
      <w:r w:rsidRPr="006315D3">
        <w:rPr>
          <w:rFonts w:cs="FrankRuehl" w:hint="cs"/>
          <w:sz w:val="26"/>
          <w:szCs w:val="26"/>
          <w:rtl/>
        </w:rPr>
        <w:t xml:space="preserve">– עבירה לפי </w:t>
      </w:r>
      <w:hyperlink r:id="rId26" w:history="1">
        <w:r w:rsidR="00237BB4" w:rsidRPr="00237BB4">
          <w:rPr>
            <w:rFonts w:cs="FrankRuehl"/>
            <w:color w:val="0000FF"/>
            <w:sz w:val="26"/>
            <w:szCs w:val="26"/>
            <w:u w:val="single"/>
            <w:rtl/>
          </w:rPr>
          <w:t>סעיף 499(א)(1)</w:t>
        </w:r>
      </w:hyperlink>
      <w:r w:rsidRPr="006315D3">
        <w:rPr>
          <w:rFonts w:cs="FrankRuehl" w:hint="cs"/>
          <w:sz w:val="26"/>
          <w:szCs w:val="26"/>
          <w:rtl/>
        </w:rPr>
        <w:t xml:space="preserve"> ל</w:t>
      </w:r>
      <w:hyperlink r:id="rId27" w:history="1">
        <w:r w:rsidR="00E540FA" w:rsidRPr="00E540FA">
          <w:rPr>
            <w:rFonts w:cs="FrankRuehl"/>
            <w:color w:val="0000FF"/>
            <w:sz w:val="26"/>
            <w:szCs w:val="26"/>
            <w:u w:val="single"/>
            <w:rtl/>
          </w:rPr>
          <w:t>חוק העונשין</w:t>
        </w:r>
      </w:hyperlink>
      <w:r w:rsidRPr="006315D3">
        <w:rPr>
          <w:rFonts w:cs="FrankRuehl" w:hint="cs"/>
          <w:sz w:val="26"/>
          <w:szCs w:val="26"/>
          <w:rtl/>
        </w:rPr>
        <w:t xml:space="preserve">, תשל"ז-1977 (להלן: החוק), </w:t>
      </w:r>
      <w:r w:rsidRPr="006315D3">
        <w:rPr>
          <w:rFonts w:cs="FrankRuehl" w:hint="cs"/>
          <w:b/>
          <w:bCs/>
          <w:sz w:val="26"/>
          <w:szCs w:val="26"/>
          <w:rtl/>
        </w:rPr>
        <w:t>ניסיון ליבוא סמים מסוכנים</w:t>
      </w:r>
      <w:r w:rsidRPr="006315D3">
        <w:rPr>
          <w:rFonts w:cs="FrankRuehl" w:hint="cs"/>
          <w:sz w:val="26"/>
          <w:szCs w:val="26"/>
          <w:rtl/>
        </w:rPr>
        <w:t xml:space="preserve"> – עבירה לפי </w:t>
      </w:r>
      <w:hyperlink r:id="rId28" w:history="1">
        <w:r w:rsidR="00237BB4" w:rsidRPr="00237BB4">
          <w:rPr>
            <w:rFonts w:cs="FrankRuehl"/>
            <w:color w:val="0000FF"/>
            <w:sz w:val="26"/>
            <w:szCs w:val="26"/>
            <w:u w:val="single"/>
            <w:rtl/>
          </w:rPr>
          <w:t>סעיף 13</w:t>
        </w:r>
      </w:hyperlink>
      <w:r w:rsidRPr="006315D3">
        <w:rPr>
          <w:rFonts w:cs="FrankRuehl" w:hint="cs"/>
          <w:sz w:val="26"/>
          <w:szCs w:val="26"/>
          <w:rtl/>
        </w:rPr>
        <w:t xml:space="preserve"> בצירוף </w:t>
      </w:r>
      <w:hyperlink r:id="rId29" w:history="1">
        <w:r w:rsidR="00237BB4" w:rsidRPr="00237BB4">
          <w:rPr>
            <w:rFonts w:cs="FrankRuehl"/>
            <w:color w:val="0000FF"/>
            <w:sz w:val="26"/>
            <w:szCs w:val="26"/>
            <w:u w:val="single"/>
            <w:rtl/>
          </w:rPr>
          <w:t>סעיף 19א</w:t>
        </w:r>
      </w:hyperlink>
      <w:r w:rsidRPr="006315D3">
        <w:rPr>
          <w:rFonts w:cs="FrankRuehl" w:hint="cs"/>
          <w:sz w:val="26"/>
          <w:szCs w:val="26"/>
          <w:rtl/>
        </w:rPr>
        <w:t xml:space="preserve"> ל</w:t>
      </w:r>
      <w:hyperlink r:id="rId30" w:history="1">
        <w:r w:rsidR="00E540FA" w:rsidRPr="00E540FA">
          <w:rPr>
            <w:rFonts w:cs="FrankRuehl"/>
            <w:color w:val="0000FF"/>
            <w:sz w:val="26"/>
            <w:szCs w:val="26"/>
            <w:u w:val="single"/>
            <w:rtl/>
          </w:rPr>
          <w:t>פקודת הסמים המסוכנים</w:t>
        </w:r>
      </w:hyperlink>
      <w:r w:rsidRPr="006315D3">
        <w:rPr>
          <w:rFonts w:cs="FrankRuehl" w:hint="cs"/>
          <w:sz w:val="26"/>
          <w:szCs w:val="26"/>
          <w:rtl/>
        </w:rPr>
        <w:t xml:space="preserve"> [נוסח חדש], התשל"ג-1973 + </w:t>
      </w:r>
      <w:hyperlink r:id="rId31" w:history="1">
        <w:r w:rsidR="00237BB4" w:rsidRPr="00237BB4">
          <w:rPr>
            <w:rFonts w:cs="FrankRuehl"/>
            <w:color w:val="0000FF"/>
            <w:sz w:val="26"/>
            <w:szCs w:val="26"/>
            <w:u w:val="single"/>
            <w:rtl/>
          </w:rPr>
          <w:t>ס' 25</w:t>
        </w:r>
      </w:hyperlink>
      <w:r w:rsidRPr="006315D3">
        <w:rPr>
          <w:rFonts w:cs="FrankRuehl" w:hint="cs"/>
          <w:sz w:val="26"/>
          <w:szCs w:val="26"/>
          <w:rtl/>
        </w:rPr>
        <w:t xml:space="preserve"> לחוק, ועבירת </w:t>
      </w:r>
      <w:r w:rsidRPr="006315D3">
        <w:rPr>
          <w:rFonts w:cs="FrankRuehl" w:hint="cs"/>
          <w:b/>
          <w:bCs/>
          <w:sz w:val="26"/>
          <w:szCs w:val="26"/>
          <w:rtl/>
        </w:rPr>
        <w:t>יבוא סמים מסוכנים</w:t>
      </w:r>
      <w:r w:rsidRPr="006315D3">
        <w:rPr>
          <w:rFonts w:cs="FrankRuehl" w:hint="cs"/>
          <w:sz w:val="26"/>
          <w:szCs w:val="26"/>
          <w:rtl/>
        </w:rPr>
        <w:t xml:space="preserve"> – עבירה לפי </w:t>
      </w:r>
      <w:hyperlink r:id="rId32" w:history="1">
        <w:r w:rsidR="00237BB4" w:rsidRPr="00237BB4">
          <w:rPr>
            <w:rFonts w:cs="FrankRuehl"/>
            <w:color w:val="0000FF"/>
            <w:sz w:val="26"/>
            <w:szCs w:val="26"/>
            <w:u w:val="single"/>
            <w:rtl/>
          </w:rPr>
          <w:t>סעיף 13</w:t>
        </w:r>
      </w:hyperlink>
      <w:r w:rsidRPr="006315D3">
        <w:rPr>
          <w:rFonts w:cs="FrankRuehl" w:hint="cs"/>
          <w:sz w:val="26"/>
          <w:szCs w:val="26"/>
          <w:rtl/>
        </w:rPr>
        <w:t xml:space="preserve"> בצירוף </w:t>
      </w:r>
      <w:hyperlink r:id="rId33" w:history="1">
        <w:r w:rsidR="00237BB4" w:rsidRPr="00237BB4">
          <w:rPr>
            <w:rFonts w:cs="FrankRuehl"/>
            <w:color w:val="0000FF"/>
            <w:sz w:val="26"/>
            <w:szCs w:val="26"/>
            <w:u w:val="single"/>
            <w:rtl/>
          </w:rPr>
          <w:t>סעיף 19א</w:t>
        </w:r>
      </w:hyperlink>
      <w:r w:rsidRPr="006315D3">
        <w:rPr>
          <w:rFonts w:cs="FrankRuehl" w:hint="cs"/>
          <w:sz w:val="26"/>
          <w:szCs w:val="26"/>
          <w:rtl/>
        </w:rPr>
        <w:t xml:space="preserve"> לפקודת הסמים המסוכנים [נוסח חדש], התשל"ג-1973.</w:t>
      </w:r>
    </w:p>
    <w:p w14:paraId="7C20287D" w14:textId="77777777" w:rsidR="00667741" w:rsidRPr="006315D3" w:rsidRDefault="00667741" w:rsidP="00667741">
      <w:pPr>
        <w:spacing w:line="360" w:lineRule="auto"/>
        <w:jc w:val="both"/>
        <w:rPr>
          <w:rFonts w:cs="FrankRuehl"/>
          <w:sz w:val="26"/>
          <w:szCs w:val="26"/>
          <w:rtl/>
        </w:rPr>
      </w:pPr>
      <w:bookmarkStart w:id="6" w:name="ABSTRACT_END"/>
      <w:bookmarkEnd w:id="6"/>
      <w:r w:rsidRPr="006315D3">
        <w:rPr>
          <w:rFonts w:cs="FrankRuehl"/>
          <w:sz w:val="26"/>
          <w:szCs w:val="26"/>
          <w:rtl/>
        </w:rPr>
        <w:br/>
      </w:r>
      <w:r w:rsidRPr="006315D3">
        <w:rPr>
          <w:rFonts w:cs="FrankRuehl" w:hint="cs"/>
          <w:sz w:val="26"/>
          <w:szCs w:val="26"/>
          <w:rtl/>
        </w:rPr>
        <w:t xml:space="preserve">על פי עובדות כתב האישום המתוקן, בין השנים 2012 עד 2015, נפגש הנאשם עם רפאל סיטון (להלן: </w:t>
      </w:r>
      <w:r w:rsidRPr="006315D3">
        <w:rPr>
          <w:rFonts w:cs="FrankRuehl" w:hint="cs"/>
          <w:sz w:val="26"/>
          <w:szCs w:val="26"/>
          <w:rtl/>
        </w:rPr>
        <w:lastRenderedPageBreak/>
        <w:t xml:space="preserve">רפי) ועם איימן אלסאנע (להלן: איימן) מספר פעמים, והשלושה תכננו יחדיו לייבא סמים מדרום אמריקה. </w:t>
      </w:r>
    </w:p>
    <w:p w14:paraId="78BE32FA"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רפי ואיימן העבירו לנאשם כספים לצורך ייבוא הסמים, אך הדבר לא בוצע. </w:t>
      </w:r>
    </w:p>
    <w:p w14:paraId="33B68C7E"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בנסיבות, הפך הנאשם בעל חוב כלפי רפי ואיימן. </w:t>
      </w:r>
    </w:p>
    <w:p w14:paraId="7D38985C"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על מנת להשיב את החוב הכספי, קשר הנאשם קשר עם רפי ואיימן לייבא סם מסוג קוקאין מאמסטרדם.</w:t>
      </w:r>
    </w:p>
    <w:p w14:paraId="7F39F269" w14:textId="77777777" w:rsidR="00667741" w:rsidRPr="006315D3" w:rsidRDefault="00667741" w:rsidP="00667741">
      <w:pPr>
        <w:spacing w:line="360" w:lineRule="auto"/>
        <w:jc w:val="both"/>
        <w:rPr>
          <w:rFonts w:cs="FrankRuehl"/>
          <w:sz w:val="26"/>
          <w:szCs w:val="26"/>
          <w:rtl/>
        </w:rPr>
      </w:pPr>
    </w:p>
    <w:p w14:paraId="6D15A30C"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ביום 14.12.2015 טסו הנאשם ורפי לאמסטרדם, שם פגשו אנשי קשר שאמורים היו להעביר לנאשם את הסם, אותו יבלע ויעבירו לישראל. ניסיון זה לא צלח, והנאשם שב לישראל.</w:t>
      </w:r>
    </w:p>
    <w:p w14:paraId="721CFBC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על מנת להשלים את העיסקה שנקטעה, טס הנאשם פעם נוספת לאמסטרדם ביום 31.12.2015.  הנאשם פגש את איש הקשר באמסטרדם, וקיבל ממנו 400 גרם קוקאין המחולקים ל-38 יחידות הניתנות לבליעה. ביום 3.1.2016 חזר הנאשם לישראל כשבקיבתו הסם, ודיווח לרפי כי הצליח במשימתו. את הסם הביא הנאשם לביתו, משם לקחו רפי ורעייתו חלק מהסמים מאוחר יותר.</w:t>
      </w:r>
    </w:p>
    <w:p w14:paraId="5CF38A8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במעשיו אלה, קשר הנאשם קשר עם אחרים לשם ביצוע פשע, ניסה לייבא לישראל סם מסוכן מסוג קוקאין, וייבא לישראל סם קוקאין במשקל של כ-400 גרם.</w:t>
      </w:r>
    </w:p>
    <w:p w14:paraId="0615844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הנאשם נעצר, הודה במיוחס לו בחקירת המשטרה, וסיפר את כל הידוע לו על הפרשה והמעורבים בה.</w:t>
      </w:r>
    </w:p>
    <w:p w14:paraId="027F8217" w14:textId="77777777" w:rsidR="00667741" w:rsidRPr="006315D3" w:rsidRDefault="00667741" w:rsidP="00667741">
      <w:pPr>
        <w:spacing w:line="360" w:lineRule="auto"/>
        <w:jc w:val="both"/>
        <w:rPr>
          <w:rFonts w:cs="FrankRuehl"/>
          <w:b/>
          <w:bCs/>
          <w:sz w:val="12"/>
          <w:szCs w:val="12"/>
          <w:u w:val="single"/>
          <w:rtl/>
        </w:rPr>
      </w:pPr>
    </w:p>
    <w:p w14:paraId="70AE62FA" w14:textId="77777777" w:rsidR="00667741" w:rsidRPr="006315D3" w:rsidRDefault="00667741" w:rsidP="00667741">
      <w:pPr>
        <w:spacing w:line="360" w:lineRule="auto"/>
        <w:jc w:val="both"/>
        <w:rPr>
          <w:rFonts w:cs="FrankRuehl"/>
          <w:b/>
          <w:bCs/>
          <w:sz w:val="26"/>
          <w:szCs w:val="26"/>
          <w:u w:val="single"/>
          <w:rtl/>
        </w:rPr>
      </w:pPr>
      <w:r w:rsidRPr="006315D3">
        <w:rPr>
          <w:rFonts w:cs="FrankRuehl" w:hint="cs"/>
          <w:b/>
          <w:bCs/>
          <w:sz w:val="26"/>
          <w:szCs w:val="26"/>
          <w:u w:val="single"/>
          <w:rtl/>
        </w:rPr>
        <w:t>הליך שיקום הנאשם ותסקירי שירות המבחן</w:t>
      </w:r>
    </w:p>
    <w:p w14:paraId="6D17FA9E"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ביום 16.3.2016 שולב הנאשם בקהילת "הדרך" בכרמיאל, קהילה המטפלת במתמכרים לסמים, ופועלת לשיקומם. הנאשם שהה במקום בתנאי פנימייה במשך תשעה חודשים, בסדר יום הכולל טיפול פרטני וקבוצתי, סדנאות בתחום ההתמכרות, ועבודה בתחומי הקהילה ומחוצה לה. ביום 1.1.2017 עבר הנאשם להוסטל, המהווה שלב ביניים מטיפול אינטנסיבי במסגרת סגורה, להשתלבות בחיי היומיום מחוץ למסגרת הקהילה.</w:t>
      </w:r>
    </w:p>
    <w:p w14:paraId="4BF68299" w14:textId="77777777" w:rsidR="00667741" w:rsidRPr="006315D3" w:rsidRDefault="00667741" w:rsidP="00667741">
      <w:pPr>
        <w:spacing w:line="360" w:lineRule="auto"/>
        <w:jc w:val="both"/>
        <w:rPr>
          <w:rFonts w:cs="FrankRuehl"/>
          <w:sz w:val="12"/>
          <w:szCs w:val="12"/>
          <w:rtl/>
        </w:rPr>
      </w:pPr>
    </w:p>
    <w:p w14:paraId="4AFD0385"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ביום 29.5.2017 עדכן שירות המבחן את בית המשפט בדבר הליך השיקום שעובר הנאשם. קצין המבחן ביקש מבית המשפט, כי יתאפשר לנאשם להמשיך בהליך השיקומי, והמליץ לאפשר את יציאת הנאשם מההוסטל ללא תנאים מגבילים.</w:t>
      </w:r>
    </w:p>
    <w:p w14:paraId="677CDA48" w14:textId="77777777" w:rsidR="00667741" w:rsidRPr="006315D3" w:rsidRDefault="00667741" w:rsidP="00667741">
      <w:pPr>
        <w:spacing w:line="360" w:lineRule="auto"/>
        <w:jc w:val="both"/>
        <w:rPr>
          <w:rFonts w:cs="FrankRuehl"/>
          <w:sz w:val="16"/>
          <w:szCs w:val="16"/>
          <w:rtl/>
        </w:rPr>
      </w:pPr>
    </w:p>
    <w:p w14:paraId="3BCEFB9C"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ביום 12.6.2017 התקיים דיון בבקשה במעמד הצדדים. בהחלטתי מאותו היום אפשרתי יציאת הנאשם מההוסטל בלא תנאים מגבילים, והוריתי כי קצין המבחן יעדכן את בית המשפט בכל הקורות את הנאשם.</w:t>
      </w:r>
    </w:p>
    <w:p w14:paraId="0E976864" w14:textId="77777777" w:rsidR="00667741" w:rsidRPr="006315D3" w:rsidRDefault="00667741" w:rsidP="00667741">
      <w:pPr>
        <w:spacing w:line="360" w:lineRule="auto"/>
        <w:jc w:val="both"/>
        <w:rPr>
          <w:rFonts w:cs="FrankRuehl"/>
          <w:sz w:val="16"/>
          <w:szCs w:val="16"/>
          <w:rtl/>
        </w:rPr>
      </w:pPr>
    </w:p>
    <w:p w14:paraId="618C7A33"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ביום 29.6.2017 התקבל תסקיר שירות המבחן בעניינו של הנאשם.</w:t>
      </w:r>
    </w:p>
    <w:p w14:paraId="6538E75E" w14:textId="77777777" w:rsidR="00667741" w:rsidRPr="006315D3" w:rsidRDefault="00667741" w:rsidP="00667741">
      <w:pPr>
        <w:spacing w:line="360" w:lineRule="auto"/>
        <w:jc w:val="both"/>
        <w:rPr>
          <w:rFonts w:cs="FrankRuehl"/>
          <w:sz w:val="16"/>
          <w:szCs w:val="16"/>
          <w:rtl/>
        </w:rPr>
      </w:pPr>
    </w:p>
    <w:p w14:paraId="5310F01E"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הנאשם בן למשפחה נורמטיבית, יליד ירושלים. אמו ואחיותיו של הנאשם סובלות מבעיות רפואיות לא פשוטות.</w:t>
      </w:r>
    </w:p>
    <w:p w14:paraId="4BD8891D" w14:textId="77777777" w:rsidR="00667741" w:rsidRPr="006315D3" w:rsidRDefault="00667741" w:rsidP="00667741">
      <w:pPr>
        <w:spacing w:line="360" w:lineRule="auto"/>
        <w:jc w:val="both"/>
        <w:rPr>
          <w:rFonts w:cs="FrankRuehl"/>
          <w:sz w:val="14"/>
          <w:szCs w:val="14"/>
          <w:rtl/>
        </w:rPr>
      </w:pPr>
    </w:p>
    <w:p w14:paraId="4D10EBAF"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lastRenderedPageBreak/>
        <w:t>כתלמיד תיכון החל הנאשם להשתמש בסמים, שימוש שהלך והתגבר. לאחר שירותו הצבאי, ובעקבות התמכרותו לסמים, עבר הנאשם להתגורר במקסיקו שם גרים קרובי משפחתו. בשהותו שם התוודע לסם הקוקאין והתמכר לו.</w:t>
      </w:r>
    </w:p>
    <w:p w14:paraId="1D2E83B9" w14:textId="77777777" w:rsidR="00667741" w:rsidRPr="006315D3" w:rsidRDefault="00667741" w:rsidP="00667741">
      <w:pPr>
        <w:spacing w:line="360" w:lineRule="auto"/>
        <w:jc w:val="both"/>
        <w:rPr>
          <w:rFonts w:cs="FrankRuehl"/>
          <w:sz w:val="16"/>
          <w:szCs w:val="16"/>
          <w:rtl/>
        </w:rPr>
      </w:pPr>
    </w:p>
    <w:p w14:paraId="1C80204F"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בשנת 1992 הורשע הנאשם בביצוע מעשה שוד, וריצה 4 שנות מאסר בארה"ב. לחובת הנאשם 10 הרשעות קודמות בעבירות רכוש, לרבות עבירות של שוד ושוד מזוין, מרמה, הונאה, זיוף, עבירות סמים ועוד. </w:t>
      </w:r>
    </w:p>
    <w:p w14:paraId="7A6430D7" w14:textId="77777777" w:rsidR="00667741" w:rsidRPr="006315D3" w:rsidRDefault="00667741" w:rsidP="00667741">
      <w:pPr>
        <w:spacing w:line="360" w:lineRule="auto"/>
        <w:jc w:val="both"/>
        <w:rPr>
          <w:rFonts w:cs="FrankRuehl"/>
          <w:sz w:val="26"/>
          <w:szCs w:val="26"/>
          <w:rtl/>
        </w:rPr>
      </w:pPr>
    </w:p>
    <w:p w14:paraId="70B2A68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במצטבר, ריצה הנאשם עונשי מאסר של כ-15 שנה מאחורי סורג ובריח. ניסיונות שיקומיים שנעשו עם הנאשם בעבר, לא צלחו.</w:t>
      </w:r>
    </w:p>
    <w:p w14:paraId="10AAB38E" w14:textId="77777777" w:rsidR="00667741" w:rsidRPr="006315D3" w:rsidRDefault="00667741" w:rsidP="00667741">
      <w:pPr>
        <w:spacing w:line="360" w:lineRule="auto"/>
        <w:jc w:val="both"/>
        <w:rPr>
          <w:rFonts w:cs="FrankRuehl"/>
          <w:sz w:val="16"/>
          <w:szCs w:val="16"/>
          <w:rtl/>
        </w:rPr>
      </w:pPr>
    </w:p>
    <w:p w14:paraId="7FB6F87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בהתייחס לעבירות בתיק דנן, הודה הנאשם במיוחס לו, וקיבל אחריות מלאה על מעשיו. </w:t>
      </w:r>
    </w:p>
    <w:p w14:paraId="2967020A" w14:textId="77777777" w:rsidR="00667741" w:rsidRPr="006315D3" w:rsidRDefault="00667741" w:rsidP="00667741">
      <w:pPr>
        <w:spacing w:line="360" w:lineRule="auto"/>
        <w:jc w:val="both"/>
        <w:rPr>
          <w:rFonts w:cs="FrankRuehl"/>
          <w:sz w:val="16"/>
          <w:szCs w:val="16"/>
          <w:rtl/>
        </w:rPr>
      </w:pPr>
    </w:p>
    <w:p w14:paraId="6FC6099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שירות המבחן התרשם כי הנאשם מבין את חומרתם, ואינו נוטה למעט או למזער את חלקו בפרשה.</w:t>
      </w:r>
    </w:p>
    <w:p w14:paraId="1B6A6BB4" w14:textId="77777777" w:rsidR="00667741" w:rsidRPr="006315D3" w:rsidRDefault="00667741" w:rsidP="00667741">
      <w:pPr>
        <w:spacing w:line="360" w:lineRule="auto"/>
        <w:jc w:val="both"/>
        <w:rPr>
          <w:rFonts w:cs="FrankRuehl"/>
          <w:sz w:val="14"/>
          <w:szCs w:val="14"/>
          <w:rtl/>
        </w:rPr>
      </w:pPr>
    </w:p>
    <w:p w14:paraId="5CB29275"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שירות המבחן התרשם כי לנאשם סיכוי ממשי לשיקום מלא, נוכח ההליך הטיפולי שעבר בהצלחה – במשך תקופה לא מבוטלת, ההסתגלות למסגרות טיפול ותעסוקה, וביטוי שליטה ואמפתיה. </w:t>
      </w:r>
    </w:p>
    <w:p w14:paraId="49A989F0" w14:textId="77777777" w:rsidR="00667741" w:rsidRPr="006315D3" w:rsidRDefault="00667741" w:rsidP="00667741">
      <w:pPr>
        <w:spacing w:line="360" w:lineRule="auto"/>
        <w:jc w:val="both"/>
        <w:rPr>
          <w:rFonts w:cs="FrankRuehl"/>
          <w:sz w:val="14"/>
          <w:szCs w:val="14"/>
          <w:rtl/>
        </w:rPr>
      </w:pPr>
    </w:p>
    <w:p w14:paraId="081DAA90"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גורם סיכון הוא עברו הפלילי המכביד של הנאשם, והתמכרותו לסמים במשך תקופה ארוכה.</w:t>
      </w:r>
    </w:p>
    <w:p w14:paraId="7524F8C7" w14:textId="77777777" w:rsidR="00667741" w:rsidRPr="006315D3" w:rsidRDefault="00667741" w:rsidP="00667741">
      <w:pPr>
        <w:spacing w:line="360" w:lineRule="auto"/>
        <w:jc w:val="both"/>
        <w:rPr>
          <w:rFonts w:cs="FrankRuehl"/>
          <w:sz w:val="14"/>
          <w:szCs w:val="14"/>
          <w:rtl/>
        </w:rPr>
      </w:pPr>
    </w:p>
    <w:p w14:paraId="2668D96A"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קצין המבחן התרשם שבכוונת הנאשם לעשות שינוי מהותי בחייו, וכי הוא מגייס את כל יכולותיו לשם כך. הנאשם שכר דירה בכרמיאל, פנה ליחידה לטיפול בהתמכרויות בלשכת הרווחה בעיר, ושולב בטיפול פרטני ומתן בדיקות למציאת סם.</w:t>
      </w:r>
    </w:p>
    <w:p w14:paraId="1F69795F" w14:textId="77777777" w:rsidR="00667741" w:rsidRPr="006315D3" w:rsidRDefault="00667741" w:rsidP="00667741">
      <w:pPr>
        <w:spacing w:line="360" w:lineRule="auto"/>
        <w:jc w:val="both"/>
        <w:rPr>
          <w:rFonts w:cs="FrankRuehl"/>
          <w:sz w:val="16"/>
          <w:szCs w:val="16"/>
          <w:rtl/>
        </w:rPr>
      </w:pPr>
    </w:p>
    <w:p w14:paraId="2C61FE6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 הנאשם מצוי קשר עם צוות ובוגרי קהילת "הדרך".</w:t>
      </w:r>
    </w:p>
    <w:p w14:paraId="466903BE" w14:textId="77777777" w:rsidR="00667741" w:rsidRPr="006315D3" w:rsidRDefault="00667741" w:rsidP="00667741">
      <w:pPr>
        <w:spacing w:line="360" w:lineRule="auto"/>
        <w:jc w:val="both"/>
        <w:rPr>
          <w:rFonts w:cs="FrankRuehl"/>
          <w:sz w:val="14"/>
          <w:szCs w:val="14"/>
          <w:rtl/>
        </w:rPr>
      </w:pPr>
    </w:p>
    <w:p w14:paraId="45C15974" w14:textId="77777777" w:rsidR="00667741" w:rsidRPr="006315D3" w:rsidRDefault="00667741" w:rsidP="00667741">
      <w:pPr>
        <w:spacing w:line="360" w:lineRule="auto"/>
        <w:jc w:val="both"/>
        <w:rPr>
          <w:rFonts w:cs="FrankRuehl"/>
          <w:b/>
          <w:bCs/>
          <w:sz w:val="26"/>
          <w:szCs w:val="26"/>
          <w:u w:val="single"/>
          <w:rtl/>
        </w:rPr>
      </w:pPr>
      <w:r w:rsidRPr="006315D3">
        <w:rPr>
          <w:rFonts w:cs="FrankRuehl" w:hint="cs"/>
          <w:b/>
          <w:bCs/>
          <w:sz w:val="26"/>
          <w:szCs w:val="26"/>
          <w:u w:val="single"/>
          <w:rtl/>
        </w:rPr>
        <w:t xml:space="preserve">סוף דבר, המליץ שירות המבחן לאפשר את המשך שיקומו של הנאשם להשית על הנאשם עונש של 100 שעות לתועלת הציבור, ולהטיל עליו צו מבחן למשך שנתיים. </w:t>
      </w:r>
    </w:p>
    <w:p w14:paraId="2591914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ביום 9.7.2017 נשמעו טיעוני הצדדים לעונש.</w:t>
      </w:r>
    </w:p>
    <w:p w14:paraId="5C7F3E56" w14:textId="77777777" w:rsidR="00667741" w:rsidRPr="00EA75D9" w:rsidRDefault="00667741" w:rsidP="00667741">
      <w:pPr>
        <w:spacing w:line="360" w:lineRule="auto"/>
        <w:jc w:val="both"/>
        <w:rPr>
          <w:rFonts w:cs="FrankRuehl"/>
          <w:sz w:val="14"/>
          <w:szCs w:val="14"/>
          <w:rtl/>
        </w:rPr>
      </w:pPr>
    </w:p>
    <w:p w14:paraId="18875883"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לקראת מתן גזר הדין ובטרם ינתן, ביקש בית המשפט עדכון מטעם שירות המבחן על התנהלותו של הנאשם.</w:t>
      </w:r>
    </w:p>
    <w:p w14:paraId="1B5B6951" w14:textId="77777777" w:rsidR="00667741" w:rsidRPr="00EA75D9" w:rsidRDefault="00667741" w:rsidP="00667741">
      <w:pPr>
        <w:spacing w:line="360" w:lineRule="auto"/>
        <w:jc w:val="both"/>
        <w:rPr>
          <w:rFonts w:cs="FrankRuehl"/>
          <w:sz w:val="16"/>
          <w:szCs w:val="16"/>
          <w:rtl/>
        </w:rPr>
      </w:pPr>
    </w:p>
    <w:p w14:paraId="1CE4061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ביום 15.11.2017 וביום 12.12.2017, עדכן קצין המבחן את בית המשפט בהליך אותו עובר הנאשם.</w:t>
      </w:r>
    </w:p>
    <w:p w14:paraId="72CA8D00" w14:textId="77777777" w:rsidR="00667741" w:rsidRPr="00EA75D9" w:rsidRDefault="00667741" w:rsidP="00667741">
      <w:pPr>
        <w:spacing w:line="360" w:lineRule="auto"/>
        <w:jc w:val="both"/>
        <w:rPr>
          <w:rFonts w:cs="FrankRuehl"/>
          <w:sz w:val="14"/>
          <w:szCs w:val="14"/>
          <w:rtl/>
        </w:rPr>
      </w:pPr>
    </w:p>
    <w:p w14:paraId="5F902160"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מהעדכונים עולה כי הנאשם נקי לחלוטין מסמים. הנאשם השתלב בעבודה בחברה המספקת כלי עבודה, ואף מנהל תחתיו שני עובדים. </w:t>
      </w:r>
    </w:p>
    <w:p w14:paraId="375D3AC4" w14:textId="77777777" w:rsidR="00667741" w:rsidRPr="00EA75D9" w:rsidRDefault="00667741" w:rsidP="00667741">
      <w:pPr>
        <w:spacing w:line="360" w:lineRule="auto"/>
        <w:jc w:val="both"/>
        <w:rPr>
          <w:rFonts w:cs="FrankRuehl"/>
          <w:sz w:val="16"/>
          <w:szCs w:val="16"/>
          <w:rtl/>
        </w:rPr>
      </w:pPr>
    </w:p>
    <w:p w14:paraId="0EA4315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מעסיקיו של הנאשם הביעו שביעות רצון מעבודתו, וציינו כי הוא מגלה אחריות רבה והתמדה. </w:t>
      </w:r>
    </w:p>
    <w:p w14:paraId="4C05C307" w14:textId="77777777" w:rsidR="00667741" w:rsidRPr="00EA75D9" w:rsidRDefault="00667741" w:rsidP="00667741">
      <w:pPr>
        <w:spacing w:line="360" w:lineRule="auto"/>
        <w:jc w:val="both"/>
        <w:rPr>
          <w:rFonts w:cs="FrankRuehl"/>
          <w:sz w:val="14"/>
          <w:szCs w:val="14"/>
          <w:rtl/>
        </w:rPr>
      </w:pPr>
    </w:p>
    <w:p w14:paraId="1417B70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הנאשם מגיע באופן קבוע לפגישות טיפוליות, ומשתף את המטפלים בכל העובר עליו. </w:t>
      </w:r>
    </w:p>
    <w:p w14:paraId="6CD4D544" w14:textId="77777777" w:rsidR="00667741" w:rsidRPr="00EA75D9" w:rsidRDefault="00667741" w:rsidP="00667741">
      <w:pPr>
        <w:spacing w:line="360" w:lineRule="auto"/>
        <w:jc w:val="both"/>
        <w:rPr>
          <w:rFonts w:cs="FrankRuehl"/>
          <w:sz w:val="14"/>
          <w:szCs w:val="14"/>
          <w:rtl/>
        </w:rPr>
      </w:pPr>
    </w:p>
    <w:p w14:paraId="3C06701D"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הנאשם משלם תשלום חודשי קבוע להוצאה לפועל לכיסוי חובותיו, ומתמקד בעבודה על דפוסי חשיבתו והתנהגותו. </w:t>
      </w:r>
    </w:p>
    <w:p w14:paraId="5E07DD47"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שירות המבחן התרשם כי הנאשם עובר תהליך משמעותי, וניכר כי הוא מאמץ דפוסי התנהגות נורמטיביים לראשונה בחייו. </w:t>
      </w:r>
    </w:p>
    <w:p w14:paraId="6EC0D757" w14:textId="77777777" w:rsidR="00667741" w:rsidRPr="00EA75D9" w:rsidRDefault="00667741" w:rsidP="00667741">
      <w:pPr>
        <w:spacing w:line="360" w:lineRule="auto"/>
        <w:jc w:val="both"/>
        <w:rPr>
          <w:rFonts w:cs="FrankRuehl"/>
          <w:sz w:val="14"/>
          <w:szCs w:val="14"/>
          <w:rtl/>
        </w:rPr>
      </w:pPr>
    </w:p>
    <w:p w14:paraId="771209AE"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המועד למתן גזר הדין שהיה קבוע ליום 31.12.17 נדחה לצורך קבלת עדכון נוסף על מצבו של הנאשם.</w:t>
      </w:r>
    </w:p>
    <w:p w14:paraId="0A0A59C4" w14:textId="77777777" w:rsidR="00667741" w:rsidRPr="00EA75D9" w:rsidRDefault="00667741" w:rsidP="00667741">
      <w:pPr>
        <w:spacing w:line="360" w:lineRule="auto"/>
        <w:jc w:val="both"/>
        <w:rPr>
          <w:rFonts w:cs="FrankRuehl"/>
          <w:sz w:val="14"/>
          <w:szCs w:val="14"/>
          <w:rtl/>
        </w:rPr>
      </w:pPr>
    </w:p>
    <w:p w14:paraId="4A2269ED"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ביום 28.1.18 התקבל תסקיר סיום ובו נאמר כי הנאשם ממשיך להתמיד בהליך השיקומי. משתתף בשלוש קבוצות טיפול ובטיפול פרטני. מסר כי חושש הוא מהאפשרות שיוטל עליו עונש של מאסר בעבודות שירות, אשר יפגע בצורה ישירה ביכולתו להמשיך בעבודתו, המהווה גורם מרכזי בהליך השיקומי שעובר בו, בין היתר, לוקח אחריות ומשלם חובות שצבר במשך השנים. </w:t>
      </w:r>
    </w:p>
    <w:p w14:paraId="25468C01" w14:textId="77777777" w:rsidR="00667741" w:rsidRPr="00EA75D9" w:rsidRDefault="00667741" w:rsidP="00667741">
      <w:pPr>
        <w:spacing w:line="360" w:lineRule="auto"/>
        <w:jc w:val="both"/>
        <w:rPr>
          <w:rFonts w:cs="FrankRuehl"/>
          <w:sz w:val="12"/>
          <w:szCs w:val="12"/>
          <w:rtl/>
        </w:rPr>
      </w:pPr>
    </w:p>
    <w:p w14:paraId="1E75D337"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קצין המבחן אשר שוחח עם גרושתו של הנאשם מסר כי לאחר שנים רבות בהם ראתה את הנאשם מתדרדר, התקשתה להאמין כי יש ביכולתו להיגמל מסמים ולשנות את אורח חייו העברייני. אולם היום היא רואה שינוי משמעותי במצבו כשהוא מסייע לה כלכלית וזאת בניגוד לשנים בהם היה מנצל את מצבה הכלכלי למימון התמכרותו. עוד מדגישה, כי הנאשם חזר להיות נוכח בחייהם של ילדיהם המתבטא  בקשר טלפוני יומיומי ובמפגש קבוע בסופי שבוע וכן מגלה אכפתיות ודאגה. </w:t>
      </w:r>
    </w:p>
    <w:p w14:paraId="29349815" w14:textId="77777777" w:rsidR="00667741" w:rsidRPr="00EA75D9" w:rsidRDefault="00667741" w:rsidP="00667741">
      <w:pPr>
        <w:spacing w:line="360" w:lineRule="auto"/>
        <w:jc w:val="both"/>
        <w:rPr>
          <w:rFonts w:cs="FrankRuehl"/>
          <w:sz w:val="12"/>
          <w:szCs w:val="12"/>
          <w:rtl/>
        </w:rPr>
      </w:pPr>
    </w:p>
    <w:p w14:paraId="61BB32D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לסיכום, התרשמות קצין המבחן הוא כי אייל נמצא בעיצומו של הליך שיקומי ארוך טווח, בו מגלה אחריות באשר להליך השיקומי, בהגעה קבוע לטיפול פרטני ולקבוצות טיפול. נקי מכל שרידי סם. </w:t>
      </w:r>
    </w:p>
    <w:p w14:paraId="6599904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המלצת שירות המבחן חוזר על המלצתו לא להטיל על בהנאשם עונש של מאסר בפועל ולהסתפק בשל"צ  ועונש מאסר מותנה בגין העבירות בהן הורשע. </w:t>
      </w:r>
    </w:p>
    <w:p w14:paraId="4F410CDF" w14:textId="77777777" w:rsidR="00667741" w:rsidRPr="00667741" w:rsidRDefault="00667741" w:rsidP="00667741">
      <w:pPr>
        <w:pStyle w:val="1"/>
        <w:spacing w:line="360" w:lineRule="auto"/>
        <w:jc w:val="both"/>
        <w:rPr>
          <w:rFonts w:eastAsia="Calibri" w:cs="FrankRuehl"/>
          <w:sz w:val="26"/>
          <w:szCs w:val="26"/>
          <w:u w:val="single"/>
          <w:rtl/>
        </w:rPr>
      </w:pPr>
      <w:r w:rsidRPr="00667741">
        <w:rPr>
          <w:rFonts w:eastAsia="Calibri" w:cs="FrankRuehl" w:hint="cs"/>
          <w:sz w:val="26"/>
          <w:szCs w:val="26"/>
          <w:u w:val="single"/>
          <w:rtl/>
        </w:rPr>
        <w:t>טיעוני המאשימה לעונש</w:t>
      </w:r>
    </w:p>
    <w:p w14:paraId="0D97A460" w14:textId="77777777" w:rsidR="00667741" w:rsidRPr="006315D3" w:rsidRDefault="00667741" w:rsidP="00667741">
      <w:pPr>
        <w:spacing w:line="360" w:lineRule="auto"/>
        <w:jc w:val="both"/>
        <w:rPr>
          <w:rFonts w:cs="FrankRuehl"/>
          <w:sz w:val="26"/>
          <w:szCs w:val="26"/>
          <w:rtl/>
        </w:rPr>
      </w:pPr>
      <w:bookmarkStart w:id="7" w:name="_Toc495156788"/>
      <w:r w:rsidRPr="006315D3">
        <w:rPr>
          <w:rFonts w:cs="FrankRuehl" w:hint="cs"/>
          <w:sz w:val="26"/>
          <w:szCs w:val="26"/>
          <w:rtl/>
        </w:rPr>
        <w:t xml:space="preserve">המאשימה הציגה בפני בית המשפט "טבלת ענישה", המתייחסת לעבירות בהן הורשע הנאשם. </w:t>
      </w:r>
    </w:p>
    <w:p w14:paraId="0D89B6CB" w14:textId="77777777" w:rsidR="00667741" w:rsidRPr="00EA75D9" w:rsidRDefault="00667741" w:rsidP="00667741">
      <w:pPr>
        <w:spacing w:line="360" w:lineRule="auto"/>
        <w:jc w:val="both"/>
        <w:rPr>
          <w:rFonts w:cs="FrankRuehl"/>
          <w:sz w:val="12"/>
          <w:szCs w:val="12"/>
          <w:rtl/>
        </w:rPr>
      </w:pPr>
    </w:p>
    <w:p w14:paraId="77363AE5" w14:textId="77777777" w:rsidR="00667741" w:rsidRPr="00667741" w:rsidRDefault="00667741" w:rsidP="00667741">
      <w:pPr>
        <w:spacing w:line="360" w:lineRule="auto"/>
        <w:jc w:val="both"/>
        <w:rPr>
          <w:rFonts w:eastAsia="Calibri" w:cs="FrankRuehl"/>
          <w:sz w:val="26"/>
          <w:szCs w:val="26"/>
          <w:rtl/>
        </w:rPr>
      </w:pPr>
      <w:r w:rsidRPr="006315D3">
        <w:rPr>
          <w:rFonts w:cs="FrankRuehl" w:hint="cs"/>
          <w:sz w:val="26"/>
          <w:szCs w:val="26"/>
          <w:rtl/>
        </w:rPr>
        <w:t>מהטבלה עולה כי על דרך הכלל, ייגזרו בעבירות אלה עונשי מאסר ממושכים מאחורי סורג ובריח.</w:t>
      </w:r>
    </w:p>
    <w:p w14:paraId="767E6963" w14:textId="77777777" w:rsidR="00667741" w:rsidRPr="00667741" w:rsidRDefault="00667741" w:rsidP="00667741">
      <w:pPr>
        <w:spacing w:line="360" w:lineRule="auto"/>
        <w:jc w:val="both"/>
        <w:rPr>
          <w:rFonts w:eastAsia="Calibri" w:cs="FrankRuehl"/>
          <w:sz w:val="12"/>
          <w:szCs w:val="12"/>
          <w:rtl/>
        </w:rPr>
      </w:pPr>
    </w:p>
    <w:p w14:paraId="6A9DE117"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הודגש, כי שיקום אינו חזות הכל, והמלצת שירות המבחן אינה יכולה לעמוד. </w:t>
      </w:r>
    </w:p>
    <w:p w14:paraId="45D11F60" w14:textId="77777777" w:rsidR="00667741" w:rsidRPr="00EA75D9" w:rsidRDefault="00667741" w:rsidP="00667741">
      <w:pPr>
        <w:spacing w:line="360" w:lineRule="auto"/>
        <w:jc w:val="both"/>
        <w:rPr>
          <w:rFonts w:cs="FrankRuehl"/>
          <w:sz w:val="14"/>
          <w:szCs w:val="14"/>
          <w:rtl/>
        </w:rPr>
      </w:pPr>
    </w:p>
    <w:p w14:paraId="02AD6E8F"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הנאשם הורשע בעבירות חמורות, ולא ניתן להסתפק בעונש קל של של"צ. </w:t>
      </w:r>
    </w:p>
    <w:p w14:paraId="52771EC4" w14:textId="77777777" w:rsidR="00667741" w:rsidRPr="00EA75D9" w:rsidRDefault="00667741" w:rsidP="00667741">
      <w:pPr>
        <w:spacing w:line="360" w:lineRule="auto"/>
        <w:jc w:val="both"/>
        <w:rPr>
          <w:rFonts w:cs="FrankRuehl"/>
          <w:sz w:val="14"/>
          <w:szCs w:val="14"/>
          <w:rtl/>
        </w:rPr>
      </w:pPr>
    </w:p>
    <w:p w14:paraId="3EE43599"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גם אם השתקם הנאשם, ויש סיכוי של ממש שישתקם בעתיד, יש לתת לכך ביטוי בענישה בתוך מתחם העונש ולא לחרוג ממנו.</w:t>
      </w:r>
    </w:p>
    <w:p w14:paraId="53E90ABE" w14:textId="77777777" w:rsidR="00667741" w:rsidRPr="006315D3" w:rsidRDefault="00667741" w:rsidP="00667741">
      <w:pPr>
        <w:spacing w:line="360" w:lineRule="auto"/>
        <w:jc w:val="both"/>
        <w:rPr>
          <w:rFonts w:cs="FrankRuehl"/>
          <w:sz w:val="26"/>
          <w:szCs w:val="26"/>
          <w:rtl/>
        </w:rPr>
      </w:pPr>
    </w:p>
    <w:p w14:paraId="2E4E04E6"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הוטעם, כי העבירות בהם הורשע הנאשם הן עבירות בעלות חומרה יתירה, ולא ניתן לחרוג ממתחם העונש בענייננו.</w:t>
      </w:r>
    </w:p>
    <w:p w14:paraId="021EB849" w14:textId="77777777" w:rsidR="00667741" w:rsidRPr="00EA75D9" w:rsidRDefault="00667741" w:rsidP="00667741">
      <w:pPr>
        <w:spacing w:line="360" w:lineRule="auto"/>
        <w:jc w:val="both"/>
        <w:rPr>
          <w:rFonts w:cs="FrankRuehl"/>
          <w:sz w:val="14"/>
          <w:szCs w:val="14"/>
          <w:rtl/>
        </w:rPr>
      </w:pPr>
    </w:p>
    <w:p w14:paraId="6F907BFE"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עבירת ייבוא הסמים, היא העבירה החמורה ביותר ב</w:t>
      </w:r>
      <w:hyperlink r:id="rId34" w:history="1">
        <w:r w:rsidR="00E540FA" w:rsidRPr="00E540FA">
          <w:rPr>
            <w:rFonts w:cs="FrankRuehl"/>
            <w:color w:val="0000FF"/>
            <w:sz w:val="26"/>
            <w:szCs w:val="26"/>
            <w:u w:val="single"/>
            <w:rtl/>
          </w:rPr>
          <w:t>פקודת הסמים המסוכנים</w:t>
        </w:r>
      </w:hyperlink>
      <w:r w:rsidRPr="006315D3">
        <w:rPr>
          <w:rFonts w:cs="FrankRuehl" w:hint="cs"/>
          <w:sz w:val="26"/>
          <w:szCs w:val="26"/>
          <w:rtl/>
        </w:rPr>
        <w:t>. בנוסף, הפצת סם קוקאין עלולה לגרום נזקים חמורים למשתמשים בהם.</w:t>
      </w:r>
    </w:p>
    <w:p w14:paraId="14F1B750" w14:textId="77777777" w:rsidR="00667741" w:rsidRPr="00EA75D9" w:rsidRDefault="00667741" w:rsidP="00667741">
      <w:pPr>
        <w:spacing w:line="360" w:lineRule="auto"/>
        <w:jc w:val="both"/>
        <w:rPr>
          <w:rFonts w:cs="FrankRuehl"/>
          <w:sz w:val="16"/>
          <w:szCs w:val="16"/>
          <w:rtl/>
        </w:rPr>
      </w:pPr>
    </w:p>
    <w:p w14:paraId="1812422B"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הוזכר, כי ניסיונות לשיקום הנאשם בעבר, לא צלחו.</w:t>
      </w:r>
    </w:p>
    <w:p w14:paraId="0F8137C0" w14:textId="77777777" w:rsidR="00667741" w:rsidRPr="00EA75D9" w:rsidRDefault="00667741" w:rsidP="00667741">
      <w:pPr>
        <w:spacing w:line="360" w:lineRule="auto"/>
        <w:jc w:val="both"/>
        <w:rPr>
          <w:rFonts w:cs="FrankRuehl"/>
          <w:sz w:val="14"/>
          <w:szCs w:val="14"/>
          <w:rtl/>
        </w:rPr>
      </w:pPr>
    </w:p>
    <w:p w14:paraId="6B44893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צוין, כי הסתפקות בעונש כה קל תפגע גם בעיקרון השוויון, שכן על הנאשמים הנוספים בתיק נגזרו עונשי מאסר ממושכים מאחורי סורג ובריח.</w:t>
      </w:r>
    </w:p>
    <w:p w14:paraId="3F508288" w14:textId="77777777" w:rsidR="00667741" w:rsidRPr="00EA75D9" w:rsidRDefault="00667741" w:rsidP="00667741">
      <w:pPr>
        <w:spacing w:line="360" w:lineRule="auto"/>
        <w:jc w:val="both"/>
        <w:rPr>
          <w:rFonts w:cs="FrankRuehl"/>
          <w:sz w:val="16"/>
          <w:szCs w:val="16"/>
          <w:rtl/>
        </w:rPr>
      </w:pPr>
    </w:p>
    <w:p w14:paraId="0EAC71F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סוף דבר, עתרה המאשימה לקביעת מתחם עונש שבין 4 ל-10 שנות מאסר. </w:t>
      </w:r>
    </w:p>
    <w:p w14:paraId="089C4941" w14:textId="77777777" w:rsidR="00667741" w:rsidRPr="00EA75D9" w:rsidRDefault="00667741" w:rsidP="00667741">
      <w:pPr>
        <w:spacing w:line="360" w:lineRule="auto"/>
        <w:jc w:val="both"/>
        <w:rPr>
          <w:rFonts w:cs="FrankRuehl"/>
          <w:sz w:val="14"/>
          <w:szCs w:val="14"/>
          <w:rtl/>
        </w:rPr>
      </w:pPr>
    </w:p>
    <w:p w14:paraId="6EB2EB26"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לאור הודאת הנאשם, כמו גם הליך השיקום אותו עבר, עתרה המאשימה לגזור את עונשו של הנאשם בתחתית מתחם העונש. </w:t>
      </w:r>
    </w:p>
    <w:bookmarkEnd w:id="7"/>
    <w:p w14:paraId="60F3F4E8" w14:textId="77777777" w:rsidR="00667741" w:rsidRPr="00667741" w:rsidRDefault="00667741" w:rsidP="00667741">
      <w:pPr>
        <w:pStyle w:val="1"/>
        <w:spacing w:line="360" w:lineRule="auto"/>
        <w:jc w:val="both"/>
        <w:rPr>
          <w:rFonts w:eastAsia="Calibri" w:cs="FrankRuehl"/>
          <w:sz w:val="26"/>
          <w:szCs w:val="26"/>
          <w:u w:val="single"/>
          <w:rtl/>
        </w:rPr>
      </w:pPr>
      <w:r w:rsidRPr="00667741">
        <w:rPr>
          <w:rFonts w:eastAsia="Calibri" w:cs="FrankRuehl" w:hint="cs"/>
          <w:sz w:val="26"/>
          <w:szCs w:val="26"/>
          <w:u w:val="single"/>
          <w:rtl/>
        </w:rPr>
        <w:t>טיעוני הנאשם לעונש</w:t>
      </w:r>
    </w:p>
    <w:p w14:paraId="0A075BE6"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ב"כ הנאשם טען כי המתחם אליו עותרת המאשימה, גבוה משמעותית מהמקובל בעבירות כגון דא. </w:t>
      </w:r>
    </w:p>
    <w:p w14:paraId="575D4472" w14:textId="77777777" w:rsidR="00667741" w:rsidRPr="00EA75D9" w:rsidRDefault="00667741" w:rsidP="00667741">
      <w:pPr>
        <w:spacing w:line="360" w:lineRule="auto"/>
        <w:jc w:val="both"/>
        <w:rPr>
          <w:rFonts w:cs="FrankRuehl"/>
          <w:sz w:val="12"/>
          <w:szCs w:val="12"/>
          <w:rtl/>
        </w:rPr>
      </w:pPr>
    </w:p>
    <w:p w14:paraId="3017A49A"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בתוך כך, הפנה ב"כ הנאשם ל</w:t>
      </w:r>
      <w:hyperlink r:id="rId35" w:history="1">
        <w:r w:rsidR="00E540FA" w:rsidRPr="00E540FA">
          <w:rPr>
            <w:rFonts w:cs="FrankRuehl"/>
            <w:color w:val="0000FF"/>
            <w:sz w:val="26"/>
            <w:szCs w:val="26"/>
            <w:u w:val="single"/>
            <w:rtl/>
          </w:rPr>
          <w:t>ע"פ 9020/14</w:t>
        </w:r>
      </w:hyperlink>
      <w:r w:rsidRPr="006315D3">
        <w:rPr>
          <w:rFonts w:cs="FrankRuehl" w:hint="cs"/>
          <w:sz w:val="26"/>
          <w:szCs w:val="26"/>
          <w:rtl/>
        </w:rPr>
        <w:t xml:space="preserve"> </w:t>
      </w:r>
      <w:r w:rsidRPr="006315D3">
        <w:rPr>
          <w:rFonts w:cs="FrankRuehl" w:hint="cs"/>
          <w:b/>
          <w:bCs/>
          <w:sz w:val="26"/>
          <w:szCs w:val="26"/>
          <w:rtl/>
        </w:rPr>
        <w:t xml:space="preserve">מזרחי נ' מדינת ישראל </w:t>
      </w:r>
      <w:r w:rsidRPr="006315D3">
        <w:rPr>
          <w:rFonts w:cs="FrankRuehl" w:hint="cs"/>
          <w:sz w:val="26"/>
          <w:szCs w:val="26"/>
          <w:rtl/>
        </w:rPr>
        <w:t xml:space="preserve">(‏9.7.2015), שם אישר בית המשפט העליון עונש של 30 חודשי מאסר בפועל לנאשמת בייבוא קוקאין מקולומביה לישראל. </w:t>
      </w:r>
    </w:p>
    <w:p w14:paraId="161283F6" w14:textId="77777777" w:rsidR="00667741" w:rsidRPr="00EA75D9" w:rsidRDefault="00667741" w:rsidP="00667741">
      <w:pPr>
        <w:spacing w:line="360" w:lineRule="auto"/>
        <w:jc w:val="both"/>
        <w:rPr>
          <w:rFonts w:cs="FrankRuehl"/>
          <w:sz w:val="14"/>
          <w:szCs w:val="14"/>
          <w:rtl/>
        </w:rPr>
      </w:pPr>
    </w:p>
    <w:p w14:paraId="5F5D29F0"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עוד הפנה ל</w:t>
      </w:r>
      <w:hyperlink r:id="rId36" w:history="1">
        <w:r w:rsidR="00E540FA" w:rsidRPr="00E540FA">
          <w:rPr>
            <w:rFonts w:cs="FrankRuehl"/>
            <w:color w:val="0000FF"/>
            <w:sz w:val="26"/>
            <w:szCs w:val="26"/>
            <w:u w:val="single"/>
            <w:rtl/>
          </w:rPr>
          <w:t>ע"פ 3931/13</w:t>
        </w:r>
      </w:hyperlink>
      <w:r w:rsidRPr="006315D3">
        <w:rPr>
          <w:rFonts w:cs="FrankRuehl" w:hint="cs"/>
          <w:sz w:val="26"/>
          <w:szCs w:val="26"/>
          <w:rtl/>
        </w:rPr>
        <w:t xml:space="preserve"> </w:t>
      </w:r>
      <w:r w:rsidRPr="006315D3">
        <w:rPr>
          <w:rFonts w:cs="FrankRuehl" w:hint="cs"/>
          <w:b/>
          <w:bCs/>
          <w:sz w:val="26"/>
          <w:szCs w:val="26"/>
          <w:rtl/>
        </w:rPr>
        <w:t xml:space="preserve">באום נ' מדינת ישראל </w:t>
      </w:r>
      <w:r w:rsidRPr="006315D3">
        <w:rPr>
          <w:rFonts w:cs="FrankRuehl" w:hint="cs"/>
          <w:sz w:val="26"/>
          <w:szCs w:val="26"/>
          <w:rtl/>
        </w:rPr>
        <w:t>(10.6.2014), שם אישר  בית המשפט העליון מתחם עונש שבין 30 ל-45 חודשי מאסר בפועל, לנאשם שהגיע לישראל כשבגופו 71 קפסולות שהכילו סם מסוכן מסוג קוקאין, במשקל כולל של כ-556 גרם נטו.</w:t>
      </w:r>
    </w:p>
    <w:p w14:paraId="141ED786" w14:textId="77777777" w:rsidR="00667741" w:rsidRPr="00EA75D9" w:rsidRDefault="00667741" w:rsidP="00667741">
      <w:pPr>
        <w:spacing w:line="360" w:lineRule="auto"/>
        <w:jc w:val="both"/>
        <w:rPr>
          <w:rFonts w:cs="FrankRuehl"/>
          <w:sz w:val="10"/>
          <w:szCs w:val="10"/>
          <w:rtl/>
        </w:rPr>
      </w:pPr>
    </w:p>
    <w:p w14:paraId="7E3EE267" w14:textId="77777777" w:rsidR="00667741" w:rsidRPr="00667741" w:rsidRDefault="00667741" w:rsidP="00667741">
      <w:pPr>
        <w:spacing w:line="360" w:lineRule="auto"/>
        <w:jc w:val="both"/>
        <w:rPr>
          <w:rFonts w:eastAsia="Calibri" w:cs="FrankRuehl"/>
          <w:sz w:val="26"/>
          <w:szCs w:val="26"/>
          <w:rtl/>
        </w:rPr>
      </w:pPr>
      <w:r w:rsidRPr="006315D3">
        <w:rPr>
          <w:rFonts w:cs="FrankRuehl" w:hint="cs"/>
          <w:sz w:val="26"/>
          <w:szCs w:val="26"/>
          <w:rtl/>
        </w:rPr>
        <w:t>ב"כ הנאשם הציג פסיקה נוספת התומכת לגישתו בקביעת מתחם העונש הראוי לנאשם.</w:t>
      </w:r>
    </w:p>
    <w:p w14:paraId="4D80887F" w14:textId="77777777" w:rsidR="00667741" w:rsidRPr="00667741" w:rsidRDefault="00667741" w:rsidP="00667741">
      <w:pPr>
        <w:spacing w:line="360" w:lineRule="auto"/>
        <w:jc w:val="both"/>
        <w:rPr>
          <w:rFonts w:eastAsia="Calibri" w:cs="FrankRuehl"/>
          <w:sz w:val="14"/>
          <w:szCs w:val="14"/>
          <w:rtl/>
        </w:rPr>
      </w:pPr>
    </w:p>
    <w:p w14:paraId="57014C5F" w14:textId="77777777" w:rsidR="00667741" w:rsidRDefault="00667741" w:rsidP="00667741">
      <w:pPr>
        <w:spacing w:line="360" w:lineRule="auto"/>
        <w:jc w:val="both"/>
        <w:rPr>
          <w:rFonts w:cs="FrankRuehl"/>
          <w:sz w:val="26"/>
          <w:szCs w:val="26"/>
          <w:rtl/>
        </w:rPr>
      </w:pPr>
      <w:r w:rsidRPr="006315D3">
        <w:rPr>
          <w:rFonts w:cs="FrankRuehl" w:hint="cs"/>
          <w:sz w:val="26"/>
          <w:szCs w:val="26"/>
          <w:rtl/>
        </w:rPr>
        <w:t xml:space="preserve">הודגש, כי העבירות בענייננו אינם בעלי "חומרה מיוחדת" – באופן זה שלא מתאפשרת חריגה ממתחם העונש, ויש לבחון כל מקרה על פי נסיבותיו. הוזכר, כי הנאשם אוים על ידי שותפיו לפשע על מנת שייבא את הסם. </w:t>
      </w:r>
    </w:p>
    <w:p w14:paraId="67DBC95A" w14:textId="77777777" w:rsidR="00667741" w:rsidRPr="00DE5CE2" w:rsidRDefault="00667741" w:rsidP="00667741">
      <w:pPr>
        <w:spacing w:line="360" w:lineRule="auto"/>
        <w:jc w:val="both"/>
        <w:rPr>
          <w:rFonts w:cs="FrankRuehl"/>
          <w:sz w:val="16"/>
          <w:szCs w:val="16"/>
          <w:rtl/>
        </w:rPr>
      </w:pPr>
    </w:p>
    <w:p w14:paraId="75C870A9"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הודגש כי הנאשם עבר הליך שיקומי ארוך לאחר שנסיון לשיקום בעבר נכשל, ועתה הוא נחוש להמשיך בדרכו החדשה, היצרנית והנורמטיבית. יש לראות בנאשם ממש "אדם חדש" שמתחיל את חייו, ולנסות ככל האפשר לעשות הפרדה בין הנאשם שביצע את העבירה, ובין האדם שהוא כיום. </w:t>
      </w:r>
    </w:p>
    <w:p w14:paraId="259703F9" w14:textId="77777777" w:rsidR="00667741" w:rsidRPr="00EA75D9" w:rsidRDefault="00667741" w:rsidP="00667741">
      <w:pPr>
        <w:spacing w:line="360" w:lineRule="auto"/>
        <w:jc w:val="both"/>
        <w:rPr>
          <w:rFonts w:cs="FrankRuehl"/>
          <w:sz w:val="12"/>
          <w:szCs w:val="12"/>
          <w:rtl/>
        </w:rPr>
      </w:pPr>
    </w:p>
    <w:p w14:paraId="2D80359C"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צוין, כי ענישה מאחורי סורג ובריח תשים לאל את הדרך השיקומית הארוכה שעשה הנאשם.</w:t>
      </w:r>
    </w:p>
    <w:p w14:paraId="2A956675" w14:textId="77777777" w:rsidR="00667741" w:rsidRPr="00EA75D9" w:rsidRDefault="00667741" w:rsidP="00667741">
      <w:pPr>
        <w:spacing w:line="360" w:lineRule="auto"/>
        <w:jc w:val="both"/>
        <w:rPr>
          <w:rFonts w:cs="FrankRuehl"/>
          <w:sz w:val="14"/>
          <w:szCs w:val="14"/>
          <w:rtl/>
        </w:rPr>
      </w:pPr>
    </w:p>
    <w:p w14:paraId="4088669A"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סוף דבר, עתר ב"כ הנאשם לאימוץ המלצת שירות המבחן, להשית על הנאשם עונש של"צ, ולהטיל עליו צו מבחן למשך שנתיים.</w:t>
      </w:r>
    </w:p>
    <w:p w14:paraId="4BD50274" w14:textId="77777777" w:rsidR="00667741" w:rsidRPr="00EA75D9" w:rsidRDefault="00667741" w:rsidP="00667741">
      <w:pPr>
        <w:spacing w:line="360" w:lineRule="auto"/>
        <w:jc w:val="both"/>
        <w:rPr>
          <w:rFonts w:cs="FrankRuehl"/>
          <w:sz w:val="14"/>
          <w:szCs w:val="14"/>
          <w:rtl/>
        </w:rPr>
      </w:pPr>
    </w:p>
    <w:p w14:paraId="45CBF42E"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בנצלו את זכות המילה האחרונה, ציין הנאשם כי התהליך שהוא נמצא בו משמעותי עבורו, ואף "קסום לו".</w:t>
      </w:r>
    </w:p>
    <w:p w14:paraId="3C6372F6" w14:textId="77777777" w:rsidR="00667741" w:rsidRPr="00EA75D9" w:rsidRDefault="00667741" w:rsidP="00667741">
      <w:pPr>
        <w:spacing w:line="360" w:lineRule="auto"/>
        <w:jc w:val="both"/>
        <w:rPr>
          <w:rFonts w:cs="FrankRuehl"/>
          <w:sz w:val="14"/>
          <w:szCs w:val="14"/>
          <w:rtl/>
        </w:rPr>
      </w:pPr>
    </w:p>
    <w:p w14:paraId="4E3E109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עוד ציין, כי לו חשב להמשיך במעשיו, אפילו 15 שנים שריצה במאסר, לא היוו עבורו גורם מרתיע. דווקא כיום הדרך שהוא נמצא בה "מרתיעה" אותו, שכן יעשה כל שנחוץ לשמור על הדרך הטובה אותה אימץ והוא רואה בזה חשיבות גדולה ליציבות בחייו ולעתידו.</w:t>
      </w:r>
    </w:p>
    <w:p w14:paraId="3E0E9CA3" w14:textId="77777777" w:rsidR="00667741" w:rsidRPr="006315D3" w:rsidRDefault="00667741" w:rsidP="00667741">
      <w:pPr>
        <w:pStyle w:val="1"/>
        <w:spacing w:line="360" w:lineRule="auto"/>
        <w:jc w:val="both"/>
        <w:rPr>
          <w:rFonts w:cs="FrankRuehl"/>
          <w:sz w:val="26"/>
          <w:szCs w:val="26"/>
          <w:rtl/>
        </w:rPr>
      </w:pPr>
      <w:r w:rsidRPr="00667741">
        <w:rPr>
          <w:rFonts w:eastAsia="Calibri" w:cs="FrankRuehl" w:hint="cs"/>
          <w:sz w:val="26"/>
          <w:szCs w:val="26"/>
          <w:u w:val="single"/>
          <w:rtl/>
        </w:rPr>
        <w:t>דיון והכרעה</w:t>
      </w:r>
      <w:r w:rsidRPr="006315D3">
        <w:rPr>
          <w:rFonts w:cs="FrankRuehl" w:hint="cs"/>
          <w:sz w:val="26"/>
          <w:szCs w:val="26"/>
          <w:rtl/>
        </w:rPr>
        <w:t>.</w:t>
      </w:r>
    </w:p>
    <w:p w14:paraId="519BECC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סימן א1 לחוק מנחה את בית המשפט לגזור עונש המבטא </w:t>
      </w:r>
      <w:r w:rsidRPr="006315D3">
        <w:rPr>
          <w:rFonts w:cs="FrankRuehl" w:hint="cs"/>
          <w:b/>
          <w:bCs/>
          <w:sz w:val="26"/>
          <w:szCs w:val="26"/>
          <w:rtl/>
        </w:rPr>
        <w:t>"יחס הולם בין חומרת מעשה העברה</w:t>
      </w:r>
      <w:r w:rsidRPr="006315D3">
        <w:rPr>
          <w:rFonts w:cs="FrankRuehl" w:hint="cs"/>
          <w:sz w:val="26"/>
          <w:szCs w:val="26"/>
          <w:rtl/>
        </w:rPr>
        <w:t xml:space="preserve"> </w:t>
      </w:r>
      <w:r w:rsidRPr="006315D3">
        <w:rPr>
          <w:rFonts w:cs="FrankRuehl" w:hint="cs"/>
          <w:b/>
          <w:bCs/>
          <w:sz w:val="26"/>
          <w:szCs w:val="26"/>
          <w:rtl/>
        </w:rPr>
        <w:t>בנסיבותיו ומידת אשמו של הנאשם"</w:t>
      </w:r>
      <w:r w:rsidRPr="006315D3">
        <w:rPr>
          <w:rFonts w:cs="FrankRuehl" w:hint="cs"/>
          <w:sz w:val="26"/>
          <w:szCs w:val="26"/>
          <w:rtl/>
        </w:rPr>
        <w:t xml:space="preserve"> [</w:t>
      </w:r>
      <w:hyperlink r:id="rId37" w:history="1">
        <w:r w:rsidR="00237BB4" w:rsidRPr="00237BB4">
          <w:rPr>
            <w:rFonts w:cs="FrankRuehl"/>
            <w:color w:val="0000FF"/>
            <w:sz w:val="26"/>
            <w:szCs w:val="26"/>
            <w:u w:val="single"/>
            <w:rtl/>
          </w:rPr>
          <w:t>סעיף 40ב</w:t>
        </w:r>
      </w:hyperlink>
      <w:r w:rsidRPr="006315D3">
        <w:rPr>
          <w:rFonts w:cs="FrankRuehl" w:hint="cs"/>
          <w:sz w:val="26"/>
          <w:szCs w:val="26"/>
          <w:rtl/>
        </w:rPr>
        <w:t xml:space="preserve"> לחוק]. לשם כך, על בית המשפט לקבוע 'מתחם עונש הולם', המבוסס על:</w:t>
      </w:r>
    </w:p>
    <w:p w14:paraId="65D6BC9F" w14:textId="77777777" w:rsidR="00667741" w:rsidRPr="006315D3" w:rsidRDefault="00667741" w:rsidP="00667741">
      <w:pPr>
        <w:spacing w:line="360" w:lineRule="auto"/>
        <w:jc w:val="both"/>
        <w:rPr>
          <w:rFonts w:cs="FrankRuehl"/>
          <w:sz w:val="26"/>
          <w:szCs w:val="26"/>
          <w:rtl/>
        </w:rPr>
      </w:pPr>
    </w:p>
    <w:p w14:paraId="7A0EFA0C"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 (1) הערך החברתי שנפגע מביצוע העברה;</w:t>
      </w:r>
    </w:p>
    <w:p w14:paraId="2B9B99D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 (2) מידת הפגיעה בערך החברתי; </w:t>
      </w:r>
    </w:p>
    <w:p w14:paraId="0B69B423"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(3) מדיניות הענישה הנהוגה;</w:t>
      </w:r>
    </w:p>
    <w:p w14:paraId="71304CD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 (4) נסיבות הקשורות בביצוע העברה [</w:t>
      </w:r>
      <w:hyperlink r:id="rId38" w:history="1">
        <w:r w:rsidR="00237BB4" w:rsidRPr="00237BB4">
          <w:rPr>
            <w:rFonts w:cs="FrankRuehl"/>
            <w:color w:val="0000FF"/>
            <w:sz w:val="26"/>
            <w:szCs w:val="26"/>
            <w:u w:val="single"/>
            <w:rtl/>
          </w:rPr>
          <w:t>סעיף 40ג</w:t>
        </w:r>
      </w:hyperlink>
      <w:r w:rsidRPr="006315D3">
        <w:rPr>
          <w:rFonts w:cs="FrankRuehl" w:hint="cs"/>
          <w:sz w:val="26"/>
          <w:szCs w:val="26"/>
          <w:rtl/>
        </w:rPr>
        <w:t xml:space="preserve"> לחוק]. </w:t>
      </w:r>
    </w:p>
    <w:p w14:paraId="650017A3" w14:textId="77777777" w:rsidR="00667741" w:rsidRPr="006315D3" w:rsidRDefault="00667741" w:rsidP="00667741">
      <w:pPr>
        <w:spacing w:line="360" w:lineRule="auto"/>
        <w:jc w:val="both"/>
        <w:rPr>
          <w:rFonts w:cs="FrankRuehl"/>
          <w:sz w:val="26"/>
          <w:szCs w:val="26"/>
          <w:rtl/>
        </w:rPr>
      </w:pPr>
    </w:p>
    <w:p w14:paraId="4F97B217"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בשלב הבא, על בית המשפט לקבוע את העונש בתוך מתחם העונש ההולם (</w:t>
      </w:r>
      <w:hyperlink r:id="rId39" w:history="1">
        <w:r w:rsidR="00237BB4" w:rsidRPr="00237BB4">
          <w:rPr>
            <w:rFonts w:cs="FrankRuehl"/>
            <w:color w:val="0000FF"/>
            <w:sz w:val="26"/>
            <w:szCs w:val="26"/>
            <w:u w:val="single"/>
            <w:rtl/>
          </w:rPr>
          <w:t>סעיף 40ג(ב)</w:t>
        </w:r>
      </w:hyperlink>
      <w:r w:rsidRPr="006315D3">
        <w:rPr>
          <w:rFonts w:cs="FrankRuehl" w:hint="cs"/>
          <w:sz w:val="26"/>
          <w:szCs w:val="26"/>
          <w:rtl/>
        </w:rPr>
        <w:t xml:space="preserve"> לחוק).</w:t>
      </w:r>
    </w:p>
    <w:p w14:paraId="0997E916" w14:textId="77777777" w:rsidR="00667741" w:rsidRPr="00EA75D9" w:rsidRDefault="00667741" w:rsidP="00667741">
      <w:pPr>
        <w:spacing w:line="360" w:lineRule="auto"/>
        <w:jc w:val="both"/>
        <w:rPr>
          <w:rFonts w:cs="FrankRuehl"/>
          <w:sz w:val="12"/>
          <w:szCs w:val="12"/>
          <w:rtl/>
        </w:rPr>
      </w:pPr>
    </w:p>
    <w:p w14:paraId="23D5A47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הערכים החברתיים אשר עליהם מבקשות להגן הוראות החוק המצויות ב</w:t>
      </w:r>
      <w:hyperlink r:id="rId40" w:history="1">
        <w:r w:rsidR="00E540FA" w:rsidRPr="00E540FA">
          <w:rPr>
            <w:rFonts w:cs="FrankRuehl"/>
            <w:color w:val="0000FF"/>
            <w:sz w:val="26"/>
            <w:szCs w:val="26"/>
            <w:u w:val="single"/>
            <w:rtl/>
          </w:rPr>
          <w:t>פקודת הסמים המסוכנים</w:t>
        </w:r>
      </w:hyperlink>
      <w:r w:rsidRPr="006315D3">
        <w:rPr>
          <w:rFonts w:cs="FrankRuehl" w:hint="cs"/>
          <w:sz w:val="26"/>
          <w:szCs w:val="26"/>
          <w:rtl/>
        </w:rPr>
        <w:t xml:space="preserve">, ואשר עניינן איסור ייבוא סמים והפצתם, ברורים. </w:t>
      </w:r>
    </w:p>
    <w:p w14:paraId="56136144" w14:textId="77777777" w:rsidR="00667741" w:rsidRPr="00EA75D9" w:rsidRDefault="00667741" w:rsidP="00667741">
      <w:pPr>
        <w:spacing w:line="360" w:lineRule="auto"/>
        <w:jc w:val="both"/>
        <w:rPr>
          <w:rFonts w:cs="FrankRuehl"/>
          <w:sz w:val="14"/>
          <w:szCs w:val="14"/>
          <w:rtl/>
        </w:rPr>
      </w:pPr>
    </w:p>
    <w:p w14:paraId="4087471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השמירה על בריאותם הגופנית והנפשית של צרכני סמים קיימים, וכן של צרכני סמים פוטנציאליים, העלולים ליפול כנטל על הציבור כולו. </w:t>
      </w:r>
    </w:p>
    <w:p w14:paraId="20BF31F2" w14:textId="77777777" w:rsidR="00667741" w:rsidRPr="006315D3" w:rsidRDefault="00667741" w:rsidP="00667741">
      <w:pPr>
        <w:spacing w:line="360" w:lineRule="auto"/>
        <w:jc w:val="both"/>
        <w:rPr>
          <w:rFonts w:cs="FrankRuehl"/>
          <w:sz w:val="26"/>
          <w:szCs w:val="26"/>
          <w:rtl/>
        </w:rPr>
      </w:pPr>
    </w:p>
    <w:p w14:paraId="61EBDCAA"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ערך חברתי נוסף הוא הצורך להגן על הציבור בכללו מפני עבירות, המבוצעות בידיהם של משתמשי הסמים והמכורים להם, העלולים לנהוג בעבריינות על מנת להשיג אמצעים הכספיים לצורך השגת הסם. מידת הפגיעה בערכים החברתיים קשה וחמורה. </w:t>
      </w:r>
    </w:p>
    <w:p w14:paraId="307D581A" w14:textId="77777777" w:rsidR="00667741" w:rsidRPr="00EA75D9" w:rsidRDefault="00667741" w:rsidP="00667741">
      <w:pPr>
        <w:spacing w:line="360" w:lineRule="auto"/>
        <w:jc w:val="both"/>
        <w:rPr>
          <w:rFonts w:cs="FrankRuehl"/>
          <w:sz w:val="14"/>
          <w:szCs w:val="14"/>
          <w:rtl/>
        </w:rPr>
      </w:pPr>
    </w:p>
    <w:p w14:paraId="53A997F7"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בנוגע למדיניות הענישה הנוהגת, אציין את </w:t>
      </w:r>
      <w:hyperlink r:id="rId41" w:history="1">
        <w:r w:rsidR="00E540FA" w:rsidRPr="00E540FA">
          <w:rPr>
            <w:rFonts w:cs="FrankRuehl"/>
            <w:color w:val="0000FF"/>
            <w:sz w:val="26"/>
            <w:szCs w:val="26"/>
            <w:u w:val="single"/>
            <w:rtl/>
          </w:rPr>
          <w:t>ע"פ 4008/11</w:t>
        </w:r>
      </w:hyperlink>
      <w:r w:rsidRPr="006315D3">
        <w:rPr>
          <w:rFonts w:cs="FrankRuehl" w:hint="cs"/>
          <w:sz w:val="26"/>
          <w:szCs w:val="26"/>
          <w:rtl/>
        </w:rPr>
        <w:t xml:space="preserve"> </w:t>
      </w:r>
      <w:r w:rsidRPr="006315D3">
        <w:rPr>
          <w:rFonts w:cs="FrankRuehl" w:hint="cs"/>
          <w:b/>
          <w:bCs/>
          <w:sz w:val="26"/>
          <w:szCs w:val="26"/>
          <w:rtl/>
        </w:rPr>
        <w:t xml:space="preserve">גוארדיה נ' מדינת ישראל </w:t>
      </w:r>
      <w:r w:rsidRPr="006315D3">
        <w:rPr>
          <w:rFonts w:cs="FrankRuehl" w:hint="cs"/>
          <w:sz w:val="26"/>
          <w:szCs w:val="26"/>
          <w:rtl/>
        </w:rPr>
        <w:t>(6.3.2012), שם נגזרו 45 חודשי מאסר על אזרחית בוליביה, שייבאה לישראל בגופה קוקאין במשקל 800 גרם. ב</w:t>
      </w:r>
      <w:hyperlink r:id="rId42" w:history="1">
        <w:r w:rsidR="00E540FA" w:rsidRPr="00E540FA">
          <w:rPr>
            <w:rFonts w:cs="FrankRuehl"/>
            <w:color w:val="0000FF"/>
            <w:sz w:val="26"/>
            <w:szCs w:val="26"/>
            <w:u w:val="single"/>
            <w:rtl/>
          </w:rPr>
          <w:t>ת"פ 36976-10-11</w:t>
        </w:r>
      </w:hyperlink>
      <w:r w:rsidRPr="006315D3">
        <w:rPr>
          <w:rFonts w:cs="FrankRuehl" w:hint="cs"/>
          <w:sz w:val="26"/>
          <w:szCs w:val="26"/>
          <w:rtl/>
        </w:rPr>
        <w:t xml:space="preserve"> </w:t>
      </w:r>
      <w:r w:rsidRPr="006315D3">
        <w:rPr>
          <w:rFonts w:cs="FrankRuehl" w:hint="cs"/>
          <w:b/>
          <w:bCs/>
          <w:sz w:val="26"/>
          <w:szCs w:val="26"/>
          <w:rtl/>
        </w:rPr>
        <w:t>מדינת ישראל נ' לופז</w:t>
      </w:r>
      <w:r w:rsidRPr="006315D3">
        <w:rPr>
          <w:rFonts w:cs="FrankRuehl" w:hint="cs"/>
          <w:sz w:val="26"/>
          <w:szCs w:val="26"/>
          <w:rtl/>
        </w:rPr>
        <w:t xml:space="preserve"> (מחוזי מרכז, ניתן ביום 17.5.2012), נגזרו 30 חודשי מאסר בפועל על נאשם שהורשע בייבוא קוקאין בגופו במשקל של 1 ק"ג.</w:t>
      </w:r>
    </w:p>
    <w:p w14:paraId="2C37B340" w14:textId="77777777" w:rsidR="00667741" w:rsidRPr="00EA75D9" w:rsidRDefault="00667741" w:rsidP="00667741">
      <w:pPr>
        <w:spacing w:line="360" w:lineRule="auto"/>
        <w:jc w:val="both"/>
        <w:rPr>
          <w:rFonts w:cs="FrankRuehl"/>
          <w:sz w:val="8"/>
          <w:szCs w:val="8"/>
          <w:rtl/>
        </w:rPr>
      </w:pPr>
    </w:p>
    <w:p w14:paraId="6FE473E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עונש דומה נגזר ב</w:t>
      </w:r>
      <w:hyperlink r:id="rId43" w:history="1">
        <w:r w:rsidR="00E540FA" w:rsidRPr="00E540FA">
          <w:rPr>
            <w:rFonts w:cs="FrankRuehl"/>
            <w:color w:val="0000FF"/>
            <w:sz w:val="26"/>
            <w:szCs w:val="26"/>
            <w:u w:val="single"/>
            <w:rtl/>
          </w:rPr>
          <w:t>ת"פ 2035-12-09</w:t>
        </w:r>
      </w:hyperlink>
      <w:r w:rsidRPr="006315D3">
        <w:rPr>
          <w:rFonts w:cs="FrankRuehl" w:hint="cs"/>
          <w:sz w:val="26"/>
          <w:szCs w:val="26"/>
          <w:rtl/>
        </w:rPr>
        <w:t xml:space="preserve"> (מחוזי ת"א) </w:t>
      </w:r>
      <w:r w:rsidRPr="006315D3">
        <w:rPr>
          <w:rFonts w:cs="FrankRuehl" w:hint="cs"/>
          <w:b/>
          <w:bCs/>
          <w:sz w:val="26"/>
          <w:szCs w:val="26"/>
          <w:rtl/>
        </w:rPr>
        <w:t xml:space="preserve">מדינת ישראל נ' בוטבול </w:t>
      </w:r>
      <w:r w:rsidRPr="006315D3">
        <w:rPr>
          <w:rFonts w:cs="FrankRuehl" w:hint="cs"/>
          <w:sz w:val="26"/>
          <w:szCs w:val="26"/>
          <w:rtl/>
        </w:rPr>
        <w:t xml:space="preserve">(9.3.2010), על נאשם בייבוא קוקאין לישראל. </w:t>
      </w:r>
    </w:p>
    <w:p w14:paraId="2A3EE345" w14:textId="77777777" w:rsidR="00667741" w:rsidRPr="00EA75D9" w:rsidRDefault="00667741" w:rsidP="00667741">
      <w:pPr>
        <w:spacing w:line="360" w:lineRule="auto"/>
        <w:jc w:val="both"/>
        <w:rPr>
          <w:rFonts w:cs="FrankRuehl"/>
          <w:sz w:val="14"/>
          <w:szCs w:val="14"/>
          <w:rtl/>
        </w:rPr>
      </w:pPr>
    </w:p>
    <w:p w14:paraId="49A1A83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ניתן אף למצוא פסיקה חמורה יותר, כפי שמעידה טבלת הענישה שהגישה לעיוני המאשימה. </w:t>
      </w:r>
    </w:p>
    <w:p w14:paraId="59BEC06F" w14:textId="77777777" w:rsidR="00667741" w:rsidRPr="00EA75D9" w:rsidRDefault="00667741" w:rsidP="00667741">
      <w:pPr>
        <w:spacing w:line="360" w:lineRule="auto"/>
        <w:jc w:val="both"/>
        <w:rPr>
          <w:rFonts w:cs="FrankRuehl"/>
          <w:sz w:val="6"/>
          <w:szCs w:val="6"/>
          <w:rtl/>
        </w:rPr>
      </w:pPr>
    </w:p>
    <w:p w14:paraId="05E95199" w14:textId="77777777" w:rsidR="00667741" w:rsidRDefault="00667741" w:rsidP="00667741">
      <w:pPr>
        <w:spacing w:line="360" w:lineRule="auto"/>
        <w:jc w:val="both"/>
        <w:rPr>
          <w:rFonts w:cs="FrankRuehl"/>
          <w:sz w:val="26"/>
          <w:szCs w:val="26"/>
          <w:rtl/>
        </w:rPr>
      </w:pPr>
    </w:p>
    <w:p w14:paraId="62EC03F1"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להלן אסקור את הנסיבות המפורטות </w:t>
      </w:r>
      <w:hyperlink r:id="rId44" w:history="1">
        <w:r w:rsidR="00237BB4" w:rsidRPr="00237BB4">
          <w:rPr>
            <w:rFonts w:cs="FrankRuehl"/>
            <w:color w:val="0000FF"/>
            <w:sz w:val="26"/>
            <w:szCs w:val="26"/>
            <w:u w:val="single"/>
            <w:rtl/>
          </w:rPr>
          <w:t>בסעיף 40ט(א)</w:t>
        </w:r>
      </w:hyperlink>
      <w:r w:rsidRPr="006315D3">
        <w:rPr>
          <w:rFonts w:cs="FrankRuehl" w:hint="cs"/>
          <w:sz w:val="26"/>
          <w:szCs w:val="26"/>
          <w:rtl/>
        </w:rPr>
        <w:t xml:space="preserve"> לחוק, הרלוונטיות לענייננו (סימון הס"ק כפי שמופיע </w:t>
      </w:r>
      <w:hyperlink r:id="rId45" w:history="1">
        <w:r w:rsidR="00237BB4" w:rsidRPr="00237BB4">
          <w:rPr>
            <w:rFonts w:cs="FrankRuehl"/>
            <w:color w:val="0000FF"/>
            <w:sz w:val="26"/>
            <w:szCs w:val="26"/>
            <w:u w:val="single"/>
            <w:rtl/>
          </w:rPr>
          <w:t>בסעיף 40ט(א)</w:t>
        </w:r>
      </w:hyperlink>
      <w:r w:rsidRPr="006315D3">
        <w:rPr>
          <w:rFonts w:cs="FrankRuehl" w:hint="cs"/>
          <w:sz w:val="26"/>
          <w:szCs w:val="26"/>
          <w:rtl/>
        </w:rPr>
        <w:t xml:space="preserve"> לחוק): </w:t>
      </w:r>
    </w:p>
    <w:p w14:paraId="13601895" w14:textId="77777777" w:rsidR="00667741" w:rsidRPr="006315D3" w:rsidRDefault="00667741" w:rsidP="00667741">
      <w:pPr>
        <w:spacing w:line="360" w:lineRule="auto"/>
        <w:jc w:val="both"/>
        <w:rPr>
          <w:rFonts w:cs="FrankRuehl"/>
          <w:sz w:val="26"/>
          <w:szCs w:val="26"/>
        </w:rPr>
      </w:pPr>
      <w:r w:rsidRPr="006315D3">
        <w:rPr>
          <w:rFonts w:cs="FrankRuehl" w:hint="cs"/>
          <w:sz w:val="26"/>
          <w:szCs w:val="26"/>
          <w:rtl/>
        </w:rPr>
        <w:t xml:space="preserve">(1) </w:t>
      </w:r>
      <w:r w:rsidRPr="006315D3">
        <w:rPr>
          <w:rFonts w:cs="FrankRuehl" w:hint="cs"/>
          <w:b/>
          <w:bCs/>
          <w:sz w:val="26"/>
          <w:szCs w:val="26"/>
          <w:rtl/>
        </w:rPr>
        <w:t>התכנון שקדם לביצוע העבירה</w:t>
      </w:r>
      <w:r w:rsidRPr="006315D3">
        <w:rPr>
          <w:rFonts w:cs="FrankRuehl" w:hint="cs"/>
          <w:sz w:val="26"/>
          <w:szCs w:val="26"/>
          <w:rtl/>
        </w:rPr>
        <w:t xml:space="preserve"> – למעשי הנאשם וחבריו, קדם תכנון מקיף.</w:t>
      </w:r>
    </w:p>
    <w:p w14:paraId="689BD269"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(2)  </w:t>
      </w:r>
      <w:r w:rsidRPr="006315D3">
        <w:rPr>
          <w:rFonts w:cs="FrankRuehl" w:hint="cs"/>
          <w:b/>
          <w:bCs/>
          <w:sz w:val="26"/>
          <w:szCs w:val="26"/>
          <w:rtl/>
        </w:rPr>
        <w:t xml:space="preserve">חלקו היחסי של הנאשם בביצוע העבירה ומידת ההשפעה של אחר על הנאשם בביצוע העבירה </w:t>
      </w:r>
      <w:r w:rsidRPr="006315D3">
        <w:rPr>
          <w:rFonts w:cs="FrankRuehl" w:hint="cs"/>
          <w:sz w:val="26"/>
          <w:szCs w:val="26"/>
          <w:rtl/>
        </w:rPr>
        <w:t xml:space="preserve">– הבאתי בחשבון כי הנאשמים הנוספים בתיק, איימו לפגוע בנאשם אם לא ייבא את הסם, עקב כך   </w:t>
      </w:r>
    </w:p>
    <w:p w14:paraId="3CE3EE85"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   שהיה חייב להם כספים.</w:t>
      </w:r>
    </w:p>
    <w:p w14:paraId="0F423F2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 (4) </w:t>
      </w:r>
      <w:r w:rsidRPr="006315D3">
        <w:rPr>
          <w:rFonts w:cs="FrankRuehl" w:hint="cs"/>
          <w:b/>
          <w:bCs/>
          <w:sz w:val="26"/>
          <w:szCs w:val="26"/>
          <w:rtl/>
        </w:rPr>
        <w:t>הנזק שנגרם מביצוע העבירה</w:t>
      </w:r>
      <w:r w:rsidRPr="006315D3">
        <w:rPr>
          <w:rFonts w:cs="FrankRuehl" w:hint="cs"/>
          <w:sz w:val="26"/>
          <w:szCs w:val="26"/>
          <w:rtl/>
        </w:rPr>
        <w:t xml:space="preserve"> – פוטנציאל הנזק כתוצאה ממעשי הנאשם חמור מאוד. בה בעת, </w:t>
      </w:r>
    </w:p>
    <w:p w14:paraId="7B7CB485"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      בסופו של יום לא נגרם נזק רב, בעיקר נוכח שיתוף הפעולה של הנאשם עם המשטרה. </w:t>
      </w:r>
    </w:p>
    <w:p w14:paraId="7A2642DB" w14:textId="77777777" w:rsidR="00667741" w:rsidRPr="00EA75D9" w:rsidRDefault="00667741" w:rsidP="00667741">
      <w:pPr>
        <w:spacing w:line="360" w:lineRule="auto"/>
        <w:jc w:val="both"/>
        <w:rPr>
          <w:rFonts w:cs="FrankRuehl"/>
          <w:sz w:val="8"/>
          <w:szCs w:val="8"/>
        </w:rPr>
      </w:pPr>
    </w:p>
    <w:p w14:paraId="28DFC52B"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על יסוד כל האמור לעיל; הערכים החברתיים שנפגעו כתוצאה ממעשי הנאשם, מידת הפגיעה בהם, מדיניות הענישה הנהוגה והנסיבות הקשורות בביצוע העבירות, באתי לכלל מסקנה כי מתחם העונש באירוע, על נסיבותיו, נע בין 30 ל-60 חודשי מאסר בפועל. </w:t>
      </w:r>
    </w:p>
    <w:p w14:paraId="2B9BD4F8" w14:textId="77777777" w:rsidR="00667741" w:rsidRPr="00EA75D9" w:rsidRDefault="00667741" w:rsidP="00667741">
      <w:pPr>
        <w:spacing w:line="360" w:lineRule="auto"/>
        <w:jc w:val="both"/>
        <w:rPr>
          <w:rFonts w:cs="FrankRuehl"/>
          <w:sz w:val="14"/>
          <w:szCs w:val="14"/>
        </w:rPr>
      </w:pPr>
    </w:p>
    <w:p w14:paraId="1445F979"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לאחר שקבעתי את מתחם העונש ההולם, אני מוצא כי יש לסטות ממנו, משיקולי שיקום. </w:t>
      </w:r>
      <w:hyperlink r:id="rId46" w:history="1">
        <w:r w:rsidR="00237BB4" w:rsidRPr="00237BB4">
          <w:rPr>
            <w:rFonts w:cs="FrankRuehl"/>
            <w:color w:val="0000FF"/>
            <w:sz w:val="26"/>
            <w:szCs w:val="26"/>
            <w:u w:val="single"/>
            <w:rtl/>
          </w:rPr>
          <w:t>סעיף 40ד(א)</w:t>
        </w:r>
      </w:hyperlink>
      <w:r w:rsidRPr="006315D3">
        <w:rPr>
          <w:rFonts w:cs="FrankRuehl" w:hint="cs"/>
          <w:sz w:val="26"/>
          <w:szCs w:val="26"/>
          <w:rtl/>
        </w:rPr>
        <w:t xml:space="preserve"> לחוק קובע כדלקמן:</w:t>
      </w:r>
    </w:p>
    <w:p w14:paraId="5B806674" w14:textId="77777777" w:rsidR="00667741" w:rsidRPr="006315D3" w:rsidRDefault="00667741" w:rsidP="00667741">
      <w:pPr>
        <w:spacing w:before="100" w:beforeAutospacing="1" w:after="120" w:line="360" w:lineRule="auto"/>
        <w:ind w:left="1134" w:right="1134"/>
        <w:jc w:val="both"/>
        <w:rPr>
          <w:rFonts w:ascii="David" w:hAnsi="David" w:cs="FrankRuehl"/>
          <w:b/>
          <w:bCs/>
          <w:sz w:val="26"/>
          <w:szCs w:val="26"/>
          <w:rtl/>
        </w:rPr>
      </w:pPr>
      <w:r>
        <w:rPr>
          <w:rFonts w:ascii="David" w:hAnsi="David" w:cs="FrankRuehl" w:hint="cs"/>
          <w:b/>
          <w:bCs/>
          <w:sz w:val="26"/>
          <w:szCs w:val="26"/>
          <w:rtl/>
        </w:rPr>
        <w:t>"</w:t>
      </w:r>
      <w:r w:rsidRPr="006315D3">
        <w:rPr>
          <w:rFonts w:ascii="David" w:hAnsi="David" w:cs="FrankRuehl" w:hint="cs"/>
          <w:b/>
          <w:bCs/>
          <w:sz w:val="26"/>
          <w:szCs w:val="26"/>
          <w:rtl/>
        </w:rPr>
        <w:t xml:space="preserve">40ד. (א) 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47" w:history="1">
        <w:r w:rsidR="00E540FA" w:rsidRPr="00E540FA">
          <w:rPr>
            <w:rFonts w:ascii="David" w:hAnsi="David" w:cs="FrankRuehl"/>
            <w:b/>
            <w:bCs/>
            <w:color w:val="0000FF"/>
            <w:sz w:val="26"/>
            <w:szCs w:val="26"/>
            <w:u w:val="single"/>
            <w:rtl/>
          </w:rPr>
          <w:t>פקודת המבחן</w:t>
        </w:r>
      </w:hyperlink>
      <w:r w:rsidRPr="006315D3">
        <w:rPr>
          <w:rFonts w:ascii="David" w:hAnsi="David" w:cs="FrankRuehl" w:hint="cs"/>
          <w:b/>
          <w:bCs/>
          <w:sz w:val="26"/>
          <w:szCs w:val="26"/>
          <w:rtl/>
        </w:rPr>
        <w:t xml:space="preserve"> [נוסח חדש], התשכ"ט-1969</w:t>
      </w:r>
      <w:r>
        <w:rPr>
          <w:rFonts w:ascii="David" w:hAnsi="David" w:cs="FrankRuehl" w:hint="cs"/>
          <w:b/>
          <w:bCs/>
          <w:sz w:val="26"/>
          <w:szCs w:val="26"/>
          <w:rtl/>
        </w:rPr>
        <w:t>"</w:t>
      </w:r>
      <w:r w:rsidRPr="006315D3">
        <w:rPr>
          <w:rFonts w:ascii="David" w:hAnsi="David" w:cs="FrankRuehl" w:hint="cs"/>
          <w:b/>
          <w:bCs/>
          <w:sz w:val="26"/>
          <w:szCs w:val="26"/>
          <w:rtl/>
        </w:rPr>
        <w:t>.</w:t>
      </w:r>
    </w:p>
    <w:p w14:paraId="67E765A0" w14:textId="77777777" w:rsidR="00667741" w:rsidRPr="00EA75D9" w:rsidRDefault="00667741" w:rsidP="00667741">
      <w:pPr>
        <w:spacing w:line="360" w:lineRule="auto"/>
        <w:jc w:val="both"/>
        <w:rPr>
          <w:rFonts w:ascii="David" w:hAnsi="David" w:cs="FrankRuehl"/>
          <w:sz w:val="16"/>
          <w:szCs w:val="16"/>
          <w:rtl/>
        </w:rPr>
      </w:pPr>
    </w:p>
    <w:p w14:paraId="3332A423" w14:textId="77777777" w:rsidR="00667741" w:rsidRPr="006315D3" w:rsidRDefault="00667741" w:rsidP="00667741">
      <w:pPr>
        <w:spacing w:line="360" w:lineRule="auto"/>
        <w:jc w:val="both"/>
        <w:rPr>
          <w:rFonts w:ascii="David" w:hAnsi="David" w:cs="FrankRuehl"/>
          <w:sz w:val="26"/>
          <w:szCs w:val="26"/>
          <w:rtl/>
        </w:rPr>
      </w:pPr>
      <w:r w:rsidRPr="006315D3">
        <w:rPr>
          <w:rFonts w:ascii="David" w:hAnsi="David" w:cs="FrankRuehl" w:hint="cs"/>
          <w:sz w:val="26"/>
          <w:szCs w:val="26"/>
          <w:rtl/>
        </w:rPr>
        <w:t xml:space="preserve">המקרה שבפניי הוא אחד מאותם מקרים בהם קיים מתח חריף בין שיקולי השיקום הנוגעים לעבריין (וחשובים גם בהיבט החברתי הכולל במבט לעתיד), לבין החשיבות הנודעת להרתעה ולגמול. </w:t>
      </w:r>
    </w:p>
    <w:p w14:paraId="38CF939A" w14:textId="77777777" w:rsidR="00667741" w:rsidRPr="00EA75D9" w:rsidRDefault="00667741" w:rsidP="00667741">
      <w:pPr>
        <w:spacing w:line="360" w:lineRule="auto"/>
        <w:jc w:val="both"/>
        <w:rPr>
          <w:rFonts w:ascii="David" w:hAnsi="David" w:cs="FrankRuehl"/>
          <w:sz w:val="16"/>
          <w:szCs w:val="16"/>
          <w:rtl/>
        </w:rPr>
      </w:pPr>
    </w:p>
    <w:p w14:paraId="0E5E6054" w14:textId="77777777" w:rsidR="00667741" w:rsidRPr="00667741" w:rsidRDefault="00667741" w:rsidP="00667741">
      <w:pPr>
        <w:spacing w:line="360" w:lineRule="auto"/>
        <w:jc w:val="both"/>
        <w:rPr>
          <w:rFonts w:ascii="Calibri" w:eastAsia="Calibri" w:hAnsi="Calibri" w:cs="FrankRuehl"/>
          <w:b/>
          <w:bCs/>
          <w:sz w:val="26"/>
          <w:szCs w:val="26"/>
          <w:rtl/>
        </w:rPr>
      </w:pPr>
      <w:r w:rsidRPr="006315D3">
        <w:rPr>
          <w:rFonts w:ascii="David" w:hAnsi="David" w:cs="FrankRuehl" w:hint="cs"/>
          <w:sz w:val="26"/>
          <w:szCs w:val="26"/>
          <w:rtl/>
        </w:rPr>
        <w:t>על טיבו של האיזון בין שיקולי הענישה האישיים הנוגעים לעבריין ולשיקומו, לבין השיקולים הכלליים הנוגעים לטובתו ולביטחונו של הציבור כולו, עמדה השופטת א' פרוקצ'יה ב</w:t>
      </w:r>
      <w:hyperlink r:id="rId48" w:history="1">
        <w:r w:rsidR="00E540FA" w:rsidRPr="00E540FA">
          <w:rPr>
            <w:rFonts w:ascii="David" w:hAnsi="David" w:cs="FrankRuehl"/>
            <w:color w:val="0000FF"/>
            <w:sz w:val="26"/>
            <w:szCs w:val="26"/>
            <w:u w:val="single"/>
            <w:rtl/>
          </w:rPr>
          <w:t>ע"פ 10673/04</w:t>
        </w:r>
      </w:hyperlink>
      <w:r w:rsidRPr="006315D3">
        <w:rPr>
          <w:rFonts w:ascii="David" w:hAnsi="David" w:cs="FrankRuehl" w:hint="cs"/>
          <w:sz w:val="26"/>
          <w:szCs w:val="26"/>
          <w:rtl/>
        </w:rPr>
        <w:t xml:space="preserve"> </w:t>
      </w:r>
      <w:r w:rsidRPr="006315D3">
        <w:rPr>
          <w:rFonts w:ascii="David" w:hAnsi="David" w:cs="FrankRuehl" w:hint="cs"/>
          <w:b/>
          <w:bCs/>
          <w:sz w:val="26"/>
          <w:szCs w:val="26"/>
          <w:rtl/>
        </w:rPr>
        <w:t>פלוני נ' מדינת ישראל</w:t>
      </w:r>
      <w:r w:rsidRPr="006315D3">
        <w:rPr>
          <w:rFonts w:ascii="David" w:hAnsi="David" w:cs="FrankRuehl" w:hint="cs"/>
          <w:sz w:val="26"/>
          <w:szCs w:val="26"/>
          <w:rtl/>
        </w:rPr>
        <w:t xml:space="preserve"> (פורסם בנבו, 1.6.2008), בהדגישה את החשיבות הנודעת ל</w:t>
      </w:r>
      <w:r w:rsidRPr="006315D3">
        <w:rPr>
          <w:rFonts w:ascii="David" w:hAnsi="David" w:cs="FrankRuehl" w:hint="cs"/>
          <w:b/>
          <w:bCs/>
          <w:sz w:val="26"/>
          <w:szCs w:val="26"/>
          <w:rtl/>
        </w:rPr>
        <w:t xml:space="preserve">"שמירת שווי המשקל הראוי בענישה, שהוא ערובה יסודית לעשיית צדק במשפט, צדק עם הפרט, וצדק עם הכלל, כאחד" (שם, בעמ' 20). </w:t>
      </w:r>
      <w:r w:rsidRPr="006315D3">
        <w:rPr>
          <w:rFonts w:ascii="David" w:hAnsi="David" w:cs="FrankRuehl" w:hint="cs"/>
          <w:sz w:val="26"/>
          <w:szCs w:val="26"/>
          <w:rtl/>
        </w:rPr>
        <w:t>על רקע האמור, יש מקרים בהם שיקולי השיקום נדחים מפני שיקולים אחרים; ומנגד, יש מקרים אחרים – והם הרלוונטיים לדיון שבפנינו –  שבהם מקבלים שיקולי השיקום משקל מכריע</w:t>
      </w:r>
      <w:r w:rsidRPr="006315D3">
        <w:rPr>
          <w:rFonts w:ascii="David" w:hAnsi="David" w:cs="FrankRuehl" w:hint="cs"/>
          <w:b/>
          <w:bCs/>
          <w:sz w:val="26"/>
          <w:szCs w:val="26"/>
          <w:rtl/>
        </w:rPr>
        <w:t xml:space="preserve"> (ראו דברי כב' השופט מ' אלון ב</w:t>
      </w:r>
      <w:hyperlink r:id="rId49" w:history="1">
        <w:r w:rsidR="00E540FA" w:rsidRPr="00E540FA">
          <w:rPr>
            <w:rFonts w:ascii="David" w:hAnsi="David" w:cs="FrankRuehl"/>
            <w:b/>
            <w:bCs/>
            <w:color w:val="0000FF"/>
            <w:sz w:val="26"/>
            <w:szCs w:val="26"/>
            <w:u w:val="single"/>
            <w:rtl/>
          </w:rPr>
          <w:t>ע"פ 1399/91</w:t>
        </w:r>
      </w:hyperlink>
      <w:r w:rsidRPr="006315D3">
        <w:rPr>
          <w:rFonts w:ascii="David" w:hAnsi="David" w:cs="FrankRuehl" w:hint="cs"/>
          <w:b/>
          <w:bCs/>
          <w:sz w:val="26"/>
          <w:szCs w:val="26"/>
          <w:rtl/>
        </w:rPr>
        <w:t xml:space="preserve"> ליבוביץ נ' מדינת ישראל, פ''ד מז(1) 177, 185 (1993, בפס' 9).</w:t>
      </w:r>
      <w:r w:rsidRPr="006315D3">
        <w:rPr>
          <w:rFonts w:cs="FrankRuehl" w:hint="cs"/>
          <w:b/>
          <w:bCs/>
          <w:sz w:val="26"/>
          <w:szCs w:val="26"/>
          <w:rtl/>
        </w:rPr>
        <w:t xml:space="preserve"> </w:t>
      </w:r>
    </w:p>
    <w:p w14:paraId="55A220C6" w14:textId="77777777" w:rsidR="00667741" w:rsidRPr="00667741" w:rsidRDefault="00667741" w:rsidP="00667741">
      <w:pPr>
        <w:spacing w:line="360" w:lineRule="auto"/>
        <w:jc w:val="both"/>
        <w:rPr>
          <w:rFonts w:ascii="Calibri" w:eastAsia="Calibri" w:hAnsi="Calibri" w:cs="FrankRuehl"/>
          <w:b/>
          <w:bCs/>
          <w:sz w:val="18"/>
          <w:szCs w:val="18"/>
          <w:rtl/>
        </w:rPr>
      </w:pPr>
    </w:p>
    <w:p w14:paraId="47D036DA" w14:textId="77777777" w:rsidR="00667741" w:rsidRPr="006315D3" w:rsidRDefault="00667741" w:rsidP="00667741">
      <w:pPr>
        <w:spacing w:line="360" w:lineRule="auto"/>
        <w:jc w:val="both"/>
        <w:rPr>
          <w:rFonts w:ascii="David" w:hAnsi="David" w:cs="FrankRuehl"/>
          <w:sz w:val="26"/>
          <w:szCs w:val="26"/>
          <w:rtl/>
        </w:rPr>
      </w:pPr>
      <w:r w:rsidRPr="006315D3">
        <w:rPr>
          <w:rFonts w:ascii="David" w:hAnsi="David" w:cs="FrankRuehl" w:hint="cs"/>
          <w:sz w:val="26"/>
          <w:szCs w:val="26"/>
          <w:rtl/>
        </w:rPr>
        <w:t xml:space="preserve">בענייננו, אין מדובר עוד בפוטנציאל לשיקום של הנאשם, אלא במציאות שיקומית שהתממשה. </w:t>
      </w:r>
    </w:p>
    <w:p w14:paraId="19D52AC1" w14:textId="77777777" w:rsidR="00667741" w:rsidRPr="00EA75D9" w:rsidRDefault="00667741" w:rsidP="00667741">
      <w:pPr>
        <w:spacing w:line="360" w:lineRule="auto"/>
        <w:jc w:val="both"/>
        <w:rPr>
          <w:rFonts w:ascii="David" w:hAnsi="David" w:cs="FrankRuehl"/>
          <w:sz w:val="16"/>
          <w:szCs w:val="16"/>
          <w:rtl/>
        </w:rPr>
      </w:pPr>
    </w:p>
    <w:p w14:paraId="21D5F49F" w14:textId="77777777" w:rsidR="00667741" w:rsidRPr="006315D3" w:rsidRDefault="00667741" w:rsidP="00667741">
      <w:pPr>
        <w:spacing w:line="360" w:lineRule="auto"/>
        <w:jc w:val="both"/>
        <w:rPr>
          <w:rFonts w:ascii="David" w:hAnsi="David" w:cs="FrankRuehl"/>
          <w:sz w:val="26"/>
          <w:szCs w:val="26"/>
          <w:rtl/>
        </w:rPr>
      </w:pPr>
      <w:r w:rsidRPr="006315D3">
        <w:rPr>
          <w:rFonts w:ascii="David" w:hAnsi="David" w:cs="FrankRuehl" w:hint="cs"/>
          <w:sz w:val="26"/>
          <w:szCs w:val="26"/>
          <w:rtl/>
        </w:rPr>
        <w:t>לא בכדי דחה בית המשפט את המועד למתן גזר הדין, וזאת מתוך מטרה לבדוק את דבקות הנאשם בשיקום ושיתוף הפעולה מצדו.</w:t>
      </w:r>
    </w:p>
    <w:p w14:paraId="28164EAE" w14:textId="77777777" w:rsidR="00667741" w:rsidRPr="00EA75D9" w:rsidRDefault="00667741" w:rsidP="00667741">
      <w:pPr>
        <w:spacing w:line="360" w:lineRule="auto"/>
        <w:jc w:val="both"/>
        <w:rPr>
          <w:rFonts w:ascii="David" w:hAnsi="David" w:cs="FrankRuehl"/>
          <w:sz w:val="14"/>
          <w:szCs w:val="14"/>
          <w:rtl/>
        </w:rPr>
      </w:pPr>
    </w:p>
    <w:p w14:paraId="7AD537A8" w14:textId="77777777" w:rsidR="00667741" w:rsidRPr="006315D3" w:rsidRDefault="00667741" w:rsidP="00667741">
      <w:pPr>
        <w:spacing w:line="360" w:lineRule="auto"/>
        <w:jc w:val="both"/>
        <w:rPr>
          <w:rFonts w:cs="FrankRuehl"/>
          <w:sz w:val="26"/>
          <w:szCs w:val="26"/>
          <w:rtl/>
        </w:rPr>
      </w:pPr>
      <w:r w:rsidRPr="006315D3">
        <w:rPr>
          <w:rFonts w:ascii="David" w:hAnsi="David" w:cs="FrankRuehl" w:hint="cs"/>
          <w:sz w:val="26"/>
          <w:szCs w:val="26"/>
          <w:rtl/>
        </w:rPr>
        <w:t>הנאשם נקי מכל סם מזה שנתיים ימים. הנאשם שהה תשעה חודשים בתנאי פנימייה בקהילת "הדרך" בעיר כרמיאל, שם עבר מעין מסלול הכשרה לחיים: גמילה, הרצאות וסדנאות בתחום ההתמכרות, ויציאה לעבודה. לאחר מכן עבר להוסטל פתוח, וגם שם התמיד בהליך השיקום. כיום עובד הנאשם כמנהל מחלקה בחברה להספקת כלי עבודה, ומתמיד בעבודתו יום יום.</w:t>
      </w:r>
    </w:p>
    <w:p w14:paraId="60C52F0D" w14:textId="77777777" w:rsidR="00667741" w:rsidRPr="00EA75D9" w:rsidRDefault="00667741" w:rsidP="00667741">
      <w:pPr>
        <w:spacing w:line="360" w:lineRule="auto"/>
        <w:jc w:val="both"/>
        <w:rPr>
          <w:rFonts w:cs="FrankRuehl"/>
          <w:sz w:val="16"/>
          <w:szCs w:val="16"/>
          <w:rtl/>
        </w:rPr>
      </w:pPr>
    </w:p>
    <w:p w14:paraId="07AAEBDB"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בהינתן עברו הפלילי של הנאשם, והשנים הארוכות בהם היה מכור לסמים קשים, אין תימה כי ב"כ הנאשם עותר לראות בו "אדם חדש" בתכלית.</w:t>
      </w:r>
    </w:p>
    <w:p w14:paraId="4326D3C6" w14:textId="77777777" w:rsidR="00667741" w:rsidRPr="00EA75D9" w:rsidRDefault="00667741" w:rsidP="00667741">
      <w:pPr>
        <w:spacing w:line="360" w:lineRule="auto"/>
        <w:jc w:val="both"/>
        <w:rPr>
          <w:rFonts w:cs="FrankRuehl"/>
          <w:sz w:val="14"/>
          <w:szCs w:val="14"/>
          <w:rtl/>
        </w:rPr>
      </w:pPr>
    </w:p>
    <w:p w14:paraId="43973B01"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הנאשם הפנים היטב את חומרת מעשיו, וניחם עליהם. </w:t>
      </w:r>
    </w:p>
    <w:p w14:paraId="1BBF7AAB" w14:textId="77777777" w:rsidR="00667741" w:rsidRPr="00EA75D9" w:rsidRDefault="00667741" w:rsidP="00667741">
      <w:pPr>
        <w:spacing w:line="360" w:lineRule="auto"/>
        <w:jc w:val="both"/>
        <w:rPr>
          <w:rFonts w:cs="FrankRuehl"/>
          <w:sz w:val="14"/>
          <w:szCs w:val="14"/>
          <w:rtl/>
        </w:rPr>
      </w:pPr>
    </w:p>
    <w:p w14:paraId="1BD1BBC7"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הנאשם דבק במסלול השיקום מזה כמעט שנתיים ללא סטייה קלה שבקלות. </w:t>
      </w:r>
    </w:p>
    <w:p w14:paraId="581D89F9" w14:textId="77777777" w:rsidR="00667741" w:rsidRPr="00EA75D9" w:rsidRDefault="00667741" w:rsidP="00667741">
      <w:pPr>
        <w:spacing w:line="360" w:lineRule="auto"/>
        <w:jc w:val="both"/>
        <w:rPr>
          <w:rFonts w:cs="FrankRuehl"/>
          <w:sz w:val="14"/>
          <w:szCs w:val="14"/>
          <w:rtl/>
        </w:rPr>
      </w:pPr>
    </w:p>
    <w:p w14:paraId="0042F6A5"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לא רק שהנאשם נענה לבקשות והמלצות הגורמים הטיפוליים, אלא יוזם מצדו פניות אליהם, תוך רצון עז לשיקום מוחלט מצדו.</w:t>
      </w:r>
    </w:p>
    <w:p w14:paraId="23FCBB9C"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התרשמתי כי בפניי  מקרה שאינו בא תדיר בפני בית המשפט, ועניינו שיקום נאשם, שלא רק החברה התייאשה ממנו, אלא כמעט נואש הנאשם מעצמו אף הוא. </w:t>
      </w:r>
    </w:p>
    <w:p w14:paraId="31B614D5" w14:textId="77777777" w:rsidR="00667741" w:rsidRPr="00EA75D9" w:rsidRDefault="00667741" w:rsidP="00667741">
      <w:pPr>
        <w:spacing w:line="360" w:lineRule="auto"/>
        <w:jc w:val="both"/>
        <w:rPr>
          <w:rFonts w:cs="FrankRuehl"/>
          <w:sz w:val="18"/>
          <w:szCs w:val="18"/>
          <w:rtl/>
        </w:rPr>
      </w:pPr>
    </w:p>
    <w:p w14:paraId="314A0A5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בנסיבות אלה, לא יהיה זה נכון כי בית המשפט יקטע את הליך השיקום המרשים שעבר הנאשם, אלא יעודדו להמשיך בדרך זו.</w:t>
      </w:r>
    </w:p>
    <w:p w14:paraId="007B9914" w14:textId="77777777" w:rsidR="00667741" w:rsidRPr="00EA75D9" w:rsidRDefault="00667741" w:rsidP="00667741">
      <w:pPr>
        <w:spacing w:line="360" w:lineRule="auto"/>
        <w:jc w:val="both"/>
        <w:rPr>
          <w:rFonts w:cs="FrankRuehl"/>
          <w:sz w:val="16"/>
          <w:szCs w:val="16"/>
          <w:rtl/>
        </w:rPr>
      </w:pPr>
    </w:p>
    <w:p w14:paraId="20AC5634"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w:t>
      </w:r>
      <w:hyperlink r:id="rId50" w:history="1">
        <w:r w:rsidR="00E540FA" w:rsidRPr="00E540FA">
          <w:rPr>
            <w:rFonts w:cs="FrankRuehl"/>
            <w:color w:val="0000FF"/>
            <w:sz w:val="26"/>
            <w:szCs w:val="26"/>
            <w:u w:val="single"/>
            <w:rtl/>
          </w:rPr>
          <w:t>ע"פ  779/15</w:t>
        </w:r>
      </w:hyperlink>
      <w:r w:rsidRPr="006315D3">
        <w:rPr>
          <w:rFonts w:cs="FrankRuehl" w:hint="cs"/>
          <w:sz w:val="26"/>
          <w:szCs w:val="26"/>
          <w:rtl/>
        </w:rPr>
        <w:t xml:space="preserve"> </w:t>
      </w:r>
      <w:r w:rsidRPr="006315D3">
        <w:rPr>
          <w:rFonts w:cs="FrankRuehl" w:hint="cs"/>
          <w:b/>
          <w:bCs/>
          <w:sz w:val="26"/>
          <w:szCs w:val="26"/>
          <w:rtl/>
        </w:rPr>
        <w:t>פלוני נ' מדינת ישראל</w:t>
      </w:r>
      <w:r w:rsidRPr="006315D3">
        <w:rPr>
          <w:rFonts w:cs="FrankRuehl" w:hint="cs"/>
          <w:sz w:val="26"/>
          <w:szCs w:val="26"/>
          <w:rtl/>
        </w:rPr>
        <w:t xml:space="preserve"> (פורסם בנבו, ‏12.4.2015 (להלן: עניין פלוני)), ציינה כב' השופטת ד' ברק-ארז:</w:t>
      </w:r>
    </w:p>
    <w:p w14:paraId="0E73DCBD" w14:textId="77777777" w:rsidR="00667741" w:rsidRPr="006315D3" w:rsidRDefault="00667741" w:rsidP="00667741">
      <w:pPr>
        <w:spacing w:line="360" w:lineRule="auto"/>
        <w:ind w:left="1134" w:right="1134"/>
        <w:jc w:val="both"/>
        <w:rPr>
          <w:rFonts w:cs="FrankRuehl"/>
          <w:sz w:val="26"/>
          <w:szCs w:val="26"/>
          <w:rtl/>
        </w:rPr>
      </w:pPr>
      <w:r w:rsidRPr="006315D3">
        <w:rPr>
          <w:rFonts w:cs="FrankRuehl" w:hint="cs"/>
          <w:b/>
          <w:bCs/>
          <w:sz w:val="26"/>
          <w:szCs w:val="26"/>
          <w:rtl/>
        </w:rPr>
        <w:t>"עם זאת, בסופו של דבר, הגענו לכלל דעה כי יש לתת בכורה לשיקול השיקומי. אם לא נעשה כן במקרה של תהליך שיקומי מתמשך ומוצלח, שתואר על-ידי כל הגורמים המטפלים תוך שימוש בסופרלטיבים שאינם מקובלים – אימתי תהא משמעות לאמירה כי ניתן לתת עדיפות לשיקולי שיקום</w:t>
      </w:r>
      <w:r w:rsidRPr="006315D3">
        <w:rPr>
          <w:rFonts w:cs="FrankRuehl" w:hint="cs"/>
          <w:sz w:val="26"/>
          <w:szCs w:val="26"/>
          <w:rtl/>
        </w:rPr>
        <w:t>" (שם, בפס' 1. ראו גם פס' 11 לפסה"ד והאסמכתאות שם).</w:t>
      </w:r>
    </w:p>
    <w:p w14:paraId="0DE80775" w14:textId="77777777" w:rsidR="00667741" w:rsidRPr="006315D3" w:rsidRDefault="00667741" w:rsidP="00667741">
      <w:pPr>
        <w:spacing w:line="360" w:lineRule="auto"/>
        <w:ind w:left="1134" w:right="1134"/>
        <w:jc w:val="both"/>
        <w:rPr>
          <w:rFonts w:cs="FrankRuehl"/>
          <w:sz w:val="26"/>
          <w:szCs w:val="26"/>
          <w:rtl/>
        </w:rPr>
      </w:pPr>
    </w:p>
    <w:p w14:paraId="1972C599"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ועוד צוין בעניין פלוני הנ"ל :</w:t>
      </w:r>
    </w:p>
    <w:p w14:paraId="63132F3F" w14:textId="77777777" w:rsidR="00667741" w:rsidRPr="00EA75D9" w:rsidRDefault="00667741" w:rsidP="00667741">
      <w:pPr>
        <w:spacing w:line="360" w:lineRule="auto"/>
        <w:jc w:val="both"/>
        <w:rPr>
          <w:rFonts w:cs="FrankRuehl"/>
          <w:sz w:val="10"/>
          <w:szCs w:val="10"/>
          <w:rtl/>
        </w:rPr>
      </w:pPr>
    </w:p>
    <w:p w14:paraId="72086FF8" w14:textId="77777777" w:rsidR="00667741" w:rsidRPr="006315D3" w:rsidRDefault="00667741" w:rsidP="00667741">
      <w:pPr>
        <w:spacing w:line="360" w:lineRule="auto"/>
        <w:ind w:left="1134" w:right="1134"/>
        <w:jc w:val="both"/>
        <w:rPr>
          <w:rFonts w:cs="FrankRuehl"/>
          <w:b/>
          <w:bCs/>
          <w:sz w:val="26"/>
          <w:szCs w:val="26"/>
          <w:rtl/>
        </w:rPr>
      </w:pPr>
      <w:r w:rsidRPr="006315D3">
        <w:rPr>
          <w:rFonts w:cs="FrankRuehl" w:hint="cs"/>
          <w:b/>
          <w:bCs/>
          <w:sz w:val="26"/>
          <w:szCs w:val="26"/>
          <w:rtl/>
        </w:rPr>
        <w:t xml:space="preserve">"אנו מבקשים להדגיש את המובן מאליו. פסק דיננו זה אינו מבטא שינוי במדיניות הענישה בכל הנוגע למעשי שוד בכלל, ולמעשי שוד נקלים של נהגי מוניות, החשופים באופן מיוחד להיפגע בדרך זו, בפרט. אולם, במקרה זה, השיקום אינו רק משאלת לב או תקווה. הוא הפך נגד עינינו למציאות שלא ניתן להפנות לה עורף. המובהקות שלו היא שמהווה אותן "נסיבות מיוחדות ויוצאות דופן", המצדיקות סטייה מן המתחם בשל שיקולי שיקום אף כאשר העבירות הן בעלות חומרה יתרה (וכאשר הדברים נבחנים בשים לב למכלול הנסיבות. ראו והשוו: </w:t>
      </w:r>
      <w:hyperlink r:id="rId51" w:history="1">
        <w:r w:rsidR="00E540FA" w:rsidRPr="00E540FA">
          <w:rPr>
            <w:rFonts w:cs="FrankRuehl"/>
            <w:b/>
            <w:bCs/>
            <w:color w:val="0000FF"/>
            <w:sz w:val="26"/>
            <w:szCs w:val="26"/>
            <w:u w:val="single"/>
            <w:rtl/>
          </w:rPr>
          <w:t>ע"פ 5936/13</w:t>
        </w:r>
      </w:hyperlink>
      <w:r w:rsidRPr="006315D3">
        <w:rPr>
          <w:rFonts w:cs="FrankRuehl" w:hint="cs"/>
          <w:b/>
          <w:bCs/>
          <w:sz w:val="26"/>
          <w:szCs w:val="26"/>
          <w:rtl/>
        </w:rPr>
        <w:t xml:space="preserve"> פלוני נ' מדינת ישראל, [פורסם בנבו] פסקה 5 (14.1.2015)). איננו סבורים שיש להדוף את המערער חזרה אל העולם שממנו הצליח להיחלץ. במאמץ רב המערער סלל לעצמו דרך חדשה, תוך שהוא משכיל להיעזר באנשים רבים שמצאו אותו ראוי לתמיכה ולעידוד. אף אנו סברנו שמחובתנו להושיט לו יד. אנו מבקשים להביע את תקוותנו כי המערער יתמיד בדרכו החדשה "</w:t>
      </w:r>
      <w:r w:rsidRPr="006315D3">
        <w:rPr>
          <w:rFonts w:cs="FrankRuehl" w:hint="cs"/>
          <w:sz w:val="26"/>
          <w:szCs w:val="26"/>
          <w:rtl/>
        </w:rPr>
        <w:t>(עניין פלוני, בפס' 13).</w:t>
      </w:r>
    </w:p>
    <w:p w14:paraId="48BC6ACA" w14:textId="77777777" w:rsidR="00667741" w:rsidRPr="006315D3" w:rsidRDefault="00667741" w:rsidP="00667741">
      <w:pPr>
        <w:spacing w:line="360" w:lineRule="auto"/>
        <w:ind w:left="1134" w:right="1134"/>
        <w:jc w:val="both"/>
        <w:rPr>
          <w:rFonts w:cs="FrankRuehl"/>
          <w:b/>
          <w:bCs/>
          <w:sz w:val="26"/>
          <w:szCs w:val="26"/>
          <w:rtl/>
        </w:rPr>
      </w:pPr>
    </w:p>
    <w:p w14:paraId="7F599E39"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והדברים כאילו נכתבו לענייננו. </w:t>
      </w:r>
    </w:p>
    <w:p w14:paraId="2C17DE8E"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 xml:space="preserve">אני מוצא לנכון להשית על הנאשם, בין היתר, עונש צופה פני עתיד, למשך התקופה המקסימלית בחוק, למען ידע הנאשם כי אם ישוב וימעד, יתן את הדין על כך בחומרא. </w:t>
      </w:r>
    </w:p>
    <w:p w14:paraId="2AC1AC27" w14:textId="77777777" w:rsidR="00667741" w:rsidRPr="00EA75D9" w:rsidRDefault="00667741" w:rsidP="00667741">
      <w:pPr>
        <w:spacing w:line="360" w:lineRule="auto"/>
        <w:jc w:val="both"/>
        <w:rPr>
          <w:rFonts w:cs="FrankRuehl"/>
          <w:sz w:val="16"/>
          <w:szCs w:val="16"/>
          <w:rtl/>
        </w:rPr>
      </w:pPr>
    </w:p>
    <w:p w14:paraId="62F62158"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במסגרת השיקולים לקולא, נוכח שיתוף הפעולה של הנאשם עם גורמי האכיפה, מצאתי לצטט את דברי כב' השופטת מ' נאור (כתוארה אז), ב</w:t>
      </w:r>
      <w:hyperlink r:id="rId52" w:history="1">
        <w:r w:rsidR="00E540FA" w:rsidRPr="00E540FA">
          <w:rPr>
            <w:rFonts w:cs="FrankRuehl"/>
            <w:color w:val="0000FF"/>
            <w:sz w:val="26"/>
            <w:szCs w:val="26"/>
            <w:u w:val="single"/>
            <w:rtl/>
          </w:rPr>
          <w:t>ע"פ 1327/10</w:t>
        </w:r>
      </w:hyperlink>
      <w:r w:rsidRPr="006315D3">
        <w:rPr>
          <w:rFonts w:cs="FrankRuehl" w:hint="cs"/>
          <w:sz w:val="26"/>
          <w:szCs w:val="26"/>
          <w:rtl/>
        </w:rPr>
        <w:t xml:space="preserve"> </w:t>
      </w:r>
      <w:r w:rsidRPr="006315D3">
        <w:rPr>
          <w:rFonts w:cs="FrankRuehl" w:hint="cs"/>
          <w:b/>
          <w:bCs/>
          <w:sz w:val="26"/>
          <w:szCs w:val="26"/>
          <w:rtl/>
        </w:rPr>
        <w:t xml:space="preserve">לוי נ' מדינת ישראל </w:t>
      </w:r>
      <w:r w:rsidRPr="006315D3">
        <w:rPr>
          <w:rFonts w:cs="FrankRuehl" w:hint="cs"/>
          <w:sz w:val="26"/>
          <w:szCs w:val="26"/>
          <w:rtl/>
        </w:rPr>
        <w:t>(פורסם בנבו, 13.7.2010), שם הקל בית המשפט העליון בעונשו של מי שייבא לישראל סם מסוכן מסוג קוקאין:</w:t>
      </w:r>
    </w:p>
    <w:p w14:paraId="176A0A42" w14:textId="77777777" w:rsidR="00667741" w:rsidRPr="00EA75D9" w:rsidRDefault="00667741" w:rsidP="00667741">
      <w:pPr>
        <w:spacing w:line="360" w:lineRule="auto"/>
        <w:jc w:val="both"/>
        <w:rPr>
          <w:rFonts w:cs="FrankRuehl"/>
          <w:sz w:val="18"/>
          <w:szCs w:val="18"/>
          <w:rtl/>
        </w:rPr>
      </w:pPr>
    </w:p>
    <w:p w14:paraId="5A183EEC" w14:textId="77777777" w:rsidR="00667741" w:rsidRPr="006315D3" w:rsidRDefault="00667741" w:rsidP="00667741">
      <w:pPr>
        <w:spacing w:line="360" w:lineRule="auto"/>
        <w:ind w:left="1134" w:right="1134"/>
        <w:jc w:val="both"/>
        <w:rPr>
          <w:rFonts w:cs="FrankRuehl"/>
          <w:b/>
          <w:bCs/>
          <w:sz w:val="26"/>
          <w:szCs w:val="26"/>
          <w:rtl/>
        </w:rPr>
      </w:pPr>
      <w:r w:rsidRPr="006315D3">
        <w:rPr>
          <w:rFonts w:cs="FrankRuehl" w:hint="cs"/>
          <w:b/>
          <w:bCs/>
          <w:sz w:val="26"/>
          <w:szCs w:val="26"/>
          <w:rtl/>
        </w:rPr>
        <w:t>"ואולם, לעניין אחר נראה לנו, כאמור, כי לא ניתן משקל מספיק, והוא שיתוף הפעולה של המערער בחקירתו. המערער הודה בחלקו במעשה וחשף את חלקם של האחרים. [...] לעניין זה יש אומנם בפסק הדין אזכור, אולם יש לדעתנו ליתן לו משקל רב יותר, ולו כדי לעודד שיתוף פעולה של עבריינים עם המשטרה. שיתוף הפעולה מצדיק הקלה משמעותית יותר במידרג הענישה".</w:t>
      </w:r>
    </w:p>
    <w:p w14:paraId="6F32BF5E" w14:textId="77777777" w:rsidR="00667741" w:rsidRPr="006315D3" w:rsidRDefault="00667741" w:rsidP="00667741">
      <w:pPr>
        <w:spacing w:line="360" w:lineRule="auto"/>
        <w:ind w:left="1134" w:right="1134"/>
        <w:jc w:val="both"/>
        <w:rPr>
          <w:rFonts w:cs="FrankRuehl"/>
          <w:b/>
          <w:bCs/>
          <w:sz w:val="26"/>
          <w:szCs w:val="26"/>
          <w:rtl/>
        </w:rPr>
      </w:pPr>
    </w:p>
    <w:p w14:paraId="08E47EF9" w14:textId="77777777" w:rsidR="00667741" w:rsidRPr="006315D3" w:rsidRDefault="00667741" w:rsidP="00667741">
      <w:pPr>
        <w:spacing w:line="360" w:lineRule="auto"/>
        <w:jc w:val="both"/>
        <w:rPr>
          <w:rFonts w:ascii="Euphemia" w:hAnsi="Euphemia" w:cs="FrankRuehl"/>
          <w:sz w:val="26"/>
          <w:szCs w:val="26"/>
          <w:rtl/>
        </w:rPr>
      </w:pPr>
      <w:r w:rsidRPr="006315D3">
        <w:rPr>
          <w:rFonts w:ascii="Euphemia" w:hAnsi="Euphemia" w:cs="FrankRuehl"/>
          <w:sz w:val="26"/>
          <w:szCs w:val="26"/>
          <w:rtl/>
        </w:rPr>
        <w:t>כאמור, הליך</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השיקום </w:t>
      </w:r>
      <w:r w:rsidRPr="006315D3">
        <w:rPr>
          <w:rFonts w:ascii="Euphemia" w:hAnsi="Euphemia" w:cs="FrankRuehl" w:hint="cs"/>
          <w:sz w:val="26"/>
          <w:szCs w:val="26"/>
          <w:rtl/>
        </w:rPr>
        <w:t xml:space="preserve"> </w:t>
      </w:r>
      <w:r w:rsidRPr="006315D3">
        <w:rPr>
          <w:rFonts w:ascii="Euphemia" w:hAnsi="Euphemia" w:cs="FrankRuehl"/>
          <w:sz w:val="26"/>
          <w:szCs w:val="26"/>
          <w:rtl/>
        </w:rPr>
        <w:t>המרשים</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והממושך</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שעבר</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הנאשם, </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שיתוף </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הפעולה </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המלא </w:t>
      </w:r>
      <w:r w:rsidRPr="006315D3">
        <w:rPr>
          <w:rFonts w:ascii="Euphemia" w:hAnsi="Euphemia" w:cs="FrankRuehl" w:hint="cs"/>
          <w:sz w:val="26"/>
          <w:szCs w:val="26"/>
          <w:rtl/>
        </w:rPr>
        <w:t xml:space="preserve"> </w:t>
      </w:r>
      <w:r w:rsidRPr="006315D3">
        <w:rPr>
          <w:rFonts w:ascii="Euphemia" w:hAnsi="Euphemia" w:cs="FrankRuehl"/>
          <w:sz w:val="26"/>
          <w:szCs w:val="26"/>
          <w:rtl/>
        </w:rPr>
        <w:t>שלו</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עם רשויות</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החוק, </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ורצון </w:t>
      </w:r>
      <w:r w:rsidRPr="006315D3">
        <w:rPr>
          <w:rFonts w:ascii="Euphemia" w:hAnsi="Euphemia" w:cs="FrankRuehl" w:hint="cs"/>
          <w:sz w:val="26"/>
          <w:szCs w:val="26"/>
          <w:rtl/>
        </w:rPr>
        <w:t xml:space="preserve"> </w:t>
      </w:r>
      <w:r w:rsidRPr="006315D3">
        <w:rPr>
          <w:rFonts w:ascii="Euphemia" w:hAnsi="Euphemia" w:cs="FrankRuehl"/>
          <w:sz w:val="26"/>
          <w:szCs w:val="26"/>
          <w:rtl/>
        </w:rPr>
        <w:t>למתן</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הזדמנות</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w:t>
      </w:r>
      <w:r w:rsidRPr="006315D3">
        <w:rPr>
          <w:rFonts w:ascii="Euphemia" w:hAnsi="Euphemia" w:cs="FrankRuehl" w:hint="cs"/>
          <w:sz w:val="26"/>
          <w:szCs w:val="26"/>
          <w:rtl/>
        </w:rPr>
        <w:t>אמתית</w:t>
      </w:r>
      <w:r w:rsidRPr="006315D3">
        <w:rPr>
          <w:rFonts w:ascii="Euphemia" w:hAnsi="Euphemia" w:cs="FrankRuehl"/>
          <w:sz w:val="26"/>
          <w:szCs w:val="26"/>
          <w:rtl/>
        </w:rPr>
        <w:t xml:space="preserve"> </w:t>
      </w:r>
      <w:r w:rsidRPr="006315D3">
        <w:rPr>
          <w:rFonts w:ascii="Euphemia" w:hAnsi="Euphemia" w:cs="FrankRuehl" w:hint="cs"/>
          <w:sz w:val="26"/>
          <w:szCs w:val="26"/>
          <w:rtl/>
        </w:rPr>
        <w:t xml:space="preserve"> </w:t>
      </w:r>
      <w:r w:rsidRPr="006315D3">
        <w:rPr>
          <w:rFonts w:ascii="Euphemia" w:hAnsi="Euphemia" w:cs="FrankRuehl"/>
          <w:sz w:val="26"/>
          <w:szCs w:val="26"/>
          <w:rtl/>
        </w:rPr>
        <w:t>לנאשם</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לשקם </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את </w:t>
      </w:r>
      <w:r w:rsidRPr="006315D3">
        <w:rPr>
          <w:rFonts w:ascii="Euphemia" w:hAnsi="Euphemia" w:cs="FrankRuehl" w:hint="cs"/>
          <w:sz w:val="26"/>
          <w:szCs w:val="26"/>
          <w:rtl/>
        </w:rPr>
        <w:t xml:space="preserve"> </w:t>
      </w:r>
      <w:r w:rsidRPr="006315D3">
        <w:rPr>
          <w:rFonts w:ascii="Euphemia" w:hAnsi="Euphemia" w:cs="FrankRuehl"/>
          <w:sz w:val="26"/>
          <w:szCs w:val="26"/>
          <w:rtl/>
        </w:rPr>
        <w:t>חייו,</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הובילו</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אותי</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להקל עם הנאשם.</w:t>
      </w:r>
    </w:p>
    <w:p w14:paraId="40E7D9D1" w14:textId="77777777" w:rsidR="00667741" w:rsidRPr="00EA75D9" w:rsidRDefault="00667741" w:rsidP="00667741">
      <w:pPr>
        <w:spacing w:line="360" w:lineRule="auto"/>
        <w:jc w:val="both"/>
        <w:rPr>
          <w:rFonts w:ascii="Euphemia" w:hAnsi="Euphemia" w:cs="FrankRuehl"/>
          <w:sz w:val="16"/>
          <w:szCs w:val="16"/>
          <w:rtl/>
        </w:rPr>
      </w:pPr>
    </w:p>
    <w:p w14:paraId="199C0C15" w14:textId="77777777" w:rsidR="00667741" w:rsidRPr="006315D3" w:rsidRDefault="00667741" w:rsidP="00667741">
      <w:pPr>
        <w:spacing w:line="360" w:lineRule="auto"/>
        <w:jc w:val="both"/>
        <w:rPr>
          <w:rFonts w:ascii="Euphemia" w:hAnsi="Euphemia" w:cs="FrankRuehl"/>
          <w:sz w:val="26"/>
          <w:szCs w:val="26"/>
          <w:rtl/>
        </w:rPr>
      </w:pPr>
      <w:r w:rsidRPr="006315D3">
        <w:rPr>
          <w:rFonts w:ascii="Euphemia" w:hAnsi="Euphemia" w:cs="FrankRuehl"/>
          <w:sz w:val="26"/>
          <w:szCs w:val="26"/>
          <w:rtl/>
        </w:rPr>
        <w:t>בה</w:t>
      </w:r>
      <w:r w:rsidRPr="006315D3">
        <w:rPr>
          <w:rFonts w:ascii="Euphemia" w:hAnsi="Euphemia" w:cs="FrankRuehl" w:hint="cs"/>
          <w:sz w:val="26"/>
          <w:szCs w:val="26"/>
          <w:rtl/>
        </w:rPr>
        <w:t xml:space="preserve"> </w:t>
      </w:r>
      <w:r w:rsidRPr="006315D3">
        <w:rPr>
          <w:rFonts w:ascii="Euphemia" w:hAnsi="Euphemia" w:cs="FrankRuehl"/>
          <w:sz w:val="26"/>
          <w:szCs w:val="26"/>
          <w:rtl/>
        </w:rPr>
        <w:t xml:space="preserve"> בעת, לא אוכל לקבל את המלצת שירות המבחן כלשונה. הנאשם הורשע בעבירות חמורות, שעל דרך הכלל יש לגזור בהן עונש מאסר ממושך מאחורי סורג ובריח. עונש של של"צ אינו הולם את העבירות בהן הורשע הנאשם, ועלול לשדר מסר שאינו רצוי. מצאתי על כן להשית</w:t>
      </w:r>
      <w:r w:rsidRPr="006315D3">
        <w:rPr>
          <w:rFonts w:ascii="Euphemia" w:hAnsi="Euphemia" w:cs="FrankRuehl" w:hint="cs"/>
          <w:sz w:val="26"/>
          <w:szCs w:val="26"/>
          <w:rtl/>
        </w:rPr>
        <w:t xml:space="preserve"> על </w:t>
      </w:r>
      <w:r w:rsidRPr="006315D3">
        <w:rPr>
          <w:rFonts w:ascii="Euphemia" w:hAnsi="Euphemia" w:cs="FrankRuehl"/>
          <w:sz w:val="26"/>
          <w:szCs w:val="26"/>
          <w:rtl/>
        </w:rPr>
        <w:t xml:space="preserve"> הנאשם עונש מאסר אותו יישא במסגרת עבודות שירות, עונש צופה פני עתיד, וצו מבחן.</w:t>
      </w:r>
    </w:p>
    <w:p w14:paraId="12883D5A" w14:textId="77777777" w:rsidR="00667741" w:rsidRPr="00EA75D9" w:rsidRDefault="00667741" w:rsidP="00667741">
      <w:pPr>
        <w:spacing w:line="360" w:lineRule="auto"/>
        <w:jc w:val="both"/>
        <w:rPr>
          <w:rFonts w:ascii="Euphemia" w:hAnsi="Euphemia" w:cs="FrankRuehl"/>
          <w:sz w:val="16"/>
          <w:szCs w:val="16"/>
        </w:rPr>
      </w:pPr>
    </w:p>
    <w:p w14:paraId="0FA65042" w14:textId="77777777" w:rsidR="00667741" w:rsidRPr="006315D3" w:rsidRDefault="00667741" w:rsidP="00667741">
      <w:pPr>
        <w:spacing w:line="360" w:lineRule="auto"/>
        <w:jc w:val="both"/>
        <w:rPr>
          <w:rFonts w:ascii="Euphemia" w:hAnsi="Euphemia" w:cs="FrankRuehl"/>
          <w:sz w:val="26"/>
          <w:szCs w:val="26"/>
          <w:rtl/>
        </w:rPr>
      </w:pPr>
      <w:r w:rsidRPr="006315D3">
        <w:rPr>
          <w:rFonts w:ascii="Euphemia" w:hAnsi="Euphemia" w:cs="FrankRuehl"/>
          <w:sz w:val="26"/>
          <w:szCs w:val="26"/>
          <w:rtl/>
        </w:rPr>
        <w:t>אם אכן נחוש הנאשם להשתקם, ואני תקווה שכך הוא, לא ימנע עונש זה את המשך שיקומו.</w:t>
      </w:r>
    </w:p>
    <w:p w14:paraId="7A61AE0B" w14:textId="77777777" w:rsidR="00667741" w:rsidRPr="00EA75D9" w:rsidRDefault="00667741" w:rsidP="00667741">
      <w:pPr>
        <w:spacing w:line="360" w:lineRule="auto"/>
        <w:jc w:val="both"/>
        <w:rPr>
          <w:rFonts w:ascii="Euphemia" w:hAnsi="Euphemia" w:cs="FrankRuehl"/>
          <w:sz w:val="18"/>
          <w:szCs w:val="18"/>
          <w:rtl/>
        </w:rPr>
      </w:pPr>
    </w:p>
    <w:p w14:paraId="105ED36F" w14:textId="77777777" w:rsidR="00667741" w:rsidRPr="006315D3" w:rsidRDefault="00667741" w:rsidP="00667741">
      <w:pPr>
        <w:spacing w:line="360" w:lineRule="auto"/>
        <w:jc w:val="both"/>
        <w:rPr>
          <w:rFonts w:ascii="Euphemia" w:hAnsi="Euphemia" w:cs="FrankRuehl"/>
          <w:sz w:val="26"/>
          <w:szCs w:val="26"/>
          <w:rtl/>
        </w:rPr>
      </w:pPr>
      <w:r w:rsidRPr="006315D3">
        <w:rPr>
          <w:rFonts w:ascii="Euphemia" w:hAnsi="Euphemia" w:cs="FrankRuehl"/>
          <w:sz w:val="26"/>
          <w:szCs w:val="26"/>
          <w:rtl/>
        </w:rPr>
        <w:t>קצין המבחן, שירותי הרווחה בעיר כרמיאל, וכל מי שאמון על המשך שיקומו המרשים של הנאשם, יסייעו לנאשם ככל יכולתם על מנת לשמור על הישגיו השיקומיים עד כה.</w:t>
      </w:r>
    </w:p>
    <w:p w14:paraId="20E2117B" w14:textId="77777777" w:rsidR="00667741" w:rsidRPr="006315D3" w:rsidRDefault="00667741" w:rsidP="00667741">
      <w:pPr>
        <w:spacing w:line="360" w:lineRule="auto"/>
        <w:jc w:val="both"/>
        <w:rPr>
          <w:rFonts w:ascii="Euphemia" w:hAnsi="Euphemia" w:cs="FrankRuehl"/>
          <w:sz w:val="14"/>
          <w:szCs w:val="14"/>
          <w:rtl/>
        </w:rPr>
      </w:pPr>
    </w:p>
    <w:p w14:paraId="1BC57274" w14:textId="77777777" w:rsidR="00667741" w:rsidRPr="006315D3" w:rsidRDefault="00667741" w:rsidP="00667741">
      <w:pPr>
        <w:spacing w:line="360" w:lineRule="auto"/>
        <w:jc w:val="both"/>
        <w:rPr>
          <w:rFonts w:ascii="Euphemia" w:hAnsi="Euphemia" w:cs="FrankRuehl"/>
          <w:sz w:val="26"/>
          <w:szCs w:val="26"/>
          <w:rtl/>
        </w:rPr>
      </w:pPr>
      <w:r w:rsidRPr="006315D3">
        <w:rPr>
          <w:rFonts w:ascii="Euphemia" w:hAnsi="Euphemia" w:cs="FrankRuehl"/>
          <w:sz w:val="26"/>
          <w:szCs w:val="26"/>
          <w:rtl/>
        </w:rPr>
        <w:t>סוף דבר, אני גוזר את עונשו של הנאשם, כדלהלן:</w:t>
      </w:r>
    </w:p>
    <w:p w14:paraId="00C48CA8" w14:textId="77777777" w:rsidR="00667741" w:rsidRPr="006315D3" w:rsidRDefault="00667741" w:rsidP="00667741">
      <w:pPr>
        <w:numPr>
          <w:ilvl w:val="0"/>
          <w:numId w:val="1"/>
        </w:numPr>
        <w:spacing w:after="200" w:line="360" w:lineRule="auto"/>
        <w:jc w:val="both"/>
        <w:rPr>
          <w:rFonts w:ascii="Euphemia" w:hAnsi="Euphemia" w:cs="FrankRuehl"/>
          <w:sz w:val="26"/>
          <w:szCs w:val="26"/>
        </w:rPr>
      </w:pPr>
      <w:r w:rsidRPr="006315D3">
        <w:rPr>
          <w:rFonts w:ascii="Euphemia" w:hAnsi="Euphemia" w:cs="FrankRuehl"/>
          <w:sz w:val="26"/>
          <w:szCs w:val="26"/>
          <w:rtl/>
        </w:rPr>
        <w:t xml:space="preserve">6 חודשי מאסר בפועל, </w:t>
      </w:r>
      <w:r w:rsidRPr="006315D3">
        <w:rPr>
          <w:rFonts w:ascii="Euphemia" w:hAnsi="Euphemia" w:cs="FrankRuehl" w:hint="cs"/>
          <w:sz w:val="26"/>
          <w:szCs w:val="26"/>
          <w:rtl/>
        </w:rPr>
        <w:t xml:space="preserve">ללא ניכוי </w:t>
      </w:r>
      <w:r w:rsidRPr="006315D3">
        <w:rPr>
          <w:rFonts w:ascii="Euphemia" w:hAnsi="Euphemia" w:cs="FrankRuehl"/>
          <w:sz w:val="26"/>
          <w:szCs w:val="26"/>
          <w:rtl/>
        </w:rPr>
        <w:t xml:space="preserve"> ימי מעצרו. אני מתיר לנאשם לרצות את העונש במסגרת עבודות שירות.</w:t>
      </w:r>
      <w:r w:rsidRPr="006315D3">
        <w:rPr>
          <w:rFonts w:ascii="Euphemia" w:hAnsi="Euphemia" w:cs="FrankRuehl" w:hint="cs"/>
          <w:sz w:val="26"/>
          <w:szCs w:val="26"/>
          <w:rtl/>
        </w:rPr>
        <w:t xml:space="preserve">  </w:t>
      </w:r>
    </w:p>
    <w:p w14:paraId="0F54CB92" w14:textId="77777777" w:rsidR="00667741" w:rsidRPr="006315D3" w:rsidRDefault="00667741" w:rsidP="00667741">
      <w:pPr>
        <w:numPr>
          <w:ilvl w:val="0"/>
          <w:numId w:val="1"/>
        </w:numPr>
        <w:spacing w:after="200" w:line="360" w:lineRule="auto"/>
        <w:jc w:val="both"/>
        <w:rPr>
          <w:rFonts w:ascii="Euphemia" w:hAnsi="Euphemia" w:cs="FrankRuehl"/>
          <w:sz w:val="26"/>
          <w:szCs w:val="26"/>
          <w:rtl/>
        </w:rPr>
      </w:pPr>
      <w:r w:rsidRPr="006315D3">
        <w:rPr>
          <w:rFonts w:ascii="Euphemia" w:hAnsi="Euphemia" w:cs="FrankRuehl" w:hint="cs"/>
          <w:sz w:val="26"/>
          <w:szCs w:val="26"/>
          <w:rtl/>
        </w:rPr>
        <w:t>עבודות השירות יבוצעו החל מיום 8.3.18 במקום ובתנאים כאמור בסעיף 3.1 לחוות דעת הממונה על עבודות השירות מיום 14.1.18. בהתאם לכך על הנאשם להתייצב במועד ובמקום כאמור בסע</w:t>
      </w:r>
      <w:r>
        <w:rPr>
          <w:rFonts w:ascii="Euphemia" w:hAnsi="Euphemia" w:cs="FrankRuehl" w:hint="cs"/>
          <w:sz w:val="26"/>
          <w:szCs w:val="26"/>
          <w:rtl/>
        </w:rPr>
        <w:t>י</w:t>
      </w:r>
      <w:r w:rsidRPr="006315D3">
        <w:rPr>
          <w:rFonts w:ascii="Euphemia" w:hAnsi="Euphemia" w:cs="FrankRuehl" w:hint="cs"/>
          <w:sz w:val="26"/>
          <w:szCs w:val="26"/>
          <w:rtl/>
        </w:rPr>
        <w:t>ף 5 לחוות הדעת.</w:t>
      </w:r>
    </w:p>
    <w:p w14:paraId="43125EE8" w14:textId="77777777" w:rsidR="00667741" w:rsidRPr="006315D3" w:rsidRDefault="00667741" w:rsidP="00667741">
      <w:pPr>
        <w:numPr>
          <w:ilvl w:val="0"/>
          <w:numId w:val="1"/>
        </w:numPr>
        <w:spacing w:after="200" w:line="360" w:lineRule="auto"/>
        <w:jc w:val="both"/>
        <w:rPr>
          <w:rFonts w:ascii="Euphemia" w:hAnsi="Euphemia" w:cs="FrankRuehl"/>
          <w:sz w:val="26"/>
          <w:szCs w:val="26"/>
        </w:rPr>
      </w:pPr>
      <w:r w:rsidRPr="006315D3">
        <w:rPr>
          <w:rFonts w:ascii="Euphemia" w:hAnsi="Euphemia" w:cs="FrankRuehl"/>
          <w:sz w:val="26"/>
          <w:szCs w:val="26"/>
          <w:rtl/>
        </w:rPr>
        <w:t xml:space="preserve">24 חודשי מאסר על תנאי, והתנאי הוא שלא יעבור הנאשם עבירה בה הורשע, או עבירה לפי </w:t>
      </w:r>
      <w:hyperlink r:id="rId53" w:history="1">
        <w:r w:rsidR="00237BB4" w:rsidRPr="00237BB4">
          <w:rPr>
            <w:rFonts w:ascii="Euphemia" w:hAnsi="Euphemia" w:cs="FrankRuehl" w:hint="eastAsia"/>
            <w:color w:val="0000FF"/>
            <w:sz w:val="26"/>
            <w:szCs w:val="26"/>
            <w:u w:val="single"/>
            <w:rtl/>
          </w:rPr>
          <w:t>סעיפים</w:t>
        </w:r>
        <w:r w:rsidR="00237BB4" w:rsidRPr="00237BB4">
          <w:rPr>
            <w:rFonts w:ascii="Euphemia" w:hAnsi="Euphemia" w:cs="FrankRuehl"/>
            <w:color w:val="0000FF"/>
            <w:sz w:val="26"/>
            <w:szCs w:val="26"/>
            <w:u w:val="single"/>
            <w:rtl/>
          </w:rPr>
          <w:t xml:space="preserve"> 6, 7, 9, 10, 14, 15 </w:t>
        </w:r>
        <w:r w:rsidR="00237BB4" w:rsidRPr="00237BB4">
          <w:rPr>
            <w:rFonts w:ascii="Euphemia" w:hAnsi="Euphemia" w:cs="FrankRuehl" w:hint="eastAsia"/>
            <w:color w:val="0000FF"/>
            <w:sz w:val="26"/>
            <w:szCs w:val="26"/>
            <w:u w:val="single"/>
            <w:rtl/>
          </w:rPr>
          <w:t>ו</w:t>
        </w:r>
        <w:r w:rsidR="00237BB4" w:rsidRPr="00237BB4">
          <w:rPr>
            <w:rFonts w:ascii="Euphemia" w:hAnsi="Euphemia" w:cs="FrankRuehl"/>
            <w:color w:val="0000FF"/>
            <w:sz w:val="26"/>
            <w:szCs w:val="26"/>
            <w:u w:val="single"/>
            <w:rtl/>
          </w:rPr>
          <w:t>-21</w:t>
        </w:r>
      </w:hyperlink>
      <w:r w:rsidRPr="006315D3">
        <w:rPr>
          <w:rFonts w:ascii="Euphemia" w:hAnsi="Euphemia" w:cs="FrankRuehl"/>
          <w:sz w:val="26"/>
          <w:szCs w:val="26"/>
          <w:rtl/>
        </w:rPr>
        <w:t xml:space="preserve"> ל</w:t>
      </w:r>
      <w:hyperlink r:id="rId54" w:history="1">
        <w:r w:rsidR="00E540FA" w:rsidRPr="00E540FA">
          <w:rPr>
            <w:rFonts w:ascii="Euphemia" w:hAnsi="Euphemia" w:cs="FrankRuehl" w:hint="eastAsia"/>
            <w:color w:val="0000FF"/>
            <w:sz w:val="26"/>
            <w:szCs w:val="26"/>
            <w:u w:val="single"/>
            <w:rtl/>
          </w:rPr>
          <w:t>פקודת</w:t>
        </w:r>
        <w:r w:rsidR="00E540FA" w:rsidRPr="00E540FA">
          <w:rPr>
            <w:rFonts w:ascii="Euphemia" w:hAnsi="Euphemia" w:cs="FrankRuehl"/>
            <w:color w:val="0000FF"/>
            <w:sz w:val="26"/>
            <w:szCs w:val="26"/>
            <w:u w:val="single"/>
            <w:rtl/>
          </w:rPr>
          <w:t xml:space="preserve"> </w:t>
        </w:r>
        <w:r w:rsidR="00E540FA" w:rsidRPr="00E540FA">
          <w:rPr>
            <w:rFonts w:ascii="Euphemia" w:hAnsi="Euphemia" w:cs="FrankRuehl" w:hint="eastAsia"/>
            <w:color w:val="0000FF"/>
            <w:sz w:val="26"/>
            <w:szCs w:val="26"/>
            <w:u w:val="single"/>
            <w:rtl/>
          </w:rPr>
          <w:t>הסמים</w:t>
        </w:r>
        <w:r w:rsidR="00E540FA" w:rsidRPr="00E540FA">
          <w:rPr>
            <w:rFonts w:ascii="Euphemia" w:hAnsi="Euphemia" w:cs="FrankRuehl"/>
            <w:color w:val="0000FF"/>
            <w:sz w:val="26"/>
            <w:szCs w:val="26"/>
            <w:u w:val="single"/>
            <w:rtl/>
          </w:rPr>
          <w:t xml:space="preserve"> </w:t>
        </w:r>
        <w:r w:rsidR="00E540FA" w:rsidRPr="00E540FA">
          <w:rPr>
            <w:rFonts w:ascii="Euphemia" w:hAnsi="Euphemia" w:cs="FrankRuehl" w:hint="eastAsia"/>
            <w:color w:val="0000FF"/>
            <w:sz w:val="26"/>
            <w:szCs w:val="26"/>
            <w:u w:val="single"/>
            <w:rtl/>
          </w:rPr>
          <w:t>המסוכנים</w:t>
        </w:r>
      </w:hyperlink>
      <w:r w:rsidRPr="006315D3">
        <w:rPr>
          <w:rFonts w:ascii="Euphemia" w:hAnsi="Euphemia" w:cs="FrankRuehl"/>
          <w:sz w:val="26"/>
          <w:szCs w:val="26"/>
          <w:rtl/>
        </w:rPr>
        <w:t xml:space="preserve">, במשך 3 שנים מהיום. </w:t>
      </w:r>
    </w:p>
    <w:p w14:paraId="32CFB878" w14:textId="77777777" w:rsidR="00667741" w:rsidRPr="006315D3" w:rsidRDefault="00667741" w:rsidP="00667741">
      <w:pPr>
        <w:numPr>
          <w:ilvl w:val="0"/>
          <w:numId w:val="1"/>
        </w:numPr>
        <w:spacing w:after="200" w:line="360" w:lineRule="auto"/>
        <w:jc w:val="both"/>
        <w:rPr>
          <w:rFonts w:ascii="Euphemia" w:hAnsi="Euphemia" w:cs="FrankRuehl"/>
          <w:sz w:val="26"/>
          <w:szCs w:val="26"/>
        </w:rPr>
      </w:pPr>
      <w:r w:rsidRPr="006315D3">
        <w:rPr>
          <w:rFonts w:ascii="Euphemia" w:hAnsi="Euphemia" w:cs="FrankRuehl"/>
          <w:sz w:val="26"/>
          <w:szCs w:val="26"/>
          <w:rtl/>
        </w:rPr>
        <w:t>הנאשם יעמוד בצו מבחן למשך שנתיים מהיום.</w:t>
      </w:r>
    </w:p>
    <w:p w14:paraId="65E4AF01" w14:textId="77777777" w:rsidR="00667741" w:rsidRPr="006315D3" w:rsidRDefault="00667741" w:rsidP="00667741">
      <w:pPr>
        <w:spacing w:line="360" w:lineRule="auto"/>
        <w:jc w:val="both"/>
        <w:rPr>
          <w:rFonts w:cs="FrankRuehl"/>
          <w:sz w:val="26"/>
          <w:szCs w:val="26"/>
        </w:rPr>
      </w:pPr>
      <w:r w:rsidRPr="006315D3">
        <w:rPr>
          <w:rFonts w:ascii="Euphemia" w:hAnsi="Euphemia" w:cs="FrankRuehl"/>
          <w:sz w:val="26"/>
          <w:szCs w:val="26"/>
          <w:rtl/>
        </w:rPr>
        <w:t>מובהר לנאשם באופן שאינו משתמע לשני פנים, כי אם</w:t>
      </w:r>
      <w:r w:rsidRPr="006315D3">
        <w:rPr>
          <w:rFonts w:cs="FrankRuehl" w:hint="cs"/>
          <w:sz w:val="26"/>
          <w:szCs w:val="26"/>
          <w:rtl/>
        </w:rPr>
        <w:t xml:space="preserve"> לא ימלא אחר צו המבחן מכל בחינה שהיא, יהיה צפוי לעונש, על העבירות בגינן עמד לדין. כן מובהר, כי אם לא יבצע הנאשם את עבודות השירות שיוטלו עליו, רשאי בית המשפט לגזור את דינו של הנאשם מחדש ולהטיל עליו עונש אחר או נוסף.</w:t>
      </w:r>
    </w:p>
    <w:p w14:paraId="111AAA49" w14:textId="77777777" w:rsidR="00667741" w:rsidRPr="00DE5CE2" w:rsidRDefault="00667741" w:rsidP="00667741">
      <w:pPr>
        <w:spacing w:line="360" w:lineRule="auto"/>
        <w:jc w:val="both"/>
        <w:rPr>
          <w:rFonts w:cs="FrankRuehl"/>
          <w:sz w:val="12"/>
          <w:szCs w:val="12"/>
        </w:rPr>
      </w:pPr>
    </w:p>
    <w:p w14:paraId="47035BBB"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בית המשפט מבהיר לנאשם, כי בתקופה זו יהיה נתון למעקב בדיקת שתן וכי סירוב לבדיקה, או מציאת ממצאים חיוביים יהוו עילה להפסקת עבודות השרות וריצוי יתרת העונש במאסר מאחורי סורג ובריח.</w:t>
      </w:r>
    </w:p>
    <w:p w14:paraId="66E2EB06" w14:textId="77777777" w:rsidR="00667741" w:rsidRPr="00DE5CE2" w:rsidRDefault="00667741" w:rsidP="00667741">
      <w:pPr>
        <w:spacing w:line="360" w:lineRule="auto"/>
        <w:jc w:val="both"/>
        <w:rPr>
          <w:rFonts w:cs="FrankRuehl"/>
          <w:sz w:val="16"/>
          <w:szCs w:val="16"/>
          <w:rtl/>
        </w:rPr>
      </w:pPr>
    </w:p>
    <w:p w14:paraId="2A5F3A12"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עוד מובהר לנאשם, כי שתיית אלכוהול או הימצאות בגילופין יהוו גם הם עילה להפסקת עבודות השירות וריצוי יתרת העונש במאסר מאחורי סורג ובריח.</w:t>
      </w:r>
    </w:p>
    <w:p w14:paraId="224385CE" w14:textId="77777777" w:rsidR="00667741" w:rsidRPr="00DE5CE2" w:rsidRDefault="00667741" w:rsidP="00667741">
      <w:pPr>
        <w:spacing w:line="360" w:lineRule="auto"/>
        <w:jc w:val="both"/>
        <w:rPr>
          <w:rFonts w:cs="FrankRuehl"/>
          <w:sz w:val="10"/>
          <w:szCs w:val="10"/>
          <w:rtl/>
        </w:rPr>
      </w:pPr>
    </w:p>
    <w:p w14:paraId="1370EB55" w14:textId="77777777" w:rsidR="00667741" w:rsidRPr="006315D3" w:rsidRDefault="00667741" w:rsidP="00667741">
      <w:pPr>
        <w:spacing w:line="360" w:lineRule="auto"/>
        <w:jc w:val="both"/>
        <w:rPr>
          <w:rFonts w:cs="FrankRuehl"/>
          <w:sz w:val="26"/>
          <w:szCs w:val="26"/>
          <w:rtl/>
        </w:rPr>
      </w:pPr>
      <w:r w:rsidRPr="006315D3">
        <w:rPr>
          <w:rFonts w:cs="FrankRuehl" w:hint="cs"/>
          <w:sz w:val="26"/>
          <w:szCs w:val="26"/>
          <w:rtl/>
        </w:rPr>
        <w:t>ניתן צו להשמדת הסמים.</w:t>
      </w:r>
    </w:p>
    <w:p w14:paraId="6E00D7E5" w14:textId="77777777" w:rsidR="00667741" w:rsidRPr="006315D3" w:rsidRDefault="00667741" w:rsidP="00667741">
      <w:pPr>
        <w:spacing w:line="360" w:lineRule="auto"/>
        <w:jc w:val="both"/>
        <w:rPr>
          <w:rFonts w:cs="FrankRuehl"/>
          <w:sz w:val="10"/>
          <w:szCs w:val="10"/>
          <w:rtl/>
        </w:rPr>
      </w:pPr>
    </w:p>
    <w:p w14:paraId="316758FD" w14:textId="77777777" w:rsidR="00667741" w:rsidRPr="00DE5CE2" w:rsidRDefault="00667741" w:rsidP="00667741">
      <w:pPr>
        <w:spacing w:line="360" w:lineRule="auto"/>
        <w:jc w:val="both"/>
        <w:rPr>
          <w:rFonts w:ascii="Franklin Gothic Medium" w:hAnsi="Franklin Gothic Medium" w:cs="FrankRuehl"/>
          <w:b/>
          <w:bCs/>
          <w:sz w:val="2"/>
          <w:szCs w:val="2"/>
          <w:u w:val="single"/>
          <w:rtl/>
        </w:rPr>
      </w:pPr>
    </w:p>
    <w:p w14:paraId="64CDB1DB" w14:textId="77777777" w:rsidR="00667741" w:rsidRPr="006315D3" w:rsidRDefault="00667741" w:rsidP="00667741">
      <w:pPr>
        <w:spacing w:line="360" w:lineRule="auto"/>
        <w:jc w:val="both"/>
        <w:rPr>
          <w:rFonts w:cs="FrankRuehl"/>
          <w:b/>
          <w:bCs/>
          <w:sz w:val="26"/>
          <w:szCs w:val="26"/>
          <w:rtl/>
        </w:rPr>
      </w:pPr>
      <w:r w:rsidRPr="006315D3">
        <w:rPr>
          <w:rFonts w:ascii="Franklin Gothic Medium" w:hAnsi="Franklin Gothic Medium" w:cs="FrankRuehl"/>
          <w:b/>
          <w:bCs/>
          <w:sz w:val="26"/>
          <w:szCs w:val="26"/>
          <w:u w:val="single"/>
          <w:rtl/>
        </w:rPr>
        <w:t>זכות ערעור לבית המשפט העליון בתוך 45 יום מהיום</w:t>
      </w:r>
      <w:r w:rsidRPr="006315D3">
        <w:rPr>
          <w:rFonts w:cs="FrankRuehl" w:hint="cs"/>
          <w:b/>
          <w:bCs/>
          <w:sz w:val="26"/>
          <w:szCs w:val="26"/>
          <w:rtl/>
        </w:rPr>
        <w:t xml:space="preserve">. </w:t>
      </w:r>
    </w:p>
    <w:p w14:paraId="422D177E" w14:textId="77777777" w:rsidR="00667741" w:rsidRPr="006315D3" w:rsidRDefault="00667741" w:rsidP="00667741">
      <w:pPr>
        <w:spacing w:line="360" w:lineRule="auto"/>
        <w:jc w:val="both"/>
        <w:rPr>
          <w:rFonts w:cs="FrankRuehl"/>
          <w:sz w:val="12"/>
          <w:szCs w:val="12"/>
          <w:rtl/>
        </w:rPr>
      </w:pPr>
    </w:p>
    <w:p w14:paraId="56EB1D0E" w14:textId="77777777" w:rsidR="00667741" w:rsidRPr="00667741" w:rsidRDefault="00E540FA" w:rsidP="00667741">
      <w:pPr>
        <w:spacing w:line="360" w:lineRule="auto"/>
        <w:jc w:val="both"/>
        <w:rPr>
          <w:rFonts w:ascii="Arial" w:hAnsi="Arial" w:cs="FrankRuehl"/>
          <w:b/>
          <w:bCs/>
          <w:sz w:val="26"/>
          <w:szCs w:val="26"/>
          <w:u w:val="single"/>
          <w:rtl/>
        </w:rPr>
      </w:pPr>
      <w:r w:rsidRPr="00E540FA">
        <w:rPr>
          <w:rFonts w:ascii="Arial" w:hAnsi="Arial" w:cs="FrankRuehl"/>
          <w:b/>
          <w:bCs/>
          <w:color w:val="FFFFFF"/>
          <w:sz w:val="2"/>
          <w:szCs w:val="2"/>
          <w:u w:val="single"/>
          <w:rtl/>
        </w:rPr>
        <w:t>5129371</w:t>
      </w:r>
      <w:r w:rsidR="00667741" w:rsidRPr="00667741">
        <w:rPr>
          <w:rFonts w:ascii="Arial" w:hAnsi="Arial" w:cs="FrankRuehl"/>
          <w:b/>
          <w:bCs/>
          <w:sz w:val="26"/>
          <w:szCs w:val="26"/>
          <w:u w:val="single"/>
          <w:rtl/>
        </w:rPr>
        <w:t xml:space="preserve">העתק גזר הדין יישלח לממונה על עבודות השירות ושירות המבחן. </w:t>
      </w:r>
    </w:p>
    <w:p w14:paraId="14C68B97" w14:textId="77777777" w:rsidR="00667741" w:rsidRPr="00E540FA" w:rsidRDefault="00E540FA" w:rsidP="00667741">
      <w:pPr>
        <w:spacing w:line="360" w:lineRule="auto"/>
        <w:jc w:val="both"/>
        <w:rPr>
          <w:rFonts w:ascii="Arial" w:hAnsi="Arial" w:cs="FrankRuehl"/>
          <w:color w:val="FFFFFF"/>
          <w:sz w:val="2"/>
          <w:szCs w:val="2"/>
          <w:rtl/>
        </w:rPr>
      </w:pPr>
      <w:r w:rsidRPr="00E540FA">
        <w:rPr>
          <w:rFonts w:ascii="Arial" w:hAnsi="Arial" w:cs="FrankRuehl"/>
          <w:color w:val="FFFFFF"/>
          <w:sz w:val="2"/>
          <w:szCs w:val="2"/>
          <w:rtl/>
        </w:rPr>
        <w:t>54678313</w:t>
      </w:r>
    </w:p>
    <w:p w14:paraId="1FE5C9BE" w14:textId="77777777" w:rsidR="00667741" w:rsidRPr="006315D3" w:rsidRDefault="00E540FA" w:rsidP="00667741">
      <w:pPr>
        <w:spacing w:line="360" w:lineRule="auto"/>
        <w:jc w:val="both"/>
        <w:rPr>
          <w:rFonts w:ascii="Arial" w:hAnsi="Arial" w:cs="FrankRuehl"/>
          <w:sz w:val="26"/>
          <w:szCs w:val="26"/>
          <w:rtl/>
        </w:rPr>
      </w:pPr>
      <w:r>
        <w:rPr>
          <w:rFonts w:ascii="Arial" w:hAnsi="Arial" w:cs="FrankRuehl"/>
          <w:sz w:val="26"/>
          <w:szCs w:val="26"/>
          <w:rtl/>
        </w:rPr>
        <w:t xml:space="preserve"> ניתן היום, טז בשבט תשע"ח (1.2.2018) במעמד הצדדים.  </w:t>
      </w:r>
    </w:p>
    <w:p w14:paraId="4D79461B" w14:textId="77777777" w:rsidR="00667741" w:rsidRPr="006315D3" w:rsidRDefault="00667741" w:rsidP="00667741">
      <w:pPr>
        <w:spacing w:line="360" w:lineRule="auto"/>
        <w:jc w:val="both"/>
      </w:pPr>
      <w:r w:rsidRPr="006315D3">
        <w:rPr>
          <w:rFonts w:cs="FrankRuehl" w:hint="cs"/>
          <w:sz w:val="26"/>
          <w:szCs w:val="26"/>
          <w:rtl/>
        </w:rPr>
        <w:tab/>
      </w:r>
      <w:r w:rsidRPr="006315D3">
        <w:rPr>
          <w:rFonts w:cs="FrankRuehl" w:hint="cs"/>
          <w:sz w:val="26"/>
          <w:szCs w:val="26"/>
          <w:rtl/>
        </w:rPr>
        <w:tab/>
      </w:r>
      <w:r w:rsidRPr="006315D3">
        <w:rPr>
          <w:rFonts w:cs="FrankRuehl" w:hint="cs"/>
          <w:sz w:val="26"/>
          <w:szCs w:val="26"/>
          <w:rtl/>
        </w:rPr>
        <w:tab/>
      </w:r>
      <w:r w:rsidRPr="006315D3">
        <w:rPr>
          <w:rFonts w:cs="FrankRuehl" w:hint="cs"/>
          <w:sz w:val="26"/>
          <w:szCs w:val="26"/>
          <w:rtl/>
        </w:rPr>
        <w:tab/>
      </w:r>
      <w:r w:rsidRPr="006315D3">
        <w:rPr>
          <w:rFonts w:cs="FrankRuehl" w:hint="cs"/>
          <w:sz w:val="26"/>
          <w:szCs w:val="26"/>
          <w:rtl/>
        </w:rPr>
        <w:tab/>
      </w:r>
      <w:r>
        <w:rPr>
          <w:rtl/>
        </w:rPr>
        <w:t xml:space="preserve">     </w:t>
      </w:r>
    </w:p>
    <w:p w14:paraId="4083499C" w14:textId="77777777" w:rsidR="00667741" w:rsidRPr="006315D3" w:rsidRDefault="00667741" w:rsidP="00667741">
      <w:pPr>
        <w:spacing w:line="360" w:lineRule="auto"/>
        <w:jc w:val="both"/>
        <w:rPr>
          <w:rFonts w:ascii="Arial" w:hAnsi="Arial" w:cs="FrankRuehl"/>
          <w:sz w:val="26"/>
          <w:szCs w:val="26"/>
          <w:rtl/>
        </w:rPr>
      </w:pPr>
    </w:p>
    <w:p w14:paraId="07ABAA4F" w14:textId="77777777" w:rsidR="00667741" w:rsidRPr="00237BB4" w:rsidRDefault="00237BB4" w:rsidP="00667741">
      <w:pPr>
        <w:pStyle w:val="a3"/>
        <w:spacing w:line="360" w:lineRule="auto"/>
        <w:jc w:val="both"/>
        <w:rPr>
          <w:rFonts w:cs="FrankRuehl"/>
          <w:color w:val="FFFFFF"/>
          <w:sz w:val="2"/>
          <w:szCs w:val="2"/>
          <w:rtl/>
        </w:rPr>
      </w:pPr>
      <w:r w:rsidRPr="00237BB4">
        <w:rPr>
          <w:rFonts w:cs="FrankRuehl"/>
          <w:color w:val="FFFFFF"/>
          <w:sz w:val="2"/>
          <w:szCs w:val="2"/>
          <w:rtl/>
        </w:rPr>
        <w:t>5129371</w:t>
      </w:r>
      <w:r w:rsidR="00667741" w:rsidRPr="00237BB4">
        <w:rPr>
          <w:rFonts w:cs="FrankRuehl" w:hint="cs"/>
          <w:color w:val="FFFFFF"/>
          <w:sz w:val="2"/>
          <w:szCs w:val="2"/>
          <w:rtl/>
        </w:rPr>
        <w:t xml:space="preserve"> </w:t>
      </w:r>
    </w:p>
    <w:p w14:paraId="5FB15ADC" w14:textId="77777777" w:rsidR="002D7B2F" w:rsidRPr="00237BB4" w:rsidRDefault="00237BB4" w:rsidP="00E540FA">
      <w:pPr>
        <w:keepNext/>
        <w:rPr>
          <w:rFonts w:ascii="David" w:hAnsi="David"/>
          <w:color w:val="FFFFFF"/>
          <w:sz w:val="2"/>
          <w:szCs w:val="2"/>
          <w:rtl/>
        </w:rPr>
      </w:pPr>
      <w:r w:rsidRPr="00237BB4">
        <w:rPr>
          <w:rFonts w:ascii="David" w:hAnsi="David"/>
          <w:color w:val="FFFFFF"/>
          <w:sz w:val="2"/>
          <w:szCs w:val="2"/>
          <w:rtl/>
        </w:rPr>
        <w:t>54678313</w:t>
      </w:r>
    </w:p>
    <w:p w14:paraId="31F792AC" w14:textId="77777777" w:rsidR="00E540FA" w:rsidRPr="00E540FA" w:rsidRDefault="00E540FA" w:rsidP="00E540FA">
      <w:pPr>
        <w:keepNext/>
        <w:rPr>
          <w:rFonts w:ascii="David" w:hAnsi="David"/>
          <w:color w:val="000000"/>
          <w:sz w:val="22"/>
          <w:szCs w:val="22"/>
          <w:rtl/>
        </w:rPr>
      </w:pPr>
      <w:r w:rsidRPr="00E540FA">
        <w:rPr>
          <w:rFonts w:ascii="David" w:hAnsi="David"/>
          <w:color w:val="000000"/>
          <w:sz w:val="22"/>
          <w:szCs w:val="22"/>
          <w:rtl/>
        </w:rPr>
        <w:t>בית המשפט המחוזי בירושלים 54678313</w:t>
      </w:r>
    </w:p>
    <w:p w14:paraId="01C2A7C8" w14:textId="77777777" w:rsidR="00E540FA" w:rsidRDefault="00E540FA" w:rsidP="00E540FA">
      <w:r w:rsidRPr="00E540FA">
        <w:rPr>
          <w:color w:val="000000"/>
          <w:rtl/>
        </w:rPr>
        <w:t>נוסח מסמך זה כפוף לשינויי ניסוח ועריכה</w:t>
      </w:r>
    </w:p>
    <w:p w14:paraId="23AB4839" w14:textId="77777777" w:rsidR="00E540FA" w:rsidRDefault="00E540FA" w:rsidP="00E540FA">
      <w:pPr>
        <w:rPr>
          <w:rtl/>
        </w:rPr>
      </w:pPr>
    </w:p>
    <w:p w14:paraId="7CFE7EC2" w14:textId="77777777" w:rsidR="00E540FA" w:rsidRDefault="00E540FA" w:rsidP="00E540FA">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4A51D754" w14:textId="77777777" w:rsidR="00237BB4" w:rsidRPr="00237BB4" w:rsidRDefault="00237BB4" w:rsidP="00237BB4">
      <w:pPr>
        <w:keepNext/>
        <w:rPr>
          <w:rFonts w:ascii="David" w:hAnsi="David"/>
          <w:color w:val="000000"/>
          <w:sz w:val="22"/>
          <w:szCs w:val="22"/>
          <w:rtl/>
        </w:rPr>
      </w:pPr>
    </w:p>
    <w:p w14:paraId="40BE9F49" w14:textId="77777777" w:rsidR="00E540FA" w:rsidRPr="00E540FA" w:rsidRDefault="00E540FA" w:rsidP="00237BB4">
      <w:pPr>
        <w:rPr>
          <w:color w:val="0000FF"/>
          <w:u w:val="single"/>
        </w:rPr>
      </w:pPr>
    </w:p>
    <w:sectPr w:rsidR="00E540FA" w:rsidRPr="00E540FA" w:rsidSect="00237BB4">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B8D6C" w14:textId="77777777" w:rsidR="001973ED" w:rsidRDefault="001973ED" w:rsidP="00F1166B">
      <w:r>
        <w:separator/>
      </w:r>
    </w:p>
  </w:endnote>
  <w:endnote w:type="continuationSeparator" w:id="0">
    <w:p w14:paraId="7C0539C8" w14:textId="77777777" w:rsidR="001973ED" w:rsidRDefault="001973ED" w:rsidP="00F1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Euphemia">
    <w:charset w:val="00"/>
    <w:family w:val="swiss"/>
    <w:pitch w:val="variable"/>
    <w:sig w:usb0="8000006F" w:usb1="0000004A" w:usb2="00002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CD625" w14:textId="77777777" w:rsidR="001973ED" w:rsidRDefault="001973ED" w:rsidP="00237B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303DCE" w14:textId="77777777" w:rsidR="001973ED" w:rsidRPr="00237BB4" w:rsidRDefault="001973ED" w:rsidP="00237BB4">
    <w:pPr>
      <w:pStyle w:val="a5"/>
      <w:pBdr>
        <w:top w:val="single" w:sz="4" w:space="1" w:color="auto"/>
        <w:between w:val="single" w:sz="4" w:space="0" w:color="auto"/>
      </w:pBdr>
      <w:spacing w:after="60"/>
      <w:jc w:val="center"/>
      <w:rPr>
        <w:rFonts w:ascii="FrankRuehl" w:hAnsi="FrankRuehl" w:cs="FrankRuehl"/>
        <w:color w:val="000000"/>
      </w:rPr>
    </w:pPr>
    <w:r w:rsidRPr="00237BB4">
      <w:rPr>
        <w:rFonts w:ascii="FrankRuehl" w:hAnsi="FrankRuehl" w:cs="FrankRuehl"/>
        <w:color w:val="000000"/>
      </w:rPr>
      <w:pict w14:anchorId="2539A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B592" w14:textId="77777777" w:rsidR="001973ED" w:rsidRDefault="001973ED" w:rsidP="00237B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14E2">
      <w:rPr>
        <w:rFonts w:ascii="FrankRuehl" w:hAnsi="FrankRuehl" w:cs="FrankRuehl"/>
        <w:noProof/>
        <w:rtl/>
      </w:rPr>
      <w:t>1</w:t>
    </w:r>
    <w:r>
      <w:rPr>
        <w:rFonts w:ascii="FrankRuehl" w:hAnsi="FrankRuehl" w:cs="FrankRuehl"/>
        <w:rtl/>
      </w:rPr>
      <w:fldChar w:fldCharType="end"/>
    </w:r>
  </w:p>
  <w:p w14:paraId="79D37DAC" w14:textId="77777777" w:rsidR="001973ED" w:rsidRPr="00237BB4" w:rsidRDefault="001973ED" w:rsidP="00237BB4">
    <w:pPr>
      <w:pStyle w:val="a5"/>
      <w:pBdr>
        <w:top w:val="single" w:sz="4" w:space="1" w:color="auto"/>
        <w:between w:val="single" w:sz="4" w:space="0" w:color="auto"/>
      </w:pBdr>
      <w:spacing w:after="60"/>
      <w:jc w:val="center"/>
      <w:rPr>
        <w:rFonts w:ascii="FrankRuehl" w:hAnsi="FrankRuehl" w:cs="FrankRuehl"/>
        <w:color w:val="000000"/>
      </w:rPr>
    </w:pPr>
    <w:r w:rsidRPr="00237BB4">
      <w:rPr>
        <w:rFonts w:ascii="FrankRuehl" w:hAnsi="FrankRuehl" w:cs="FrankRuehl"/>
        <w:color w:val="000000"/>
      </w:rPr>
      <w:pict w14:anchorId="65B6B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12D3E" w14:textId="77777777" w:rsidR="001973ED" w:rsidRDefault="001973ED" w:rsidP="00F1166B">
      <w:r>
        <w:separator/>
      </w:r>
    </w:p>
  </w:footnote>
  <w:footnote w:type="continuationSeparator" w:id="0">
    <w:p w14:paraId="29F85904" w14:textId="77777777" w:rsidR="001973ED" w:rsidRDefault="001973ED" w:rsidP="00F11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FCCC" w14:textId="77777777" w:rsidR="001973ED" w:rsidRPr="00237BB4" w:rsidRDefault="001973ED" w:rsidP="00237B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44404-01-16</w:t>
    </w:r>
    <w:r>
      <w:rPr>
        <w:rFonts w:ascii="David" w:hAnsi="David"/>
        <w:color w:val="000000"/>
        <w:sz w:val="22"/>
        <w:szCs w:val="22"/>
        <w:rtl/>
      </w:rPr>
      <w:tab/>
      <w:t xml:space="preserve"> מדינת ישראל נ' אייל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881B3" w14:textId="77777777" w:rsidR="001973ED" w:rsidRPr="00237BB4" w:rsidRDefault="001973ED" w:rsidP="00237B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44404-01-16</w:t>
    </w:r>
    <w:r>
      <w:rPr>
        <w:rFonts w:ascii="David" w:hAnsi="David"/>
        <w:color w:val="000000"/>
        <w:sz w:val="22"/>
        <w:szCs w:val="22"/>
        <w:rtl/>
      </w:rPr>
      <w:tab/>
      <w:t xml:space="preserve"> מדינת ישראל נ' אייל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25D9B"/>
    <w:multiLevelType w:val="hybridMultilevel"/>
    <w:tmpl w:val="B350791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8661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7741"/>
    <w:rsid w:val="000C70DB"/>
    <w:rsid w:val="001973ED"/>
    <w:rsid w:val="00237BB4"/>
    <w:rsid w:val="002D7B2F"/>
    <w:rsid w:val="005A088D"/>
    <w:rsid w:val="005F1C93"/>
    <w:rsid w:val="00667741"/>
    <w:rsid w:val="00B867B6"/>
    <w:rsid w:val="00BA16A0"/>
    <w:rsid w:val="00DA14E2"/>
    <w:rsid w:val="00E540FA"/>
    <w:rsid w:val="00E62738"/>
    <w:rsid w:val="00F116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93BC678"/>
  <w15:chartTrackingRefBased/>
  <w15:docId w15:val="{4D9D5870-2EF0-4FD2-907C-121DD0E1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7741"/>
    <w:pPr>
      <w:bidi/>
    </w:pPr>
    <w:rPr>
      <w:rFonts w:ascii="Times New Roman" w:eastAsia="Times New Roman" w:hAnsi="Times New Roman" w:cs="David"/>
      <w:sz w:val="24"/>
      <w:szCs w:val="24"/>
    </w:rPr>
  </w:style>
  <w:style w:type="paragraph" w:styleId="1">
    <w:name w:val="heading 1"/>
    <w:basedOn w:val="a"/>
    <w:next w:val="a"/>
    <w:link w:val="10"/>
    <w:qFormat/>
    <w:rsid w:val="00667741"/>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67741"/>
    <w:rPr>
      <w:rFonts w:ascii="Arial" w:eastAsia="Times New Roman" w:hAnsi="Arial" w:cs="Arial"/>
      <w:b/>
      <w:bCs/>
      <w:kern w:val="32"/>
      <w:sz w:val="32"/>
      <w:szCs w:val="32"/>
    </w:rPr>
  </w:style>
  <w:style w:type="paragraph" w:styleId="a3">
    <w:name w:val="header"/>
    <w:basedOn w:val="a"/>
    <w:link w:val="a4"/>
    <w:rsid w:val="00667741"/>
    <w:pPr>
      <w:tabs>
        <w:tab w:val="center" w:pos="4153"/>
        <w:tab w:val="right" w:pos="8306"/>
      </w:tabs>
    </w:pPr>
  </w:style>
  <w:style w:type="character" w:customStyle="1" w:styleId="a4">
    <w:name w:val="כותרת עליונה תו"/>
    <w:link w:val="a3"/>
    <w:rsid w:val="00667741"/>
    <w:rPr>
      <w:rFonts w:ascii="Times New Roman" w:eastAsia="Times New Roman" w:hAnsi="Times New Roman" w:cs="David"/>
      <w:sz w:val="24"/>
      <w:szCs w:val="24"/>
    </w:rPr>
  </w:style>
  <w:style w:type="paragraph" w:styleId="a5">
    <w:name w:val="footer"/>
    <w:basedOn w:val="a"/>
    <w:link w:val="a6"/>
    <w:rsid w:val="00667741"/>
    <w:pPr>
      <w:tabs>
        <w:tab w:val="center" w:pos="4153"/>
        <w:tab w:val="right" w:pos="8306"/>
      </w:tabs>
    </w:pPr>
  </w:style>
  <w:style w:type="character" w:customStyle="1" w:styleId="a6">
    <w:name w:val="כותרת תחתונה תו"/>
    <w:link w:val="a5"/>
    <w:rsid w:val="00667741"/>
    <w:rPr>
      <w:rFonts w:ascii="Times New Roman" w:eastAsia="Times New Roman" w:hAnsi="Times New Roman" w:cs="David"/>
      <w:sz w:val="24"/>
      <w:szCs w:val="24"/>
    </w:rPr>
  </w:style>
  <w:style w:type="table" w:styleId="a7">
    <w:name w:val="Table Grid"/>
    <w:basedOn w:val="a1"/>
    <w:rsid w:val="006677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7741"/>
  </w:style>
  <w:style w:type="character" w:styleId="Hyperlink">
    <w:name w:val="Hyperlink"/>
    <w:rsid w:val="00667741"/>
    <w:rPr>
      <w:color w:val="0000FF"/>
      <w:u w:val="single"/>
    </w:rPr>
  </w:style>
  <w:style w:type="character" w:styleId="a9">
    <w:name w:val="Unresolved Mention"/>
    <w:rsid w:val="00E540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 TargetMode="External"/><Relationship Id="rId18" Type="http://schemas.openxmlformats.org/officeDocument/2006/relationships/hyperlink" Target="http://www.nevo.co.il/law/4216/9" TargetMode="External"/><Relationship Id="rId26" Type="http://schemas.openxmlformats.org/officeDocument/2006/relationships/hyperlink" Target="http://www.nevo.co.il/law/70301/499.a.1" TargetMode="External"/><Relationship Id="rId39" Type="http://schemas.openxmlformats.org/officeDocument/2006/relationships/hyperlink" Target="http://www.nevo.co.il/law/70301/40c.b" TargetMode="External"/><Relationship Id="rId21" Type="http://schemas.openxmlformats.org/officeDocument/2006/relationships/hyperlink" Target="http://www.nevo.co.il/law/4216/14" TargetMode="External"/><Relationship Id="rId34" Type="http://schemas.openxmlformats.org/officeDocument/2006/relationships/hyperlink" Target="http://www.nevo.co.il/law/4216" TargetMode="External"/><Relationship Id="rId42" Type="http://schemas.openxmlformats.org/officeDocument/2006/relationships/hyperlink" Target="http://www.nevo.co.il/case/4651320" TargetMode="External"/><Relationship Id="rId47" Type="http://schemas.openxmlformats.org/officeDocument/2006/relationships/hyperlink" Target="http://www.nevo.co.il/law/71553" TargetMode="External"/><Relationship Id="rId50" Type="http://schemas.openxmlformats.org/officeDocument/2006/relationships/hyperlink" Target="http://www.nevo.co.il/case/20009419"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70301/40c.b" TargetMode="External"/><Relationship Id="rId24" Type="http://schemas.openxmlformats.org/officeDocument/2006/relationships/hyperlink" Target="http://www.nevo.co.il/law/4216/21"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70301/40b"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40i.a" TargetMode="External"/><Relationship Id="rId53" Type="http://schemas.openxmlformats.org/officeDocument/2006/relationships/hyperlink" Target="http://www.nevo.co.il/law/4216/6;7;9;10;14;15;21"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10"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4216/1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yperlink" Target="http://www.nevo.co.il/case/18773882" TargetMode="External"/><Relationship Id="rId43" Type="http://schemas.openxmlformats.org/officeDocument/2006/relationships/hyperlink" Target="http://www.nevo.co.il/case/5281261" TargetMode="External"/><Relationship Id="rId48" Type="http://schemas.openxmlformats.org/officeDocument/2006/relationships/hyperlink" Target="http://www.nevo.co.il/case/6173204" TargetMode="External"/><Relationship Id="rId56"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case/10442671"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7" TargetMode="External"/><Relationship Id="rId25" Type="http://schemas.openxmlformats.org/officeDocument/2006/relationships/hyperlink" Target="http://www.nevo.co.il/law/71553"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70301/40c" TargetMode="External"/><Relationship Id="rId46" Type="http://schemas.openxmlformats.org/officeDocument/2006/relationships/hyperlink" Target="http://www.nevo.co.il/law/70301/40d.a" TargetMode="External"/><Relationship Id="rId59" Type="http://schemas.openxmlformats.org/officeDocument/2006/relationships/footer" Target="footer2.xml"/><Relationship Id="rId20" Type="http://schemas.openxmlformats.org/officeDocument/2006/relationships/hyperlink" Target="http://www.nevo.co.il/law/4216/13" TargetMode="External"/><Relationship Id="rId41" Type="http://schemas.openxmlformats.org/officeDocument/2006/relationships/hyperlink" Target="http://www.nevo.co.il/case/5931190"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3" TargetMode="External"/><Relationship Id="rId36" Type="http://schemas.openxmlformats.org/officeDocument/2006/relationships/hyperlink" Target="http://www.nevo.co.il/case/7653052" TargetMode="External"/><Relationship Id="rId49" Type="http://schemas.openxmlformats.org/officeDocument/2006/relationships/hyperlink" Target="http://www.nevo.co.il/case/17911771" TargetMode="External"/><Relationship Id="rId57" Type="http://schemas.openxmlformats.org/officeDocument/2006/relationships/header" Target="header2.xml"/><Relationship Id="rId10" Type="http://schemas.openxmlformats.org/officeDocument/2006/relationships/hyperlink" Target="http://www.nevo.co.il/law/70301/40c" TargetMode="External"/><Relationship Id="rId31" Type="http://schemas.openxmlformats.org/officeDocument/2006/relationships/hyperlink" Target="http://www.nevo.co.il/law/70301/25" TargetMode="External"/><Relationship Id="rId44" Type="http://schemas.openxmlformats.org/officeDocument/2006/relationships/hyperlink" Target="http://www.nevo.co.il/law/70301/40i.a" TargetMode="External"/><Relationship Id="rId52" Type="http://schemas.openxmlformats.org/officeDocument/2006/relationships/hyperlink" Target="http://www.nevo.co.il/case/576129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3280</Words>
  <Characters>16402</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19643</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4390988</vt:i4>
      </vt:variant>
      <vt:variant>
        <vt:i4>138</vt:i4>
      </vt:variant>
      <vt:variant>
        <vt:i4>0</vt:i4>
      </vt:variant>
      <vt:variant>
        <vt:i4>5</vt:i4>
      </vt:variant>
      <vt:variant>
        <vt:lpwstr>http://www.nevo.co.il/law/4216/6;7;9;10;14;15;21</vt:lpwstr>
      </vt:variant>
      <vt:variant>
        <vt:lpwstr/>
      </vt:variant>
      <vt:variant>
        <vt:i4>3342459</vt:i4>
      </vt:variant>
      <vt:variant>
        <vt:i4>135</vt:i4>
      </vt:variant>
      <vt:variant>
        <vt:i4>0</vt:i4>
      </vt:variant>
      <vt:variant>
        <vt:i4>5</vt:i4>
      </vt:variant>
      <vt:variant>
        <vt:lpwstr>http://www.nevo.co.il/case/5761292</vt:lpwstr>
      </vt:variant>
      <vt:variant>
        <vt:lpwstr/>
      </vt:variant>
      <vt:variant>
        <vt:i4>3145846</vt:i4>
      </vt:variant>
      <vt:variant>
        <vt:i4>132</vt:i4>
      </vt:variant>
      <vt:variant>
        <vt:i4>0</vt:i4>
      </vt:variant>
      <vt:variant>
        <vt:i4>5</vt:i4>
      </vt:variant>
      <vt:variant>
        <vt:lpwstr>http://www.nevo.co.il/case/10442671</vt:lpwstr>
      </vt:variant>
      <vt:variant>
        <vt:lpwstr/>
      </vt:variant>
      <vt:variant>
        <vt:i4>3801200</vt:i4>
      </vt:variant>
      <vt:variant>
        <vt:i4>129</vt:i4>
      </vt:variant>
      <vt:variant>
        <vt:i4>0</vt:i4>
      </vt:variant>
      <vt:variant>
        <vt:i4>5</vt:i4>
      </vt:variant>
      <vt:variant>
        <vt:lpwstr>http://www.nevo.co.il/case/20009419</vt:lpwstr>
      </vt:variant>
      <vt:variant>
        <vt:lpwstr/>
      </vt:variant>
      <vt:variant>
        <vt:i4>4063349</vt:i4>
      </vt:variant>
      <vt:variant>
        <vt:i4>126</vt:i4>
      </vt:variant>
      <vt:variant>
        <vt:i4>0</vt:i4>
      </vt:variant>
      <vt:variant>
        <vt:i4>5</vt:i4>
      </vt:variant>
      <vt:variant>
        <vt:lpwstr>http://www.nevo.co.il/case/17911771</vt:lpwstr>
      </vt:variant>
      <vt:variant>
        <vt:lpwstr/>
      </vt:variant>
      <vt:variant>
        <vt:i4>3604598</vt:i4>
      </vt:variant>
      <vt:variant>
        <vt:i4>123</vt:i4>
      </vt:variant>
      <vt:variant>
        <vt:i4>0</vt:i4>
      </vt:variant>
      <vt:variant>
        <vt:i4>5</vt:i4>
      </vt:variant>
      <vt:variant>
        <vt:lpwstr>http://www.nevo.co.il/case/6173204</vt:lpwstr>
      </vt:variant>
      <vt:variant>
        <vt:lpwstr/>
      </vt:variant>
      <vt:variant>
        <vt:i4>8257634</vt:i4>
      </vt:variant>
      <vt:variant>
        <vt:i4>120</vt:i4>
      </vt:variant>
      <vt:variant>
        <vt:i4>0</vt:i4>
      </vt:variant>
      <vt:variant>
        <vt:i4>5</vt:i4>
      </vt:variant>
      <vt:variant>
        <vt:lpwstr>http://www.nevo.co.il/law/71553</vt:lpwstr>
      </vt:variant>
      <vt:variant>
        <vt:lpwstr/>
      </vt:variant>
      <vt:variant>
        <vt:i4>4915205</vt:i4>
      </vt:variant>
      <vt:variant>
        <vt:i4>117</vt:i4>
      </vt:variant>
      <vt:variant>
        <vt:i4>0</vt:i4>
      </vt:variant>
      <vt:variant>
        <vt:i4>5</vt:i4>
      </vt:variant>
      <vt:variant>
        <vt:lpwstr>http://www.nevo.co.il/law/70301/40d.a</vt:lpwstr>
      </vt:variant>
      <vt:variant>
        <vt:lpwstr/>
      </vt:variant>
      <vt:variant>
        <vt:i4>4915208</vt:i4>
      </vt:variant>
      <vt:variant>
        <vt:i4>114</vt:i4>
      </vt:variant>
      <vt:variant>
        <vt:i4>0</vt:i4>
      </vt:variant>
      <vt:variant>
        <vt:i4>5</vt:i4>
      </vt:variant>
      <vt:variant>
        <vt:lpwstr>http://www.nevo.co.il/law/70301/40i.a</vt:lpwstr>
      </vt:variant>
      <vt:variant>
        <vt:lpwstr/>
      </vt:variant>
      <vt:variant>
        <vt:i4>4915208</vt:i4>
      </vt:variant>
      <vt:variant>
        <vt:i4>111</vt:i4>
      </vt:variant>
      <vt:variant>
        <vt:i4>0</vt:i4>
      </vt:variant>
      <vt:variant>
        <vt:i4>5</vt:i4>
      </vt:variant>
      <vt:variant>
        <vt:lpwstr>http://www.nevo.co.il/law/70301/40i.a</vt:lpwstr>
      </vt:variant>
      <vt:variant>
        <vt:lpwstr/>
      </vt:variant>
      <vt:variant>
        <vt:i4>4063345</vt:i4>
      </vt:variant>
      <vt:variant>
        <vt:i4>108</vt:i4>
      </vt:variant>
      <vt:variant>
        <vt:i4>0</vt:i4>
      </vt:variant>
      <vt:variant>
        <vt:i4>5</vt:i4>
      </vt:variant>
      <vt:variant>
        <vt:lpwstr>http://www.nevo.co.il/case/5281261</vt:lpwstr>
      </vt:variant>
      <vt:variant>
        <vt:lpwstr/>
      </vt:variant>
      <vt:variant>
        <vt:i4>3276913</vt:i4>
      </vt:variant>
      <vt:variant>
        <vt:i4>105</vt:i4>
      </vt:variant>
      <vt:variant>
        <vt:i4>0</vt:i4>
      </vt:variant>
      <vt:variant>
        <vt:i4>5</vt:i4>
      </vt:variant>
      <vt:variant>
        <vt:lpwstr>http://www.nevo.co.il/case/4651320</vt:lpwstr>
      </vt:variant>
      <vt:variant>
        <vt:lpwstr/>
      </vt:variant>
      <vt:variant>
        <vt:i4>3604597</vt:i4>
      </vt:variant>
      <vt:variant>
        <vt:i4>102</vt:i4>
      </vt:variant>
      <vt:variant>
        <vt:i4>0</vt:i4>
      </vt:variant>
      <vt:variant>
        <vt:i4>5</vt:i4>
      </vt:variant>
      <vt:variant>
        <vt:lpwstr>http://www.nevo.co.il/case/5931190</vt:lpwstr>
      </vt:variant>
      <vt:variant>
        <vt:lpwstr/>
      </vt:variant>
      <vt:variant>
        <vt:i4>8257637</vt:i4>
      </vt:variant>
      <vt:variant>
        <vt:i4>99</vt:i4>
      </vt:variant>
      <vt:variant>
        <vt:i4>0</vt:i4>
      </vt:variant>
      <vt:variant>
        <vt:i4>5</vt:i4>
      </vt:variant>
      <vt:variant>
        <vt:lpwstr>http://www.nevo.co.il/law/4216</vt:lpwstr>
      </vt:variant>
      <vt:variant>
        <vt:lpwstr/>
      </vt:variant>
      <vt:variant>
        <vt:i4>4915202</vt:i4>
      </vt:variant>
      <vt:variant>
        <vt:i4>96</vt:i4>
      </vt:variant>
      <vt:variant>
        <vt:i4>0</vt:i4>
      </vt:variant>
      <vt:variant>
        <vt:i4>5</vt:i4>
      </vt:variant>
      <vt:variant>
        <vt:lpwstr>http://www.nevo.co.il/law/70301/40c.b</vt:lpwstr>
      </vt:variant>
      <vt:variant>
        <vt:lpwstr/>
      </vt:variant>
      <vt:variant>
        <vt:i4>6619233</vt:i4>
      </vt:variant>
      <vt:variant>
        <vt:i4>93</vt:i4>
      </vt:variant>
      <vt:variant>
        <vt:i4>0</vt:i4>
      </vt:variant>
      <vt:variant>
        <vt:i4>5</vt:i4>
      </vt:variant>
      <vt:variant>
        <vt:lpwstr>http://www.nevo.co.il/law/70301/40c</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3145844</vt:i4>
      </vt:variant>
      <vt:variant>
        <vt:i4>87</vt:i4>
      </vt:variant>
      <vt:variant>
        <vt:i4>0</vt:i4>
      </vt:variant>
      <vt:variant>
        <vt:i4>5</vt:i4>
      </vt:variant>
      <vt:variant>
        <vt:lpwstr>http://www.nevo.co.il/case/7653052</vt:lpwstr>
      </vt:variant>
      <vt:variant>
        <vt:lpwstr/>
      </vt:variant>
      <vt:variant>
        <vt:i4>3997811</vt:i4>
      </vt:variant>
      <vt:variant>
        <vt:i4>84</vt:i4>
      </vt:variant>
      <vt:variant>
        <vt:i4>0</vt:i4>
      </vt:variant>
      <vt:variant>
        <vt:i4>5</vt:i4>
      </vt:variant>
      <vt:variant>
        <vt:lpwstr>http://www.nevo.co.il/case/18773882</vt:lpwstr>
      </vt:variant>
      <vt:variant>
        <vt:lpwstr/>
      </vt:variant>
      <vt:variant>
        <vt:i4>8257637</vt:i4>
      </vt:variant>
      <vt:variant>
        <vt:i4>81</vt:i4>
      </vt:variant>
      <vt:variant>
        <vt:i4>0</vt:i4>
      </vt:variant>
      <vt:variant>
        <vt:i4>5</vt:i4>
      </vt:variant>
      <vt:variant>
        <vt:lpwstr>http://www.nevo.co.il/law/4216</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8257637</vt:i4>
      </vt:variant>
      <vt:variant>
        <vt:i4>69</vt:i4>
      </vt:variant>
      <vt:variant>
        <vt:i4>0</vt:i4>
      </vt:variant>
      <vt:variant>
        <vt:i4>5</vt:i4>
      </vt:variant>
      <vt:variant>
        <vt:lpwstr>http://www.nevo.co.il/law/4216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8257634</vt:i4>
      </vt:variant>
      <vt:variant>
        <vt:i4>54</vt:i4>
      </vt:variant>
      <vt:variant>
        <vt:i4>0</vt:i4>
      </vt:variant>
      <vt:variant>
        <vt:i4>5</vt:i4>
      </vt:variant>
      <vt:variant>
        <vt:lpwstr>http://www.nevo.co.il/law/71553</vt:lpwstr>
      </vt:variant>
      <vt:variant>
        <vt:lpwstr/>
      </vt:variant>
      <vt:variant>
        <vt:i4>4980810</vt:i4>
      </vt:variant>
      <vt:variant>
        <vt:i4>51</vt:i4>
      </vt:variant>
      <vt:variant>
        <vt:i4>0</vt:i4>
      </vt:variant>
      <vt:variant>
        <vt:i4>5</vt:i4>
      </vt:variant>
      <vt:variant>
        <vt:lpwstr>http://www.nevo.co.il/law/4216/21</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http://www.nevo.co.il/law/4216/15</vt:lpwstr>
      </vt:variant>
      <vt:variant>
        <vt:lpwstr/>
      </vt:variant>
      <vt:variant>
        <vt:i4>5177418</vt:i4>
      </vt:variant>
      <vt:variant>
        <vt:i4>42</vt:i4>
      </vt:variant>
      <vt:variant>
        <vt:i4>0</vt:i4>
      </vt:variant>
      <vt:variant>
        <vt:i4>5</vt:i4>
      </vt:variant>
      <vt:variant>
        <vt:lpwstr>http://www.nevo.co.il/law/4216/14</vt:lpwstr>
      </vt:variant>
      <vt:variant>
        <vt:lpwstr/>
      </vt:variant>
      <vt:variant>
        <vt:i4>5177418</vt:i4>
      </vt:variant>
      <vt:variant>
        <vt:i4>39</vt:i4>
      </vt:variant>
      <vt:variant>
        <vt:i4>0</vt:i4>
      </vt:variant>
      <vt:variant>
        <vt:i4>5</vt:i4>
      </vt:variant>
      <vt:variant>
        <vt:lpwstr>http://www.nevo.co.il/law/4216/13</vt:lpwstr>
      </vt:variant>
      <vt:variant>
        <vt:lpwstr/>
      </vt:variant>
      <vt:variant>
        <vt:i4>5177418</vt:i4>
      </vt:variant>
      <vt:variant>
        <vt:i4>36</vt:i4>
      </vt:variant>
      <vt:variant>
        <vt:i4>0</vt:i4>
      </vt:variant>
      <vt:variant>
        <vt:i4>5</vt:i4>
      </vt:variant>
      <vt:variant>
        <vt:lpwstr>http://www.nevo.co.il/law/4216/10</vt:lpwstr>
      </vt:variant>
      <vt:variant>
        <vt:lpwstr/>
      </vt:variant>
      <vt:variant>
        <vt:i4>4653130</vt:i4>
      </vt:variant>
      <vt:variant>
        <vt:i4>33</vt:i4>
      </vt:variant>
      <vt:variant>
        <vt:i4>0</vt:i4>
      </vt:variant>
      <vt:variant>
        <vt:i4>5</vt:i4>
      </vt:variant>
      <vt:variant>
        <vt:lpwstr>http://www.nevo.co.il/law/4216/9</vt:lpwstr>
      </vt:variant>
      <vt:variant>
        <vt:lpwstr/>
      </vt:variant>
      <vt:variant>
        <vt:i4>4784202</vt:i4>
      </vt:variant>
      <vt:variant>
        <vt:i4>30</vt:i4>
      </vt:variant>
      <vt:variant>
        <vt:i4>0</vt:i4>
      </vt:variant>
      <vt:variant>
        <vt:i4>5</vt:i4>
      </vt:variant>
      <vt:variant>
        <vt:lpwstr>http://www.nevo.co.il/law/4216/7</vt:lpwstr>
      </vt:variant>
      <vt:variant>
        <vt:lpwstr/>
      </vt:variant>
      <vt:variant>
        <vt:i4>4718666</vt:i4>
      </vt:variant>
      <vt:variant>
        <vt:i4>27</vt:i4>
      </vt:variant>
      <vt:variant>
        <vt:i4>0</vt:i4>
      </vt:variant>
      <vt:variant>
        <vt:i4>5</vt:i4>
      </vt:variant>
      <vt:variant>
        <vt:lpwstr>http://www.nevo.co.il/law/4216/6</vt:lpwstr>
      </vt:variant>
      <vt:variant>
        <vt:lpwstr/>
      </vt:variant>
      <vt:variant>
        <vt:i4>8257637</vt:i4>
      </vt:variant>
      <vt:variant>
        <vt:i4>24</vt:i4>
      </vt:variant>
      <vt:variant>
        <vt:i4>0</vt:i4>
      </vt:variant>
      <vt:variant>
        <vt:i4>5</vt:i4>
      </vt:variant>
      <vt:variant>
        <vt:lpwstr>http://www.nevo.co.il/law/4216</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2025-04-22T20:42:00Z</dcterms:created>
  <dcterms:modified xsi:type="dcterms:W3CDTF">2025-04-22T20:42:00Z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44404</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אייל לוי</vt:lpwstr>
  </property>
  <property fmtid="{D5CDD505-2E9C-101B-9397-08002B2CF9AE}" pid="10" name="LAWYER">
    <vt:lpwstr>עמיחי מרקס;עופר אשכנזי</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20180201</vt:lpwstr>
  </property>
  <property fmtid="{D5CDD505-2E9C-101B-9397-08002B2CF9AE}" pid="14" name="TYPE_N_DATE">
    <vt:lpwstr>39020180201</vt:lpwstr>
  </property>
  <property fmtid="{D5CDD505-2E9C-101B-9397-08002B2CF9AE}" pid="15" name="CASESLISTTMP1">
    <vt:lpwstr>18773882;7653052;5931190;4651320;5281261;6173204;17911771;20009419;10442671;5761292</vt:lpwstr>
  </property>
  <property fmtid="{D5CDD505-2E9C-101B-9397-08002B2CF9AE}" pid="16" name="WORDNUMPAGES">
    <vt:lpwstr>11</vt:lpwstr>
  </property>
  <property fmtid="{D5CDD505-2E9C-101B-9397-08002B2CF9AE}" pid="17" name="TYPE_ABS_DATE">
    <vt:lpwstr>390020180201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70301/499.a.1;025;040b;040c;040c.b;040i.a:2;040d.a</vt:lpwstr>
  </property>
  <property fmtid="{D5CDD505-2E9C-101B-9397-08002B2CF9AE}" pid="37" name="LAWLISTTMP2">
    <vt:lpwstr>4216/013:2;019a:2;006;007;009;010;014;015;021</vt:lpwstr>
  </property>
  <property fmtid="{D5CDD505-2E9C-101B-9397-08002B2CF9AE}" pid="38" name="LAWLISTTMP3">
    <vt:lpwstr>71553</vt:lpwstr>
  </property>
</Properties>
</file>