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1"/>
        <w:gridCol w:w="3660"/>
      </w:tblGrid>
      <w:tr w:rsidR="007C7294" w:rsidRPr="00112E04" w14:paraId="6C025874" w14:textId="77777777">
        <w:trPr>
          <w:trHeight w:hRule="exact" w:val="418"/>
          <w:jc w:val="center"/>
        </w:trPr>
        <w:tc>
          <w:tcPr>
            <w:tcW w:w="8721" w:type="dxa"/>
            <w:gridSpan w:val="2"/>
          </w:tcPr>
          <w:p w14:paraId="3F02DDC3" w14:textId="77777777" w:rsidR="007C7294" w:rsidRPr="00112E04" w:rsidRDefault="00112E04">
            <w:pPr>
              <w:pStyle w:val="a3"/>
              <w:jc w:val="center"/>
              <w:rPr>
                <w:rFonts w:ascii="Tahoma" w:hAnsi="Tahoma"/>
                <w:color w:val="000080"/>
                <w:sz w:val="32"/>
                <w:szCs w:val="32"/>
                <w:rtl/>
              </w:rPr>
            </w:pPr>
            <w:bookmarkStart w:id="0" w:name="LastJudge"/>
            <w:r w:rsidRPr="00112E04">
              <w:rPr>
                <w:rFonts w:ascii="Tahoma" w:hAnsi="Tahoma"/>
                <w:b/>
                <w:bCs/>
                <w:color w:val="000080"/>
                <w:sz w:val="32"/>
                <w:szCs w:val="32"/>
                <w:rtl/>
              </w:rPr>
              <w:t>בית המשפט המחוזי בתל אביב - יפו</w:t>
            </w:r>
          </w:p>
        </w:tc>
      </w:tr>
      <w:tr w:rsidR="007C7294" w:rsidRPr="00112E04" w14:paraId="2F2666C7" w14:textId="77777777">
        <w:trPr>
          <w:trHeight w:val="337"/>
          <w:jc w:val="center"/>
        </w:trPr>
        <w:tc>
          <w:tcPr>
            <w:tcW w:w="5061" w:type="dxa"/>
          </w:tcPr>
          <w:p w14:paraId="31085972" w14:textId="77777777" w:rsidR="007C7294" w:rsidRPr="00112E04" w:rsidRDefault="00112E04">
            <w:pPr>
              <w:rPr>
                <w:sz w:val="26"/>
                <w:szCs w:val="26"/>
                <w:rtl/>
              </w:rPr>
            </w:pPr>
            <w:r w:rsidRPr="00112E04">
              <w:rPr>
                <w:sz w:val="26"/>
                <w:szCs w:val="26"/>
                <w:rtl/>
              </w:rPr>
              <w:t>ת"פ</w:t>
            </w:r>
            <w:r w:rsidRPr="00112E04">
              <w:rPr>
                <w:rFonts w:hint="cs"/>
                <w:sz w:val="26"/>
                <w:szCs w:val="26"/>
                <w:rtl/>
              </w:rPr>
              <w:t xml:space="preserve"> </w:t>
            </w:r>
            <w:r w:rsidRPr="00112E04">
              <w:rPr>
                <w:sz w:val="26"/>
                <w:szCs w:val="26"/>
                <w:rtl/>
              </w:rPr>
              <w:t>10283-03-16</w:t>
            </w:r>
            <w:r w:rsidRPr="00112E04">
              <w:rPr>
                <w:rFonts w:hint="cs"/>
                <w:sz w:val="26"/>
                <w:szCs w:val="26"/>
                <w:rtl/>
              </w:rPr>
              <w:t xml:space="preserve"> </w:t>
            </w:r>
            <w:r w:rsidRPr="00112E04">
              <w:rPr>
                <w:sz w:val="26"/>
                <w:szCs w:val="26"/>
                <w:rtl/>
              </w:rPr>
              <w:t>מדינת ישראל נ' קובלסקי(עציר)</w:t>
            </w:r>
          </w:p>
          <w:p w14:paraId="285C3545" w14:textId="77777777" w:rsidR="007C7294" w:rsidRPr="00112E04" w:rsidRDefault="007C7294">
            <w:pPr>
              <w:pStyle w:val="a3"/>
              <w:rPr>
                <w:rFonts w:cs="FrankRuehl"/>
                <w:sz w:val="28"/>
                <w:szCs w:val="28"/>
                <w:rtl/>
              </w:rPr>
            </w:pPr>
          </w:p>
        </w:tc>
        <w:tc>
          <w:tcPr>
            <w:tcW w:w="3660" w:type="dxa"/>
          </w:tcPr>
          <w:p w14:paraId="74745D26" w14:textId="77777777" w:rsidR="007C7294" w:rsidRPr="00112E04" w:rsidRDefault="007C7294">
            <w:pPr>
              <w:pStyle w:val="a3"/>
              <w:jc w:val="right"/>
              <w:rPr>
                <w:rFonts w:cs="FrankRuehl"/>
                <w:sz w:val="28"/>
                <w:szCs w:val="28"/>
                <w:rtl/>
              </w:rPr>
            </w:pPr>
          </w:p>
        </w:tc>
      </w:tr>
    </w:tbl>
    <w:p w14:paraId="6F41B064" w14:textId="77777777" w:rsidR="007C7294" w:rsidRPr="00112E04" w:rsidRDefault="00112E04">
      <w:pPr>
        <w:pStyle w:val="a3"/>
        <w:rPr>
          <w:rtl/>
        </w:rPr>
      </w:pPr>
      <w:r w:rsidRPr="00112E04">
        <w:rPr>
          <w:rFonts w:hint="cs"/>
          <w:rtl/>
        </w:rPr>
        <w:t xml:space="preserve"> </w:t>
      </w:r>
    </w:p>
    <w:p w14:paraId="4618CCD6" w14:textId="77777777" w:rsidR="007C7294" w:rsidRPr="00112E04" w:rsidRDefault="007C7294"/>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1"/>
        <w:gridCol w:w="4246"/>
        <w:gridCol w:w="3343"/>
      </w:tblGrid>
      <w:tr w:rsidR="007C7294" w:rsidRPr="00112E04" w14:paraId="3B9A417D" w14:textId="77777777">
        <w:trPr>
          <w:trHeight w:val="295"/>
          <w:jc w:val="center"/>
        </w:trPr>
        <w:tc>
          <w:tcPr>
            <w:tcW w:w="598" w:type="dxa"/>
            <w:tcBorders>
              <w:top w:val="nil"/>
              <w:left w:val="nil"/>
              <w:bottom w:val="nil"/>
              <w:right w:val="nil"/>
            </w:tcBorders>
            <w:shd w:val="clear" w:color="auto" w:fill="auto"/>
          </w:tcPr>
          <w:p w14:paraId="407705C9" w14:textId="77777777" w:rsidR="007C7294" w:rsidRPr="00112E04" w:rsidRDefault="00112E04">
            <w:pPr>
              <w:jc w:val="both"/>
              <w:rPr>
                <w:rFonts w:ascii="Arial" w:hAnsi="Arial"/>
                <w:b/>
                <w:bCs/>
                <w:sz w:val="26"/>
                <w:szCs w:val="26"/>
              </w:rPr>
            </w:pPr>
            <w:r w:rsidRPr="00112E04">
              <w:rPr>
                <w:rFonts w:ascii="Arial" w:hAnsi="Arial" w:hint="cs"/>
                <w:b/>
                <w:bCs/>
                <w:sz w:val="26"/>
                <w:szCs w:val="26"/>
                <w:rtl/>
              </w:rPr>
              <w:t>ל</w:t>
            </w:r>
            <w:r w:rsidRPr="00112E04">
              <w:rPr>
                <w:rFonts w:ascii="Arial" w:hAnsi="Arial"/>
                <w:b/>
                <w:bCs/>
                <w:sz w:val="26"/>
                <w:szCs w:val="26"/>
                <w:rtl/>
              </w:rPr>
              <w:t xml:space="preserve">פני </w:t>
            </w:r>
          </w:p>
        </w:tc>
        <w:tc>
          <w:tcPr>
            <w:tcW w:w="8222" w:type="dxa"/>
            <w:gridSpan w:val="2"/>
            <w:tcBorders>
              <w:top w:val="nil"/>
              <w:left w:val="nil"/>
              <w:bottom w:val="nil"/>
              <w:right w:val="nil"/>
            </w:tcBorders>
            <w:shd w:val="clear" w:color="auto" w:fill="auto"/>
          </w:tcPr>
          <w:p w14:paraId="3125B3E8" w14:textId="77777777" w:rsidR="007C7294" w:rsidRPr="00112E04" w:rsidRDefault="00112E04">
            <w:pPr>
              <w:rPr>
                <w:rFonts w:ascii="Arial" w:hAnsi="Arial"/>
                <w:b/>
                <w:bCs/>
                <w:sz w:val="26"/>
                <w:szCs w:val="26"/>
                <w:rtl/>
              </w:rPr>
            </w:pPr>
            <w:r w:rsidRPr="00112E04">
              <w:rPr>
                <w:rFonts w:ascii="Arial" w:hAnsi="Arial" w:hint="cs"/>
                <w:b/>
                <w:bCs/>
                <w:sz w:val="26"/>
                <w:szCs w:val="26"/>
                <w:rtl/>
              </w:rPr>
              <w:t>כבוד ה</w:t>
            </w:r>
            <w:r w:rsidRPr="00112E04">
              <w:rPr>
                <w:rFonts w:hint="cs"/>
                <w:sz w:val="26"/>
                <w:szCs w:val="26"/>
                <w:rtl/>
              </w:rPr>
              <w:t>שופט</w:t>
            </w:r>
            <w:r w:rsidRPr="00112E04">
              <w:rPr>
                <w:rFonts w:ascii="Arial" w:hAnsi="Arial" w:hint="cs"/>
                <w:b/>
                <w:bCs/>
                <w:sz w:val="26"/>
                <w:szCs w:val="26"/>
                <w:rtl/>
              </w:rPr>
              <w:t xml:space="preserve">  </w:t>
            </w:r>
            <w:r w:rsidRPr="00112E04">
              <w:rPr>
                <w:rFonts w:hint="cs"/>
                <w:sz w:val="26"/>
                <w:szCs w:val="26"/>
                <w:rtl/>
              </w:rPr>
              <w:t>ירון לוי</w:t>
            </w:r>
          </w:p>
          <w:p w14:paraId="0E73947D" w14:textId="77777777" w:rsidR="007C7294" w:rsidRPr="00112E04" w:rsidRDefault="007C7294">
            <w:pPr>
              <w:rPr>
                <w:sz w:val="26"/>
                <w:szCs w:val="26"/>
                <w:rtl/>
              </w:rPr>
            </w:pPr>
          </w:p>
          <w:p w14:paraId="031444A6" w14:textId="77777777" w:rsidR="007C7294" w:rsidRPr="00112E04" w:rsidRDefault="007C7294">
            <w:pPr>
              <w:jc w:val="both"/>
              <w:rPr>
                <w:rFonts w:ascii="Arial" w:hAnsi="Arial"/>
                <w:sz w:val="26"/>
                <w:szCs w:val="26"/>
              </w:rPr>
            </w:pPr>
          </w:p>
        </w:tc>
      </w:tr>
      <w:tr w:rsidR="007C7294" w:rsidRPr="00112E04" w14:paraId="1CCD8346" w14:textId="77777777">
        <w:trPr>
          <w:trHeight w:val="355"/>
          <w:jc w:val="center"/>
        </w:trPr>
        <w:tc>
          <w:tcPr>
            <w:tcW w:w="598" w:type="dxa"/>
            <w:tcBorders>
              <w:top w:val="nil"/>
              <w:left w:val="nil"/>
              <w:bottom w:val="nil"/>
              <w:right w:val="nil"/>
            </w:tcBorders>
            <w:shd w:val="clear" w:color="auto" w:fill="auto"/>
          </w:tcPr>
          <w:p w14:paraId="27CF2032" w14:textId="77777777" w:rsidR="007C7294" w:rsidRPr="00112E04" w:rsidRDefault="00112E04">
            <w:pPr>
              <w:spacing w:line="360" w:lineRule="auto"/>
              <w:jc w:val="both"/>
              <w:rPr>
                <w:rFonts w:ascii="Arial" w:hAnsi="Arial"/>
                <w:b/>
                <w:bCs/>
                <w:sz w:val="26"/>
                <w:szCs w:val="26"/>
              </w:rPr>
            </w:pPr>
            <w:bookmarkStart w:id="1" w:name="FirstAppellant"/>
            <w:bookmarkStart w:id="2" w:name="FirstLawyer"/>
            <w:r w:rsidRPr="00112E04">
              <w:rPr>
                <w:rFonts w:ascii="Arial" w:hAnsi="Arial" w:hint="cs"/>
                <w:b/>
                <w:bCs/>
                <w:sz w:val="26"/>
                <w:szCs w:val="26"/>
                <w:rtl/>
              </w:rPr>
              <w:t>ה</w:t>
            </w:r>
            <w:r w:rsidRPr="00112E04">
              <w:rPr>
                <w:rFonts w:hint="cs"/>
                <w:b/>
                <w:bCs/>
                <w:sz w:val="26"/>
                <w:szCs w:val="26"/>
                <w:rtl/>
              </w:rPr>
              <w:t>מאשימה</w:t>
            </w:r>
          </w:p>
        </w:tc>
        <w:tc>
          <w:tcPr>
            <w:tcW w:w="4565" w:type="dxa"/>
            <w:tcBorders>
              <w:top w:val="nil"/>
              <w:left w:val="nil"/>
              <w:bottom w:val="nil"/>
              <w:right w:val="nil"/>
            </w:tcBorders>
            <w:shd w:val="clear" w:color="auto" w:fill="auto"/>
          </w:tcPr>
          <w:p w14:paraId="5012E917" w14:textId="77777777" w:rsidR="007C7294" w:rsidRPr="00112E04" w:rsidRDefault="00112E04">
            <w:pPr>
              <w:spacing w:line="360" w:lineRule="auto"/>
              <w:rPr>
                <w:b/>
                <w:bCs/>
                <w:sz w:val="26"/>
                <w:szCs w:val="26"/>
                <w:rtl/>
              </w:rPr>
            </w:pPr>
            <w:r w:rsidRPr="00112E04">
              <w:rPr>
                <w:rFonts w:hint="cs"/>
                <w:b/>
                <w:bCs/>
                <w:sz w:val="26"/>
                <w:szCs w:val="26"/>
                <w:rtl/>
              </w:rPr>
              <w:t>מדינת ישראל</w:t>
            </w:r>
          </w:p>
          <w:p w14:paraId="008509C6" w14:textId="77777777" w:rsidR="007C7294" w:rsidRPr="00112E04" w:rsidRDefault="00112E04">
            <w:pPr>
              <w:spacing w:line="360" w:lineRule="auto"/>
              <w:rPr>
                <w:b/>
                <w:bCs/>
                <w:sz w:val="26"/>
                <w:szCs w:val="26"/>
              </w:rPr>
            </w:pPr>
            <w:r w:rsidRPr="00112E04">
              <w:rPr>
                <w:rFonts w:hint="cs"/>
                <w:b/>
                <w:bCs/>
                <w:sz w:val="26"/>
                <w:szCs w:val="26"/>
                <w:rtl/>
              </w:rPr>
              <w:t>ע"י ב"כ עו"ד שרית שמש</w:t>
            </w:r>
          </w:p>
        </w:tc>
        <w:tc>
          <w:tcPr>
            <w:tcW w:w="3657" w:type="dxa"/>
            <w:tcBorders>
              <w:top w:val="nil"/>
              <w:left w:val="nil"/>
              <w:bottom w:val="nil"/>
              <w:right w:val="nil"/>
            </w:tcBorders>
            <w:shd w:val="clear" w:color="auto" w:fill="auto"/>
          </w:tcPr>
          <w:p w14:paraId="0AD4B26C" w14:textId="77777777" w:rsidR="007C7294" w:rsidRPr="00112E04" w:rsidRDefault="007C7294">
            <w:pPr>
              <w:spacing w:line="360" w:lineRule="auto"/>
              <w:jc w:val="both"/>
              <w:rPr>
                <w:rFonts w:ascii="Arial" w:hAnsi="Arial"/>
                <w:b/>
                <w:bCs/>
                <w:sz w:val="26"/>
                <w:szCs w:val="26"/>
              </w:rPr>
            </w:pPr>
          </w:p>
        </w:tc>
      </w:tr>
      <w:bookmarkEnd w:id="1"/>
      <w:bookmarkEnd w:id="2"/>
      <w:tr w:rsidR="007C7294" w:rsidRPr="00112E04" w14:paraId="50997FF4" w14:textId="77777777">
        <w:trPr>
          <w:trHeight w:val="355"/>
          <w:jc w:val="center"/>
        </w:trPr>
        <w:tc>
          <w:tcPr>
            <w:tcW w:w="598" w:type="dxa"/>
            <w:tcBorders>
              <w:top w:val="nil"/>
              <w:left w:val="nil"/>
              <w:bottom w:val="nil"/>
              <w:right w:val="nil"/>
            </w:tcBorders>
            <w:shd w:val="clear" w:color="auto" w:fill="auto"/>
          </w:tcPr>
          <w:p w14:paraId="1331CF97" w14:textId="77777777" w:rsidR="007C7294" w:rsidRPr="00112E04" w:rsidRDefault="007C7294">
            <w:pPr>
              <w:spacing w:line="360" w:lineRule="auto"/>
              <w:jc w:val="both"/>
              <w:rPr>
                <w:rFonts w:ascii="Arial" w:hAnsi="Arial"/>
                <w:b/>
                <w:bCs/>
                <w:sz w:val="26"/>
                <w:szCs w:val="26"/>
                <w:rtl/>
              </w:rPr>
            </w:pPr>
          </w:p>
        </w:tc>
        <w:tc>
          <w:tcPr>
            <w:tcW w:w="4565" w:type="dxa"/>
            <w:tcBorders>
              <w:top w:val="nil"/>
              <w:left w:val="nil"/>
              <w:bottom w:val="nil"/>
              <w:right w:val="nil"/>
            </w:tcBorders>
            <w:shd w:val="clear" w:color="auto" w:fill="auto"/>
          </w:tcPr>
          <w:p w14:paraId="78F583B2" w14:textId="77777777" w:rsidR="007C7294" w:rsidRPr="00112E04" w:rsidRDefault="007C7294">
            <w:pPr>
              <w:spacing w:line="360" w:lineRule="auto"/>
              <w:rPr>
                <w:rFonts w:ascii="Arial" w:hAnsi="Arial"/>
                <w:b/>
                <w:bCs/>
                <w:sz w:val="26"/>
                <w:szCs w:val="26"/>
                <w:rtl/>
              </w:rPr>
            </w:pPr>
          </w:p>
        </w:tc>
        <w:tc>
          <w:tcPr>
            <w:tcW w:w="3657" w:type="dxa"/>
            <w:tcBorders>
              <w:top w:val="nil"/>
              <w:left w:val="nil"/>
              <w:bottom w:val="nil"/>
              <w:right w:val="nil"/>
            </w:tcBorders>
            <w:shd w:val="clear" w:color="auto" w:fill="auto"/>
          </w:tcPr>
          <w:p w14:paraId="7DCA2FD2" w14:textId="77777777" w:rsidR="007C7294" w:rsidRPr="00112E04" w:rsidRDefault="007C7294">
            <w:pPr>
              <w:spacing w:line="360" w:lineRule="auto"/>
              <w:jc w:val="right"/>
              <w:rPr>
                <w:rFonts w:ascii="Arial" w:hAnsi="Arial"/>
                <w:b/>
                <w:bCs/>
                <w:sz w:val="26"/>
                <w:szCs w:val="26"/>
                <w:rtl/>
              </w:rPr>
            </w:pPr>
          </w:p>
        </w:tc>
      </w:tr>
      <w:tr w:rsidR="007C7294" w:rsidRPr="00112E04" w14:paraId="04B3386F" w14:textId="77777777">
        <w:trPr>
          <w:trHeight w:val="355"/>
          <w:jc w:val="center"/>
        </w:trPr>
        <w:tc>
          <w:tcPr>
            <w:tcW w:w="598" w:type="dxa"/>
            <w:tcBorders>
              <w:top w:val="nil"/>
              <w:left w:val="nil"/>
              <w:bottom w:val="nil"/>
              <w:right w:val="nil"/>
            </w:tcBorders>
            <w:shd w:val="clear" w:color="auto" w:fill="auto"/>
          </w:tcPr>
          <w:p w14:paraId="2BCE8670" w14:textId="77777777" w:rsidR="007C7294" w:rsidRPr="00112E04" w:rsidRDefault="007C7294">
            <w:pPr>
              <w:spacing w:line="360" w:lineRule="auto"/>
              <w:jc w:val="both"/>
              <w:rPr>
                <w:rFonts w:ascii="Arial" w:hAnsi="Arial"/>
                <w:b/>
                <w:bCs/>
                <w:sz w:val="26"/>
                <w:szCs w:val="26"/>
                <w:rtl/>
              </w:rPr>
            </w:pPr>
          </w:p>
        </w:tc>
        <w:tc>
          <w:tcPr>
            <w:tcW w:w="8222" w:type="dxa"/>
            <w:gridSpan w:val="2"/>
            <w:tcBorders>
              <w:top w:val="nil"/>
              <w:left w:val="nil"/>
              <w:bottom w:val="nil"/>
              <w:right w:val="nil"/>
            </w:tcBorders>
            <w:shd w:val="clear" w:color="auto" w:fill="auto"/>
          </w:tcPr>
          <w:p w14:paraId="2D084583" w14:textId="77777777" w:rsidR="007C7294" w:rsidRPr="00112E04" w:rsidRDefault="007C7294">
            <w:pPr>
              <w:spacing w:line="360" w:lineRule="auto"/>
              <w:jc w:val="center"/>
              <w:rPr>
                <w:rFonts w:ascii="Arial" w:hAnsi="Arial"/>
                <w:b/>
                <w:bCs/>
                <w:sz w:val="26"/>
                <w:szCs w:val="26"/>
                <w:rtl/>
              </w:rPr>
            </w:pPr>
          </w:p>
          <w:p w14:paraId="315F8FBA" w14:textId="77777777" w:rsidR="007C7294" w:rsidRPr="00112E04" w:rsidRDefault="00112E04">
            <w:pPr>
              <w:spacing w:line="360" w:lineRule="auto"/>
              <w:jc w:val="center"/>
              <w:rPr>
                <w:rFonts w:ascii="Arial" w:hAnsi="Arial"/>
                <w:b/>
                <w:bCs/>
                <w:sz w:val="26"/>
                <w:szCs w:val="26"/>
                <w:rtl/>
              </w:rPr>
            </w:pPr>
            <w:r w:rsidRPr="00112E04">
              <w:rPr>
                <w:rFonts w:ascii="Arial" w:hAnsi="Arial"/>
                <w:b/>
                <w:bCs/>
                <w:sz w:val="26"/>
                <w:szCs w:val="26"/>
                <w:rtl/>
              </w:rPr>
              <w:t>נגד</w:t>
            </w:r>
          </w:p>
          <w:p w14:paraId="3A19A3F1" w14:textId="77777777" w:rsidR="007C7294" w:rsidRPr="00112E04" w:rsidRDefault="007C7294">
            <w:pPr>
              <w:spacing w:line="360" w:lineRule="auto"/>
              <w:jc w:val="both"/>
              <w:rPr>
                <w:rFonts w:ascii="Arial" w:hAnsi="Arial"/>
                <w:b/>
                <w:bCs/>
                <w:sz w:val="26"/>
                <w:szCs w:val="26"/>
              </w:rPr>
            </w:pPr>
          </w:p>
        </w:tc>
      </w:tr>
      <w:tr w:rsidR="007C7294" w:rsidRPr="00112E04" w14:paraId="1ECE5D0C" w14:textId="77777777">
        <w:trPr>
          <w:trHeight w:val="355"/>
          <w:jc w:val="center"/>
        </w:trPr>
        <w:tc>
          <w:tcPr>
            <w:tcW w:w="598" w:type="dxa"/>
            <w:tcBorders>
              <w:top w:val="nil"/>
              <w:left w:val="nil"/>
              <w:bottom w:val="nil"/>
              <w:right w:val="nil"/>
            </w:tcBorders>
            <w:shd w:val="clear" w:color="auto" w:fill="auto"/>
          </w:tcPr>
          <w:p w14:paraId="6A88B2AB" w14:textId="77777777" w:rsidR="007C7294" w:rsidRPr="00112E04" w:rsidRDefault="00112E04">
            <w:pPr>
              <w:spacing w:line="360" w:lineRule="auto"/>
              <w:rPr>
                <w:rFonts w:ascii="Arial" w:hAnsi="Arial"/>
                <w:b/>
                <w:bCs/>
                <w:sz w:val="26"/>
                <w:szCs w:val="26"/>
                <w:rtl/>
              </w:rPr>
            </w:pPr>
            <w:r w:rsidRPr="00112E04">
              <w:rPr>
                <w:rFonts w:ascii="Arial" w:hAnsi="Arial" w:hint="cs"/>
                <w:b/>
                <w:bCs/>
                <w:sz w:val="26"/>
                <w:szCs w:val="26"/>
                <w:rtl/>
              </w:rPr>
              <w:t>ה</w:t>
            </w:r>
            <w:r w:rsidRPr="00112E04">
              <w:rPr>
                <w:rFonts w:hint="cs"/>
                <w:b/>
                <w:bCs/>
                <w:sz w:val="26"/>
                <w:szCs w:val="26"/>
                <w:rtl/>
              </w:rPr>
              <w:t>נאשם</w:t>
            </w:r>
          </w:p>
        </w:tc>
        <w:tc>
          <w:tcPr>
            <w:tcW w:w="4565" w:type="dxa"/>
            <w:tcBorders>
              <w:top w:val="nil"/>
              <w:left w:val="nil"/>
              <w:bottom w:val="nil"/>
              <w:right w:val="nil"/>
            </w:tcBorders>
            <w:shd w:val="clear" w:color="auto" w:fill="auto"/>
          </w:tcPr>
          <w:p w14:paraId="193B3ABE" w14:textId="77777777" w:rsidR="007C7294" w:rsidRPr="00112E04" w:rsidRDefault="00112E04">
            <w:pPr>
              <w:spacing w:line="360" w:lineRule="auto"/>
              <w:rPr>
                <w:b/>
                <w:bCs/>
                <w:sz w:val="26"/>
                <w:szCs w:val="26"/>
                <w:rtl/>
              </w:rPr>
            </w:pPr>
            <w:r w:rsidRPr="00112E04">
              <w:rPr>
                <w:rFonts w:hint="cs"/>
                <w:b/>
                <w:bCs/>
                <w:sz w:val="26"/>
                <w:szCs w:val="26"/>
                <w:rtl/>
              </w:rPr>
              <w:t>יריב קובלסקי (עציר)</w:t>
            </w:r>
          </w:p>
          <w:p w14:paraId="10493EBA" w14:textId="77777777" w:rsidR="007C7294" w:rsidRPr="00112E04" w:rsidRDefault="00112E04">
            <w:pPr>
              <w:spacing w:line="360" w:lineRule="auto"/>
              <w:rPr>
                <w:b/>
                <w:bCs/>
                <w:sz w:val="26"/>
                <w:szCs w:val="26"/>
                <w:rtl/>
              </w:rPr>
            </w:pPr>
            <w:r w:rsidRPr="00112E04">
              <w:rPr>
                <w:rFonts w:hint="cs"/>
                <w:b/>
                <w:bCs/>
                <w:sz w:val="26"/>
                <w:szCs w:val="26"/>
                <w:rtl/>
              </w:rPr>
              <w:t>ע"י ב"כ עו"ד שאול שניידר</w:t>
            </w:r>
          </w:p>
        </w:tc>
        <w:tc>
          <w:tcPr>
            <w:tcW w:w="3657" w:type="dxa"/>
            <w:tcBorders>
              <w:top w:val="nil"/>
              <w:left w:val="nil"/>
              <w:bottom w:val="nil"/>
              <w:right w:val="nil"/>
            </w:tcBorders>
            <w:shd w:val="clear" w:color="auto" w:fill="auto"/>
          </w:tcPr>
          <w:p w14:paraId="64F825C8" w14:textId="77777777" w:rsidR="007C7294" w:rsidRPr="00112E04" w:rsidRDefault="007C7294">
            <w:pPr>
              <w:spacing w:line="360" w:lineRule="auto"/>
              <w:jc w:val="right"/>
              <w:rPr>
                <w:rFonts w:ascii="Arial" w:hAnsi="Arial"/>
                <w:b/>
                <w:bCs/>
                <w:sz w:val="26"/>
                <w:szCs w:val="26"/>
              </w:rPr>
            </w:pPr>
          </w:p>
        </w:tc>
      </w:tr>
      <w:tr w:rsidR="007C7294" w:rsidRPr="00112E04" w14:paraId="2F8622F4" w14:textId="77777777">
        <w:trPr>
          <w:trHeight w:val="355"/>
          <w:jc w:val="center"/>
        </w:trPr>
        <w:tc>
          <w:tcPr>
            <w:tcW w:w="598" w:type="dxa"/>
            <w:tcBorders>
              <w:top w:val="nil"/>
              <w:left w:val="nil"/>
              <w:bottom w:val="nil"/>
              <w:right w:val="nil"/>
            </w:tcBorders>
            <w:shd w:val="clear" w:color="auto" w:fill="auto"/>
          </w:tcPr>
          <w:p w14:paraId="6DD464B5" w14:textId="77777777" w:rsidR="007C7294" w:rsidRPr="00112E04" w:rsidRDefault="007C7294">
            <w:pPr>
              <w:spacing w:line="360" w:lineRule="auto"/>
              <w:jc w:val="both"/>
              <w:rPr>
                <w:rFonts w:ascii="Arial" w:hAnsi="Arial"/>
                <w:b/>
                <w:bCs/>
                <w:sz w:val="26"/>
                <w:szCs w:val="26"/>
                <w:rtl/>
              </w:rPr>
            </w:pPr>
          </w:p>
        </w:tc>
        <w:tc>
          <w:tcPr>
            <w:tcW w:w="4565" w:type="dxa"/>
            <w:tcBorders>
              <w:top w:val="nil"/>
              <w:left w:val="nil"/>
              <w:bottom w:val="nil"/>
              <w:right w:val="nil"/>
            </w:tcBorders>
            <w:shd w:val="clear" w:color="auto" w:fill="auto"/>
          </w:tcPr>
          <w:p w14:paraId="08285B4F" w14:textId="77777777" w:rsidR="007C7294" w:rsidRPr="00112E04" w:rsidRDefault="007C7294">
            <w:pPr>
              <w:spacing w:line="360" w:lineRule="auto"/>
              <w:rPr>
                <w:rFonts w:ascii="Arial" w:hAnsi="Arial"/>
                <w:b/>
                <w:bCs/>
                <w:sz w:val="26"/>
                <w:szCs w:val="26"/>
              </w:rPr>
            </w:pPr>
          </w:p>
        </w:tc>
        <w:tc>
          <w:tcPr>
            <w:tcW w:w="3657" w:type="dxa"/>
            <w:tcBorders>
              <w:top w:val="nil"/>
              <w:left w:val="nil"/>
              <w:bottom w:val="nil"/>
              <w:right w:val="nil"/>
            </w:tcBorders>
            <w:shd w:val="clear" w:color="auto" w:fill="auto"/>
          </w:tcPr>
          <w:p w14:paraId="0F439A61" w14:textId="77777777" w:rsidR="007C7294" w:rsidRPr="00112E04" w:rsidRDefault="007C7294">
            <w:pPr>
              <w:spacing w:line="360" w:lineRule="auto"/>
              <w:jc w:val="right"/>
              <w:rPr>
                <w:rFonts w:ascii="Arial" w:hAnsi="Arial"/>
                <w:b/>
                <w:bCs/>
                <w:sz w:val="26"/>
                <w:szCs w:val="26"/>
              </w:rPr>
            </w:pPr>
          </w:p>
        </w:tc>
      </w:tr>
    </w:tbl>
    <w:p w14:paraId="47F7A875" w14:textId="77777777" w:rsidR="00AE5068" w:rsidRPr="00AE5068" w:rsidRDefault="00AE5068" w:rsidP="00AE5068">
      <w:pPr>
        <w:spacing w:after="120" w:line="240" w:lineRule="exact"/>
        <w:ind w:left="283" w:hanging="283"/>
        <w:jc w:val="both"/>
        <w:rPr>
          <w:rFonts w:ascii="FrankRuehl" w:hAnsi="FrankRuehl" w:cs="FrankRuehl"/>
          <w:rtl/>
        </w:rPr>
      </w:pPr>
      <w:bookmarkStart w:id="3" w:name="LawTable"/>
      <w:bookmarkEnd w:id="3"/>
      <w:r w:rsidRPr="00AE5068">
        <w:rPr>
          <w:rFonts w:ascii="FrankRuehl" w:hAnsi="FrankRuehl" w:cs="FrankRuehl"/>
          <w:rtl/>
        </w:rPr>
        <w:t xml:space="preserve">חקיקה שאוזכרה: </w:t>
      </w:r>
    </w:p>
    <w:p w14:paraId="030664BA" w14:textId="77777777" w:rsidR="00AE5068" w:rsidRPr="00AE5068" w:rsidRDefault="00AE5068" w:rsidP="00AE5068">
      <w:pPr>
        <w:spacing w:after="120" w:line="240" w:lineRule="exact"/>
        <w:ind w:left="283" w:hanging="283"/>
        <w:jc w:val="both"/>
        <w:rPr>
          <w:rFonts w:ascii="FrankRuehl" w:hAnsi="FrankRuehl" w:cs="FrankRuehl"/>
          <w:rtl/>
        </w:rPr>
      </w:pPr>
      <w:hyperlink r:id="rId7" w:history="1">
        <w:r w:rsidRPr="00AE5068">
          <w:rPr>
            <w:rFonts w:ascii="FrankRuehl" w:hAnsi="FrankRuehl" w:cs="FrankRuehl"/>
            <w:color w:val="0000FF"/>
            <w:u w:val="single"/>
            <w:rtl/>
          </w:rPr>
          <w:t>חוק העונשין, תשל"ז-1977</w:t>
        </w:r>
      </w:hyperlink>
      <w:r w:rsidRPr="00AE5068">
        <w:rPr>
          <w:rFonts w:ascii="FrankRuehl" w:hAnsi="FrankRuehl" w:cs="FrankRuehl"/>
          <w:rtl/>
        </w:rPr>
        <w:t xml:space="preserve">: סע'  </w:t>
      </w:r>
      <w:hyperlink r:id="rId8" w:history="1">
        <w:r w:rsidRPr="00AE5068">
          <w:rPr>
            <w:rFonts w:ascii="FrankRuehl" w:hAnsi="FrankRuehl" w:cs="FrankRuehl"/>
            <w:color w:val="0000FF"/>
            <w:u w:val="single"/>
            <w:rtl/>
          </w:rPr>
          <w:t>25</w:t>
        </w:r>
      </w:hyperlink>
      <w:r w:rsidRPr="00AE5068">
        <w:rPr>
          <w:rFonts w:ascii="FrankRuehl" w:hAnsi="FrankRuehl" w:cs="FrankRuehl"/>
          <w:rtl/>
        </w:rPr>
        <w:t xml:space="preserve">, </w:t>
      </w:r>
      <w:hyperlink r:id="rId9" w:history="1">
        <w:r w:rsidRPr="00AE5068">
          <w:rPr>
            <w:rFonts w:ascii="FrankRuehl" w:hAnsi="FrankRuehl" w:cs="FrankRuehl"/>
            <w:color w:val="0000FF"/>
            <w:u w:val="single"/>
            <w:rtl/>
          </w:rPr>
          <w:t>40ד</w:t>
        </w:r>
      </w:hyperlink>
      <w:r w:rsidRPr="00AE5068">
        <w:rPr>
          <w:rFonts w:ascii="FrankRuehl" w:hAnsi="FrankRuehl" w:cs="FrankRuehl"/>
          <w:rtl/>
        </w:rPr>
        <w:t xml:space="preserve">, </w:t>
      </w:r>
      <w:hyperlink r:id="rId10" w:history="1">
        <w:r w:rsidRPr="00AE5068">
          <w:rPr>
            <w:rFonts w:ascii="FrankRuehl" w:hAnsi="FrankRuehl" w:cs="FrankRuehl"/>
            <w:color w:val="0000FF"/>
            <w:u w:val="single"/>
            <w:rtl/>
          </w:rPr>
          <w:t>242</w:t>
        </w:r>
      </w:hyperlink>
      <w:r w:rsidRPr="00AE5068">
        <w:rPr>
          <w:rFonts w:ascii="FrankRuehl" w:hAnsi="FrankRuehl" w:cs="FrankRuehl"/>
          <w:rtl/>
        </w:rPr>
        <w:t xml:space="preserve">, </w:t>
      </w:r>
      <w:hyperlink r:id="rId11" w:history="1">
        <w:r w:rsidRPr="00AE5068">
          <w:rPr>
            <w:rFonts w:ascii="FrankRuehl" w:hAnsi="FrankRuehl" w:cs="FrankRuehl"/>
            <w:color w:val="0000FF"/>
            <w:u w:val="single"/>
            <w:rtl/>
          </w:rPr>
          <w:t>244</w:t>
        </w:r>
      </w:hyperlink>
      <w:r w:rsidRPr="00AE5068">
        <w:rPr>
          <w:rFonts w:ascii="FrankRuehl" w:hAnsi="FrankRuehl" w:cs="FrankRuehl"/>
          <w:rtl/>
        </w:rPr>
        <w:t xml:space="preserve">, </w:t>
      </w:r>
      <w:hyperlink r:id="rId12" w:history="1">
        <w:r w:rsidRPr="00AE5068">
          <w:rPr>
            <w:rFonts w:ascii="FrankRuehl" w:hAnsi="FrankRuehl" w:cs="FrankRuehl"/>
            <w:color w:val="0000FF"/>
            <w:u w:val="single"/>
            <w:rtl/>
          </w:rPr>
          <w:t>298</w:t>
        </w:r>
      </w:hyperlink>
      <w:r w:rsidRPr="00AE5068">
        <w:rPr>
          <w:rFonts w:ascii="FrankRuehl" w:hAnsi="FrankRuehl" w:cs="FrankRuehl"/>
          <w:rtl/>
        </w:rPr>
        <w:t xml:space="preserve">, </w:t>
      </w:r>
      <w:hyperlink r:id="rId13" w:history="1">
        <w:r w:rsidRPr="00AE5068">
          <w:rPr>
            <w:rFonts w:ascii="FrankRuehl" w:hAnsi="FrankRuehl" w:cs="FrankRuehl"/>
            <w:color w:val="0000FF"/>
            <w:u w:val="single"/>
            <w:rtl/>
          </w:rPr>
          <w:t>40יג</w:t>
        </w:r>
      </w:hyperlink>
    </w:p>
    <w:p w14:paraId="2752ED58" w14:textId="77777777" w:rsidR="00AE5068" w:rsidRPr="00AE5068" w:rsidRDefault="00AE5068" w:rsidP="00AE5068">
      <w:pPr>
        <w:spacing w:after="120" w:line="240" w:lineRule="exact"/>
        <w:ind w:left="283" w:hanging="283"/>
        <w:jc w:val="both"/>
        <w:rPr>
          <w:rFonts w:ascii="FrankRuehl" w:hAnsi="FrankRuehl" w:cs="FrankRuehl"/>
          <w:rtl/>
        </w:rPr>
      </w:pPr>
      <w:hyperlink r:id="rId14" w:history="1">
        <w:r w:rsidRPr="00AE5068">
          <w:rPr>
            <w:rFonts w:ascii="FrankRuehl" w:hAnsi="FrankRuehl" w:cs="FrankRuehl"/>
            <w:color w:val="0000FF"/>
            <w:u w:val="single"/>
            <w:rtl/>
          </w:rPr>
          <w:t>פקודת הסמים המסוכנים [נוסח חדש], תשל"ג-1973</w:t>
        </w:r>
      </w:hyperlink>
      <w:r w:rsidRPr="00AE5068">
        <w:rPr>
          <w:rFonts w:ascii="FrankRuehl" w:hAnsi="FrankRuehl" w:cs="FrankRuehl"/>
          <w:rtl/>
        </w:rPr>
        <w:t xml:space="preserve">: סע'  </w:t>
      </w:r>
      <w:hyperlink r:id="rId15" w:history="1">
        <w:r w:rsidRPr="00AE5068">
          <w:rPr>
            <w:rFonts w:ascii="FrankRuehl" w:hAnsi="FrankRuehl" w:cs="FrankRuehl"/>
            <w:color w:val="0000FF"/>
            <w:u w:val="single"/>
            <w:rtl/>
          </w:rPr>
          <w:t>13</w:t>
        </w:r>
      </w:hyperlink>
    </w:p>
    <w:p w14:paraId="3367FE2C" w14:textId="77777777" w:rsidR="00AE5068" w:rsidRPr="00AE5068" w:rsidRDefault="00AE5068" w:rsidP="00AE5068">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C7294" w14:paraId="08B06AED" w14:textId="77777777">
        <w:trPr>
          <w:trHeight w:val="355"/>
          <w:jc w:val="center"/>
        </w:trPr>
        <w:tc>
          <w:tcPr>
            <w:tcW w:w="8820" w:type="dxa"/>
            <w:tcBorders>
              <w:top w:val="nil"/>
              <w:left w:val="nil"/>
              <w:bottom w:val="nil"/>
              <w:right w:val="nil"/>
            </w:tcBorders>
            <w:shd w:val="clear" w:color="auto" w:fill="auto"/>
          </w:tcPr>
          <w:p w14:paraId="378EA71D" w14:textId="77777777" w:rsidR="00112E04" w:rsidRPr="00112E04" w:rsidRDefault="00112E04" w:rsidP="00112E04">
            <w:pPr>
              <w:jc w:val="center"/>
              <w:rPr>
                <w:rFonts w:ascii="Arial" w:hAnsi="Arial"/>
                <w:b/>
                <w:bCs/>
                <w:sz w:val="28"/>
                <w:szCs w:val="28"/>
                <w:u w:val="single"/>
                <w:rtl/>
              </w:rPr>
            </w:pPr>
            <w:bookmarkStart w:id="4" w:name="LawTable_End"/>
            <w:bookmarkStart w:id="5" w:name="PsakDin" w:colFirst="0" w:colLast="0"/>
            <w:bookmarkEnd w:id="0"/>
            <w:bookmarkEnd w:id="4"/>
            <w:r w:rsidRPr="00112E04">
              <w:rPr>
                <w:rFonts w:ascii="Arial" w:hAnsi="Arial"/>
                <w:b/>
                <w:bCs/>
                <w:sz w:val="28"/>
                <w:szCs w:val="28"/>
                <w:u w:val="single"/>
                <w:rtl/>
              </w:rPr>
              <w:t>גזר דין</w:t>
            </w:r>
          </w:p>
          <w:p w14:paraId="76ADE829" w14:textId="77777777" w:rsidR="007C7294" w:rsidRPr="00112E04" w:rsidRDefault="007C7294" w:rsidP="00112E04">
            <w:pPr>
              <w:jc w:val="center"/>
              <w:rPr>
                <w:rFonts w:ascii="Arial" w:hAnsi="Arial"/>
                <w:bCs/>
                <w:sz w:val="28"/>
                <w:szCs w:val="28"/>
                <w:u w:val="single"/>
                <w:rtl/>
              </w:rPr>
            </w:pPr>
          </w:p>
        </w:tc>
      </w:tr>
      <w:bookmarkEnd w:id="5"/>
    </w:tbl>
    <w:p w14:paraId="7302CDA7" w14:textId="77777777" w:rsidR="007C7294" w:rsidRDefault="007C7294">
      <w:pPr>
        <w:rPr>
          <w:rFonts w:ascii="Arial" w:hAnsi="Arial"/>
          <w:rtl/>
        </w:rPr>
      </w:pPr>
    </w:p>
    <w:p w14:paraId="4D986B6A" w14:textId="77777777" w:rsidR="007C7294" w:rsidRDefault="00112E04">
      <w:pPr>
        <w:spacing w:line="360" w:lineRule="auto"/>
        <w:jc w:val="both"/>
        <w:rPr>
          <w:b/>
          <w:bCs/>
          <w:sz w:val="28"/>
          <w:szCs w:val="28"/>
          <w:u w:val="single"/>
          <w:rtl/>
        </w:rPr>
      </w:pPr>
      <w:r>
        <w:rPr>
          <w:rFonts w:hint="cs"/>
          <w:b/>
          <w:bCs/>
          <w:sz w:val="28"/>
          <w:szCs w:val="28"/>
          <w:u w:val="single"/>
          <w:rtl/>
        </w:rPr>
        <w:t>פתח דבר</w:t>
      </w:r>
    </w:p>
    <w:p w14:paraId="6B5DA323" w14:textId="77777777" w:rsidR="007C7294" w:rsidRDefault="00112E04">
      <w:pPr>
        <w:pStyle w:val="ListParagraph"/>
        <w:numPr>
          <w:ilvl w:val="0"/>
          <w:numId w:val="1"/>
        </w:numPr>
        <w:spacing w:after="0" w:line="360" w:lineRule="auto"/>
        <w:jc w:val="both"/>
        <w:rPr>
          <w:rFonts w:cs="David"/>
          <w:sz w:val="24"/>
          <w:szCs w:val="24"/>
          <w:rtl/>
        </w:rPr>
      </w:pPr>
      <w:bookmarkStart w:id="6" w:name="ABSTRACT_START"/>
      <w:bookmarkEnd w:id="6"/>
      <w:r>
        <w:rPr>
          <w:rFonts w:cs="David" w:hint="cs"/>
          <w:sz w:val="24"/>
          <w:szCs w:val="24"/>
          <w:rtl/>
        </w:rPr>
        <w:t>במסגרת קשר שקשר הנאשם עם אחרים, לייבוא סם מסוכן מאמסטרדם לישראל – חלקו המדויק של הנאשם בתוכנית הקשר יפורט  בהמשך – בלע רועי קאסר ז"ל (להלן: "</w:t>
      </w:r>
      <w:r>
        <w:rPr>
          <w:rFonts w:cs="David" w:hint="cs"/>
          <w:b/>
          <w:bCs/>
          <w:sz w:val="24"/>
          <w:szCs w:val="24"/>
          <w:rtl/>
        </w:rPr>
        <w:t>המנוח</w:t>
      </w:r>
      <w:r>
        <w:rPr>
          <w:rFonts w:cs="David" w:hint="cs"/>
          <w:sz w:val="24"/>
          <w:szCs w:val="24"/>
          <w:rtl/>
        </w:rPr>
        <w:t>") 69 חבילות, שהכילו 486.88 גרם קוקאין.</w:t>
      </w:r>
    </w:p>
    <w:p w14:paraId="0248698F" w14:textId="77777777" w:rsidR="007C7294" w:rsidRDefault="00112E04">
      <w:pPr>
        <w:pStyle w:val="ListParagraph"/>
        <w:spacing w:after="0" w:line="360" w:lineRule="auto"/>
        <w:jc w:val="both"/>
        <w:rPr>
          <w:rFonts w:cs="David"/>
          <w:sz w:val="24"/>
          <w:szCs w:val="24"/>
        </w:rPr>
      </w:pPr>
      <w:r>
        <w:rPr>
          <w:rFonts w:cs="David" w:hint="cs"/>
          <w:sz w:val="24"/>
          <w:szCs w:val="24"/>
          <w:rtl/>
        </w:rPr>
        <w:t>לאחר שובו ארצה, כשחבילות הקוקאין בגופו, הובהל המנוח לבית החולים, שם נקבע מותו.</w:t>
      </w:r>
    </w:p>
    <w:p w14:paraId="2F063F88" w14:textId="77777777" w:rsidR="007C7294" w:rsidRDefault="00112E04">
      <w:pPr>
        <w:pStyle w:val="ListParagraph"/>
        <w:spacing w:after="0" w:line="360" w:lineRule="auto"/>
        <w:jc w:val="both"/>
        <w:rPr>
          <w:rFonts w:cs="David"/>
          <w:sz w:val="24"/>
          <w:szCs w:val="24"/>
          <w:rtl/>
        </w:rPr>
      </w:pPr>
      <w:r>
        <w:rPr>
          <w:rFonts w:cs="David" w:hint="cs"/>
          <w:sz w:val="24"/>
          <w:szCs w:val="24"/>
          <w:rtl/>
        </w:rPr>
        <w:t>בכתב האישום המקורי, יוחסה לנאשם עבירה של הריגה.</w:t>
      </w:r>
    </w:p>
    <w:p w14:paraId="1DC0212C" w14:textId="77777777" w:rsidR="007C7294" w:rsidRDefault="00112E04">
      <w:pPr>
        <w:pStyle w:val="ListParagraph"/>
        <w:spacing w:after="0" w:line="360" w:lineRule="auto"/>
        <w:jc w:val="both"/>
        <w:rPr>
          <w:rFonts w:cs="David"/>
          <w:sz w:val="24"/>
          <w:szCs w:val="24"/>
          <w:rtl/>
        </w:rPr>
      </w:pPr>
      <w:r>
        <w:rPr>
          <w:rFonts w:cs="David" w:hint="cs"/>
          <w:sz w:val="24"/>
          <w:szCs w:val="24"/>
          <w:rtl/>
        </w:rPr>
        <w:t>במהלך פרשת התביעה, חזרה בה המאשימה, באופן עצמאי, מעבירת ההריגה, והנאשם זוכה ממנה.</w:t>
      </w:r>
    </w:p>
    <w:p w14:paraId="6EC55A84" w14:textId="77777777" w:rsidR="007C7294" w:rsidRDefault="007C7294">
      <w:pPr>
        <w:pStyle w:val="ListParagraph"/>
        <w:spacing w:after="0" w:line="360" w:lineRule="auto"/>
        <w:jc w:val="both"/>
        <w:rPr>
          <w:rFonts w:cs="David"/>
          <w:sz w:val="24"/>
          <w:szCs w:val="24"/>
          <w:rtl/>
        </w:rPr>
      </w:pPr>
      <w:bookmarkStart w:id="7" w:name="ABSTRACT_END"/>
      <w:bookmarkEnd w:id="7"/>
    </w:p>
    <w:p w14:paraId="242E6960" w14:textId="77777777" w:rsidR="007C7294" w:rsidRDefault="00112E04">
      <w:pPr>
        <w:pStyle w:val="ListParagraph"/>
        <w:numPr>
          <w:ilvl w:val="0"/>
          <w:numId w:val="1"/>
        </w:numPr>
        <w:spacing w:after="0" w:line="360" w:lineRule="auto"/>
        <w:jc w:val="both"/>
        <w:rPr>
          <w:rFonts w:cs="David"/>
          <w:sz w:val="24"/>
          <w:szCs w:val="24"/>
          <w:rtl/>
        </w:rPr>
      </w:pPr>
      <w:r>
        <w:rPr>
          <w:rFonts w:cs="David" w:hint="cs"/>
          <w:sz w:val="24"/>
          <w:szCs w:val="24"/>
          <w:rtl/>
        </w:rPr>
        <w:t>הנאשם הורשע, על יסוד הודאתו, בכתב אישום מתוקן, בעבירות  של קשירת קשר לביצוע פשע לפי סעיף ל</w:t>
      </w:r>
      <w:hyperlink r:id="rId16" w:history="1">
        <w:r w:rsidRPr="00112E04">
          <w:rPr>
            <w:rFonts w:cs="David" w:hint="cs"/>
            <w:color w:val="0000FF"/>
            <w:sz w:val="24"/>
            <w:szCs w:val="24"/>
            <w:u w:val="single"/>
            <w:rtl/>
          </w:rPr>
          <w:t>חוק</w:t>
        </w:r>
        <w:r w:rsidRPr="00112E04">
          <w:rPr>
            <w:rFonts w:cs="David"/>
            <w:color w:val="0000FF"/>
            <w:sz w:val="24"/>
            <w:szCs w:val="24"/>
            <w:u w:val="single"/>
            <w:rtl/>
          </w:rPr>
          <w:t xml:space="preserve"> </w:t>
        </w:r>
        <w:r w:rsidRPr="00112E04">
          <w:rPr>
            <w:rFonts w:cs="David" w:hint="cs"/>
            <w:color w:val="0000FF"/>
            <w:sz w:val="24"/>
            <w:szCs w:val="24"/>
            <w:u w:val="single"/>
            <w:rtl/>
          </w:rPr>
          <w:t>העונשין</w:t>
        </w:r>
      </w:hyperlink>
      <w:r>
        <w:rPr>
          <w:rFonts w:cs="David" w:hint="cs"/>
          <w:sz w:val="24"/>
          <w:szCs w:val="24"/>
          <w:rtl/>
        </w:rPr>
        <w:t>, התשל"ז-1977 (להלן: "</w:t>
      </w:r>
      <w:r>
        <w:rPr>
          <w:rFonts w:cs="David" w:hint="cs"/>
          <w:b/>
          <w:bCs/>
          <w:sz w:val="24"/>
          <w:szCs w:val="24"/>
          <w:rtl/>
        </w:rPr>
        <w:t>החוק</w:t>
      </w:r>
      <w:r>
        <w:rPr>
          <w:rFonts w:cs="David" w:hint="cs"/>
          <w:sz w:val="24"/>
          <w:szCs w:val="24"/>
          <w:rtl/>
        </w:rPr>
        <w:t xml:space="preserve">"); ניסיון לייבוא סמים מסוכנים, לפי </w:t>
      </w:r>
      <w:hyperlink r:id="rId17" w:history="1">
        <w:r w:rsidR="00AE5068" w:rsidRPr="00AE5068">
          <w:rPr>
            <w:rFonts w:cs="David" w:hint="cs"/>
            <w:color w:val="0000FF"/>
            <w:sz w:val="24"/>
            <w:szCs w:val="24"/>
            <w:u w:val="single"/>
            <w:rtl/>
          </w:rPr>
          <w:t>סעיף</w:t>
        </w:r>
        <w:r w:rsidR="00AE5068" w:rsidRPr="00AE5068">
          <w:rPr>
            <w:rFonts w:cs="David"/>
            <w:color w:val="0000FF"/>
            <w:sz w:val="24"/>
            <w:szCs w:val="24"/>
            <w:u w:val="single"/>
            <w:rtl/>
          </w:rPr>
          <w:t xml:space="preserve"> 13</w:t>
        </w:r>
      </w:hyperlink>
      <w:r>
        <w:rPr>
          <w:rFonts w:cs="David" w:hint="cs"/>
          <w:sz w:val="24"/>
          <w:szCs w:val="24"/>
          <w:rtl/>
        </w:rPr>
        <w:t xml:space="preserve"> ל</w:t>
      </w:r>
      <w:hyperlink r:id="rId18" w:history="1">
        <w:r w:rsidRPr="00112E04">
          <w:rPr>
            <w:rFonts w:cs="David" w:hint="cs"/>
            <w:color w:val="0000FF"/>
            <w:sz w:val="24"/>
            <w:szCs w:val="24"/>
            <w:u w:val="single"/>
            <w:rtl/>
          </w:rPr>
          <w:t>פקודת</w:t>
        </w:r>
        <w:r w:rsidRPr="00112E04">
          <w:rPr>
            <w:rFonts w:cs="David"/>
            <w:color w:val="0000FF"/>
            <w:sz w:val="24"/>
            <w:szCs w:val="24"/>
            <w:u w:val="single"/>
            <w:rtl/>
          </w:rPr>
          <w:t xml:space="preserve"> </w:t>
        </w:r>
        <w:r w:rsidRPr="00112E04">
          <w:rPr>
            <w:rFonts w:cs="David" w:hint="cs"/>
            <w:color w:val="0000FF"/>
            <w:sz w:val="24"/>
            <w:szCs w:val="24"/>
            <w:u w:val="single"/>
            <w:rtl/>
          </w:rPr>
          <w:t>הסמים</w:t>
        </w:r>
        <w:r w:rsidRPr="00112E04">
          <w:rPr>
            <w:rFonts w:cs="David"/>
            <w:color w:val="0000FF"/>
            <w:sz w:val="24"/>
            <w:szCs w:val="24"/>
            <w:u w:val="single"/>
            <w:rtl/>
          </w:rPr>
          <w:t xml:space="preserve"> </w:t>
        </w:r>
        <w:r w:rsidRPr="00112E04">
          <w:rPr>
            <w:rFonts w:cs="David" w:hint="cs"/>
            <w:color w:val="0000FF"/>
            <w:sz w:val="24"/>
            <w:szCs w:val="24"/>
            <w:u w:val="single"/>
            <w:rtl/>
          </w:rPr>
          <w:t>המסוכנים</w:t>
        </w:r>
      </w:hyperlink>
      <w:r>
        <w:rPr>
          <w:rFonts w:cs="David" w:hint="cs"/>
          <w:sz w:val="24"/>
          <w:szCs w:val="24"/>
          <w:rtl/>
        </w:rPr>
        <w:t xml:space="preserve"> [נוסח חדש], התשל"ז-1977 (להלן: </w:t>
      </w:r>
      <w:r>
        <w:rPr>
          <w:rFonts w:cs="David" w:hint="cs"/>
          <w:sz w:val="24"/>
          <w:szCs w:val="24"/>
          <w:rtl/>
        </w:rPr>
        <w:lastRenderedPageBreak/>
        <w:t>"</w:t>
      </w:r>
      <w:r>
        <w:rPr>
          <w:rFonts w:cs="David" w:hint="cs"/>
          <w:b/>
          <w:bCs/>
          <w:sz w:val="24"/>
          <w:szCs w:val="24"/>
          <w:rtl/>
        </w:rPr>
        <w:t>פקודת הסמים המסוכנים</w:t>
      </w:r>
      <w:r>
        <w:rPr>
          <w:rFonts w:cs="David" w:hint="cs"/>
          <w:sz w:val="24"/>
          <w:szCs w:val="24"/>
          <w:rtl/>
        </w:rPr>
        <w:t xml:space="preserve">"), ביחד עם </w:t>
      </w:r>
      <w:hyperlink r:id="rId19" w:history="1">
        <w:r w:rsidR="00AE5068" w:rsidRPr="00AE5068">
          <w:rPr>
            <w:rFonts w:cs="David" w:hint="cs"/>
            <w:color w:val="0000FF"/>
            <w:sz w:val="24"/>
            <w:szCs w:val="24"/>
            <w:u w:val="single"/>
            <w:rtl/>
          </w:rPr>
          <w:t>סעיף</w:t>
        </w:r>
        <w:r w:rsidR="00AE5068" w:rsidRPr="00AE5068">
          <w:rPr>
            <w:rFonts w:cs="David"/>
            <w:color w:val="0000FF"/>
            <w:sz w:val="24"/>
            <w:szCs w:val="24"/>
            <w:u w:val="single"/>
            <w:rtl/>
          </w:rPr>
          <w:t xml:space="preserve"> 25</w:t>
        </w:r>
      </w:hyperlink>
      <w:r>
        <w:rPr>
          <w:rFonts w:cs="David" w:hint="cs"/>
          <w:sz w:val="24"/>
          <w:szCs w:val="24"/>
          <w:rtl/>
        </w:rPr>
        <w:t xml:space="preserve"> לחוק; ייבוא סמים מסוכנים, לפי </w:t>
      </w:r>
      <w:hyperlink r:id="rId20" w:history="1">
        <w:r w:rsidR="00AE5068" w:rsidRPr="00AE5068">
          <w:rPr>
            <w:rFonts w:cs="David" w:hint="cs"/>
            <w:color w:val="0000FF"/>
            <w:sz w:val="24"/>
            <w:szCs w:val="24"/>
            <w:u w:val="single"/>
            <w:rtl/>
          </w:rPr>
          <w:t>סעיף</w:t>
        </w:r>
        <w:r w:rsidR="00AE5068" w:rsidRPr="00AE5068">
          <w:rPr>
            <w:rFonts w:cs="David"/>
            <w:color w:val="0000FF"/>
            <w:sz w:val="24"/>
            <w:szCs w:val="24"/>
            <w:u w:val="single"/>
            <w:rtl/>
          </w:rPr>
          <w:t xml:space="preserve"> 13</w:t>
        </w:r>
      </w:hyperlink>
      <w:r>
        <w:rPr>
          <w:rFonts w:cs="David" w:hint="cs"/>
          <w:sz w:val="24"/>
          <w:szCs w:val="24"/>
          <w:rtl/>
        </w:rPr>
        <w:t xml:space="preserve"> לפקודת הסמים המסוכנים; השמדת ראייה, לפי </w:t>
      </w:r>
      <w:hyperlink r:id="rId21" w:history="1">
        <w:r w:rsidR="00AE5068" w:rsidRPr="00AE5068">
          <w:rPr>
            <w:rFonts w:cs="David" w:hint="cs"/>
            <w:color w:val="0000FF"/>
            <w:sz w:val="24"/>
            <w:szCs w:val="24"/>
            <w:u w:val="single"/>
            <w:rtl/>
          </w:rPr>
          <w:t>סעיף</w:t>
        </w:r>
        <w:r w:rsidR="00AE5068" w:rsidRPr="00AE5068">
          <w:rPr>
            <w:rFonts w:cs="David"/>
            <w:color w:val="0000FF"/>
            <w:sz w:val="24"/>
            <w:szCs w:val="24"/>
            <w:u w:val="single"/>
            <w:rtl/>
          </w:rPr>
          <w:t xml:space="preserve"> 242</w:t>
        </w:r>
      </w:hyperlink>
      <w:r>
        <w:rPr>
          <w:rFonts w:cs="David" w:hint="cs"/>
          <w:sz w:val="24"/>
          <w:szCs w:val="24"/>
          <w:rtl/>
        </w:rPr>
        <w:t xml:space="preserve"> לחוק; ושיבוש הליכי משפט – לפי </w:t>
      </w:r>
      <w:hyperlink r:id="rId22" w:history="1">
        <w:r w:rsidR="00AE5068" w:rsidRPr="00AE5068">
          <w:rPr>
            <w:rFonts w:cs="David" w:hint="cs"/>
            <w:color w:val="0000FF"/>
            <w:sz w:val="24"/>
            <w:szCs w:val="24"/>
            <w:u w:val="single"/>
            <w:rtl/>
          </w:rPr>
          <w:t>סעיף</w:t>
        </w:r>
        <w:r w:rsidR="00AE5068" w:rsidRPr="00AE5068">
          <w:rPr>
            <w:rFonts w:cs="David"/>
            <w:color w:val="0000FF"/>
            <w:sz w:val="24"/>
            <w:szCs w:val="24"/>
            <w:u w:val="single"/>
            <w:rtl/>
          </w:rPr>
          <w:t xml:space="preserve"> 244</w:t>
        </w:r>
      </w:hyperlink>
      <w:r>
        <w:rPr>
          <w:rFonts w:cs="David" w:hint="cs"/>
          <w:sz w:val="24"/>
          <w:szCs w:val="24"/>
          <w:rtl/>
        </w:rPr>
        <w:t xml:space="preserve"> לחוק. </w:t>
      </w:r>
    </w:p>
    <w:p w14:paraId="238D3F40" w14:textId="77777777" w:rsidR="007C7294" w:rsidRDefault="007C7294">
      <w:pPr>
        <w:spacing w:line="360" w:lineRule="auto"/>
        <w:jc w:val="both"/>
      </w:pPr>
    </w:p>
    <w:p w14:paraId="7CC036A4" w14:textId="77777777" w:rsidR="007C7294" w:rsidRDefault="00112E04">
      <w:pPr>
        <w:spacing w:line="360" w:lineRule="auto"/>
        <w:jc w:val="both"/>
        <w:rPr>
          <w:b/>
          <w:bCs/>
          <w:sz w:val="28"/>
          <w:szCs w:val="28"/>
          <w:u w:val="single"/>
          <w:rtl/>
        </w:rPr>
      </w:pPr>
      <w:r>
        <w:rPr>
          <w:rFonts w:hint="cs"/>
          <w:b/>
          <w:bCs/>
          <w:sz w:val="28"/>
          <w:szCs w:val="28"/>
          <w:u w:val="single"/>
          <w:rtl/>
        </w:rPr>
        <w:t>העובדות</w:t>
      </w:r>
    </w:p>
    <w:p w14:paraId="74FD1AD9" w14:textId="77777777" w:rsidR="007C7294" w:rsidRDefault="00112E04">
      <w:pPr>
        <w:pStyle w:val="ListParagraph"/>
        <w:numPr>
          <w:ilvl w:val="0"/>
          <w:numId w:val="1"/>
        </w:numPr>
        <w:spacing w:after="0" w:line="360" w:lineRule="auto"/>
        <w:jc w:val="both"/>
        <w:rPr>
          <w:rFonts w:cs="David"/>
          <w:sz w:val="24"/>
          <w:szCs w:val="24"/>
          <w:rtl/>
        </w:rPr>
      </w:pPr>
      <w:r>
        <w:rPr>
          <w:rFonts w:cs="David" w:hint="cs"/>
          <w:sz w:val="24"/>
          <w:szCs w:val="24"/>
          <w:rtl/>
        </w:rPr>
        <w:t>ואלה עיקרי עובדות כתב האישום המתוקן, בהן הודה והורשע הנאשם:</w:t>
      </w:r>
    </w:p>
    <w:p w14:paraId="2CFBFEFA" w14:textId="77777777" w:rsidR="007C7294" w:rsidRDefault="007C7294">
      <w:pPr>
        <w:pStyle w:val="ListParagraph"/>
        <w:spacing w:after="0" w:line="360" w:lineRule="auto"/>
        <w:jc w:val="both"/>
        <w:rPr>
          <w:rFonts w:cs="David"/>
          <w:sz w:val="24"/>
          <w:szCs w:val="24"/>
        </w:rPr>
      </w:pPr>
    </w:p>
    <w:p w14:paraId="5A71984E" w14:textId="77777777" w:rsidR="007C7294" w:rsidRDefault="00112E04">
      <w:pPr>
        <w:pStyle w:val="ListParagraph"/>
        <w:spacing w:after="0" w:line="360" w:lineRule="auto"/>
        <w:ind w:firstLine="793"/>
        <w:jc w:val="both"/>
        <w:rPr>
          <w:rFonts w:cs="David"/>
          <w:sz w:val="24"/>
          <w:szCs w:val="24"/>
          <w:u w:val="single"/>
        </w:rPr>
      </w:pPr>
      <w:r>
        <w:rPr>
          <w:rFonts w:cs="David" w:hint="cs"/>
          <w:sz w:val="24"/>
          <w:szCs w:val="24"/>
          <w:u w:val="single"/>
          <w:rtl/>
        </w:rPr>
        <w:t>אישום ראשון:</w:t>
      </w:r>
    </w:p>
    <w:p w14:paraId="52ECE038" w14:textId="77777777" w:rsidR="007C7294" w:rsidRDefault="00112E04">
      <w:pPr>
        <w:pStyle w:val="ListParagraph"/>
        <w:numPr>
          <w:ilvl w:val="1"/>
          <w:numId w:val="2"/>
        </w:numPr>
        <w:spacing w:after="0" w:line="360" w:lineRule="auto"/>
        <w:jc w:val="both"/>
        <w:rPr>
          <w:rFonts w:cs="David"/>
          <w:sz w:val="24"/>
          <w:szCs w:val="24"/>
          <w:rtl/>
        </w:rPr>
      </w:pPr>
      <w:r>
        <w:rPr>
          <w:rFonts w:cs="David" w:hint="cs"/>
          <w:sz w:val="24"/>
          <w:szCs w:val="24"/>
          <w:rtl/>
        </w:rPr>
        <w:t>בין הנאשם לבין יובל זנזורי (להלן: "</w:t>
      </w:r>
      <w:r>
        <w:rPr>
          <w:rFonts w:cs="David" w:hint="cs"/>
          <w:b/>
          <w:bCs/>
          <w:sz w:val="24"/>
          <w:szCs w:val="24"/>
          <w:rtl/>
        </w:rPr>
        <w:t>יובל</w:t>
      </w:r>
      <w:r>
        <w:rPr>
          <w:rFonts w:cs="David" w:hint="cs"/>
          <w:sz w:val="24"/>
          <w:szCs w:val="24"/>
          <w:rtl/>
        </w:rPr>
        <w:t xml:space="preserve">") קיימים קשרי חברות משך שנים. </w:t>
      </w:r>
    </w:p>
    <w:p w14:paraId="6462B628" w14:textId="77777777" w:rsidR="007C7294" w:rsidRDefault="00112E04">
      <w:pPr>
        <w:pStyle w:val="ListParagraph"/>
        <w:numPr>
          <w:ilvl w:val="1"/>
          <w:numId w:val="2"/>
        </w:numPr>
        <w:spacing w:after="0" w:line="360" w:lineRule="auto"/>
        <w:jc w:val="both"/>
        <w:rPr>
          <w:rFonts w:cs="David"/>
          <w:sz w:val="24"/>
          <w:szCs w:val="24"/>
        </w:rPr>
      </w:pPr>
      <w:r>
        <w:rPr>
          <w:rFonts w:cs="David" w:hint="cs"/>
          <w:sz w:val="24"/>
          <w:szCs w:val="24"/>
          <w:rtl/>
        </w:rPr>
        <w:t>עובר לחודש אפריל 2015, החזיק הנאשם בשביל אחר סך של 200,000 ₪ בנסיבות שאינן ידועות (להלן: "</w:t>
      </w:r>
      <w:r>
        <w:rPr>
          <w:rFonts w:cs="David" w:hint="cs"/>
          <w:b/>
          <w:bCs/>
          <w:sz w:val="24"/>
          <w:szCs w:val="24"/>
          <w:rtl/>
        </w:rPr>
        <w:t>הכסף המוחזק</w:t>
      </w:r>
      <w:r>
        <w:rPr>
          <w:rFonts w:cs="David" w:hint="cs"/>
          <w:sz w:val="24"/>
          <w:szCs w:val="24"/>
          <w:rtl/>
        </w:rPr>
        <w:t xml:space="preserve">"). במהלך התקופה שבין אפריל לבין אוגוסט 2015, הלווה הנאשם ליובל, מתוך הכסף המוחזק, סכומים שונים לכיסוי חובותיו של יובל. </w:t>
      </w:r>
    </w:p>
    <w:p w14:paraId="39F3195D" w14:textId="77777777" w:rsidR="007C7294" w:rsidRDefault="00112E04">
      <w:pPr>
        <w:pStyle w:val="ListParagraph"/>
        <w:numPr>
          <w:ilvl w:val="1"/>
          <w:numId w:val="2"/>
        </w:numPr>
        <w:spacing w:after="0" w:line="360" w:lineRule="auto"/>
        <w:jc w:val="both"/>
        <w:rPr>
          <w:rFonts w:cs="David"/>
          <w:sz w:val="24"/>
          <w:szCs w:val="24"/>
        </w:rPr>
      </w:pPr>
      <w:r>
        <w:rPr>
          <w:rFonts w:cs="David" w:hint="cs"/>
          <w:sz w:val="24"/>
          <w:szCs w:val="24"/>
          <w:rtl/>
        </w:rPr>
        <w:t>במועד שאינו ידוע במדויק, קשרו יובל ומקסים אזולאי (להלן: "</w:t>
      </w:r>
      <w:r>
        <w:rPr>
          <w:rFonts w:cs="David" w:hint="cs"/>
          <w:b/>
          <w:bCs/>
          <w:sz w:val="24"/>
          <w:szCs w:val="24"/>
          <w:rtl/>
        </w:rPr>
        <w:t>מקסים</w:t>
      </w:r>
      <w:r>
        <w:rPr>
          <w:rFonts w:cs="David" w:hint="cs"/>
          <w:sz w:val="24"/>
          <w:szCs w:val="24"/>
          <w:rtl/>
        </w:rPr>
        <w:t>"), קשר עם רפי פיראואנדי (להלן: "</w:t>
      </w:r>
      <w:r>
        <w:rPr>
          <w:rFonts w:cs="David" w:hint="cs"/>
          <w:b/>
          <w:bCs/>
          <w:sz w:val="24"/>
          <w:szCs w:val="24"/>
          <w:rtl/>
        </w:rPr>
        <w:t>רפי</w:t>
      </w:r>
      <w:r>
        <w:rPr>
          <w:rFonts w:cs="David" w:hint="cs"/>
          <w:sz w:val="24"/>
          <w:szCs w:val="24"/>
          <w:rtl/>
        </w:rPr>
        <w:t xml:space="preserve">"), לייבא סמים מסוכנים מסוג קוקאין מאמסטרדם שבהולנד לישראל. </w:t>
      </w:r>
    </w:p>
    <w:p w14:paraId="3E20CFCA" w14:textId="77777777" w:rsidR="007C7294" w:rsidRDefault="00112E04">
      <w:pPr>
        <w:pStyle w:val="ListParagraph"/>
        <w:numPr>
          <w:ilvl w:val="1"/>
          <w:numId w:val="2"/>
        </w:numPr>
        <w:spacing w:after="0" w:line="360" w:lineRule="auto"/>
        <w:jc w:val="both"/>
        <w:rPr>
          <w:rFonts w:cs="David"/>
          <w:sz w:val="24"/>
          <w:szCs w:val="24"/>
        </w:rPr>
      </w:pPr>
      <w:r>
        <w:rPr>
          <w:rFonts w:cs="David" w:hint="cs"/>
          <w:sz w:val="24"/>
          <w:szCs w:val="24"/>
          <w:rtl/>
        </w:rPr>
        <w:t>בתאריך 4.10.15 נפגשו הנאשם, יובל ומקסים, וקשרו קשר לפיו הנאשם יטוס לאמסטרדם, שם ייפגש עם רפי שמתגורר באמסטרדם, ועם אנשים מטעמו של מקסים (להלן: "</w:t>
      </w:r>
      <w:r>
        <w:rPr>
          <w:rFonts w:cs="David" w:hint="cs"/>
          <w:b/>
          <w:bCs/>
          <w:sz w:val="24"/>
          <w:szCs w:val="24"/>
          <w:rtl/>
        </w:rPr>
        <w:t>האחרים</w:t>
      </w:r>
      <w:r>
        <w:rPr>
          <w:rFonts w:cs="David" w:hint="cs"/>
          <w:sz w:val="24"/>
          <w:szCs w:val="24"/>
          <w:rtl/>
        </w:rPr>
        <w:t>"), שימסרו לנאשם סמים, בתמורה לסכום של 18,000 יורו, שהנאשם יעביר להם, מתוך הכסף המוחזק. הנאשם יוביל וימסור את הסמים באמסטרדם לאחר, שזהותו אינה ידועה (להלן: "</w:t>
      </w:r>
      <w:r>
        <w:rPr>
          <w:rFonts w:cs="David" w:hint="cs"/>
          <w:b/>
          <w:bCs/>
          <w:sz w:val="24"/>
          <w:szCs w:val="24"/>
          <w:rtl/>
        </w:rPr>
        <w:t>הבלדר האחר</w:t>
      </w:r>
      <w:r>
        <w:rPr>
          <w:rFonts w:cs="David" w:hint="cs"/>
          <w:sz w:val="24"/>
          <w:szCs w:val="24"/>
          <w:rtl/>
        </w:rPr>
        <w:t>"), אשר יכניס את הסמים לישראל (להלן: "</w:t>
      </w:r>
      <w:r>
        <w:rPr>
          <w:rFonts w:cs="David" w:hint="cs"/>
          <w:b/>
          <w:bCs/>
          <w:sz w:val="24"/>
          <w:szCs w:val="24"/>
          <w:rtl/>
        </w:rPr>
        <w:t>הקשר</w:t>
      </w:r>
      <w:r>
        <w:rPr>
          <w:rFonts w:cs="David" w:hint="cs"/>
          <w:sz w:val="24"/>
          <w:szCs w:val="24"/>
          <w:rtl/>
        </w:rPr>
        <w:t>", להלן כולם: "</w:t>
      </w:r>
      <w:r>
        <w:rPr>
          <w:rFonts w:cs="David" w:hint="cs"/>
          <w:b/>
          <w:bCs/>
          <w:sz w:val="24"/>
          <w:szCs w:val="24"/>
          <w:rtl/>
        </w:rPr>
        <w:t>הקושרים</w:t>
      </w:r>
      <w:r>
        <w:rPr>
          <w:rFonts w:cs="David" w:hint="cs"/>
          <w:sz w:val="24"/>
          <w:szCs w:val="24"/>
          <w:rtl/>
        </w:rPr>
        <w:t>").</w:t>
      </w:r>
    </w:p>
    <w:p w14:paraId="0BD04B68" w14:textId="77777777" w:rsidR="007C7294" w:rsidRDefault="00112E04">
      <w:pPr>
        <w:pStyle w:val="ListParagraph"/>
        <w:numPr>
          <w:ilvl w:val="1"/>
          <w:numId w:val="2"/>
        </w:numPr>
        <w:spacing w:after="0" w:line="360" w:lineRule="auto"/>
        <w:jc w:val="both"/>
        <w:rPr>
          <w:rFonts w:cs="David"/>
          <w:sz w:val="24"/>
          <w:szCs w:val="24"/>
        </w:rPr>
      </w:pPr>
      <w:r>
        <w:rPr>
          <w:rFonts w:cs="David" w:hint="cs"/>
          <w:sz w:val="24"/>
          <w:szCs w:val="24"/>
          <w:rtl/>
        </w:rPr>
        <w:t xml:space="preserve">מיד לאחר מכן, נסעו יובל והנאשם לסוכנות נסיעות בת"א. יובל רכש עבור הנאשם כרטיס טיסה לאמסטרדם ובחזרה לישראל, ושילם תמורתו מתוך הכסף המוחזק. בהמשך עדכן יובל את מקסים בכך. </w:t>
      </w:r>
    </w:p>
    <w:p w14:paraId="50E99226" w14:textId="77777777" w:rsidR="007C7294" w:rsidRDefault="00112E04">
      <w:pPr>
        <w:pStyle w:val="ListParagraph"/>
        <w:numPr>
          <w:ilvl w:val="1"/>
          <w:numId w:val="2"/>
        </w:numPr>
        <w:spacing w:after="0" w:line="360" w:lineRule="auto"/>
        <w:jc w:val="both"/>
        <w:rPr>
          <w:rFonts w:cs="David"/>
          <w:sz w:val="24"/>
          <w:szCs w:val="24"/>
        </w:rPr>
      </w:pPr>
      <w:r>
        <w:rPr>
          <w:rFonts w:cs="David" w:hint="cs"/>
          <w:sz w:val="24"/>
          <w:szCs w:val="24"/>
          <w:rtl/>
        </w:rPr>
        <w:t>על פי הנחיות מקסים, רכשו יובל והנאשם שלושה מכשירי טלפון ניידים – ליובל, למקסים, ולרפי, כדי שיוכלו לתקשר ביניהם מבלי שניתן יהיה להתחקות אחר התקשרויות אלה.</w:t>
      </w:r>
    </w:p>
    <w:p w14:paraId="2B988C94" w14:textId="77777777" w:rsidR="007C7294" w:rsidRDefault="00112E04">
      <w:pPr>
        <w:pStyle w:val="ListParagraph"/>
        <w:spacing w:after="0" w:line="360" w:lineRule="auto"/>
        <w:ind w:left="1440"/>
        <w:jc w:val="both"/>
        <w:rPr>
          <w:rFonts w:cs="David"/>
          <w:sz w:val="24"/>
          <w:szCs w:val="24"/>
        </w:rPr>
      </w:pPr>
      <w:r>
        <w:rPr>
          <w:rFonts w:cs="David" w:hint="cs"/>
          <w:sz w:val="24"/>
          <w:szCs w:val="24"/>
          <w:rtl/>
        </w:rPr>
        <w:t>הנאשם שילם תמורת המכשירים סך של 1,850 ₪ מתוך הכסף המוחזק.</w:t>
      </w:r>
    </w:p>
    <w:p w14:paraId="1655DC44" w14:textId="77777777" w:rsidR="007C7294" w:rsidRDefault="00112E04">
      <w:pPr>
        <w:pStyle w:val="ListParagraph"/>
        <w:numPr>
          <w:ilvl w:val="1"/>
          <w:numId w:val="2"/>
        </w:numPr>
        <w:spacing w:after="0" w:line="360" w:lineRule="auto"/>
        <w:jc w:val="both"/>
        <w:rPr>
          <w:rFonts w:cs="David"/>
          <w:sz w:val="24"/>
          <w:szCs w:val="24"/>
        </w:rPr>
      </w:pPr>
      <w:r>
        <w:rPr>
          <w:rFonts w:cs="David" w:hint="cs"/>
          <w:sz w:val="24"/>
          <w:szCs w:val="24"/>
          <w:rtl/>
        </w:rPr>
        <w:t>ביום 7.10.15, טס הנאשם לאמסטרדם. שם נפגש עם רפי והאחרים, ומסר לרפי טלפון נייד מהמכשירים שרכש עם יובל. רפי אמר לנאשם שימסור לו 200 גרם קוקאין, אותם עליו להעביר לבלדר האחר.</w:t>
      </w:r>
    </w:p>
    <w:p w14:paraId="76EFCFA7" w14:textId="77777777" w:rsidR="007C7294" w:rsidRDefault="00112E04">
      <w:pPr>
        <w:pStyle w:val="ListParagraph"/>
        <w:numPr>
          <w:ilvl w:val="1"/>
          <w:numId w:val="2"/>
        </w:numPr>
        <w:spacing w:after="0" w:line="360" w:lineRule="auto"/>
        <w:jc w:val="both"/>
        <w:rPr>
          <w:rFonts w:cs="David"/>
          <w:sz w:val="24"/>
          <w:szCs w:val="24"/>
        </w:rPr>
      </w:pPr>
      <w:r>
        <w:rPr>
          <w:rFonts w:cs="David" w:hint="cs"/>
          <w:sz w:val="24"/>
          <w:szCs w:val="24"/>
          <w:rtl/>
        </w:rPr>
        <w:lastRenderedPageBreak/>
        <w:t xml:space="preserve">לאחר מספר ימים, אמר רפי לנאשם שהבלדר האחר התחרט ואינו מעוניין לייבא את הסמים לישראל. רפי עדכן את מקסים. הנאשם והקושרים האחרים ניסו למצוא דרך חלופית לייבא את הסמים, באמצעות הדואר, אך הדבר לא צלח. כמו כן מסר הנאשם לרפי סכום של 5,000 יורו לבקשת מקסים. </w:t>
      </w:r>
    </w:p>
    <w:p w14:paraId="68FE2749" w14:textId="77777777" w:rsidR="007C7294" w:rsidRDefault="00112E04">
      <w:pPr>
        <w:pStyle w:val="ListParagraph"/>
        <w:numPr>
          <w:ilvl w:val="1"/>
          <w:numId w:val="2"/>
        </w:numPr>
        <w:spacing w:after="0" w:line="360" w:lineRule="auto"/>
        <w:jc w:val="both"/>
        <w:rPr>
          <w:rFonts w:cs="David"/>
          <w:sz w:val="24"/>
          <w:szCs w:val="24"/>
        </w:rPr>
      </w:pPr>
      <w:r>
        <w:rPr>
          <w:rFonts w:cs="David" w:hint="cs"/>
          <w:sz w:val="24"/>
          <w:szCs w:val="24"/>
          <w:rtl/>
        </w:rPr>
        <w:t xml:space="preserve">בהמשך, חזר הנאשם לישראל, ונפגש עם יובל שאמר לו שמאחר והקושרים לא הצליחו לייבא את הסמים לארץ, באמצעות הדואר או בדרך אחרת, עליו לטוס שוב לאמסטרדם, לקבל את הסמים הארוזים מרפי והאחרים, לבלוע את הסמים באמסטרדם ולשוב לישראל כשהסמים בגופו. הנאשם הסכים. </w:t>
      </w:r>
    </w:p>
    <w:p w14:paraId="793611D4" w14:textId="77777777" w:rsidR="007C7294" w:rsidRDefault="00112E04">
      <w:pPr>
        <w:pStyle w:val="ListParagraph"/>
        <w:numPr>
          <w:ilvl w:val="1"/>
          <w:numId w:val="2"/>
        </w:numPr>
        <w:spacing w:after="0" w:line="360" w:lineRule="auto"/>
        <w:jc w:val="both"/>
        <w:rPr>
          <w:rFonts w:cs="David"/>
          <w:sz w:val="24"/>
          <w:szCs w:val="24"/>
        </w:rPr>
      </w:pPr>
      <w:r>
        <w:rPr>
          <w:rFonts w:cs="David" w:hint="cs"/>
          <w:sz w:val="24"/>
          <w:szCs w:val="24"/>
          <w:rtl/>
        </w:rPr>
        <w:t xml:space="preserve">בתאריך 8.11.15, רכש יובל עבור הנאשם כרטיס טיסה מישראל לאמסטרדם ובחזרה. בתאריך 9.11.15 טס הנאשם לאמסטרדם. שם נפגש עם רפי והאחרים, שאמרו לו שמאחר והגיע לאמסטרדם לזמן קצר מאד, הדבר עלול לעורר חשד והוא עלול להיעצר. בשל כך, הנאשם חזר לישראל בתאריך 11.11.15 ללא הסמים. </w:t>
      </w:r>
    </w:p>
    <w:p w14:paraId="2A56EAF4" w14:textId="77777777" w:rsidR="007C7294" w:rsidRDefault="00112E04">
      <w:pPr>
        <w:pStyle w:val="ListParagraph"/>
        <w:numPr>
          <w:ilvl w:val="1"/>
          <w:numId w:val="2"/>
        </w:numPr>
        <w:spacing w:after="0" w:line="360" w:lineRule="auto"/>
        <w:jc w:val="both"/>
        <w:rPr>
          <w:rFonts w:cs="David"/>
          <w:sz w:val="24"/>
          <w:szCs w:val="24"/>
        </w:rPr>
      </w:pPr>
      <w:r>
        <w:rPr>
          <w:rFonts w:cs="David" w:hint="cs"/>
          <w:sz w:val="24"/>
          <w:szCs w:val="24"/>
          <w:rtl/>
        </w:rPr>
        <w:t xml:space="preserve">ביום 11.11.15 נעצר הנאשם בנתב"ג ושוחרר. </w:t>
      </w:r>
    </w:p>
    <w:p w14:paraId="63804CB5" w14:textId="77777777" w:rsidR="007C7294" w:rsidRDefault="007C7294">
      <w:pPr>
        <w:pStyle w:val="ListParagraph"/>
        <w:spacing w:after="0" w:line="360" w:lineRule="auto"/>
        <w:ind w:left="1440"/>
        <w:jc w:val="both"/>
        <w:rPr>
          <w:rFonts w:cs="David"/>
          <w:sz w:val="24"/>
          <w:szCs w:val="24"/>
          <w:u w:val="single"/>
        </w:rPr>
      </w:pPr>
    </w:p>
    <w:p w14:paraId="4C0BB330" w14:textId="77777777" w:rsidR="007C7294" w:rsidRDefault="00112E04">
      <w:pPr>
        <w:pStyle w:val="ListParagraph"/>
        <w:spacing w:after="0" w:line="360" w:lineRule="auto"/>
        <w:ind w:left="1440"/>
        <w:jc w:val="both"/>
        <w:rPr>
          <w:rFonts w:cs="David"/>
          <w:sz w:val="24"/>
          <w:szCs w:val="24"/>
          <w:u w:val="single"/>
          <w:rtl/>
        </w:rPr>
      </w:pPr>
      <w:r>
        <w:rPr>
          <w:rFonts w:cs="David" w:hint="cs"/>
          <w:sz w:val="24"/>
          <w:szCs w:val="24"/>
          <w:u w:val="single"/>
          <w:rtl/>
        </w:rPr>
        <w:t>אישום שני</w:t>
      </w:r>
    </w:p>
    <w:p w14:paraId="77E626CE" w14:textId="77777777" w:rsidR="007C7294" w:rsidRDefault="00112E04">
      <w:pPr>
        <w:pStyle w:val="ListParagraph"/>
        <w:numPr>
          <w:ilvl w:val="1"/>
          <w:numId w:val="2"/>
        </w:numPr>
        <w:spacing w:after="0" w:line="360" w:lineRule="auto"/>
        <w:jc w:val="both"/>
        <w:rPr>
          <w:rFonts w:cs="David"/>
          <w:sz w:val="24"/>
          <w:szCs w:val="24"/>
        </w:rPr>
      </w:pPr>
      <w:r>
        <w:rPr>
          <w:rFonts w:cs="David" w:hint="cs"/>
          <w:sz w:val="24"/>
          <w:szCs w:val="24"/>
          <w:rtl/>
        </w:rPr>
        <w:t>לאחר שהנאשם שב לישראל, במהלך התקופה שבין נובמבר 2015 לינואר 2016 (להלן: "</w:t>
      </w:r>
      <w:r>
        <w:rPr>
          <w:rFonts w:cs="David" w:hint="cs"/>
          <w:b/>
          <w:bCs/>
          <w:sz w:val="24"/>
          <w:szCs w:val="24"/>
          <w:rtl/>
        </w:rPr>
        <w:t>התקופה</w:t>
      </w:r>
      <w:r>
        <w:rPr>
          <w:rFonts w:cs="David" w:hint="cs"/>
          <w:sz w:val="24"/>
          <w:szCs w:val="24"/>
          <w:rtl/>
        </w:rPr>
        <w:t xml:space="preserve">"), נפגשו הנאשם, יובל ומקסים, במקומות שונים, ושוחחו בכדי להוציא את מטרת הקשר לפועל, לייבא את הסמים לישראל בדרכים שונות. במסגרת הקשר, מסר הנאשם למקסים סכומי כסף נוספים, מתוך הכסף המוחזק. </w:t>
      </w:r>
    </w:p>
    <w:p w14:paraId="536B9C07" w14:textId="77777777" w:rsidR="007C7294" w:rsidRDefault="00112E04">
      <w:pPr>
        <w:pStyle w:val="ListParagraph"/>
        <w:numPr>
          <w:ilvl w:val="1"/>
          <w:numId w:val="2"/>
        </w:numPr>
        <w:spacing w:after="0" w:line="360" w:lineRule="auto"/>
        <w:jc w:val="both"/>
        <w:rPr>
          <w:rFonts w:cs="David"/>
          <w:sz w:val="24"/>
          <w:szCs w:val="24"/>
        </w:rPr>
      </w:pPr>
      <w:r>
        <w:rPr>
          <w:rFonts w:cs="David" w:hint="cs"/>
          <w:sz w:val="24"/>
          <w:szCs w:val="24"/>
          <w:rtl/>
        </w:rPr>
        <w:t>במהלך התקופה, ביקר יובל את הנאשם במשרדו, המצוי במתחם ביתו בקרית אונו (להלן: "</w:t>
      </w:r>
      <w:r>
        <w:rPr>
          <w:rFonts w:cs="David" w:hint="cs"/>
          <w:b/>
          <w:bCs/>
          <w:sz w:val="24"/>
          <w:szCs w:val="24"/>
          <w:rtl/>
        </w:rPr>
        <w:t>המשרד</w:t>
      </w:r>
      <w:r>
        <w:rPr>
          <w:rFonts w:cs="David" w:hint="cs"/>
          <w:sz w:val="24"/>
          <w:szCs w:val="24"/>
          <w:rtl/>
        </w:rPr>
        <w:t xml:space="preserve">"), שם הכיר את המנוח, חברו של הנאשם. במהלך המפגשים, סיפר המנוח ליובל על קשייו הכלכליים ועל חובות שצבר. יובל ביקש מהמנוח לערוך בדיקה האם הוצא נגדו צו עיכוב יציאה מהארץ בשל חובותיו. </w:t>
      </w:r>
    </w:p>
    <w:p w14:paraId="624DA7A9" w14:textId="77777777" w:rsidR="007C7294" w:rsidRDefault="00112E04">
      <w:pPr>
        <w:pStyle w:val="ListParagraph"/>
        <w:numPr>
          <w:ilvl w:val="1"/>
          <w:numId w:val="2"/>
        </w:numPr>
        <w:spacing w:after="0" w:line="360" w:lineRule="auto"/>
        <w:jc w:val="both"/>
        <w:rPr>
          <w:rFonts w:cs="David"/>
          <w:sz w:val="24"/>
          <w:szCs w:val="24"/>
        </w:rPr>
      </w:pPr>
      <w:r>
        <w:rPr>
          <w:rFonts w:cs="David" w:hint="cs"/>
          <w:sz w:val="24"/>
          <w:szCs w:val="24"/>
          <w:rtl/>
        </w:rPr>
        <w:t xml:space="preserve">במהלך המפגשים במשרד, שידל יובל את המנוח להצטרף לקשר, וזאת לאחר ששאל את הנאשם האם ניתן לסמוך על המנוח והנאשם אישר שאפשר לסמוך עליו. </w:t>
      </w:r>
    </w:p>
    <w:p w14:paraId="5825E68B" w14:textId="77777777" w:rsidR="007C7294" w:rsidRDefault="00112E04">
      <w:pPr>
        <w:pStyle w:val="ListParagraph"/>
        <w:numPr>
          <w:ilvl w:val="1"/>
          <w:numId w:val="2"/>
        </w:numPr>
        <w:spacing w:after="0" w:line="360" w:lineRule="auto"/>
        <w:jc w:val="both"/>
        <w:rPr>
          <w:rFonts w:cs="David"/>
          <w:sz w:val="24"/>
          <w:szCs w:val="24"/>
        </w:rPr>
      </w:pPr>
      <w:r>
        <w:rPr>
          <w:rFonts w:cs="David" w:hint="cs"/>
          <w:sz w:val="24"/>
          <w:szCs w:val="24"/>
          <w:rtl/>
        </w:rPr>
        <w:t>יובל שידל את המנוח לטוס לאמסטרדם, שם יקבל את הסמים כשהם ארוזים על ידי אדם שזהותו אינו ידועה (להלן: "</w:t>
      </w:r>
      <w:r>
        <w:rPr>
          <w:rFonts w:cs="David" w:hint="cs"/>
          <w:b/>
          <w:bCs/>
          <w:sz w:val="24"/>
          <w:szCs w:val="24"/>
          <w:rtl/>
        </w:rPr>
        <w:t>האחר</w:t>
      </w:r>
      <w:r>
        <w:rPr>
          <w:rFonts w:cs="David" w:hint="cs"/>
          <w:sz w:val="24"/>
          <w:szCs w:val="24"/>
          <w:rtl/>
        </w:rPr>
        <w:t>") ומוכנים לבליעה. יובל אמר למנוח שהדרך היחידה לייבא את הסמים, מבלי להיעצר, היא על ידי בליעתם. יובל הציע למנוח, בתמורה לייבוא הסמים, סך של 50,000 ₪. חילופי הדברים הללו נערכו בנוכחות הנאשם.</w:t>
      </w:r>
    </w:p>
    <w:p w14:paraId="410A4EC5" w14:textId="77777777" w:rsidR="007C7294" w:rsidRDefault="00112E04">
      <w:pPr>
        <w:pStyle w:val="ListParagraph"/>
        <w:numPr>
          <w:ilvl w:val="1"/>
          <w:numId w:val="2"/>
        </w:numPr>
        <w:spacing w:after="0" w:line="360" w:lineRule="auto"/>
        <w:jc w:val="both"/>
        <w:rPr>
          <w:rFonts w:cs="David"/>
          <w:sz w:val="24"/>
          <w:szCs w:val="24"/>
        </w:rPr>
      </w:pPr>
      <w:r>
        <w:rPr>
          <w:rFonts w:cs="David" w:hint="cs"/>
          <w:sz w:val="24"/>
          <w:szCs w:val="24"/>
          <w:rtl/>
        </w:rPr>
        <w:t>במהלך התקופה, נפגשו יובל והנאשם עם מקסים בלוד. במהלך המפגש כעס מקסים ואמר ליובל: "יש סחורה טובה באמסטרדם, מחכה, למה אתם לא עולים? תעלה אותם [את הנאשם ואת המנוח]".</w:t>
      </w:r>
    </w:p>
    <w:p w14:paraId="437CA11A" w14:textId="77777777" w:rsidR="007C7294" w:rsidRDefault="00112E04">
      <w:pPr>
        <w:pStyle w:val="ListParagraph"/>
        <w:numPr>
          <w:ilvl w:val="1"/>
          <w:numId w:val="2"/>
        </w:numPr>
        <w:spacing w:after="0" w:line="360" w:lineRule="auto"/>
        <w:jc w:val="both"/>
        <w:rPr>
          <w:rFonts w:cs="David"/>
          <w:sz w:val="24"/>
          <w:szCs w:val="24"/>
        </w:rPr>
      </w:pPr>
      <w:r>
        <w:rPr>
          <w:rFonts w:cs="David" w:hint="cs"/>
          <w:sz w:val="24"/>
          <w:szCs w:val="24"/>
          <w:rtl/>
        </w:rPr>
        <w:t>יובל אמר לנאשם שעליו לרכוש, עבור המנוח, כרטיס טיסה ולהצטרף אליו לטיסה לאמסטרדם, להיפגש עם רפי והאחרים, לקבל מהם את הסמים, ולהעבירם למנוח. הנאשם סירב בתחילה, ואף ניסה להניא את המנוח להצטרף לקשר, אך יובל חזר והפציר במנוח במשך כשבועיים להצטרף לקשר ולייבא את הסמים באמצעות בליעתם. המנוח הסכים להצטרף לקשר ולייבא את הסמים באופן שנקבע על ידי יובל, וכך גם הנאשם.</w:t>
      </w:r>
    </w:p>
    <w:p w14:paraId="1F3D2B81" w14:textId="77777777" w:rsidR="007C7294" w:rsidRDefault="00112E04">
      <w:pPr>
        <w:pStyle w:val="ListParagraph"/>
        <w:numPr>
          <w:ilvl w:val="1"/>
          <w:numId w:val="2"/>
        </w:numPr>
        <w:spacing w:after="0" w:line="360" w:lineRule="auto"/>
        <w:jc w:val="both"/>
        <w:rPr>
          <w:rFonts w:cs="David"/>
          <w:sz w:val="24"/>
          <w:szCs w:val="24"/>
        </w:rPr>
      </w:pPr>
      <w:r>
        <w:rPr>
          <w:rFonts w:cs="David" w:hint="cs"/>
          <w:sz w:val="24"/>
          <w:szCs w:val="24"/>
          <w:rtl/>
        </w:rPr>
        <w:t xml:space="preserve">המנוח ביקש מיובל שידגים לו כיצד לארוז את הסמים ולבלוע אותם. יובל ביקש מהנאשם שיביא לו קמח, הכניס כמות מסוימת לתוך שתי שקיות ניילון, ארז אותן, ומסר אותן למנוח. המנוח בלע את השקיות שארז עבורו יובל. כעבור זמן מה, הגיע המנוח למשרדו של הנאשם ואמר לו שהצליח לפלוט את שקיות הקמח. הנאשם דיווח ליובל שהגיע למשרד ואמר למנוח ולנאשם שהמנוח "מוכן" לייבא את הסמים. </w:t>
      </w:r>
    </w:p>
    <w:p w14:paraId="08BAAB2A" w14:textId="77777777" w:rsidR="007C7294" w:rsidRDefault="00112E04">
      <w:pPr>
        <w:pStyle w:val="ListParagraph"/>
        <w:numPr>
          <w:ilvl w:val="1"/>
          <w:numId w:val="2"/>
        </w:numPr>
        <w:spacing w:after="0" w:line="360" w:lineRule="auto"/>
        <w:jc w:val="both"/>
        <w:rPr>
          <w:rFonts w:cs="David"/>
          <w:sz w:val="24"/>
          <w:szCs w:val="24"/>
        </w:rPr>
      </w:pPr>
      <w:r>
        <w:rPr>
          <w:rFonts w:cs="David" w:hint="cs"/>
          <w:sz w:val="24"/>
          <w:szCs w:val="24"/>
          <w:rtl/>
        </w:rPr>
        <w:t xml:space="preserve">בהמשך, מסר יובל לנאשם כסף, כדי להעביר למנוח, לצורך רכישת כרטיס טיסה ולינה בבית מלון באמסטרדם. הנאשם מסר את הכסף למנוח, והמנוח קנה כרטיס טיסה לאמסטרדם ובחזרה לישראל, ולינה בבית מלון באמסטרדם. כמו כן, רכש יובל כרטיסי טיסה ולינה, בין היתר, עבור הנאשם ורעייתו, במועדים זהים למועדים בהם נועד לטוס המנוח, אך בשעות שונות ובבתי מלון שונים. </w:t>
      </w:r>
    </w:p>
    <w:p w14:paraId="7C451FAE" w14:textId="77777777" w:rsidR="007C7294" w:rsidRDefault="00112E04">
      <w:pPr>
        <w:pStyle w:val="ListParagraph"/>
        <w:numPr>
          <w:ilvl w:val="1"/>
          <w:numId w:val="2"/>
        </w:numPr>
        <w:spacing w:after="0" w:line="360" w:lineRule="auto"/>
        <w:jc w:val="both"/>
        <w:rPr>
          <w:rFonts w:cs="David"/>
          <w:sz w:val="24"/>
          <w:szCs w:val="24"/>
        </w:rPr>
      </w:pPr>
      <w:r>
        <w:rPr>
          <w:rFonts w:cs="David" w:hint="cs"/>
          <w:sz w:val="24"/>
          <w:szCs w:val="24"/>
          <w:rtl/>
        </w:rPr>
        <w:t xml:space="preserve">ביום 26.1.16, הודיע יובל למנוח ולנאשם, במשרד, כי האחר שתפקידו לארוז את הסמים לא נמצא באמסטרדם. יובל אמר למנוח שהוא יסביר לו כיצד לארוז את הסמים, והמנוח, באמסטרדם, יארוז בעצמו את הסמים ויבלע אותם. </w:t>
      </w:r>
    </w:p>
    <w:p w14:paraId="02DD439C" w14:textId="77777777" w:rsidR="007C7294" w:rsidRDefault="00112E04">
      <w:pPr>
        <w:pStyle w:val="ListParagraph"/>
        <w:numPr>
          <w:ilvl w:val="1"/>
          <w:numId w:val="2"/>
        </w:numPr>
        <w:spacing w:after="0" w:line="360" w:lineRule="auto"/>
        <w:jc w:val="both"/>
        <w:rPr>
          <w:rFonts w:cs="David"/>
          <w:sz w:val="24"/>
          <w:szCs w:val="24"/>
        </w:rPr>
      </w:pPr>
      <w:r>
        <w:rPr>
          <w:rFonts w:cs="David" w:hint="cs"/>
          <w:sz w:val="24"/>
          <w:szCs w:val="24"/>
          <w:rtl/>
        </w:rPr>
        <w:t>יובל הראה למנוח כיצד לארוז את הסמים, כיצד לעטוף את הסם והניילון, ולמתוח אותו סביב הסמים, והורה למנוח להתאמן. כמו כן אמר יובל למנוח, בנוכחות הנאשם, שעליו לבלוע את הסמים שמונה שעות לפני הנחיתה בישראל.</w:t>
      </w:r>
    </w:p>
    <w:p w14:paraId="7D7772A3" w14:textId="77777777" w:rsidR="007C7294" w:rsidRDefault="00112E04">
      <w:pPr>
        <w:pStyle w:val="ListParagraph"/>
        <w:numPr>
          <w:ilvl w:val="1"/>
          <w:numId w:val="2"/>
        </w:numPr>
        <w:spacing w:after="0" w:line="360" w:lineRule="auto"/>
        <w:jc w:val="both"/>
        <w:rPr>
          <w:rFonts w:cs="David"/>
          <w:sz w:val="24"/>
          <w:szCs w:val="24"/>
        </w:rPr>
      </w:pPr>
      <w:r>
        <w:rPr>
          <w:rFonts w:cs="David" w:hint="cs"/>
          <w:sz w:val="24"/>
          <w:szCs w:val="24"/>
          <w:rtl/>
        </w:rPr>
        <w:t>יובל עשה את המעשים המתוארים בסעיפים טו-כא, בנוכחות הנאשם, ומבלי שיובל או הנאשם הסבירו למנוח את סכנת החיים הממשית הטמונה בבליעת כמות עצומה של סמים מסוכנים מסוג קוקאין, שיובל שלח אותו לייבא במסגרת הקשר.</w:t>
      </w:r>
    </w:p>
    <w:p w14:paraId="6A75D58B" w14:textId="77777777" w:rsidR="007C7294" w:rsidRDefault="00112E04">
      <w:pPr>
        <w:pStyle w:val="ListParagraph"/>
        <w:numPr>
          <w:ilvl w:val="1"/>
          <w:numId w:val="2"/>
        </w:numPr>
        <w:spacing w:after="0" w:line="360" w:lineRule="auto"/>
        <w:jc w:val="both"/>
        <w:rPr>
          <w:rFonts w:cs="David"/>
          <w:sz w:val="24"/>
          <w:szCs w:val="24"/>
        </w:rPr>
      </w:pPr>
      <w:r>
        <w:rPr>
          <w:rFonts w:cs="David" w:hint="cs"/>
          <w:sz w:val="24"/>
          <w:szCs w:val="24"/>
          <w:rtl/>
        </w:rPr>
        <w:t xml:space="preserve">ביום 27.1.16, בשעה 03:04, טס המנוח לאמסטרדם. באותו יום, בשעה 16:38, טסו הנאשם, ורעייתו לאמסטרדם. </w:t>
      </w:r>
    </w:p>
    <w:p w14:paraId="458E2FDB" w14:textId="77777777" w:rsidR="007C7294" w:rsidRDefault="00112E04">
      <w:pPr>
        <w:pStyle w:val="ListParagraph"/>
        <w:numPr>
          <w:ilvl w:val="1"/>
          <w:numId w:val="2"/>
        </w:numPr>
        <w:spacing w:after="0" w:line="360" w:lineRule="auto"/>
        <w:jc w:val="both"/>
        <w:rPr>
          <w:rFonts w:cs="David"/>
          <w:sz w:val="24"/>
          <w:szCs w:val="24"/>
        </w:rPr>
      </w:pPr>
      <w:r>
        <w:rPr>
          <w:rFonts w:cs="David" w:hint="cs"/>
          <w:sz w:val="24"/>
          <w:szCs w:val="24"/>
          <w:rtl/>
        </w:rPr>
        <w:t>ביום 28.1.16 נפגש הנאשם עם רפי ואחרים שזהותם לא ידועה. רפי והאחרים העבירו לנאשם סם מסוכן מסוג קוקאין, במשקל של 486.88 גרם, מוסתר בתוך כיסוי של מחשב לוח (טאבלט) (להלן: "</w:t>
      </w:r>
      <w:r>
        <w:rPr>
          <w:rFonts w:cs="David" w:hint="cs"/>
          <w:b/>
          <w:bCs/>
          <w:sz w:val="24"/>
          <w:szCs w:val="24"/>
          <w:rtl/>
        </w:rPr>
        <w:t>הסמים</w:t>
      </w:r>
      <w:r>
        <w:rPr>
          <w:rFonts w:cs="David" w:hint="cs"/>
          <w:sz w:val="24"/>
          <w:szCs w:val="24"/>
          <w:rtl/>
        </w:rPr>
        <w:t>").</w:t>
      </w:r>
    </w:p>
    <w:p w14:paraId="7ACEAFC9" w14:textId="77777777" w:rsidR="007C7294" w:rsidRDefault="00112E04">
      <w:pPr>
        <w:pStyle w:val="ListParagraph"/>
        <w:numPr>
          <w:ilvl w:val="1"/>
          <w:numId w:val="2"/>
        </w:numPr>
        <w:spacing w:after="0" w:line="360" w:lineRule="auto"/>
        <w:jc w:val="both"/>
        <w:rPr>
          <w:rFonts w:cs="David"/>
          <w:sz w:val="24"/>
          <w:szCs w:val="24"/>
        </w:rPr>
      </w:pPr>
      <w:r>
        <w:rPr>
          <w:rFonts w:cs="David" w:hint="cs"/>
          <w:sz w:val="24"/>
          <w:szCs w:val="24"/>
          <w:rtl/>
        </w:rPr>
        <w:t xml:space="preserve">בהמשך, הסיעו רפי והאחרים את הנאשם בסמוך למלון בו שהה המנוח. הנאשם נפגש עם המנוח ומסר לו את הסמים. המנוח ארז את הסמים בתוך 69 חבילות, ובלע אותן, בתאריך 31.1.16, עובר לטיסה חזרה לישראל. </w:t>
      </w:r>
    </w:p>
    <w:p w14:paraId="663A99F1" w14:textId="77777777" w:rsidR="007C7294" w:rsidRDefault="00112E04">
      <w:pPr>
        <w:pStyle w:val="ListParagraph"/>
        <w:numPr>
          <w:ilvl w:val="1"/>
          <w:numId w:val="2"/>
        </w:numPr>
        <w:spacing w:after="0" w:line="360" w:lineRule="auto"/>
        <w:jc w:val="both"/>
        <w:rPr>
          <w:rFonts w:cs="David"/>
          <w:sz w:val="24"/>
          <w:szCs w:val="24"/>
        </w:rPr>
      </w:pPr>
      <w:r>
        <w:rPr>
          <w:rFonts w:cs="David" w:hint="cs"/>
          <w:sz w:val="24"/>
          <w:szCs w:val="24"/>
          <w:rtl/>
        </w:rPr>
        <w:t>ביום 31.1.16, בסמוך לשעה 12:30, נחתו, בין היתר, הנאשם ורעייתו בישראל. סמוך לשעה 18:10 נחת המנוח בישראל. המנוח נסע ישירות משדה התעופה לביתו של הנאשם, ונפגש עמו במשרד. המנוח ביקש מהנאשם שירכוש עבורו כדורים המאיצים את פעולת המעיים, כדי להוציא את הסמים מגופו (להלן: "</w:t>
      </w:r>
      <w:r>
        <w:rPr>
          <w:rFonts w:cs="David" w:hint="cs"/>
          <w:b/>
          <w:bCs/>
          <w:sz w:val="24"/>
          <w:szCs w:val="24"/>
          <w:rtl/>
        </w:rPr>
        <w:t>הכדורים</w:t>
      </w:r>
      <w:r>
        <w:rPr>
          <w:rFonts w:cs="David" w:hint="cs"/>
          <w:sz w:val="24"/>
          <w:szCs w:val="24"/>
          <w:rtl/>
        </w:rPr>
        <w:t>").</w:t>
      </w:r>
    </w:p>
    <w:p w14:paraId="7130B05A" w14:textId="77777777" w:rsidR="007C7294" w:rsidRDefault="00112E04">
      <w:pPr>
        <w:pStyle w:val="ListParagraph"/>
        <w:numPr>
          <w:ilvl w:val="1"/>
          <w:numId w:val="2"/>
        </w:numPr>
        <w:spacing w:after="0" w:line="360" w:lineRule="auto"/>
        <w:jc w:val="both"/>
        <w:rPr>
          <w:rFonts w:cs="David"/>
          <w:sz w:val="24"/>
          <w:szCs w:val="24"/>
        </w:rPr>
      </w:pPr>
      <w:r>
        <w:rPr>
          <w:rFonts w:cs="David" w:hint="cs"/>
          <w:sz w:val="24"/>
          <w:szCs w:val="24"/>
          <w:rtl/>
        </w:rPr>
        <w:t>בהמשך, התקשר הנאשם ליובל, הודיע לו כי המנוח נחת והגיע למשרד וביקש ממנו לרכוש עבור המנוח את הכדורים. יובל רכש עבור המנוח את הכדורים ולאחר מכן הביא למנוח מזון, הכול כדי להאיץ את הוצאת הסמים מגופו של המנוח. לאחר מכן עזב יובל את המשרד.</w:t>
      </w:r>
    </w:p>
    <w:p w14:paraId="73EA6BEC" w14:textId="77777777" w:rsidR="007C7294" w:rsidRDefault="00112E04">
      <w:pPr>
        <w:pStyle w:val="ListParagraph"/>
        <w:numPr>
          <w:ilvl w:val="1"/>
          <w:numId w:val="2"/>
        </w:numPr>
        <w:spacing w:after="0" w:line="360" w:lineRule="auto"/>
        <w:jc w:val="both"/>
        <w:rPr>
          <w:rFonts w:cs="David"/>
          <w:sz w:val="24"/>
          <w:szCs w:val="24"/>
        </w:rPr>
      </w:pPr>
      <w:r>
        <w:rPr>
          <w:rFonts w:cs="David" w:hint="cs"/>
          <w:sz w:val="24"/>
          <w:szCs w:val="24"/>
          <w:rtl/>
        </w:rPr>
        <w:t xml:space="preserve">בסמוך לשעה 19:30, חש המנוח ברע. הנאשם הזעיק את יובל למשרד, והוא אכן הגיע למשרד כעבור זמן מה. הנאשם התקשר לרעייתו ולמכר שלו כדי שיסיעו אותו ואת המנוח לקבלת טיפול רפואי, אולם יובל סירב להצטרף אליהם. </w:t>
      </w:r>
    </w:p>
    <w:p w14:paraId="033B2710" w14:textId="77777777" w:rsidR="007C7294" w:rsidRDefault="00112E04">
      <w:pPr>
        <w:pStyle w:val="ListParagraph"/>
        <w:numPr>
          <w:ilvl w:val="1"/>
          <w:numId w:val="2"/>
        </w:numPr>
        <w:spacing w:after="0" w:line="360" w:lineRule="auto"/>
        <w:jc w:val="both"/>
        <w:rPr>
          <w:rFonts w:cs="David"/>
          <w:sz w:val="24"/>
          <w:szCs w:val="24"/>
        </w:rPr>
      </w:pPr>
      <w:r>
        <w:rPr>
          <w:rFonts w:cs="David" w:hint="cs"/>
          <w:sz w:val="24"/>
          <w:szCs w:val="24"/>
          <w:rtl/>
        </w:rPr>
        <w:t>המנוח פנה לנאשם ואמר לו, בנוכחות יובל, "איזה באסה אני עומד למות". הנאשם אחז במכשיר הטלפון שלו כדי להזעיק אמבולנס, אך יובל הורה לנאשם לא להתקשר למגן דוד אדום, כדי שלא יעצרו.</w:t>
      </w:r>
    </w:p>
    <w:p w14:paraId="0F563AB3" w14:textId="77777777" w:rsidR="007C7294" w:rsidRDefault="00112E04">
      <w:pPr>
        <w:pStyle w:val="ListParagraph"/>
        <w:numPr>
          <w:ilvl w:val="1"/>
          <w:numId w:val="2"/>
        </w:numPr>
        <w:spacing w:after="0" w:line="360" w:lineRule="auto"/>
        <w:jc w:val="both"/>
        <w:rPr>
          <w:rFonts w:cs="David"/>
          <w:sz w:val="24"/>
          <w:szCs w:val="24"/>
        </w:rPr>
      </w:pPr>
      <w:r>
        <w:rPr>
          <w:rFonts w:cs="David" w:hint="cs"/>
          <w:sz w:val="24"/>
          <w:szCs w:val="24"/>
          <w:rtl/>
        </w:rPr>
        <w:t xml:space="preserve">כעבור זמן מה, החל המנוח לפרכס. הנאשם התקשר למגן דוד אדום. יובל והנאשם אחזו במנוח בעודו מפרכס, הוציאו אותו מחוץ למשרד, אל רחוב לוי אשכול, והשכיבו אותו על המדרכה, זאת כדי להרחיק עצמם מהמנוח. יובל אמר לנאשם לחזור למשרד, ונותר לעמד בסמוך למנוח, כשהוא ממשיך לפרכס ודם ניגר מפיו. </w:t>
      </w:r>
    </w:p>
    <w:p w14:paraId="7A16AD1C" w14:textId="77777777" w:rsidR="007C7294" w:rsidRDefault="00112E04">
      <w:pPr>
        <w:pStyle w:val="ListParagraph"/>
        <w:numPr>
          <w:ilvl w:val="1"/>
          <w:numId w:val="2"/>
        </w:numPr>
        <w:spacing w:after="0" w:line="360" w:lineRule="auto"/>
        <w:jc w:val="both"/>
        <w:rPr>
          <w:rFonts w:cs="David"/>
          <w:sz w:val="24"/>
          <w:szCs w:val="24"/>
        </w:rPr>
      </w:pPr>
      <w:r>
        <w:rPr>
          <w:rFonts w:cs="David" w:hint="cs"/>
          <w:sz w:val="24"/>
          <w:szCs w:val="24"/>
          <w:rtl/>
        </w:rPr>
        <w:t>כשהגיע האמבולנס, טען יובל בפני הפרמדיק כי הוא המודיע, כי אין לו כל הכרות עם המנוח, והלך מהמקום.</w:t>
      </w:r>
    </w:p>
    <w:p w14:paraId="52FBF1F9" w14:textId="77777777" w:rsidR="007C7294" w:rsidRDefault="00112E04">
      <w:pPr>
        <w:pStyle w:val="ListParagraph"/>
        <w:numPr>
          <w:ilvl w:val="1"/>
          <w:numId w:val="2"/>
        </w:numPr>
        <w:spacing w:after="0" w:line="360" w:lineRule="auto"/>
        <w:jc w:val="both"/>
        <w:rPr>
          <w:rFonts w:cs="David"/>
          <w:sz w:val="24"/>
          <w:szCs w:val="24"/>
        </w:rPr>
      </w:pPr>
      <w:r>
        <w:rPr>
          <w:rFonts w:cs="David" w:hint="cs"/>
          <w:sz w:val="24"/>
          <w:szCs w:val="24"/>
          <w:rtl/>
        </w:rPr>
        <w:t xml:space="preserve">מיד לאחר מכן, במהלך הטיפול הרפואי שניתן למנוח במקום, הוא הפסיק לנשום ואיבד דופק. כוחות מד"א ביצעו בו החייאה. </w:t>
      </w:r>
    </w:p>
    <w:p w14:paraId="267EBF64" w14:textId="77777777" w:rsidR="007C7294" w:rsidRDefault="00112E04">
      <w:pPr>
        <w:pStyle w:val="ListParagraph"/>
        <w:numPr>
          <w:ilvl w:val="1"/>
          <w:numId w:val="2"/>
        </w:numPr>
        <w:spacing w:after="0" w:line="360" w:lineRule="auto"/>
        <w:jc w:val="both"/>
        <w:rPr>
          <w:rFonts w:cs="David"/>
          <w:sz w:val="24"/>
          <w:szCs w:val="24"/>
        </w:rPr>
      </w:pPr>
      <w:r>
        <w:rPr>
          <w:rFonts w:cs="David" w:hint="cs"/>
          <w:sz w:val="24"/>
          <w:szCs w:val="24"/>
          <w:rtl/>
        </w:rPr>
        <w:t xml:space="preserve">המנוח הובהל לבית החולים תל השומר במצב קריטי כשהוא מונשם ולאחר מכן הורדם. בדיקה נוירולוגית שנערכה למנוח העידה על פגיעה איסכימית, היעדר החזרי גזע מוח ובצקת מוחית. בתאריך 1.2.16 נערך למנוח ניתוח בטן, במהלכו הוצאו ממעיו 69 אריזות המכילות את הסמים. </w:t>
      </w:r>
    </w:p>
    <w:p w14:paraId="67812250" w14:textId="77777777" w:rsidR="007C7294" w:rsidRDefault="00112E04">
      <w:pPr>
        <w:pStyle w:val="ListParagraph"/>
        <w:numPr>
          <w:ilvl w:val="1"/>
          <w:numId w:val="2"/>
        </w:numPr>
        <w:spacing w:after="0" w:line="360" w:lineRule="auto"/>
        <w:jc w:val="both"/>
        <w:rPr>
          <w:rFonts w:cs="David"/>
          <w:sz w:val="24"/>
          <w:szCs w:val="24"/>
        </w:rPr>
      </w:pPr>
      <w:r>
        <w:rPr>
          <w:rFonts w:cs="David" w:hint="cs"/>
          <w:sz w:val="24"/>
          <w:szCs w:val="24"/>
          <w:rtl/>
        </w:rPr>
        <w:t>ביום 2.2.16 נקבע ע"י ועדה רפואית מוות מוחי, והמנוח נותק ממכשיר הנשמה ונפטר.</w:t>
      </w:r>
    </w:p>
    <w:p w14:paraId="600E3FBC" w14:textId="77777777" w:rsidR="007C7294" w:rsidRDefault="007C7294">
      <w:pPr>
        <w:pStyle w:val="ListParagraph"/>
        <w:spacing w:after="0" w:line="360" w:lineRule="auto"/>
        <w:ind w:left="1440"/>
        <w:jc w:val="both"/>
        <w:rPr>
          <w:rFonts w:cs="David"/>
          <w:sz w:val="24"/>
          <w:szCs w:val="24"/>
          <w:u w:val="single"/>
        </w:rPr>
      </w:pPr>
    </w:p>
    <w:p w14:paraId="1DB005FC" w14:textId="77777777" w:rsidR="007C7294" w:rsidRDefault="00112E04">
      <w:pPr>
        <w:pStyle w:val="ListParagraph"/>
        <w:spacing w:after="0" w:line="360" w:lineRule="auto"/>
        <w:ind w:left="1440"/>
        <w:jc w:val="both"/>
        <w:rPr>
          <w:rFonts w:cs="David"/>
          <w:sz w:val="24"/>
          <w:szCs w:val="24"/>
          <w:u w:val="single"/>
          <w:rtl/>
        </w:rPr>
      </w:pPr>
      <w:r>
        <w:rPr>
          <w:rFonts w:cs="David" w:hint="cs"/>
          <w:sz w:val="24"/>
          <w:szCs w:val="24"/>
          <w:u w:val="single"/>
          <w:rtl/>
        </w:rPr>
        <w:t>אישום שלישי:</w:t>
      </w:r>
    </w:p>
    <w:p w14:paraId="04E2639A" w14:textId="77777777" w:rsidR="007C7294" w:rsidRDefault="00112E04">
      <w:pPr>
        <w:pStyle w:val="ListParagraph"/>
        <w:numPr>
          <w:ilvl w:val="1"/>
          <w:numId w:val="2"/>
        </w:numPr>
        <w:spacing w:after="0" w:line="360" w:lineRule="auto"/>
        <w:jc w:val="both"/>
        <w:rPr>
          <w:rFonts w:cs="David"/>
          <w:sz w:val="24"/>
          <w:szCs w:val="24"/>
        </w:rPr>
      </w:pPr>
      <w:r>
        <w:rPr>
          <w:rFonts w:cs="David" w:hint="cs"/>
          <w:sz w:val="24"/>
          <w:szCs w:val="24"/>
          <w:rtl/>
        </w:rPr>
        <w:t>במהלך האירוע שתואר באישום השני, בעוד המנוח מקבל טיפול רפואי, לקחו יובל והנאשם את המזוודה עמה שב המנוח מאמסטרדם (להלן: "</w:t>
      </w:r>
      <w:r>
        <w:rPr>
          <w:rFonts w:cs="David" w:hint="cs"/>
          <w:b/>
          <w:bCs/>
          <w:sz w:val="24"/>
          <w:szCs w:val="24"/>
          <w:rtl/>
        </w:rPr>
        <w:t>המזוודה</w:t>
      </w:r>
      <w:r>
        <w:rPr>
          <w:rFonts w:cs="David" w:hint="cs"/>
          <w:sz w:val="24"/>
          <w:szCs w:val="24"/>
          <w:rtl/>
        </w:rPr>
        <w:t>"), ונסעו ברכבו של יובל לביתו של ג. ט. (להלן: "</w:t>
      </w:r>
      <w:r>
        <w:rPr>
          <w:rFonts w:cs="David" w:hint="cs"/>
          <w:b/>
          <w:bCs/>
          <w:sz w:val="24"/>
          <w:szCs w:val="24"/>
          <w:rtl/>
        </w:rPr>
        <w:t>ג'</w:t>
      </w:r>
      <w:r>
        <w:rPr>
          <w:rFonts w:cs="David" w:hint="cs"/>
          <w:sz w:val="24"/>
          <w:szCs w:val="24"/>
          <w:rtl/>
        </w:rPr>
        <w:t>"), חברו של יובל, בת"א.</w:t>
      </w:r>
    </w:p>
    <w:p w14:paraId="7C13B042" w14:textId="77777777" w:rsidR="007C7294" w:rsidRDefault="00112E04">
      <w:pPr>
        <w:pStyle w:val="ListParagraph"/>
        <w:numPr>
          <w:ilvl w:val="1"/>
          <w:numId w:val="2"/>
        </w:numPr>
        <w:spacing w:after="0" w:line="360" w:lineRule="auto"/>
        <w:jc w:val="both"/>
        <w:rPr>
          <w:rFonts w:cs="David"/>
          <w:sz w:val="24"/>
          <w:szCs w:val="24"/>
        </w:rPr>
      </w:pPr>
      <w:r>
        <w:rPr>
          <w:rFonts w:cs="David" w:hint="cs"/>
          <w:sz w:val="24"/>
          <w:szCs w:val="24"/>
          <w:rtl/>
        </w:rPr>
        <w:t xml:space="preserve">כשהגיעו לביתו של ג', ביקש ממנו יובל להחביא בביתו את המזוודה בכוונה למנוע או להכשיל הליך שיפוטי, או להביא לידי עיוות דין בהעלמת ראיות. ג' סרב לבקשתו. </w:t>
      </w:r>
    </w:p>
    <w:p w14:paraId="1A5DBF5A" w14:textId="77777777" w:rsidR="007C7294" w:rsidRDefault="00112E04">
      <w:pPr>
        <w:pStyle w:val="ListParagraph"/>
        <w:numPr>
          <w:ilvl w:val="1"/>
          <w:numId w:val="2"/>
        </w:numPr>
        <w:spacing w:after="0" w:line="360" w:lineRule="auto"/>
        <w:jc w:val="both"/>
        <w:rPr>
          <w:rFonts w:cs="David"/>
          <w:sz w:val="24"/>
          <w:szCs w:val="24"/>
        </w:rPr>
      </w:pPr>
      <w:r>
        <w:rPr>
          <w:rFonts w:cs="David" w:hint="cs"/>
          <w:sz w:val="24"/>
          <w:szCs w:val="24"/>
          <w:rtl/>
        </w:rPr>
        <w:t>מיד לאחר מכן, נסעו יובל והנאשם לש. א. ביהוד (להלן: "</w:t>
      </w:r>
      <w:r>
        <w:rPr>
          <w:rFonts w:cs="David" w:hint="cs"/>
          <w:b/>
          <w:bCs/>
          <w:sz w:val="24"/>
          <w:szCs w:val="24"/>
          <w:rtl/>
        </w:rPr>
        <w:t>ש'</w:t>
      </w:r>
      <w:r>
        <w:rPr>
          <w:rFonts w:cs="David" w:hint="cs"/>
          <w:sz w:val="24"/>
          <w:szCs w:val="24"/>
          <w:rtl/>
        </w:rPr>
        <w:t>"). הנאשם נכנס לביתו של ש' בזמן שיובל המתין לו ברכב. ש' סרב לקבל את המזוודה אך הסכים להותיר בביתו רק את בגדיו של המנוח. הנאשם לקח עמו את המזוודה, וקופסה שהכילה את הטלפון הנייד של המנוח, ארנקו, ומסמכים של המנוח (להלן: "</w:t>
      </w:r>
      <w:r>
        <w:rPr>
          <w:rFonts w:cs="David" w:hint="cs"/>
          <w:b/>
          <w:bCs/>
          <w:sz w:val="24"/>
          <w:szCs w:val="24"/>
          <w:rtl/>
        </w:rPr>
        <w:t>הקופסה</w:t>
      </w:r>
      <w:r>
        <w:rPr>
          <w:rFonts w:cs="David" w:hint="cs"/>
          <w:sz w:val="24"/>
          <w:szCs w:val="24"/>
          <w:rtl/>
        </w:rPr>
        <w:t>").</w:t>
      </w:r>
    </w:p>
    <w:p w14:paraId="19829E6A" w14:textId="77777777" w:rsidR="007C7294" w:rsidRDefault="00112E04">
      <w:pPr>
        <w:pStyle w:val="ListParagraph"/>
        <w:numPr>
          <w:ilvl w:val="1"/>
          <w:numId w:val="2"/>
        </w:numPr>
        <w:spacing w:after="0" w:line="360" w:lineRule="auto"/>
        <w:jc w:val="both"/>
        <w:rPr>
          <w:rFonts w:cs="David"/>
          <w:sz w:val="24"/>
          <w:szCs w:val="24"/>
        </w:rPr>
      </w:pPr>
      <w:r>
        <w:rPr>
          <w:rFonts w:cs="David" w:hint="cs"/>
          <w:sz w:val="24"/>
          <w:szCs w:val="24"/>
          <w:rtl/>
        </w:rPr>
        <w:t>מיד לאחר מכן, המשיכו יובל והנאשם בנסיעה לכיוון סביון, עצרו בצד הדרך, יובל השליך את המזוודה בפח זבל, והנאשם חפר בור בצד הדרך והטמין את הקופסה, כל זאת בכוונה למנוע או להכשיל הליך שיפוטי, או להביא לידי עיוות דין בהעלמת ראיות.</w:t>
      </w:r>
    </w:p>
    <w:p w14:paraId="4303FD42" w14:textId="77777777" w:rsidR="007C7294" w:rsidRDefault="00112E04">
      <w:pPr>
        <w:pStyle w:val="ListParagraph"/>
        <w:numPr>
          <w:ilvl w:val="1"/>
          <w:numId w:val="2"/>
        </w:numPr>
        <w:spacing w:after="0" w:line="360" w:lineRule="auto"/>
        <w:jc w:val="both"/>
        <w:rPr>
          <w:rFonts w:cs="David"/>
          <w:sz w:val="24"/>
          <w:szCs w:val="24"/>
        </w:rPr>
      </w:pPr>
      <w:r>
        <w:rPr>
          <w:rFonts w:cs="David" w:hint="cs"/>
          <w:sz w:val="24"/>
          <w:szCs w:val="24"/>
          <w:rtl/>
        </w:rPr>
        <w:t xml:space="preserve">יובל והנאשם חזרו למשרד, יובל אמר לנאשם להשמיד את כל החפצים בהם נגע המנוח במשרד, והנאשם עשה כן. </w:t>
      </w:r>
    </w:p>
    <w:p w14:paraId="0B17A206" w14:textId="77777777" w:rsidR="007C7294" w:rsidRDefault="007C7294">
      <w:pPr>
        <w:spacing w:line="360" w:lineRule="auto"/>
        <w:jc w:val="both"/>
      </w:pPr>
    </w:p>
    <w:p w14:paraId="24AF79E0" w14:textId="77777777" w:rsidR="007C7294" w:rsidRDefault="00112E04">
      <w:pPr>
        <w:spacing w:line="360" w:lineRule="auto"/>
        <w:jc w:val="both"/>
        <w:rPr>
          <w:b/>
          <w:bCs/>
          <w:sz w:val="28"/>
          <w:szCs w:val="28"/>
          <w:u w:val="single"/>
          <w:rtl/>
        </w:rPr>
      </w:pPr>
      <w:r>
        <w:rPr>
          <w:rFonts w:hint="cs"/>
          <w:b/>
          <w:bCs/>
          <w:sz w:val="28"/>
          <w:szCs w:val="28"/>
          <w:u w:val="single"/>
          <w:rtl/>
        </w:rPr>
        <w:t>ההליכים</w:t>
      </w:r>
    </w:p>
    <w:p w14:paraId="7AE35AF7" w14:textId="77777777" w:rsidR="007C7294" w:rsidRDefault="00112E04">
      <w:pPr>
        <w:pStyle w:val="ListParagraph"/>
        <w:numPr>
          <w:ilvl w:val="0"/>
          <w:numId w:val="1"/>
        </w:numPr>
        <w:spacing w:after="0" w:line="360" w:lineRule="auto"/>
        <w:jc w:val="both"/>
        <w:rPr>
          <w:rFonts w:cs="David"/>
          <w:sz w:val="24"/>
          <w:szCs w:val="24"/>
          <w:rtl/>
        </w:rPr>
      </w:pPr>
      <w:r>
        <w:rPr>
          <w:rFonts w:cs="David" w:hint="cs"/>
          <w:sz w:val="24"/>
          <w:szCs w:val="24"/>
          <w:rtl/>
        </w:rPr>
        <w:t xml:space="preserve">ב"כ המאשימה הסבירה את ההחלטה לחזור בה מעבירת ההריגה, בשלב מוקדם יחסית של שמיעת הראיות, בראיות חדשות שהגיעו לידיה, לאחר הגשת כתב האישום, לרבות העדויות שנשמעו במהלך פרשת התביעה עד אותו שלב; ובספק הסביר  שהתעורר ביחס ליכולתה להוכיח את הקשר הסיבתי בין מעשי הנאשם לבין מות המנוח. </w:t>
      </w:r>
    </w:p>
    <w:p w14:paraId="7F25B8B4" w14:textId="77777777" w:rsidR="007C7294" w:rsidRDefault="00112E04">
      <w:pPr>
        <w:pStyle w:val="ListParagraph"/>
        <w:spacing w:after="0" w:line="360" w:lineRule="auto"/>
        <w:jc w:val="both"/>
        <w:rPr>
          <w:rFonts w:cs="David"/>
          <w:sz w:val="24"/>
          <w:szCs w:val="24"/>
        </w:rPr>
      </w:pPr>
      <w:r>
        <w:rPr>
          <w:rFonts w:cs="David" w:hint="cs"/>
          <w:sz w:val="24"/>
          <w:szCs w:val="24"/>
          <w:rtl/>
        </w:rPr>
        <w:t xml:space="preserve">בעקבות זאת, ביום 14.9.16, זוכה הנאשם מעבירת ההריגה לפי </w:t>
      </w:r>
      <w:hyperlink r:id="rId23" w:history="1">
        <w:r w:rsidR="00AE5068" w:rsidRPr="00AE5068">
          <w:rPr>
            <w:rFonts w:cs="David" w:hint="cs"/>
            <w:color w:val="0000FF"/>
            <w:sz w:val="24"/>
            <w:szCs w:val="24"/>
            <w:u w:val="single"/>
            <w:rtl/>
          </w:rPr>
          <w:t>סעיף</w:t>
        </w:r>
        <w:r w:rsidR="00AE5068" w:rsidRPr="00AE5068">
          <w:rPr>
            <w:rFonts w:cs="David"/>
            <w:color w:val="0000FF"/>
            <w:sz w:val="24"/>
            <w:szCs w:val="24"/>
            <w:u w:val="single"/>
            <w:rtl/>
          </w:rPr>
          <w:t xml:space="preserve"> 298</w:t>
        </w:r>
      </w:hyperlink>
      <w:r>
        <w:rPr>
          <w:rFonts w:cs="David" w:hint="cs"/>
          <w:sz w:val="24"/>
          <w:szCs w:val="24"/>
          <w:rtl/>
        </w:rPr>
        <w:t xml:space="preserve"> לחוק, שיוחסה לו במקור, והורשע, על יסוד הודאתו, בעבירות המפורטות בסעיף 2 לעיל. </w:t>
      </w:r>
    </w:p>
    <w:p w14:paraId="652BBEB6" w14:textId="77777777" w:rsidR="007C7294" w:rsidRDefault="007C7294">
      <w:pPr>
        <w:pStyle w:val="ListParagraph"/>
        <w:spacing w:after="0" w:line="360" w:lineRule="auto"/>
        <w:jc w:val="both"/>
        <w:rPr>
          <w:rFonts w:cs="David"/>
          <w:sz w:val="24"/>
          <w:szCs w:val="24"/>
          <w:rtl/>
        </w:rPr>
      </w:pPr>
    </w:p>
    <w:p w14:paraId="5A40268E" w14:textId="77777777" w:rsidR="007C7294" w:rsidRDefault="00112E04">
      <w:pPr>
        <w:pStyle w:val="ListParagraph"/>
        <w:numPr>
          <w:ilvl w:val="0"/>
          <w:numId w:val="1"/>
        </w:numPr>
        <w:spacing w:after="0" w:line="360" w:lineRule="auto"/>
        <w:jc w:val="both"/>
        <w:rPr>
          <w:rFonts w:cs="David"/>
          <w:sz w:val="24"/>
          <w:szCs w:val="24"/>
          <w:rtl/>
        </w:rPr>
      </w:pPr>
      <w:r>
        <w:rPr>
          <w:rFonts w:cs="David" w:hint="cs"/>
          <w:sz w:val="24"/>
          <w:szCs w:val="24"/>
          <w:rtl/>
        </w:rPr>
        <w:t>בגין חלקם הנטען של יובל ומקסים, הוגש נגדם כתב אישום וההליכים בעניינם מתנהלים בפני מותב אחר, בבית משפט זה.</w:t>
      </w:r>
    </w:p>
    <w:p w14:paraId="6A13F8A4" w14:textId="77777777" w:rsidR="007C7294" w:rsidRDefault="007C7294">
      <w:pPr>
        <w:spacing w:line="360" w:lineRule="auto"/>
        <w:jc w:val="both"/>
        <w:rPr>
          <w:b/>
          <w:bCs/>
          <w:sz w:val="28"/>
          <w:szCs w:val="28"/>
          <w:u w:val="single"/>
          <w:rtl/>
        </w:rPr>
      </w:pPr>
    </w:p>
    <w:p w14:paraId="1B368A5D" w14:textId="77777777" w:rsidR="007C7294" w:rsidRDefault="00112E04">
      <w:pPr>
        <w:spacing w:line="360" w:lineRule="auto"/>
        <w:jc w:val="both"/>
        <w:rPr>
          <w:b/>
          <w:bCs/>
          <w:sz w:val="28"/>
          <w:szCs w:val="28"/>
          <w:u w:val="single"/>
          <w:rtl/>
        </w:rPr>
      </w:pPr>
      <w:r>
        <w:rPr>
          <w:rFonts w:hint="cs"/>
          <w:b/>
          <w:bCs/>
          <w:sz w:val="28"/>
          <w:szCs w:val="28"/>
          <w:u w:val="single"/>
          <w:rtl/>
        </w:rPr>
        <w:t>הראיות לעונש</w:t>
      </w:r>
    </w:p>
    <w:p w14:paraId="1666E303" w14:textId="77777777" w:rsidR="007C7294" w:rsidRDefault="00112E04">
      <w:pPr>
        <w:pStyle w:val="ListParagraph"/>
        <w:numPr>
          <w:ilvl w:val="0"/>
          <w:numId w:val="1"/>
        </w:numPr>
        <w:spacing w:after="0" w:line="360" w:lineRule="auto"/>
        <w:jc w:val="both"/>
        <w:rPr>
          <w:rFonts w:cs="David"/>
          <w:sz w:val="24"/>
          <w:szCs w:val="24"/>
          <w:rtl/>
        </w:rPr>
      </w:pPr>
      <w:r>
        <w:rPr>
          <w:rFonts w:cs="David" w:hint="cs"/>
          <w:sz w:val="24"/>
          <w:szCs w:val="24"/>
          <w:rtl/>
        </w:rPr>
        <w:t>לחובת הנאשם, כבן 42, הרשעה משנת 2005 בעבירה של החזקת סמים שלא לצריכה עצמית, בגינה נדון, בין היתר, ל- 20 חודשי מאסר בפועל, וכן הרשעה ישנה בעבירה של החזקת נכס החשוד כגנוב  (ת/82).</w:t>
      </w:r>
    </w:p>
    <w:p w14:paraId="041F99AC" w14:textId="77777777" w:rsidR="007C7294" w:rsidRDefault="007C7294">
      <w:pPr>
        <w:pStyle w:val="ListParagraph"/>
        <w:spacing w:after="0" w:line="360" w:lineRule="auto"/>
        <w:jc w:val="both"/>
        <w:rPr>
          <w:rFonts w:cs="David"/>
          <w:sz w:val="24"/>
          <w:szCs w:val="24"/>
        </w:rPr>
      </w:pPr>
    </w:p>
    <w:p w14:paraId="4B571C12" w14:textId="77777777" w:rsidR="007C7294" w:rsidRDefault="00112E04">
      <w:pPr>
        <w:pStyle w:val="ListParagraph"/>
        <w:numPr>
          <w:ilvl w:val="0"/>
          <w:numId w:val="1"/>
        </w:numPr>
        <w:spacing w:after="0" w:line="360" w:lineRule="auto"/>
        <w:jc w:val="both"/>
        <w:rPr>
          <w:rFonts w:cs="David"/>
          <w:sz w:val="24"/>
          <w:szCs w:val="24"/>
        </w:rPr>
      </w:pPr>
      <w:r>
        <w:rPr>
          <w:rFonts w:cs="David" w:hint="cs"/>
          <w:sz w:val="24"/>
          <w:szCs w:val="24"/>
          <w:rtl/>
        </w:rPr>
        <w:t>מטעם ההגנה העיד אבי הנאשם, מר חיים קובלסקי, שמסר כי הסתבכות הנאשם בפלילים היא תולדה של תמימות וטיפשות, בגינן הסתבך עם גורמים עברייניים. האב  ביקש מבית המשפט לנהוג בבנו במידת הרחמים, ולהתחשב במשפחתו – ובמיוחד ברעייתו ובשלושת בנותיו הקטינות. עוד הוגשו לבית המשפט מכתב רעיית הנאשם (נ/10), ואסופת מכתבי המלצה (נ/11), שהמשותף למרביתם הוא תיאור הסבל הרב שנגרם למשפחת הנאשם בעקבות הסתבכותו; וכן תלוש שכר של הרעייה (נ/12), שנועד לתמוך בטענת ההגנה בדבר הקשיים הכלכליים אליהם נקלעה משפחת הנאשם, בעקבות מעצרו.</w:t>
      </w:r>
    </w:p>
    <w:p w14:paraId="67DCCE68" w14:textId="77777777" w:rsidR="007C7294" w:rsidRDefault="007C7294">
      <w:pPr>
        <w:pStyle w:val="ListParagraph"/>
        <w:spacing w:after="0" w:line="360" w:lineRule="auto"/>
        <w:jc w:val="both"/>
        <w:rPr>
          <w:rFonts w:cs="David"/>
          <w:sz w:val="24"/>
          <w:szCs w:val="24"/>
        </w:rPr>
      </w:pPr>
    </w:p>
    <w:p w14:paraId="1CE74CE4" w14:textId="77777777" w:rsidR="007C7294" w:rsidRDefault="00112E04">
      <w:pPr>
        <w:spacing w:line="360" w:lineRule="auto"/>
        <w:jc w:val="both"/>
        <w:rPr>
          <w:b/>
          <w:bCs/>
          <w:sz w:val="28"/>
          <w:szCs w:val="28"/>
          <w:u w:val="single"/>
          <w:rtl/>
        </w:rPr>
      </w:pPr>
      <w:r>
        <w:rPr>
          <w:rFonts w:hint="cs"/>
          <w:b/>
          <w:bCs/>
          <w:sz w:val="28"/>
          <w:szCs w:val="28"/>
          <w:u w:val="single"/>
          <w:rtl/>
        </w:rPr>
        <w:t>טיעוני הצדדים לעונש</w:t>
      </w:r>
    </w:p>
    <w:p w14:paraId="707D89E3" w14:textId="77777777" w:rsidR="007C7294" w:rsidRDefault="00112E04">
      <w:pPr>
        <w:pStyle w:val="ListParagraph"/>
        <w:numPr>
          <w:ilvl w:val="0"/>
          <w:numId w:val="1"/>
        </w:numPr>
        <w:spacing w:after="0" w:line="360" w:lineRule="auto"/>
        <w:jc w:val="both"/>
        <w:rPr>
          <w:rFonts w:cs="David"/>
          <w:sz w:val="24"/>
          <w:szCs w:val="24"/>
          <w:rtl/>
        </w:rPr>
      </w:pPr>
      <w:r>
        <w:rPr>
          <w:rFonts w:cs="David" w:hint="cs"/>
          <w:sz w:val="24"/>
          <w:szCs w:val="24"/>
          <w:rtl/>
        </w:rPr>
        <w:t xml:space="preserve">ב"כ המאשימה עתרה לקבוע כי מתחם הענישה נע בין 5 ל-10 שנות מאסר. </w:t>
      </w:r>
    </w:p>
    <w:p w14:paraId="1B1FB91C" w14:textId="77777777" w:rsidR="007C7294" w:rsidRDefault="00112E04">
      <w:pPr>
        <w:pStyle w:val="ListParagraph"/>
        <w:spacing w:after="0" w:line="360" w:lineRule="auto"/>
        <w:jc w:val="both"/>
        <w:rPr>
          <w:rFonts w:cs="David"/>
          <w:sz w:val="24"/>
          <w:szCs w:val="24"/>
        </w:rPr>
      </w:pPr>
      <w:r>
        <w:rPr>
          <w:rFonts w:cs="David" w:hint="cs"/>
          <w:sz w:val="24"/>
          <w:szCs w:val="24"/>
          <w:rtl/>
        </w:rPr>
        <w:t>בקביעת המתחם, סברה ב"כ המאשימה, כי יש לקחת בחשבון את ריבוי העבירות בהן הורשע הנאשם; את העובדה שמדובר בסם קשה, מסוג קוקאין, שפוטנציאל הנזק שלו רב, ואת כמות הסם המשמעותית; את המניע לעבירות – בצע כסף; את התכנון המפורט שקדם לעבירה; ואת התפקיד המרכזי שנטל הנאשם בהוצאת התכנית לפועל.</w:t>
      </w:r>
    </w:p>
    <w:p w14:paraId="2B0D3387" w14:textId="77777777" w:rsidR="007C7294" w:rsidRDefault="00112E04">
      <w:pPr>
        <w:pStyle w:val="ListParagraph"/>
        <w:numPr>
          <w:ilvl w:val="0"/>
          <w:numId w:val="1"/>
        </w:numPr>
        <w:spacing w:after="0" w:line="360" w:lineRule="auto"/>
        <w:jc w:val="both"/>
        <w:rPr>
          <w:rFonts w:cs="David"/>
          <w:sz w:val="24"/>
          <w:szCs w:val="24"/>
          <w:rtl/>
        </w:rPr>
      </w:pPr>
      <w:r>
        <w:rPr>
          <w:rFonts w:cs="David" w:hint="cs"/>
          <w:sz w:val="24"/>
          <w:szCs w:val="24"/>
          <w:rtl/>
        </w:rPr>
        <w:t xml:space="preserve">במסגרת המתחם, עתרה ב"כ המאשימה, להשית על הנאשם מאסר משמעותי, מאסר מותנה וקנס משמעותי, תוך מתן משקל לשיקולי הקולא הבאים: שיתוף הפעולה המשמעותי של הנאשם עם רשויות האכיפה, כבר בשלב החקירה, כאשר עדות הנאשם היא זו שאפשרה את חשיפת הפרשה; הודאת הנאשם, מבלי לקבל תמורה מהמאשימה, באופן שהוביל לחסכון בזמן שיפוטי. </w:t>
      </w:r>
    </w:p>
    <w:p w14:paraId="347E790B" w14:textId="77777777" w:rsidR="007C7294" w:rsidRDefault="00112E04">
      <w:pPr>
        <w:pStyle w:val="ListParagraph"/>
        <w:spacing w:after="0" w:line="360" w:lineRule="auto"/>
        <w:jc w:val="both"/>
        <w:rPr>
          <w:rFonts w:cs="David"/>
          <w:sz w:val="24"/>
          <w:szCs w:val="24"/>
        </w:rPr>
      </w:pPr>
      <w:r>
        <w:rPr>
          <w:rFonts w:cs="David" w:hint="cs"/>
          <w:sz w:val="24"/>
          <w:szCs w:val="24"/>
          <w:rtl/>
        </w:rPr>
        <w:t xml:space="preserve">מנגד, ביקשה ב"כ המאשימה ליתן משקל לחומרה לעברו הפלילי של הנאשם, ממנו עולה כי חלה החמרה בפעילותו העבריינית, ולתסקיר שירות המבחן בעניינו, שאינו חיובי, והמצביע על סיכון להישנות התנהגות עוברת חוק. </w:t>
      </w:r>
    </w:p>
    <w:p w14:paraId="72F65AE8" w14:textId="77777777" w:rsidR="007C7294" w:rsidRDefault="007C7294">
      <w:pPr>
        <w:pStyle w:val="ListParagraph"/>
        <w:spacing w:after="0" w:line="360" w:lineRule="auto"/>
        <w:jc w:val="both"/>
        <w:rPr>
          <w:rFonts w:cs="David"/>
          <w:sz w:val="24"/>
          <w:szCs w:val="24"/>
          <w:rtl/>
        </w:rPr>
      </w:pPr>
    </w:p>
    <w:p w14:paraId="700A7428" w14:textId="77777777" w:rsidR="007C7294" w:rsidRDefault="00112E04">
      <w:pPr>
        <w:pStyle w:val="ListParagraph"/>
        <w:numPr>
          <w:ilvl w:val="0"/>
          <w:numId w:val="1"/>
        </w:numPr>
        <w:spacing w:after="0" w:line="360" w:lineRule="auto"/>
        <w:jc w:val="both"/>
        <w:rPr>
          <w:rFonts w:cs="David"/>
          <w:sz w:val="24"/>
          <w:szCs w:val="24"/>
          <w:rtl/>
        </w:rPr>
      </w:pPr>
      <w:r>
        <w:rPr>
          <w:rFonts w:cs="David" w:hint="cs"/>
          <w:sz w:val="24"/>
          <w:szCs w:val="24"/>
          <w:rtl/>
        </w:rPr>
        <w:t>ב"כ הנאשם ביקש לקבוע כי מתחם הענישה, בעניינו של הנאשם, נע בין 28 ל-42 חודשי מאסר. במסגרת המתחם, עתר ב"כ הנאשם להשית על הנאשם עונש ברף התחתון.</w:t>
      </w:r>
    </w:p>
    <w:p w14:paraId="5C1728BA" w14:textId="77777777" w:rsidR="007C7294" w:rsidRDefault="00112E04">
      <w:pPr>
        <w:pStyle w:val="ListParagraph"/>
        <w:spacing w:after="0" w:line="360" w:lineRule="auto"/>
        <w:jc w:val="both"/>
        <w:rPr>
          <w:rFonts w:cs="David"/>
          <w:sz w:val="24"/>
          <w:szCs w:val="24"/>
        </w:rPr>
      </w:pPr>
      <w:r>
        <w:rPr>
          <w:rFonts w:cs="David" w:hint="cs"/>
          <w:sz w:val="24"/>
          <w:szCs w:val="24"/>
          <w:rtl/>
        </w:rPr>
        <w:t xml:space="preserve">הסנגור הדגיש כי הנאשם לא היה "הרוח החיה" בתכנית הקשר, כי אם נסחף אחר יובל ומקסים, להם הלווה כספים אותם סרבו להשיב; וכן, כי הנאשם יזם את הזעקת העזרה הרפואית למנוח, כשזה חש ברע, על אף התנגדות שותפיו לקשר. </w:t>
      </w:r>
    </w:p>
    <w:p w14:paraId="7F824DB2" w14:textId="77777777" w:rsidR="007C7294" w:rsidRDefault="00112E04">
      <w:pPr>
        <w:pStyle w:val="ListParagraph"/>
        <w:spacing w:after="0" w:line="360" w:lineRule="auto"/>
        <w:jc w:val="both"/>
        <w:rPr>
          <w:rFonts w:cs="David"/>
          <w:sz w:val="24"/>
          <w:szCs w:val="24"/>
          <w:rtl/>
        </w:rPr>
      </w:pPr>
      <w:r>
        <w:rPr>
          <w:rFonts w:cs="David" w:hint="cs"/>
          <w:sz w:val="24"/>
          <w:szCs w:val="24"/>
          <w:rtl/>
        </w:rPr>
        <w:t>הסנגור עתר ליתן משקל משמעותי לשיתוף הפעולה הניכר של הנאשם עם גורמי החקירה, ולהפללת שותפיו לקשר, באופן שהוביל לאיום על חיי הנאשם (נ/13), ועל משפחתו; וכן, לנטילת האחריות המלאה של הנאשם על מעשיו, ולחרטתו עליהם.</w:t>
      </w:r>
    </w:p>
    <w:p w14:paraId="44EB959B" w14:textId="77777777" w:rsidR="007C7294" w:rsidRDefault="00112E04">
      <w:pPr>
        <w:pStyle w:val="ListParagraph"/>
        <w:spacing w:after="0" w:line="360" w:lineRule="auto"/>
        <w:jc w:val="both"/>
        <w:rPr>
          <w:rFonts w:cs="David"/>
          <w:sz w:val="24"/>
          <w:szCs w:val="24"/>
          <w:rtl/>
        </w:rPr>
      </w:pPr>
      <w:r>
        <w:rPr>
          <w:rFonts w:cs="David" w:hint="cs"/>
          <w:sz w:val="24"/>
          <w:szCs w:val="24"/>
          <w:rtl/>
        </w:rPr>
        <w:t xml:space="preserve">הסנגור סבר כי ראוי במקרה זה לחרוג ממתחם הענישה מטעמי שיקום, לפי </w:t>
      </w:r>
      <w:hyperlink r:id="rId24" w:history="1">
        <w:r w:rsidR="00AE5068" w:rsidRPr="00AE5068">
          <w:rPr>
            <w:rFonts w:cs="David" w:hint="cs"/>
            <w:color w:val="0000FF"/>
            <w:sz w:val="24"/>
            <w:szCs w:val="24"/>
            <w:u w:val="single"/>
            <w:rtl/>
          </w:rPr>
          <w:t>סעיף</w:t>
        </w:r>
        <w:r w:rsidR="00AE5068" w:rsidRPr="00AE5068">
          <w:rPr>
            <w:rFonts w:cs="David"/>
            <w:color w:val="0000FF"/>
            <w:sz w:val="24"/>
            <w:szCs w:val="24"/>
            <w:u w:val="single"/>
            <w:rtl/>
          </w:rPr>
          <w:t xml:space="preserve"> 40</w:t>
        </w:r>
        <w:r w:rsidR="00AE5068" w:rsidRPr="00AE5068">
          <w:rPr>
            <w:rFonts w:cs="David" w:hint="cs"/>
            <w:color w:val="0000FF"/>
            <w:sz w:val="24"/>
            <w:szCs w:val="24"/>
            <w:u w:val="single"/>
            <w:rtl/>
          </w:rPr>
          <w:t>ד</w:t>
        </w:r>
      </w:hyperlink>
      <w:r>
        <w:rPr>
          <w:rFonts w:cs="David" w:hint="cs"/>
          <w:sz w:val="24"/>
          <w:szCs w:val="24"/>
          <w:rtl/>
        </w:rPr>
        <w:t xml:space="preserve"> לחוק, וזאת לאור ניסיונות הנאשם להשתקם במסגרת המעצר, באמצעות השלמת שני קורסי משגיחי כשרות (נ/14). עוד ציין הסנגור כי הנאשם, שהשתחרר ממאסר לפני 11 שנים, שיקם את עצמו, עבד כקבלן שיפוצים והקים משפחה נורמטיבית אותה פרנס עד יום מעצרו. </w:t>
      </w:r>
    </w:p>
    <w:p w14:paraId="1CD74389" w14:textId="77777777" w:rsidR="007C7294" w:rsidRDefault="00112E04">
      <w:pPr>
        <w:pStyle w:val="ListParagraph"/>
        <w:spacing w:after="0" w:line="360" w:lineRule="auto"/>
        <w:jc w:val="both"/>
        <w:rPr>
          <w:rFonts w:cs="David"/>
          <w:sz w:val="24"/>
          <w:szCs w:val="24"/>
          <w:rtl/>
        </w:rPr>
      </w:pPr>
      <w:r>
        <w:rPr>
          <w:rFonts w:cs="David" w:hint="cs"/>
          <w:sz w:val="24"/>
          <w:szCs w:val="24"/>
          <w:rtl/>
        </w:rPr>
        <w:t>ביחס לרכיב הקנס, טען הסנגור כי הנאשם חסר אמצעים, כי זוגתו ובנותיו הקטינות תלויות במשפחה המורחבת לפרנסתן, וכי אביו, המסייע להן כלכלית, הגיע אף הוא לפת לחם.</w:t>
      </w:r>
    </w:p>
    <w:p w14:paraId="0946ABA6" w14:textId="77777777" w:rsidR="007C7294" w:rsidRDefault="007C7294">
      <w:pPr>
        <w:pStyle w:val="ListParagraph"/>
        <w:spacing w:after="0" w:line="360" w:lineRule="auto"/>
        <w:jc w:val="both"/>
        <w:rPr>
          <w:rFonts w:cs="David"/>
          <w:sz w:val="24"/>
          <w:szCs w:val="24"/>
          <w:rtl/>
        </w:rPr>
      </w:pPr>
    </w:p>
    <w:p w14:paraId="7733C0B7" w14:textId="77777777" w:rsidR="007C7294" w:rsidRDefault="00112E04">
      <w:pPr>
        <w:pStyle w:val="ListParagraph"/>
        <w:numPr>
          <w:ilvl w:val="0"/>
          <w:numId w:val="1"/>
        </w:numPr>
        <w:spacing w:after="0" w:line="360" w:lineRule="auto"/>
        <w:jc w:val="both"/>
        <w:rPr>
          <w:rFonts w:cs="David"/>
          <w:sz w:val="24"/>
          <w:szCs w:val="24"/>
          <w:rtl/>
        </w:rPr>
      </w:pPr>
      <w:r>
        <w:rPr>
          <w:rFonts w:cs="David" w:hint="cs"/>
          <w:sz w:val="24"/>
          <w:szCs w:val="24"/>
          <w:rtl/>
        </w:rPr>
        <w:t xml:space="preserve">בדברו האחרון, הביע הנאשם צער וחרטה על העבירות שביצע, ועל מות המנוח. הנאשם סיפר כי בשל שיתוף הפעולה עם גורמי החקירה הוא מאוים, וחושש לשלומו ולשלום משפחתו, עד כדי  כך שמחשש לניסיון להרעילו, הוא נמנע מאכילת אוכל המוכן על ידי השב"ס ומסתפק בתחליפים (חיזוק לחששו של הנאשם מהרעלה נמצא במסמך נ/13). </w:t>
      </w:r>
    </w:p>
    <w:p w14:paraId="17751C47" w14:textId="77777777" w:rsidR="007C7294" w:rsidRDefault="007C7294">
      <w:pPr>
        <w:pStyle w:val="ListParagraph"/>
        <w:spacing w:after="0" w:line="360" w:lineRule="auto"/>
        <w:jc w:val="both"/>
        <w:rPr>
          <w:rFonts w:cs="David"/>
          <w:b/>
          <w:bCs/>
          <w:sz w:val="28"/>
          <w:szCs w:val="28"/>
          <w:u w:val="single"/>
        </w:rPr>
      </w:pPr>
    </w:p>
    <w:p w14:paraId="02CA8393" w14:textId="77777777" w:rsidR="007C7294" w:rsidRDefault="00112E04">
      <w:pPr>
        <w:spacing w:line="360" w:lineRule="auto"/>
        <w:rPr>
          <w:b/>
          <w:bCs/>
          <w:sz w:val="28"/>
          <w:szCs w:val="28"/>
          <w:u w:val="single"/>
          <w:rtl/>
        </w:rPr>
      </w:pPr>
      <w:r>
        <w:rPr>
          <w:rFonts w:hint="cs"/>
          <w:b/>
          <w:bCs/>
          <w:sz w:val="28"/>
          <w:szCs w:val="28"/>
          <w:u w:val="single"/>
          <w:rtl/>
        </w:rPr>
        <w:t>מתחם העונש ההולם</w:t>
      </w:r>
    </w:p>
    <w:p w14:paraId="2E263F39" w14:textId="77777777" w:rsidR="007C7294" w:rsidRDefault="00112E04">
      <w:pPr>
        <w:pStyle w:val="ListParagraph"/>
        <w:numPr>
          <w:ilvl w:val="0"/>
          <w:numId w:val="1"/>
        </w:numPr>
        <w:spacing w:after="0" w:line="360" w:lineRule="auto"/>
        <w:jc w:val="both"/>
        <w:rPr>
          <w:rFonts w:cs="David"/>
          <w:sz w:val="24"/>
          <w:szCs w:val="24"/>
          <w:rtl/>
        </w:rPr>
      </w:pPr>
      <w:r>
        <w:rPr>
          <w:rFonts w:cs="David" w:hint="cs"/>
          <w:sz w:val="24"/>
          <w:szCs w:val="24"/>
          <w:rtl/>
        </w:rPr>
        <w:t xml:space="preserve">אין מחלוקת כי מדובר ב"אירוע אחד", בהתאם </w:t>
      </w:r>
      <w:hyperlink r:id="rId25" w:history="1">
        <w:r w:rsidR="00AE5068" w:rsidRPr="00AE5068">
          <w:rPr>
            <w:rFonts w:cs="David" w:hint="cs"/>
            <w:color w:val="0000FF"/>
            <w:sz w:val="24"/>
            <w:szCs w:val="24"/>
            <w:u w:val="single"/>
            <w:rtl/>
          </w:rPr>
          <w:t>לסעיף</w:t>
        </w:r>
        <w:r w:rsidR="00AE5068" w:rsidRPr="00AE5068">
          <w:rPr>
            <w:rFonts w:cs="David"/>
            <w:color w:val="0000FF"/>
            <w:sz w:val="24"/>
            <w:szCs w:val="24"/>
            <w:u w:val="single"/>
            <w:rtl/>
          </w:rPr>
          <w:t xml:space="preserve"> 40</w:t>
        </w:r>
        <w:r w:rsidR="00AE5068" w:rsidRPr="00AE5068">
          <w:rPr>
            <w:rFonts w:cs="David" w:hint="cs"/>
            <w:color w:val="0000FF"/>
            <w:sz w:val="24"/>
            <w:szCs w:val="24"/>
            <w:u w:val="single"/>
            <w:rtl/>
          </w:rPr>
          <w:t>יג</w:t>
        </w:r>
      </w:hyperlink>
      <w:r>
        <w:rPr>
          <w:rFonts w:cs="David" w:hint="cs"/>
          <w:sz w:val="24"/>
          <w:szCs w:val="24"/>
          <w:rtl/>
        </w:rPr>
        <w:t xml:space="preserve"> לחוק, על אף ריבוי העבירות שבוצעו לאורך זמן, וזאת לאור הקשר ההדוק בין המעשים שנעשו כחלק ממסכת עבריינית אחת, לייבוא סמים לישראל, כאשר גם עבירות השמדת הראיות ושיבוש הליכי המשפט נעשו ברצף ישיר לייבוא הסמים (ראו: </w:t>
      </w:r>
      <w:hyperlink r:id="rId26" w:history="1">
        <w:r w:rsidRPr="00112E04">
          <w:rPr>
            <w:rFonts w:cs="David" w:hint="cs"/>
            <w:color w:val="0000FF"/>
            <w:sz w:val="24"/>
            <w:szCs w:val="24"/>
            <w:u w:val="single"/>
            <w:rtl/>
          </w:rPr>
          <w:t>ע</w:t>
        </w:r>
        <w:r w:rsidRPr="00112E04">
          <w:rPr>
            <w:rFonts w:cs="David"/>
            <w:color w:val="0000FF"/>
            <w:sz w:val="24"/>
            <w:szCs w:val="24"/>
            <w:u w:val="single"/>
            <w:rtl/>
          </w:rPr>
          <w:t>"</w:t>
        </w:r>
        <w:r w:rsidRPr="00112E04">
          <w:rPr>
            <w:rFonts w:cs="David" w:hint="cs"/>
            <w:color w:val="0000FF"/>
            <w:sz w:val="24"/>
            <w:szCs w:val="24"/>
            <w:u w:val="single"/>
            <w:rtl/>
          </w:rPr>
          <w:t>פ</w:t>
        </w:r>
        <w:r w:rsidRPr="00112E04">
          <w:rPr>
            <w:rFonts w:cs="David"/>
            <w:color w:val="0000FF"/>
            <w:sz w:val="24"/>
            <w:szCs w:val="24"/>
            <w:u w:val="single"/>
            <w:rtl/>
          </w:rPr>
          <w:t xml:space="preserve"> 4910/13</w:t>
        </w:r>
      </w:hyperlink>
      <w:r>
        <w:rPr>
          <w:rFonts w:cs="David" w:hint="cs"/>
          <w:sz w:val="24"/>
          <w:szCs w:val="24"/>
          <w:rtl/>
        </w:rPr>
        <w:t xml:space="preserve">  </w:t>
      </w:r>
      <w:r>
        <w:rPr>
          <w:rFonts w:cs="David" w:hint="cs"/>
          <w:b/>
          <w:bCs/>
          <w:sz w:val="24"/>
          <w:szCs w:val="24"/>
          <w:rtl/>
        </w:rPr>
        <w:t>ג'אבר נ' מדינת ישראל</w:t>
      </w:r>
      <w:r>
        <w:rPr>
          <w:rFonts w:cs="David" w:hint="cs"/>
          <w:sz w:val="24"/>
          <w:szCs w:val="24"/>
          <w:rtl/>
        </w:rPr>
        <w:t xml:space="preserve"> (29.10.14); וכן </w:t>
      </w:r>
      <w:hyperlink r:id="rId27" w:history="1">
        <w:r w:rsidRPr="00112E04">
          <w:rPr>
            <w:rFonts w:cs="David" w:hint="cs"/>
            <w:color w:val="0000FF"/>
            <w:sz w:val="24"/>
            <w:szCs w:val="24"/>
            <w:u w:val="single"/>
            <w:rtl/>
          </w:rPr>
          <w:t>ע</w:t>
        </w:r>
        <w:r w:rsidRPr="00112E04">
          <w:rPr>
            <w:rFonts w:cs="David"/>
            <w:color w:val="0000FF"/>
            <w:sz w:val="24"/>
            <w:szCs w:val="24"/>
            <w:u w:val="single"/>
            <w:rtl/>
          </w:rPr>
          <w:t>"</w:t>
        </w:r>
        <w:r w:rsidRPr="00112E04">
          <w:rPr>
            <w:rFonts w:cs="David" w:hint="cs"/>
            <w:color w:val="0000FF"/>
            <w:sz w:val="24"/>
            <w:szCs w:val="24"/>
            <w:u w:val="single"/>
            <w:rtl/>
          </w:rPr>
          <w:t>פ</w:t>
        </w:r>
        <w:r w:rsidRPr="00112E04">
          <w:rPr>
            <w:rFonts w:cs="David"/>
            <w:color w:val="0000FF"/>
            <w:sz w:val="24"/>
            <w:szCs w:val="24"/>
            <w:u w:val="single"/>
            <w:rtl/>
          </w:rPr>
          <w:t xml:space="preserve"> 5643/14</w:t>
        </w:r>
      </w:hyperlink>
      <w:r>
        <w:rPr>
          <w:rFonts w:cs="David" w:hint="cs"/>
          <w:sz w:val="24"/>
          <w:szCs w:val="24"/>
          <w:rtl/>
        </w:rPr>
        <w:t xml:space="preserve"> </w:t>
      </w:r>
      <w:r>
        <w:rPr>
          <w:rFonts w:cs="David" w:hint="cs"/>
          <w:b/>
          <w:bCs/>
          <w:sz w:val="24"/>
          <w:szCs w:val="24"/>
          <w:rtl/>
        </w:rPr>
        <w:t>עיסא נ' מדינת ישראל</w:t>
      </w:r>
      <w:r>
        <w:rPr>
          <w:rFonts w:cs="David" w:hint="cs"/>
          <w:sz w:val="24"/>
          <w:szCs w:val="24"/>
          <w:rtl/>
        </w:rPr>
        <w:t xml:space="preserve"> (24.6.15)).</w:t>
      </w:r>
    </w:p>
    <w:p w14:paraId="0C54369E" w14:textId="77777777" w:rsidR="007C7294" w:rsidRDefault="007C7294">
      <w:pPr>
        <w:pStyle w:val="ListParagraph"/>
        <w:spacing w:after="0" w:line="360" w:lineRule="auto"/>
        <w:jc w:val="both"/>
        <w:rPr>
          <w:rFonts w:cs="David"/>
          <w:sz w:val="24"/>
          <w:szCs w:val="24"/>
        </w:rPr>
      </w:pPr>
    </w:p>
    <w:p w14:paraId="15C00BC4" w14:textId="77777777" w:rsidR="007C7294" w:rsidRDefault="00112E04">
      <w:pPr>
        <w:pStyle w:val="ListParagraph"/>
        <w:numPr>
          <w:ilvl w:val="0"/>
          <w:numId w:val="1"/>
        </w:numPr>
        <w:spacing w:after="0" w:line="360" w:lineRule="auto"/>
        <w:jc w:val="both"/>
        <w:rPr>
          <w:rFonts w:cs="David"/>
          <w:sz w:val="24"/>
          <w:szCs w:val="24"/>
        </w:rPr>
      </w:pPr>
      <w:r>
        <w:rPr>
          <w:rFonts w:cs="David" w:hint="cs"/>
          <w:sz w:val="24"/>
          <w:szCs w:val="24"/>
          <w:rtl/>
        </w:rPr>
        <w:t xml:space="preserve">הערך החברתי המוגן העומד בבסיס עבירות הסמים הוא, בראש ובראשונה, ביטחון הציבור ובריאותו. בתי המשפט הדגישו את הנזקים הנגרמים בעקבות עבירות הסמים, ואת ההשלכות הקשות שיש לשימוש בסם על גופם ועל נפשם של המשתמשים. ערך חברתי נוסף הוא הצורך להגן על הציבור בכללו מפני עבירות, אותן מבצעים המכורים לסם, כדי לממן את צריכתו. </w:t>
      </w:r>
    </w:p>
    <w:p w14:paraId="039012CF" w14:textId="77777777" w:rsidR="007C7294" w:rsidRDefault="007C7294">
      <w:pPr>
        <w:spacing w:line="360" w:lineRule="auto"/>
        <w:ind w:left="360"/>
        <w:jc w:val="both"/>
      </w:pPr>
    </w:p>
    <w:p w14:paraId="492E2FF1" w14:textId="77777777" w:rsidR="007C7294" w:rsidRDefault="00112E04">
      <w:pPr>
        <w:spacing w:line="360" w:lineRule="auto"/>
        <w:ind w:left="662"/>
        <w:jc w:val="both"/>
      </w:pPr>
      <w:r>
        <w:rPr>
          <w:rFonts w:hint="cs"/>
          <w:rtl/>
        </w:rPr>
        <w:t>ביחס לחומרתן של עבירות הסמים, וביחס למדיניות הענישה הראויה בעבירות אלה, נקבע כי:</w:t>
      </w:r>
    </w:p>
    <w:p w14:paraId="0BF218DB" w14:textId="77777777" w:rsidR="007C7294" w:rsidRDefault="00112E04">
      <w:pPr>
        <w:spacing w:line="360" w:lineRule="auto"/>
        <w:ind w:left="1229" w:right="1418"/>
        <w:jc w:val="both"/>
      </w:pPr>
      <w:r>
        <w:rPr>
          <w:rFonts w:hint="cs"/>
          <w:b/>
          <w:bCs/>
          <w:rtl/>
        </w:rPr>
        <w:t>"...נגע הסמים הפוגע קשות בחברתנו מחייב מלחמת חורמה והעונשים שיגזרו על ידי בתי המשפט בשל עבירות סמים צריכים להשתלב במאבק הכולל להדברת הנגע. על כן, יש ליתן משקל ממשי לשיקול ההרתעתי אל מול השיקולים האישיים, אשר משקלם יהיה נמוך יותר במקרים כגון אלה</w:t>
      </w:r>
      <w:r>
        <w:rPr>
          <w:rFonts w:hint="cs"/>
          <w:rtl/>
        </w:rPr>
        <w:t>"</w:t>
      </w:r>
    </w:p>
    <w:p w14:paraId="61B0370A" w14:textId="77777777" w:rsidR="007C7294" w:rsidRDefault="00112E04">
      <w:pPr>
        <w:spacing w:line="360" w:lineRule="auto"/>
        <w:ind w:left="1229" w:right="1418"/>
        <w:jc w:val="both"/>
        <w:rPr>
          <w:rtl/>
        </w:rPr>
      </w:pPr>
      <w:r>
        <w:rPr>
          <w:rFonts w:hint="cs"/>
          <w:rtl/>
        </w:rPr>
        <w:t>(</w:t>
      </w:r>
      <w:hyperlink r:id="rId28" w:history="1">
        <w:r w:rsidRPr="00112E04">
          <w:rPr>
            <w:color w:val="0000FF"/>
            <w:u w:val="single"/>
            <w:rtl/>
          </w:rPr>
          <w:t>ע"פ 9482/09</w:t>
        </w:r>
      </w:hyperlink>
      <w:r>
        <w:rPr>
          <w:rFonts w:hint="cs"/>
          <w:rtl/>
        </w:rPr>
        <w:t xml:space="preserve"> </w:t>
      </w:r>
      <w:r>
        <w:rPr>
          <w:rFonts w:hint="cs"/>
          <w:b/>
          <w:bCs/>
          <w:rtl/>
        </w:rPr>
        <w:t>ביטון נ' מדינת ישראל</w:t>
      </w:r>
      <w:r>
        <w:rPr>
          <w:rFonts w:hint="cs"/>
          <w:rtl/>
        </w:rPr>
        <w:t xml:space="preserve"> (24.7.11)).</w:t>
      </w:r>
    </w:p>
    <w:p w14:paraId="403C5E4A" w14:textId="77777777" w:rsidR="007C7294" w:rsidRDefault="007C7294">
      <w:pPr>
        <w:spacing w:line="360" w:lineRule="auto"/>
        <w:ind w:right="1418"/>
        <w:jc w:val="both"/>
        <w:rPr>
          <w:rtl/>
        </w:rPr>
      </w:pPr>
    </w:p>
    <w:p w14:paraId="66FA06AF" w14:textId="77777777" w:rsidR="007C7294" w:rsidRDefault="00112E04">
      <w:pPr>
        <w:spacing w:line="360" w:lineRule="auto"/>
        <w:ind w:right="1418" w:firstLine="379"/>
        <w:jc w:val="both"/>
        <w:rPr>
          <w:rtl/>
        </w:rPr>
      </w:pPr>
      <w:r>
        <w:rPr>
          <w:rFonts w:hint="cs"/>
          <w:rtl/>
        </w:rPr>
        <w:t>ראו גם:</w:t>
      </w:r>
    </w:p>
    <w:p w14:paraId="20DF648F" w14:textId="77777777" w:rsidR="007C7294" w:rsidRDefault="00112E04">
      <w:pPr>
        <w:spacing w:line="360" w:lineRule="auto"/>
        <w:ind w:left="1229" w:right="1560"/>
        <w:jc w:val="both"/>
        <w:rPr>
          <w:rtl/>
        </w:rPr>
      </w:pPr>
      <w:r>
        <w:rPr>
          <w:rFonts w:hint="cs"/>
          <w:rtl/>
        </w:rPr>
        <w:t>"</w:t>
      </w:r>
      <w:r>
        <w:rPr>
          <w:rFonts w:hint="cs"/>
          <w:b/>
          <w:bCs/>
          <w:rtl/>
        </w:rPr>
        <w:t>בית משפט זה עמד לא אחת על החומרה הרבה הטמונה בעבירות סחר והפצה של סמים, לא כל שכן סמים מסוכנים המוגדרים 'קשים' ... ועל הצורך להיאבק בהן באמצעות ענישה משמעותית ומרתיעה ... זאת, לאור הנזק הרב שהן מסבות לא אך למשתמשים הישירים בסם, אלא לחברה כולה, הסובלת מעבירות רכוש ואלימות מצד העוסקים בסחר ומלקוחותיהם</w:t>
      </w:r>
      <w:r>
        <w:rPr>
          <w:rFonts w:hint="cs"/>
          <w:rtl/>
        </w:rPr>
        <w:t>"</w:t>
      </w:r>
    </w:p>
    <w:p w14:paraId="35217487" w14:textId="77777777" w:rsidR="007C7294" w:rsidRDefault="00112E04">
      <w:pPr>
        <w:spacing w:line="360" w:lineRule="auto"/>
        <w:ind w:firstLine="1229"/>
        <w:jc w:val="both"/>
        <w:rPr>
          <w:rtl/>
        </w:rPr>
      </w:pPr>
      <w:r>
        <w:rPr>
          <w:rFonts w:hint="cs"/>
          <w:rtl/>
        </w:rPr>
        <w:t>(</w:t>
      </w:r>
      <w:hyperlink r:id="rId29" w:history="1">
        <w:r w:rsidRPr="00112E04">
          <w:rPr>
            <w:color w:val="0000FF"/>
            <w:u w:val="single"/>
            <w:rtl/>
          </w:rPr>
          <w:t>ע"פ 7952/15</w:t>
        </w:r>
      </w:hyperlink>
      <w:r>
        <w:rPr>
          <w:rFonts w:hint="cs"/>
          <w:rtl/>
        </w:rPr>
        <w:t xml:space="preserve"> </w:t>
      </w:r>
      <w:r>
        <w:rPr>
          <w:rFonts w:hint="cs"/>
          <w:b/>
          <w:bCs/>
          <w:rtl/>
        </w:rPr>
        <w:t>מדינת ישראל נ' אילון ישראל שץ</w:t>
      </w:r>
      <w:r>
        <w:rPr>
          <w:rFonts w:hint="cs"/>
          <w:rtl/>
        </w:rPr>
        <w:t xml:space="preserve"> (15.2.16) פסקה 42).</w:t>
      </w:r>
    </w:p>
    <w:p w14:paraId="5F8029D2" w14:textId="77777777" w:rsidR="007C7294" w:rsidRDefault="007C7294">
      <w:pPr>
        <w:spacing w:line="360" w:lineRule="auto"/>
        <w:ind w:left="1229" w:right="1418"/>
        <w:jc w:val="both"/>
        <w:rPr>
          <w:rtl/>
        </w:rPr>
      </w:pPr>
    </w:p>
    <w:p w14:paraId="52D141C4" w14:textId="77777777" w:rsidR="007C7294" w:rsidRDefault="007C7294">
      <w:pPr>
        <w:spacing w:line="360" w:lineRule="auto"/>
        <w:ind w:left="1229" w:right="1418"/>
        <w:jc w:val="both"/>
        <w:rPr>
          <w:rtl/>
        </w:rPr>
      </w:pPr>
    </w:p>
    <w:p w14:paraId="40D4EC4C" w14:textId="77777777" w:rsidR="007C7294" w:rsidRDefault="00112E04">
      <w:pPr>
        <w:pStyle w:val="ListParagraph"/>
        <w:numPr>
          <w:ilvl w:val="0"/>
          <w:numId w:val="1"/>
        </w:numPr>
        <w:spacing w:after="0" w:line="360" w:lineRule="auto"/>
        <w:jc w:val="both"/>
        <w:rPr>
          <w:rFonts w:cs="David"/>
          <w:sz w:val="24"/>
          <w:szCs w:val="24"/>
        </w:rPr>
      </w:pPr>
      <w:r>
        <w:rPr>
          <w:rFonts w:cs="David" w:hint="cs"/>
          <w:sz w:val="24"/>
          <w:szCs w:val="24"/>
          <w:rtl/>
        </w:rPr>
        <w:t xml:space="preserve">עוצמת פגיעת הנאשם בערכים המוגנים חמורה, בשל מאפייני החומרה בעבירות הסמים בהן הורשע, ובעיקר סוג הסם – קוקאין – המוגדר כסם קשה, וכמותו – כמעט מחצית הק"ג. </w:t>
      </w:r>
    </w:p>
    <w:p w14:paraId="4379EF42" w14:textId="77777777" w:rsidR="007C7294" w:rsidRDefault="007C7294">
      <w:pPr>
        <w:spacing w:line="360" w:lineRule="auto"/>
        <w:jc w:val="both"/>
      </w:pPr>
    </w:p>
    <w:p w14:paraId="37DC940A" w14:textId="77777777" w:rsidR="007C7294" w:rsidRDefault="00112E04">
      <w:pPr>
        <w:pStyle w:val="ListParagraph"/>
        <w:numPr>
          <w:ilvl w:val="0"/>
          <w:numId w:val="1"/>
        </w:numPr>
        <w:spacing w:after="0" w:line="360" w:lineRule="auto"/>
        <w:jc w:val="both"/>
        <w:rPr>
          <w:rFonts w:cs="David"/>
          <w:sz w:val="24"/>
          <w:szCs w:val="24"/>
        </w:rPr>
      </w:pPr>
      <w:r>
        <w:rPr>
          <w:rFonts w:cs="David" w:hint="cs"/>
          <w:sz w:val="24"/>
          <w:szCs w:val="24"/>
          <w:rtl/>
        </w:rPr>
        <w:t xml:space="preserve">באשר לעבירות השיבוש והשמדת הראייה, הערך החברתי המוגן בבסיס עבירות אלה הוא ההגנה על סדרי שלטון ומשפט ועל הסדר החברתי, ובמקרה זה גם שלמות גופו ובריאותו של המנוח. </w:t>
      </w:r>
    </w:p>
    <w:p w14:paraId="24280E0A" w14:textId="77777777" w:rsidR="007C7294" w:rsidRDefault="00112E04">
      <w:pPr>
        <w:pStyle w:val="ListParagraph"/>
        <w:spacing w:after="0" w:line="360" w:lineRule="auto"/>
        <w:jc w:val="both"/>
        <w:rPr>
          <w:rFonts w:cs="David"/>
          <w:sz w:val="24"/>
          <w:szCs w:val="24"/>
        </w:rPr>
      </w:pPr>
      <w:r>
        <w:rPr>
          <w:rFonts w:cs="David" w:hint="cs"/>
          <w:sz w:val="24"/>
          <w:szCs w:val="24"/>
          <w:rtl/>
        </w:rPr>
        <w:t xml:space="preserve">עצמת הפגיעה בערכים המוגנים משמעותית, בשל המאמצים שהשקיעו הנאשם ויובל בטשטוש זהותו של המנוח, וקשריו לנאשם וליובל. הכול במטרה להרחיק עצמם מהסמים שעתידים להתגלות בגוף המנוח.  </w:t>
      </w:r>
    </w:p>
    <w:p w14:paraId="2FAF5745" w14:textId="77777777" w:rsidR="007C7294" w:rsidRDefault="007C7294">
      <w:pPr>
        <w:spacing w:line="360" w:lineRule="auto"/>
        <w:jc w:val="both"/>
      </w:pPr>
    </w:p>
    <w:p w14:paraId="74B3D066" w14:textId="77777777" w:rsidR="007C7294" w:rsidRDefault="00112E04">
      <w:pPr>
        <w:spacing w:line="360" w:lineRule="auto"/>
        <w:jc w:val="both"/>
        <w:rPr>
          <w:b/>
          <w:bCs/>
          <w:u w:val="single"/>
          <w:rtl/>
        </w:rPr>
      </w:pPr>
      <w:r>
        <w:rPr>
          <w:rFonts w:hint="cs"/>
          <w:b/>
          <w:bCs/>
          <w:u w:val="single"/>
          <w:rtl/>
        </w:rPr>
        <w:t>מדיניות הענישה הנוהגת</w:t>
      </w:r>
    </w:p>
    <w:p w14:paraId="314ECD32" w14:textId="77777777" w:rsidR="007C7294" w:rsidRDefault="00112E04">
      <w:pPr>
        <w:pStyle w:val="ListParagraph"/>
        <w:numPr>
          <w:ilvl w:val="0"/>
          <w:numId w:val="1"/>
        </w:numPr>
        <w:spacing w:after="0" w:line="360" w:lineRule="auto"/>
        <w:jc w:val="both"/>
        <w:rPr>
          <w:rFonts w:cs="David"/>
          <w:sz w:val="24"/>
          <w:szCs w:val="24"/>
        </w:rPr>
      </w:pPr>
      <w:r>
        <w:rPr>
          <w:rFonts w:cs="David" w:hint="cs"/>
          <w:sz w:val="24"/>
          <w:szCs w:val="24"/>
          <w:rtl/>
        </w:rPr>
        <w:t>בחינת מדיניות הענישה הנוהגת, כפי שהיא עולה, בין היתר, מהפסיקה שהוגשה ע"י באי כוח הצדדים, מלמדת כי בתי המשפט נוהגים לגזור עונשי מאסר ממושכים, לתקופות משתנות, והכל בהתאם לנסיבות המשתנות:</w:t>
      </w:r>
    </w:p>
    <w:p w14:paraId="3722BF9F" w14:textId="77777777" w:rsidR="007C7294" w:rsidRDefault="007C7294">
      <w:pPr>
        <w:pStyle w:val="ListParagraph"/>
        <w:spacing w:after="0" w:line="360" w:lineRule="auto"/>
        <w:jc w:val="both"/>
        <w:rPr>
          <w:rFonts w:cs="David"/>
          <w:sz w:val="24"/>
          <w:szCs w:val="24"/>
        </w:rPr>
      </w:pPr>
    </w:p>
    <w:p w14:paraId="4B1E030A" w14:textId="77777777" w:rsidR="007C7294" w:rsidRDefault="00112E04">
      <w:pPr>
        <w:pStyle w:val="ListParagraph"/>
        <w:spacing w:after="0" w:line="360" w:lineRule="auto"/>
        <w:jc w:val="both"/>
        <w:rPr>
          <w:rFonts w:cs="David"/>
          <w:sz w:val="24"/>
          <w:szCs w:val="24"/>
          <w:highlight w:val="yellow"/>
          <w:rtl/>
        </w:rPr>
      </w:pPr>
      <w:r>
        <w:rPr>
          <w:rFonts w:cs="David" w:hint="cs"/>
          <w:sz w:val="24"/>
          <w:szCs w:val="24"/>
          <w:rtl/>
        </w:rPr>
        <w:t>כך, למשל, ב</w:t>
      </w:r>
      <w:hyperlink r:id="rId30" w:history="1">
        <w:r w:rsidRPr="00112E04">
          <w:rPr>
            <w:rFonts w:cs="David" w:hint="cs"/>
            <w:color w:val="0000FF"/>
            <w:sz w:val="24"/>
            <w:szCs w:val="24"/>
            <w:u w:val="single"/>
            <w:rtl/>
          </w:rPr>
          <w:t>ע</w:t>
        </w:r>
        <w:r w:rsidRPr="00112E04">
          <w:rPr>
            <w:rFonts w:cs="David"/>
            <w:color w:val="0000FF"/>
            <w:sz w:val="24"/>
            <w:szCs w:val="24"/>
            <w:u w:val="single"/>
            <w:rtl/>
          </w:rPr>
          <w:t>"</w:t>
        </w:r>
        <w:r w:rsidRPr="00112E04">
          <w:rPr>
            <w:rFonts w:cs="David" w:hint="cs"/>
            <w:color w:val="0000FF"/>
            <w:sz w:val="24"/>
            <w:szCs w:val="24"/>
            <w:u w:val="single"/>
            <w:rtl/>
          </w:rPr>
          <w:t>פ</w:t>
        </w:r>
        <w:r w:rsidRPr="00112E04">
          <w:rPr>
            <w:rFonts w:cs="David"/>
            <w:color w:val="0000FF"/>
            <w:sz w:val="24"/>
            <w:szCs w:val="24"/>
            <w:u w:val="single"/>
            <w:rtl/>
          </w:rPr>
          <w:t xml:space="preserve"> 1720/14</w:t>
        </w:r>
      </w:hyperlink>
      <w:r>
        <w:rPr>
          <w:rFonts w:cs="David" w:hint="cs"/>
          <w:sz w:val="24"/>
          <w:szCs w:val="24"/>
          <w:rtl/>
        </w:rPr>
        <w:t xml:space="preserve"> </w:t>
      </w:r>
      <w:r>
        <w:rPr>
          <w:rFonts w:cs="David" w:hint="cs"/>
          <w:b/>
          <w:bCs/>
          <w:sz w:val="24"/>
          <w:szCs w:val="24"/>
          <w:rtl/>
        </w:rPr>
        <w:t xml:space="preserve">איגור טורו נ' מדינת ישראל </w:t>
      </w:r>
      <w:r>
        <w:rPr>
          <w:rFonts w:cs="David" w:hint="cs"/>
          <w:sz w:val="24"/>
          <w:szCs w:val="24"/>
          <w:rtl/>
        </w:rPr>
        <w:t xml:space="preserve">(30.4.15) העמיד בית המשפט העליון את ענשו של המערער, שניהל הליך ראיות, על 54 חודשי מאסר בפועל, חלף 5 שנות מאסר שגזר עליו בית המשפט המחוזי. הנאשם היה שותף, עם אחרים, בקשירת קשר לייבוא 1,272 ק"ג קוקאין מקולומביה לישראל. התערבות בית המשפט העליון נועדה ליתן משקל למצבו הרפואי הקשה של המערער. </w:t>
      </w:r>
    </w:p>
    <w:p w14:paraId="59676D06" w14:textId="77777777" w:rsidR="007C7294" w:rsidRDefault="00112E04">
      <w:pPr>
        <w:pStyle w:val="ListParagraph"/>
        <w:spacing w:after="0" w:line="360" w:lineRule="auto"/>
        <w:jc w:val="both"/>
        <w:rPr>
          <w:rFonts w:cs="David"/>
          <w:sz w:val="24"/>
          <w:szCs w:val="24"/>
          <w:rtl/>
        </w:rPr>
      </w:pPr>
      <w:r>
        <w:rPr>
          <w:rFonts w:cs="David" w:hint="cs"/>
          <w:sz w:val="24"/>
          <w:szCs w:val="24"/>
          <w:rtl/>
        </w:rPr>
        <w:t xml:space="preserve">עניין זה חמור מענייננו, לאור כמות הסם הרבה. </w:t>
      </w:r>
    </w:p>
    <w:p w14:paraId="6FCE6993" w14:textId="77777777" w:rsidR="007C7294" w:rsidRDefault="00112E04">
      <w:pPr>
        <w:pStyle w:val="ListParagraph"/>
        <w:spacing w:after="0" w:line="360" w:lineRule="auto"/>
        <w:jc w:val="both"/>
        <w:rPr>
          <w:rFonts w:cs="David"/>
          <w:sz w:val="24"/>
          <w:szCs w:val="24"/>
          <w:rtl/>
        </w:rPr>
      </w:pPr>
      <w:r>
        <w:rPr>
          <w:rFonts w:cs="David" w:hint="cs"/>
          <w:sz w:val="24"/>
          <w:szCs w:val="24"/>
          <w:rtl/>
        </w:rPr>
        <w:t xml:space="preserve">מנגד, עניינו של הנאשם חמור יותר בשל הרשעתו בעבירות נוספות של ניסיון לייבוא סם, שיבוש והשמדת ראייה, ומאחר ובעניינו של המערער לא התקיים נימוק קולא של חסכון בזמן שיפוטי.  </w:t>
      </w:r>
    </w:p>
    <w:p w14:paraId="5CB529E8" w14:textId="77777777" w:rsidR="007C7294" w:rsidRDefault="00112E04">
      <w:pPr>
        <w:pStyle w:val="ListParagraph"/>
        <w:spacing w:after="0" w:line="360" w:lineRule="auto"/>
        <w:jc w:val="both"/>
        <w:rPr>
          <w:rFonts w:cs="David"/>
          <w:sz w:val="24"/>
          <w:szCs w:val="24"/>
          <w:rtl/>
        </w:rPr>
      </w:pPr>
      <w:r>
        <w:rPr>
          <w:rFonts w:cs="David" w:hint="cs"/>
          <w:sz w:val="24"/>
          <w:szCs w:val="24"/>
          <w:rtl/>
        </w:rPr>
        <w:t>ב</w:t>
      </w:r>
      <w:hyperlink r:id="rId31" w:history="1">
        <w:r w:rsidRPr="00112E04">
          <w:rPr>
            <w:rFonts w:cs="David" w:hint="cs"/>
            <w:color w:val="0000FF"/>
            <w:sz w:val="24"/>
            <w:szCs w:val="24"/>
            <w:u w:val="single"/>
            <w:rtl/>
          </w:rPr>
          <w:t>ע</w:t>
        </w:r>
        <w:r w:rsidRPr="00112E04">
          <w:rPr>
            <w:rFonts w:cs="David"/>
            <w:color w:val="0000FF"/>
            <w:sz w:val="24"/>
            <w:szCs w:val="24"/>
            <w:u w:val="single"/>
            <w:rtl/>
          </w:rPr>
          <w:t>"</w:t>
        </w:r>
        <w:r w:rsidRPr="00112E04">
          <w:rPr>
            <w:rFonts w:cs="David" w:hint="cs"/>
            <w:color w:val="0000FF"/>
            <w:sz w:val="24"/>
            <w:szCs w:val="24"/>
            <w:u w:val="single"/>
            <w:rtl/>
          </w:rPr>
          <w:t>פ</w:t>
        </w:r>
        <w:r w:rsidRPr="00112E04">
          <w:rPr>
            <w:rFonts w:cs="David"/>
            <w:color w:val="0000FF"/>
            <w:sz w:val="24"/>
            <w:szCs w:val="24"/>
            <w:u w:val="single"/>
            <w:rtl/>
          </w:rPr>
          <w:t xml:space="preserve"> 3249/12</w:t>
        </w:r>
      </w:hyperlink>
      <w:r>
        <w:rPr>
          <w:rFonts w:cs="David" w:hint="cs"/>
          <w:sz w:val="24"/>
          <w:szCs w:val="24"/>
          <w:rtl/>
        </w:rPr>
        <w:t xml:space="preserve"> </w:t>
      </w:r>
      <w:r>
        <w:rPr>
          <w:rFonts w:cs="David" w:hint="cs"/>
          <w:b/>
          <w:bCs/>
          <w:sz w:val="24"/>
          <w:szCs w:val="24"/>
          <w:rtl/>
        </w:rPr>
        <w:t>ע.ב. נ' מדינת ישראל</w:t>
      </w:r>
      <w:r>
        <w:rPr>
          <w:rFonts w:cs="David" w:hint="cs"/>
          <w:sz w:val="24"/>
          <w:szCs w:val="24"/>
          <w:rtl/>
        </w:rPr>
        <w:t xml:space="preserve"> (13.5.13) אישר בית המשפט העליון עונש של 4 שנות מאסר בפועל, שהושת על מערער שהורשע לפי הודאתו, בכך שייבא לישראל 879.24 גרם קוקאין, באמצעות בליעתם. </w:t>
      </w:r>
    </w:p>
    <w:p w14:paraId="2D158CB6" w14:textId="77777777" w:rsidR="007C7294" w:rsidRDefault="00112E04">
      <w:pPr>
        <w:pStyle w:val="ListParagraph"/>
        <w:spacing w:after="0" w:line="360" w:lineRule="auto"/>
        <w:jc w:val="both"/>
        <w:rPr>
          <w:rFonts w:cs="David"/>
          <w:sz w:val="24"/>
          <w:szCs w:val="24"/>
          <w:rtl/>
        </w:rPr>
      </w:pPr>
      <w:r>
        <w:rPr>
          <w:rFonts w:cs="David" w:hint="cs"/>
          <w:sz w:val="24"/>
          <w:szCs w:val="24"/>
          <w:rtl/>
        </w:rPr>
        <w:t xml:space="preserve">בית המשפט הבהיר כי הסתפק ב-4 שנות מאסר בפועל בלבד, למרות חומרת המעשה, לאור נסיבות חייו הקשות של הנאשם, ובפרט מצבו הנפשי הקשה. </w:t>
      </w:r>
    </w:p>
    <w:p w14:paraId="2EC3FD62" w14:textId="77777777" w:rsidR="007C7294" w:rsidRDefault="00112E04">
      <w:pPr>
        <w:pStyle w:val="ListParagraph"/>
        <w:spacing w:after="0" w:line="360" w:lineRule="auto"/>
        <w:jc w:val="both"/>
        <w:rPr>
          <w:rFonts w:cs="David"/>
          <w:sz w:val="24"/>
          <w:szCs w:val="24"/>
          <w:rtl/>
        </w:rPr>
      </w:pPr>
      <w:r>
        <w:rPr>
          <w:rFonts w:cs="David" w:hint="cs"/>
          <w:sz w:val="24"/>
          <w:szCs w:val="24"/>
          <w:rtl/>
        </w:rPr>
        <w:t xml:space="preserve">כמות הסמים שנתפסה במקרה זה חמורה מענייננו. מנגד, חלקו של הנאשם משמעותי מחלקו של המערער, ששימש כבלדר לייבוא הסמים, ולא עמד מאחורי תכנית הקשר. </w:t>
      </w:r>
    </w:p>
    <w:p w14:paraId="2FDC5538" w14:textId="77777777" w:rsidR="007C7294" w:rsidRDefault="007C7294">
      <w:pPr>
        <w:pStyle w:val="ListParagraph"/>
        <w:spacing w:after="0" w:line="360" w:lineRule="auto"/>
        <w:jc w:val="both"/>
        <w:rPr>
          <w:rFonts w:cs="David"/>
          <w:sz w:val="24"/>
          <w:szCs w:val="24"/>
          <w:highlight w:val="yellow"/>
          <w:rtl/>
        </w:rPr>
      </w:pPr>
    </w:p>
    <w:p w14:paraId="32BE1D29" w14:textId="77777777" w:rsidR="007C7294" w:rsidRDefault="00112E04">
      <w:pPr>
        <w:pStyle w:val="ListParagraph"/>
        <w:spacing w:after="0" w:line="360" w:lineRule="auto"/>
        <w:jc w:val="both"/>
        <w:rPr>
          <w:rFonts w:cs="David"/>
          <w:sz w:val="24"/>
          <w:szCs w:val="24"/>
          <w:rtl/>
        </w:rPr>
      </w:pPr>
      <w:r>
        <w:rPr>
          <w:rFonts w:cs="David" w:hint="cs"/>
          <w:sz w:val="24"/>
          <w:szCs w:val="24"/>
          <w:rtl/>
        </w:rPr>
        <w:t>ב</w:t>
      </w:r>
      <w:hyperlink r:id="rId32" w:history="1">
        <w:r w:rsidRPr="00112E04">
          <w:rPr>
            <w:rFonts w:cs="David" w:hint="cs"/>
            <w:color w:val="0000FF"/>
            <w:sz w:val="24"/>
            <w:szCs w:val="24"/>
            <w:u w:val="single"/>
            <w:rtl/>
          </w:rPr>
          <w:t>ע</w:t>
        </w:r>
        <w:r w:rsidRPr="00112E04">
          <w:rPr>
            <w:rFonts w:cs="David"/>
            <w:color w:val="0000FF"/>
            <w:sz w:val="24"/>
            <w:szCs w:val="24"/>
            <w:u w:val="single"/>
            <w:rtl/>
          </w:rPr>
          <w:t>"</w:t>
        </w:r>
        <w:r w:rsidRPr="00112E04">
          <w:rPr>
            <w:rFonts w:cs="David" w:hint="cs"/>
            <w:color w:val="0000FF"/>
            <w:sz w:val="24"/>
            <w:szCs w:val="24"/>
            <w:u w:val="single"/>
            <w:rtl/>
          </w:rPr>
          <w:t>פ</w:t>
        </w:r>
        <w:r w:rsidRPr="00112E04">
          <w:rPr>
            <w:rFonts w:cs="David"/>
            <w:color w:val="0000FF"/>
            <w:sz w:val="24"/>
            <w:szCs w:val="24"/>
            <w:u w:val="single"/>
            <w:rtl/>
          </w:rPr>
          <w:t xml:space="preserve"> 3022/15</w:t>
        </w:r>
      </w:hyperlink>
      <w:r>
        <w:rPr>
          <w:rFonts w:cs="David" w:hint="cs"/>
          <w:sz w:val="24"/>
          <w:szCs w:val="24"/>
          <w:rtl/>
        </w:rPr>
        <w:t xml:space="preserve"> </w:t>
      </w:r>
      <w:r>
        <w:rPr>
          <w:rFonts w:cs="David" w:hint="cs"/>
          <w:b/>
          <w:bCs/>
          <w:sz w:val="24"/>
          <w:szCs w:val="24"/>
          <w:rtl/>
        </w:rPr>
        <w:t>טל גרינשפן נ' מדינת ישראל</w:t>
      </w:r>
      <w:r>
        <w:rPr>
          <w:rFonts w:cs="David" w:hint="cs"/>
          <w:sz w:val="24"/>
          <w:szCs w:val="24"/>
          <w:rtl/>
        </w:rPr>
        <w:t xml:space="preserve"> (7.11.16) העמיד בית המשפט העליון את ענשו של המערער על 4 שנות מאסר בפועל, חלף 4.5 שנות מאסר שגזר עליו בית המשפט המחוזי. </w:t>
      </w:r>
    </w:p>
    <w:p w14:paraId="4271833D" w14:textId="77777777" w:rsidR="007C7294" w:rsidRDefault="00112E04">
      <w:pPr>
        <w:pStyle w:val="ListParagraph"/>
        <w:spacing w:after="0" w:line="360" w:lineRule="auto"/>
        <w:jc w:val="both"/>
        <w:rPr>
          <w:rFonts w:cs="David"/>
          <w:sz w:val="24"/>
          <w:szCs w:val="24"/>
          <w:rtl/>
        </w:rPr>
      </w:pPr>
      <w:r>
        <w:rPr>
          <w:rFonts w:cs="David" w:hint="cs"/>
          <w:sz w:val="24"/>
          <w:szCs w:val="24"/>
          <w:rtl/>
        </w:rPr>
        <w:t xml:space="preserve">המערער הורשע בכך שייבא, באמצעות הדואר, 200 גרם קוקאין. למערער עבר פלילי משמעותי בעבירות סמים, והוא זה שיזם את ייבוא הסם. עונשו קוצר, למרות חומרת המעשים, לאור הפער בענישה בין המערער, לבין שותפו, שהיה בעל תפקיד שולי בייבוא הסם, ועל מנת לעודד את המערער להתמיד בשיקומו. </w:t>
      </w:r>
    </w:p>
    <w:p w14:paraId="17C490BB" w14:textId="77777777" w:rsidR="007C7294" w:rsidRDefault="00112E04">
      <w:pPr>
        <w:pStyle w:val="ListParagraph"/>
        <w:spacing w:after="0" w:line="360" w:lineRule="auto"/>
        <w:jc w:val="both"/>
        <w:rPr>
          <w:rFonts w:cs="David"/>
          <w:sz w:val="24"/>
          <w:szCs w:val="24"/>
          <w:rtl/>
        </w:rPr>
      </w:pPr>
      <w:r>
        <w:rPr>
          <w:rFonts w:cs="David" w:hint="cs"/>
          <w:sz w:val="24"/>
          <w:szCs w:val="24"/>
          <w:rtl/>
        </w:rPr>
        <w:t>ענייננו חמור ממקרה זה לאור ריבוי העבירות בהן הורשע הנאשם, ובשל כמות הסם הגדולה משמעותית.</w:t>
      </w:r>
    </w:p>
    <w:p w14:paraId="6AF11A0B" w14:textId="77777777" w:rsidR="007C7294" w:rsidRDefault="00112E04">
      <w:pPr>
        <w:pStyle w:val="ListParagraph"/>
        <w:spacing w:after="0" w:line="360" w:lineRule="auto"/>
        <w:jc w:val="both"/>
        <w:rPr>
          <w:rFonts w:cs="David"/>
          <w:sz w:val="24"/>
          <w:szCs w:val="24"/>
          <w:highlight w:val="yellow"/>
          <w:rtl/>
        </w:rPr>
      </w:pPr>
      <w:r>
        <w:rPr>
          <w:rFonts w:cs="David" w:hint="cs"/>
          <w:sz w:val="24"/>
          <w:szCs w:val="24"/>
          <w:highlight w:val="yellow"/>
          <w:rtl/>
        </w:rPr>
        <w:t xml:space="preserve"> </w:t>
      </w:r>
    </w:p>
    <w:p w14:paraId="3E80F61B" w14:textId="77777777" w:rsidR="007C7294" w:rsidRDefault="007C7294">
      <w:pPr>
        <w:spacing w:line="360" w:lineRule="auto"/>
        <w:jc w:val="both"/>
        <w:rPr>
          <w:rtl/>
        </w:rPr>
      </w:pPr>
    </w:p>
    <w:p w14:paraId="746E490A" w14:textId="77777777" w:rsidR="007C7294" w:rsidRDefault="00112E04">
      <w:pPr>
        <w:spacing w:line="360" w:lineRule="auto"/>
        <w:jc w:val="both"/>
        <w:rPr>
          <w:b/>
          <w:bCs/>
          <w:u w:val="single"/>
          <w:rtl/>
        </w:rPr>
      </w:pPr>
      <w:r>
        <w:rPr>
          <w:rFonts w:hint="cs"/>
          <w:b/>
          <w:bCs/>
          <w:u w:val="single"/>
          <w:rtl/>
        </w:rPr>
        <w:t>נסיבות הקשורות בביצוע העבירות</w:t>
      </w:r>
    </w:p>
    <w:p w14:paraId="45F4FFAA" w14:textId="77777777" w:rsidR="007C7294" w:rsidRDefault="00112E04">
      <w:pPr>
        <w:pStyle w:val="ListParagraph"/>
        <w:numPr>
          <w:ilvl w:val="0"/>
          <w:numId w:val="1"/>
        </w:numPr>
        <w:spacing w:after="0" w:line="360" w:lineRule="auto"/>
        <w:jc w:val="both"/>
        <w:rPr>
          <w:rFonts w:cs="David"/>
          <w:sz w:val="24"/>
          <w:szCs w:val="24"/>
        </w:rPr>
      </w:pPr>
      <w:r>
        <w:rPr>
          <w:rFonts w:cs="David" w:hint="cs"/>
          <w:sz w:val="24"/>
          <w:szCs w:val="24"/>
          <w:rtl/>
        </w:rPr>
        <w:t xml:space="preserve">בעניינו של הנאשם, נסיבות רלוונטיות לקביעת המתחם, ובעיקר אלה: </w:t>
      </w:r>
    </w:p>
    <w:p w14:paraId="6301007C" w14:textId="77777777" w:rsidR="007C7294" w:rsidRDefault="00112E04">
      <w:pPr>
        <w:pStyle w:val="ListParagraph"/>
        <w:numPr>
          <w:ilvl w:val="0"/>
          <w:numId w:val="3"/>
        </w:numPr>
        <w:spacing w:after="0" w:line="360" w:lineRule="auto"/>
        <w:ind w:left="946" w:hanging="284"/>
        <w:jc w:val="both"/>
        <w:rPr>
          <w:rFonts w:cs="David"/>
          <w:sz w:val="24"/>
          <w:szCs w:val="24"/>
        </w:rPr>
      </w:pPr>
      <w:r>
        <w:rPr>
          <w:rFonts w:cs="David" w:hint="cs"/>
          <w:b/>
          <w:bCs/>
          <w:sz w:val="24"/>
          <w:szCs w:val="24"/>
          <w:rtl/>
        </w:rPr>
        <w:t>התכנון שקדם לביצוע העבירות</w:t>
      </w:r>
      <w:r>
        <w:rPr>
          <w:rFonts w:cs="David" w:hint="cs"/>
          <w:sz w:val="24"/>
          <w:szCs w:val="24"/>
          <w:rtl/>
        </w:rPr>
        <w:t xml:space="preserve"> – לעבירות בהן הורשע הנאשם קדם תכנון מדוקדק, המתבטא, בין היתר, ברכישת מכשירי הטלפון הניידים, על ידי יובל והנאשם, במימון הנאשם; ברכישת כרטיסי הטיסה, חלקם בנוכחות הנאשם ובמימונו; בגיוס הבלדרים, כאשר הנאשם היה נוכח בעת גיוס המנוח – חברו; ובאימון המנוח בבליעת הסמים ובאופן אריזתם, בנוכחות הנאשם. </w:t>
      </w:r>
    </w:p>
    <w:p w14:paraId="387C8C2F" w14:textId="77777777" w:rsidR="007C7294" w:rsidRDefault="00112E04">
      <w:pPr>
        <w:pStyle w:val="ListParagraph"/>
        <w:spacing w:after="0" w:line="360" w:lineRule="auto"/>
        <w:ind w:left="946"/>
        <w:jc w:val="both"/>
        <w:rPr>
          <w:rFonts w:cs="David"/>
          <w:sz w:val="24"/>
          <w:szCs w:val="24"/>
        </w:rPr>
      </w:pPr>
      <w:r>
        <w:rPr>
          <w:rFonts w:cs="David" w:hint="cs"/>
          <w:sz w:val="24"/>
          <w:szCs w:val="24"/>
          <w:rtl/>
        </w:rPr>
        <w:t>תכנון העבירות והניסיון להוציא לפועל את ייבוא הסמים לישראל נמשכו מספר חודשים, למרות שני ניסיונות קודמים לייבוא הסמים לישראל, שכשלו, ועד לייבואם בניסיון השלישי. לאורך אותם חודשים עמדו בפני הנאשם הזדמנויות רבות לחזור בו ולהפסיק את מעורבותו בתכנית הקשר, אותן לא ניצל.</w:t>
      </w:r>
    </w:p>
    <w:p w14:paraId="1D1AB993" w14:textId="77777777" w:rsidR="007C7294" w:rsidRDefault="00112E04">
      <w:pPr>
        <w:pStyle w:val="ListParagraph"/>
        <w:numPr>
          <w:ilvl w:val="0"/>
          <w:numId w:val="3"/>
        </w:numPr>
        <w:spacing w:after="0" w:line="360" w:lineRule="auto"/>
        <w:ind w:left="946" w:hanging="284"/>
        <w:jc w:val="both"/>
        <w:rPr>
          <w:rFonts w:cs="David"/>
          <w:sz w:val="24"/>
          <w:szCs w:val="24"/>
          <w:rtl/>
        </w:rPr>
      </w:pPr>
      <w:r>
        <w:rPr>
          <w:rFonts w:cs="David" w:hint="cs"/>
          <w:b/>
          <w:bCs/>
          <w:sz w:val="24"/>
          <w:szCs w:val="24"/>
          <w:rtl/>
        </w:rPr>
        <w:t>חלקו של הנאשם בביצוע העבירות</w:t>
      </w:r>
      <w:r>
        <w:rPr>
          <w:rFonts w:cs="David" w:hint="cs"/>
          <w:sz w:val="24"/>
          <w:szCs w:val="24"/>
          <w:rtl/>
        </w:rPr>
        <w:t xml:space="preserve"> – אמנם הנאשם לא יזם את התכנית העבריינית, כי אם יובל ומקסים; הנאשם אף לא היה בעל הקשרים באמסטרדם. עם זאת, הנאשם נטל תפקיד משמעותי ובולט בביצוע העבירות: הנאשם נסע שלוש פעמים לאמסטרדם, כאשר הוא נכון להעביר את הסמים לידי הבלדר, כפי שאכן עשה בנסיעה השלישית, עת העבירם לידי המנוח; הנאשם נכח בהליכי גיוס המנוח כבלדר, ובאימונו בבליעת הסמים. הגם שהנאשם הביע התנגדות מסוימת, במהלך התקופה, לגיוס המנוח כבלדר, בסופו של יום, נסע הנאשם עם המנוח לאמסטרדם והעביר לידיו את הסם; הנאשם העביר כספים ליובל ולרפי לצורך ביצוע הקשר. לאור כל האמור, התמונה המצטיירת היא שהנאשם נטל חלק פעיל ודומיננטי בהוצאת תוכנית הקשר מהכח אל הפועל.</w:t>
      </w:r>
    </w:p>
    <w:p w14:paraId="254DEF5B" w14:textId="77777777" w:rsidR="007C7294" w:rsidRDefault="00112E04">
      <w:pPr>
        <w:pStyle w:val="ListParagraph"/>
        <w:spacing w:after="0" w:line="360" w:lineRule="auto"/>
        <w:ind w:left="946"/>
        <w:jc w:val="both"/>
        <w:rPr>
          <w:rFonts w:cs="David"/>
          <w:sz w:val="24"/>
          <w:szCs w:val="24"/>
        </w:rPr>
      </w:pPr>
      <w:r>
        <w:rPr>
          <w:rFonts w:cs="David" w:hint="cs"/>
          <w:sz w:val="24"/>
          <w:szCs w:val="24"/>
          <w:rtl/>
        </w:rPr>
        <w:t>עם זאת, יינתן משקל הולם לכך שלתוכנית הקשר היו שותפים נוספים – בפרט רפי והאחרים – שפעילותם העבריינית נחשפה הודות לשיתוף הפעולה של הנאשם, ולא הועמדו לדין בגין חלקם בתכנית הקשר.</w:t>
      </w:r>
    </w:p>
    <w:p w14:paraId="39E43D51" w14:textId="77777777" w:rsidR="007C7294" w:rsidRDefault="00112E04">
      <w:pPr>
        <w:pStyle w:val="ListParagraph"/>
        <w:numPr>
          <w:ilvl w:val="0"/>
          <w:numId w:val="3"/>
        </w:numPr>
        <w:spacing w:after="0" w:line="360" w:lineRule="auto"/>
        <w:ind w:left="946" w:hanging="284"/>
        <w:jc w:val="both"/>
        <w:rPr>
          <w:rFonts w:cs="David"/>
          <w:sz w:val="24"/>
          <w:szCs w:val="24"/>
          <w:rtl/>
        </w:rPr>
      </w:pPr>
      <w:r>
        <w:rPr>
          <w:rFonts w:cs="David" w:hint="cs"/>
          <w:b/>
          <w:bCs/>
          <w:sz w:val="24"/>
          <w:szCs w:val="24"/>
          <w:rtl/>
        </w:rPr>
        <w:t>הנזק שהיה צפוי להיגרם מביצוע העבירות</w:t>
      </w:r>
      <w:r>
        <w:rPr>
          <w:rFonts w:cs="David" w:hint="cs"/>
          <w:sz w:val="24"/>
          <w:szCs w:val="24"/>
          <w:rtl/>
        </w:rPr>
        <w:t xml:space="preserve"> – סוג הסם – קוקאין – וכמותו הרבה, 486.88 גרם, מלמדים על הנזק הרב שעשוי היה להיגרם מהשלמת העבירות, לשלמות גופם של צרכני הסם, ולציבור בכללותו הניזוק מפעילות עבריינית שנועדה לממן את צריכת הסמים. </w:t>
      </w:r>
    </w:p>
    <w:p w14:paraId="04111C4E" w14:textId="77777777" w:rsidR="007C7294" w:rsidRDefault="00112E04">
      <w:pPr>
        <w:pStyle w:val="ListParagraph"/>
        <w:spacing w:after="0" w:line="360" w:lineRule="auto"/>
        <w:ind w:left="946"/>
        <w:jc w:val="both"/>
        <w:rPr>
          <w:rFonts w:cs="David"/>
          <w:sz w:val="24"/>
          <w:szCs w:val="24"/>
        </w:rPr>
      </w:pPr>
      <w:r>
        <w:rPr>
          <w:rFonts w:cs="David" w:hint="cs"/>
          <w:sz w:val="24"/>
          <w:szCs w:val="24"/>
          <w:rtl/>
        </w:rPr>
        <w:t>על עצמת הנזק ניתן ללמוד, בין היתר, אף ממות המנוח. אף שלא הובררה בפני בית המשפט סיבת מותו המדויקת של המנוח, אין ספק שבליעת הסמים, העמידה בסיכון את בריאותו ואת חייו.</w:t>
      </w:r>
    </w:p>
    <w:p w14:paraId="1F778194" w14:textId="77777777" w:rsidR="007C7294" w:rsidRDefault="00112E04">
      <w:pPr>
        <w:pStyle w:val="ListParagraph"/>
        <w:numPr>
          <w:ilvl w:val="0"/>
          <w:numId w:val="3"/>
        </w:numPr>
        <w:spacing w:after="0" w:line="360" w:lineRule="auto"/>
        <w:ind w:left="946" w:hanging="284"/>
        <w:jc w:val="both"/>
        <w:rPr>
          <w:rFonts w:cs="David"/>
          <w:sz w:val="24"/>
          <w:szCs w:val="24"/>
          <w:rtl/>
        </w:rPr>
      </w:pPr>
      <w:r>
        <w:rPr>
          <w:rFonts w:cs="David" w:hint="cs"/>
          <w:b/>
          <w:bCs/>
          <w:sz w:val="24"/>
          <w:szCs w:val="24"/>
          <w:rtl/>
        </w:rPr>
        <w:t>הסיבות שהביאו את הנאשם לבצע את העבירות</w:t>
      </w:r>
      <w:r>
        <w:rPr>
          <w:rFonts w:cs="David" w:hint="cs"/>
          <w:sz w:val="24"/>
          <w:szCs w:val="24"/>
          <w:rtl/>
        </w:rPr>
        <w:t xml:space="preserve"> – לא ניתן להתעלם מכך שהמניע לביצוע העבירות היה בצע כסף. אמנם הנאשם לא נועד לזכות בעיקרי הרווחים מעסקת הסמים, אולם, גם רווח משני, ואפילו אם דובר אך בהשבת הכספים שהלווה ליובל ולמקסים מהכסף המוחזק, הרי שיש לראותו בחומרה.</w:t>
      </w:r>
    </w:p>
    <w:p w14:paraId="46B2C8CE" w14:textId="77777777" w:rsidR="007C7294" w:rsidRDefault="007C7294">
      <w:pPr>
        <w:pStyle w:val="ListParagraph"/>
        <w:spacing w:after="0" w:line="360" w:lineRule="auto"/>
        <w:jc w:val="both"/>
        <w:rPr>
          <w:rFonts w:cs="David"/>
          <w:sz w:val="24"/>
          <w:szCs w:val="24"/>
          <w:rtl/>
        </w:rPr>
      </w:pPr>
    </w:p>
    <w:p w14:paraId="53CE6FF6" w14:textId="77777777" w:rsidR="007C7294" w:rsidRDefault="00112E04">
      <w:pPr>
        <w:spacing w:line="360" w:lineRule="auto"/>
        <w:jc w:val="both"/>
        <w:rPr>
          <w:b/>
          <w:bCs/>
          <w:u w:val="single"/>
          <w:rtl/>
        </w:rPr>
      </w:pPr>
      <w:r>
        <w:rPr>
          <w:rFonts w:hint="cs"/>
          <w:b/>
          <w:bCs/>
          <w:u w:val="single"/>
          <w:rtl/>
        </w:rPr>
        <w:t>מתחם העונש ההולם</w:t>
      </w:r>
    </w:p>
    <w:p w14:paraId="31AA0423" w14:textId="77777777" w:rsidR="007C7294" w:rsidRDefault="00112E04">
      <w:pPr>
        <w:pStyle w:val="ListParagraph"/>
        <w:numPr>
          <w:ilvl w:val="0"/>
          <w:numId w:val="1"/>
        </w:numPr>
        <w:spacing w:after="0" w:line="360" w:lineRule="auto"/>
        <w:jc w:val="both"/>
        <w:rPr>
          <w:rFonts w:cs="David"/>
          <w:sz w:val="24"/>
          <w:szCs w:val="24"/>
          <w:rtl/>
        </w:rPr>
      </w:pPr>
      <w:r>
        <w:rPr>
          <w:rFonts w:cs="David" w:hint="cs"/>
          <w:sz w:val="24"/>
          <w:szCs w:val="24"/>
          <w:rtl/>
        </w:rPr>
        <w:t xml:space="preserve">לאור כל האמור לעיל, בשים לב לערכים החברתיים המוגנים ולעוצמת הפגיעה בהם, תוך מתן משקל למכלול נסיבות האירוע, אני מוצא כי מתחם העונש ההולם בעניינו של הנאשם נע בין 3.5 ל- 6.5 שנות מאסר בפועל. </w:t>
      </w:r>
    </w:p>
    <w:p w14:paraId="626D8F66" w14:textId="77777777" w:rsidR="007C7294" w:rsidRDefault="007C7294">
      <w:pPr>
        <w:bidi w:val="0"/>
      </w:pPr>
    </w:p>
    <w:p w14:paraId="20233058" w14:textId="77777777" w:rsidR="007C7294" w:rsidRDefault="007C7294">
      <w:pPr>
        <w:spacing w:line="360" w:lineRule="auto"/>
        <w:jc w:val="both"/>
      </w:pPr>
    </w:p>
    <w:p w14:paraId="01027637" w14:textId="77777777" w:rsidR="007C7294" w:rsidRDefault="00112E04">
      <w:pPr>
        <w:spacing w:line="360" w:lineRule="auto"/>
        <w:jc w:val="both"/>
        <w:rPr>
          <w:b/>
          <w:bCs/>
          <w:u w:val="single"/>
          <w:rtl/>
        </w:rPr>
      </w:pPr>
      <w:r>
        <w:rPr>
          <w:rFonts w:hint="cs"/>
          <w:b/>
          <w:bCs/>
          <w:u w:val="single"/>
          <w:rtl/>
        </w:rPr>
        <w:t>אי-סטייה ממתחמי העונש ההולם</w:t>
      </w:r>
    </w:p>
    <w:p w14:paraId="567DD214" w14:textId="77777777" w:rsidR="007C7294" w:rsidRDefault="00112E04">
      <w:pPr>
        <w:pStyle w:val="ListParagraph"/>
        <w:numPr>
          <w:ilvl w:val="0"/>
          <w:numId w:val="1"/>
        </w:numPr>
        <w:spacing w:after="0" w:line="360" w:lineRule="auto"/>
        <w:jc w:val="both"/>
        <w:rPr>
          <w:rFonts w:cs="David"/>
          <w:sz w:val="24"/>
          <w:szCs w:val="24"/>
          <w:rtl/>
        </w:rPr>
      </w:pPr>
      <w:r>
        <w:rPr>
          <w:rFonts w:cs="David" w:hint="cs"/>
          <w:sz w:val="24"/>
          <w:szCs w:val="24"/>
          <w:rtl/>
        </w:rPr>
        <w:t xml:space="preserve">במקרה דנן איני מוצא כי יש מקום לחרוג ממתחם העונש ההולם. לא לחומרה, בגין הגנה על שלום הציבור, ולא לקולא, בשל שיקולי שיקום, לאור מסקנת שירות המבחן כי במצבו של הנאשם אין ענישה שיקומית שתוכל להפחית את מסוכנותו. </w:t>
      </w:r>
    </w:p>
    <w:p w14:paraId="33F128A7" w14:textId="77777777" w:rsidR="007C7294" w:rsidRDefault="007C7294">
      <w:pPr>
        <w:spacing w:line="360" w:lineRule="auto"/>
        <w:jc w:val="both"/>
        <w:rPr>
          <w:rtl/>
        </w:rPr>
      </w:pPr>
    </w:p>
    <w:p w14:paraId="45B15660" w14:textId="77777777" w:rsidR="007C7294" w:rsidRDefault="00112E04">
      <w:pPr>
        <w:spacing w:line="360" w:lineRule="auto"/>
        <w:jc w:val="both"/>
        <w:rPr>
          <w:b/>
          <w:bCs/>
          <w:u w:val="single"/>
        </w:rPr>
      </w:pPr>
      <w:r>
        <w:rPr>
          <w:rFonts w:hint="cs"/>
          <w:b/>
          <w:bCs/>
          <w:u w:val="single"/>
          <w:rtl/>
        </w:rPr>
        <w:t>נסיבות שאינן קשורות בביצוע העבירה</w:t>
      </w:r>
    </w:p>
    <w:p w14:paraId="3F4B7432" w14:textId="77777777" w:rsidR="007C7294" w:rsidRDefault="00112E04">
      <w:pPr>
        <w:pStyle w:val="ListParagraph"/>
        <w:numPr>
          <w:ilvl w:val="0"/>
          <w:numId w:val="1"/>
        </w:numPr>
        <w:spacing w:after="0" w:line="360" w:lineRule="auto"/>
        <w:jc w:val="both"/>
        <w:rPr>
          <w:rFonts w:cs="David"/>
          <w:sz w:val="24"/>
          <w:szCs w:val="24"/>
          <w:rtl/>
        </w:rPr>
      </w:pPr>
      <w:r>
        <w:rPr>
          <w:rFonts w:cs="David" w:hint="cs"/>
          <w:sz w:val="24"/>
          <w:szCs w:val="24"/>
          <w:rtl/>
        </w:rPr>
        <w:t>בגזירת ענשו של הנאשם במסגרת המתחם, יש ליתן משקל משמעותי לשיתוף הפעולה של הנאשם, בעקבותיו נחשפה תכנית הקשר, ולכך ששיתף פעולה מרצונו, ללא קבלת תמורה כלשהי. יתרה מזאת, עקב שיתוף הפעולה עם גורמי החקירה והפללתם של שותפיו,  סובל הנאשם מאיומים על חייו, ועל שלום משפחתו, עד כדי הימנעותו מאכילת אוכל המוכן ע"י שב"ס, ומניעת ביקורי רעייתו ובנותיו בבית המעצר, מתוך רצון להגן עליהן. חיזוק לכך שחששו של הנאשם לביטחונו האישי אינו תלוש מהמציאות מצוי במסמך נ/13.</w:t>
      </w:r>
    </w:p>
    <w:p w14:paraId="4CB57B67" w14:textId="77777777" w:rsidR="007C7294" w:rsidRDefault="00112E04">
      <w:pPr>
        <w:pStyle w:val="ListParagraph"/>
        <w:spacing w:after="0" w:line="360" w:lineRule="auto"/>
        <w:jc w:val="both"/>
        <w:rPr>
          <w:rFonts w:cs="David"/>
          <w:sz w:val="24"/>
          <w:szCs w:val="24"/>
        </w:rPr>
      </w:pPr>
      <w:r>
        <w:rPr>
          <w:rFonts w:cs="David" w:hint="cs"/>
          <w:sz w:val="24"/>
          <w:szCs w:val="24"/>
          <w:rtl/>
        </w:rPr>
        <w:t xml:space="preserve">עוד יש ליתן משקל לקולא להודאת הנאשם, שהובילה לחיסכון בזמן שיפוטי, ולחרטה ולצער שהביע ביחס לעבירות בהן הורשע וביחס למות המנוח. </w:t>
      </w:r>
    </w:p>
    <w:p w14:paraId="694C0511" w14:textId="77777777" w:rsidR="007C7294" w:rsidRDefault="00112E04">
      <w:pPr>
        <w:pStyle w:val="ListParagraph"/>
        <w:spacing w:after="0" w:line="360" w:lineRule="auto"/>
        <w:jc w:val="both"/>
        <w:rPr>
          <w:rFonts w:cs="David"/>
          <w:sz w:val="24"/>
          <w:szCs w:val="24"/>
          <w:rtl/>
        </w:rPr>
      </w:pPr>
      <w:r>
        <w:rPr>
          <w:rFonts w:cs="David" w:hint="cs"/>
          <w:sz w:val="24"/>
          <w:szCs w:val="24"/>
          <w:rtl/>
        </w:rPr>
        <w:t>יינתן משקל הולם אף לממצאי תסקיר שירות המבחן בעניינו של הנאשם ולהמלצותיו. מהתסקיר עולה כי על אף הבעת חרטתו על התנהלותו, הנאשם מתקשה להתייחס לאחריותו האישית, להבין את חומרת מעשיו, את הבעייתיות בהתנהלותו ואת האלטרנטיבות שעמדו בפניו. העובדה כי הנאשם מציג עצמו כמי שנגרר אחר אחרים, ואינו נוטל אחריות למעשיו, כמו גם נטייתו בתקופות מצוקה לשימוש בחומרים ממכרים, הובילה את השירות למסקנה כי קיים סיכון להישנות התנהגות עוברת חוק. השירות המליץ על מאסר בפועל, שימחיש את חומרת העבירות, למרות שהעריך שמאסר לתקופה ארוכה יעמיק את חווית התלות והבדידות ויגביר את חשיפתו לדפוסי התנהגות עברייניים. לצד זאת, המליץ השירות על שילוב הנאשם, במהלך מאסרו, בתכנית טיפולית המותאמת לקשייו, ועל סיוע הרשות לשיקום האסיר בתום תקופת מאסרו.</w:t>
      </w:r>
    </w:p>
    <w:p w14:paraId="246B5789" w14:textId="77777777" w:rsidR="007C7294" w:rsidRDefault="00112E04" w:rsidP="00AE5068">
      <w:pPr>
        <w:pStyle w:val="ListParagraph"/>
        <w:spacing w:after="0" w:line="360" w:lineRule="auto"/>
        <w:jc w:val="both"/>
        <w:rPr>
          <w:b/>
          <w:bCs/>
          <w:sz w:val="28"/>
          <w:szCs w:val="28"/>
          <w:u w:val="single"/>
          <w:rtl/>
        </w:rPr>
      </w:pPr>
      <w:r>
        <w:rPr>
          <w:rFonts w:hint="cs"/>
          <w:rtl/>
        </w:rPr>
        <w:t>משקל מסוים לחומרה יש ליתן אף לעברו הפלילי של הנאשם, ולהחמרה בהתנהגותו העבריינית, בתחום הסמים, תוך מתן משקל הולם לקולא, להתמתנות בהסתבכויותיו בפלילים, ולתפקודו הנורמטיבי מאז שחרורו מהכלא ועד להסתבכותו הנוכחית, משך כ-11 שנים, במהלכן השתלב במעגל העבודה והקים משפחה מתפקדת, כמו גם לקשיים הרבים אליהם נקלעו בני משפחת הנאשם, בעקבות הסתבכותו, כפי שעולה מראיות ההגנה.</w:t>
      </w:r>
      <w:r>
        <w:rPr>
          <w:b/>
          <w:bCs/>
          <w:sz w:val="28"/>
          <w:szCs w:val="28"/>
          <w:u w:val="single"/>
          <w:rtl/>
        </w:rPr>
        <w:br w:type="page"/>
      </w:r>
      <w:r>
        <w:rPr>
          <w:rFonts w:hint="cs"/>
          <w:b/>
          <w:bCs/>
          <w:sz w:val="28"/>
          <w:szCs w:val="28"/>
          <w:u w:val="single"/>
          <w:rtl/>
        </w:rPr>
        <w:t>סיכום</w:t>
      </w:r>
    </w:p>
    <w:p w14:paraId="4509EDFF" w14:textId="77777777" w:rsidR="007C7294" w:rsidRDefault="00112E04">
      <w:pPr>
        <w:pStyle w:val="ListParagraph"/>
        <w:numPr>
          <w:ilvl w:val="0"/>
          <w:numId w:val="1"/>
        </w:numPr>
        <w:spacing w:after="0" w:line="360" w:lineRule="auto"/>
        <w:jc w:val="both"/>
        <w:rPr>
          <w:rFonts w:cs="David"/>
          <w:sz w:val="24"/>
          <w:szCs w:val="24"/>
          <w:rtl/>
        </w:rPr>
      </w:pPr>
      <w:r>
        <w:rPr>
          <w:rFonts w:cs="David" w:hint="cs"/>
          <w:sz w:val="24"/>
          <w:szCs w:val="24"/>
          <w:rtl/>
        </w:rPr>
        <w:t>לאחר ששקלתי את מכלול השיקולים, כמפורט לעיל,  אני גוזר על הנאשם את העונשים הבאים:</w:t>
      </w:r>
    </w:p>
    <w:p w14:paraId="28FC3790" w14:textId="77777777" w:rsidR="007C7294" w:rsidRDefault="007C7294">
      <w:pPr>
        <w:spacing w:line="360" w:lineRule="auto"/>
        <w:jc w:val="both"/>
      </w:pPr>
    </w:p>
    <w:p w14:paraId="6EEC66AD" w14:textId="77777777" w:rsidR="007C7294" w:rsidRDefault="00112E04">
      <w:pPr>
        <w:pStyle w:val="ListParagraph"/>
        <w:numPr>
          <w:ilvl w:val="0"/>
          <w:numId w:val="4"/>
        </w:numPr>
        <w:spacing w:after="0" w:line="360" w:lineRule="auto"/>
        <w:ind w:left="1796" w:hanging="862"/>
        <w:jc w:val="both"/>
        <w:rPr>
          <w:rFonts w:cs="David"/>
          <w:sz w:val="24"/>
          <w:szCs w:val="24"/>
          <w:rtl/>
        </w:rPr>
      </w:pPr>
      <w:r>
        <w:rPr>
          <w:rFonts w:cs="David" w:hint="cs"/>
          <w:sz w:val="24"/>
          <w:szCs w:val="24"/>
          <w:rtl/>
        </w:rPr>
        <w:t>54 חודשי מאסר בפועל, שמניינם מיום מעצרו 7.2.16.</w:t>
      </w:r>
    </w:p>
    <w:p w14:paraId="7E2BF31B" w14:textId="77777777" w:rsidR="007C7294" w:rsidRDefault="007C7294">
      <w:pPr>
        <w:spacing w:line="360" w:lineRule="auto"/>
        <w:ind w:left="1796" w:hanging="862"/>
        <w:jc w:val="both"/>
        <w:rPr>
          <w:rtl/>
        </w:rPr>
      </w:pPr>
    </w:p>
    <w:p w14:paraId="771A412D" w14:textId="77777777" w:rsidR="007C7294" w:rsidRDefault="00112E04">
      <w:pPr>
        <w:pStyle w:val="ListParagraph"/>
        <w:numPr>
          <w:ilvl w:val="0"/>
          <w:numId w:val="4"/>
        </w:numPr>
        <w:spacing w:after="0" w:line="360" w:lineRule="auto"/>
        <w:ind w:left="1796" w:hanging="862"/>
        <w:jc w:val="both"/>
        <w:rPr>
          <w:rFonts w:cs="David"/>
          <w:sz w:val="24"/>
          <w:szCs w:val="24"/>
          <w:rtl/>
        </w:rPr>
      </w:pPr>
      <w:r>
        <w:rPr>
          <w:rFonts w:cs="David" w:hint="cs"/>
          <w:sz w:val="24"/>
          <w:szCs w:val="24"/>
          <w:rtl/>
        </w:rPr>
        <w:t>18 חודשי מאסר מותנים, למשך 3 שנים מיום שחרורו ממאסר, והתנאי הוא שהנאשם לא יעבור את העבירות בהן הורשע, או כל עבירה מסוג פשע בניגוד ל</w:t>
      </w:r>
      <w:hyperlink r:id="rId33" w:history="1">
        <w:r w:rsidRPr="00112E04">
          <w:rPr>
            <w:rFonts w:cs="David" w:hint="cs"/>
            <w:color w:val="0000FF"/>
            <w:sz w:val="24"/>
            <w:szCs w:val="24"/>
            <w:u w:val="single"/>
            <w:rtl/>
          </w:rPr>
          <w:t>פקודת</w:t>
        </w:r>
        <w:r w:rsidRPr="00112E04">
          <w:rPr>
            <w:rFonts w:cs="David"/>
            <w:color w:val="0000FF"/>
            <w:sz w:val="24"/>
            <w:szCs w:val="24"/>
            <w:u w:val="single"/>
            <w:rtl/>
          </w:rPr>
          <w:t xml:space="preserve"> </w:t>
        </w:r>
        <w:r w:rsidRPr="00112E04">
          <w:rPr>
            <w:rFonts w:cs="David" w:hint="cs"/>
            <w:color w:val="0000FF"/>
            <w:sz w:val="24"/>
            <w:szCs w:val="24"/>
            <w:u w:val="single"/>
            <w:rtl/>
          </w:rPr>
          <w:t>הסמים</w:t>
        </w:r>
        <w:r w:rsidRPr="00112E04">
          <w:rPr>
            <w:rFonts w:cs="David"/>
            <w:color w:val="0000FF"/>
            <w:sz w:val="24"/>
            <w:szCs w:val="24"/>
            <w:u w:val="single"/>
            <w:rtl/>
          </w:rPr>
          <w:t xml:space="preserve"> </w:t>
        </w:r>
        <w:r w:rsidRPr="00112E04">
          <w:rPr>
            <w:rFonts w:cs="David" w:hint="cs"/>
            <w:color w:val="0000FF"/>
            <w:sz w:val="24"/>
            <w:szCs w:val="24"/>
            <w:u w:val="single"/>
            <w:rtl/>
          </w:rPr>
          <w:t>המסוכנים</w:t>
        </w:r>
      </w:hyperlink>
      <w:r>
        <w:rPr>
          <w:rFonts w:cs="David" w:hint="cs"/>
          <w:sz w:val="24"/>
          <w:szCs w:val="24"/>
          <w:rtl/>
        </w:rPr>
        <w:t xml:space="preserve">, לרבות ניסיון או סיוע לעבור איזו מעבירות אלה. </w:t>
      </w:r>
    </w:p>
    <w:p w14:paraId="45434A9E" w14:textId="77777777" w:rsidR="007C7294" w:rsidRDefault="007C7294">
      <w:pPr>
        <w:spacing w:line="360" w:lineRule="auto"/>
        <w:ind w:left="1796" w:hanging="862"/>
        <w:jc w:val="both"/>
        <w:rPr>
          <w:rtl/>
        </w:rPr>
      </w:pPr>
    </w:p>
    <w:p w14:paraId="41925F33" w14:textId="77777777" w:rsidR="007C7294" w:rsidRDefault="00112E04">
      <w:pPr>
        <w:pStyle w:val="ListParagraph"/>
        <w:numPr>
          <w:ilvl w:val="0"/>
          <w:numId w:val="4"/>
        </w:numPr>
        <w:spacing w:after="0" w:line="360" w:lineRule="auto"/>
        <w:ind w:left="1796" w:hanging="862"/>
        <w:jc w:val="both"/>
        <w:rPr>
          <w:rFonts w:cs="David"/>
          <w:sz w:val="24"/>
          <w:szCs w:val="24"/>
          <w:rtl/>
        </w:rPr>
      </w:pPr>
      <w:r>
        <w:rPr>
          <w:rFonts w:cs="David" w:hint="cs"/>
          <w:sz w:val="24"/>
          <w:szCs w:val="24"/>
          <w:rtl/>
        </w:rPr>
        <w:t xml:space="preserve">קנס בסך 10,000 ₪, או 50 ימי מאסר תמורתו. הקנס ישולם עד ולא יאוחר מיום 4.4.17. </w:t>
      </w:r>
    </w:p>
    <w:p w14:paraId="275AEC2A" w14:textId="77777777" w:rsidR="007C7294" w:rsidRDefault="007C7294">
      <w:pPr>
        <w:spacing w:line="360" w:lineRule="auto"/>
        <w:jc w:val="both"/>
        <w:rPr>
          <w:b/>
          <w:bCs/>
          <w:sz w:val="28"/>
          <w:szCs w:val="28"/>
          <w:u w:val="single"/>
          <w:rtl/>
        </w:rPr>
      </w:pPr>
    </w:p>
    <w:p w14:paraId="6622C96B" w14:textId="77777777" w:rsidR="007C7294" w:rsidRDefault="00112E04">
      <w:pPr>
        <w:spacing w:line="360" w:lineRule="auto"/>
        <w:ind w:left="804"/>
        <w:jc w:val="both"/>
        <w:rPr>
          <w:rtl/>
        </w:rPr>
      </w:pPr>
      <w:r>
        <w:rPr>
          <w:rFonts w:hint="cs"/>
          <w:rtl/>
        </w:rPr>
        <w:t xml:space="preserve">מומלץ כי השב"ס ישקול שילוב הנאשם, במהלך מאסרו, בתכנית טיפולית שיקומית המותאמת לקשייו, ובליווי וסיוע הרשות לשיקום האסיר בתום ריצוי תקופת המאסר, כמפורט בתסקיר שירות המבחן. </w:t>
      </w:r>
    </w:p>
    <w:p w14:paraId="5F95F69F" w14:textId="77777777" w:rsidR="007C7294" w:rsidRDefault="007C7294">
      <w:pPr>
        <w:spacing w:line="360" w:lineRule="auto"/>
        <w:ind w:firstLine="662"/>
        <w:jc w:val="both"/>
        <w:rPr>
          <w:rtl/>
        </w:rPr>
      </w:pPr>
    </w:p>
    <w:p w14:paraId="1723090E" w14:textId="77777777" w:rsidR="007C7294" w:rsidRDefault="00112E04">
      <w:pPr>
        <w:spacing w:line="360" w:lineRule="auto"/>
        <w:ind w:firstLine="1796"/>
        <w:jc w:val="both"/>
        <w:rPr>
          <w:b/>
          <w:bCs/>
          <w:rtl/>
        </w:rPr>
      </w:pPr>
      <w:r>
        <w:rPr>
          <w:rFonts w:hint="cs"/>
          <w:b/>
          <w:bCs/>
          <w:rtl/>
        </w:rPr>
        <w:t xml:space="preserve">זכות ערעור לבית המשפט העליון תוך 45 ימים מהיום. </w:t>
      </w:r>
    </w:p>
    <w:p w14:paraId="361F2904" w14:textId="77777777" w:rsidR="007C7294" w:rsidRDefault="007C7294">
      <w:pPr>
        <w:spacing w:line="360" w:lineRule="auto"/>
        <w:rPr>
          <w:rtl/>
        </w:rPr>
      </w:pPr>
    </w:p>
    <w:p w14:paraId="64754A81" w14:textId="77777777" w:rsidR="007C7294" w:rsidRDefault="007C7294">
      <w:pPr>
        <w:rPr>
          <w:rtl/>
        </w:rPr>
      </w:pPr>
    </w:p>
    <w:p w14:paraId="02B81EB8" w14:textId="77777777" w:rsidR="007C7294" w:rsidRDefault="007C7294">
      <w:pPr>
        <w:rPr>
          <w:rtl/>
        </w:rPr>
      </w:pPr>
    </w:p>
    <w:p w14:paraId="6C7F22E0" w14:textId="77777777" w:rsidR="007C7294" w:rsidRDefault="00112E04">
      <w:pPr>
        <w:rPr>
          <w:rtl/>
        </w:rPr>
      </w:pPr>
      <w:r>
        <w:rPr>
          <w:rFonts w:ascii="Arial" w:hAnsi="Arial"/>
          <w:rtl/>
        </w:rPr>
        <w:t xml:space="preserve">ניתן היום,  ו' טבת תשע"ז, 04 ינואר 2017, בנוכחות הצדדים. </w:t>
      </w:r>
    </w:p>
    <w:p w14:paraId="6469E7C2" w14:textId="77777777" w:rsidR="007C7294" w:rsidRPr="00112E04" w:rsidRDefault="00112E04">
      <w:pPr>
        <w:rPr>
          <w:color w:val="FFFFFF"/>
          <w:sz w:val="2"/>
          <w:szCs w:val="2"/>
          <w:rtl/>
        </w:rPr>
      </w:pPr>
      <w:r w:rsidRPr="00112E04">
        <w:rPr>
          <w:color w:val="FFFFFF"/>
          <w:sz w:val="2"/>
          <w:szCs w:val="2"/>
          <w:rtl/>
        </w:rPr>
        <w:t>5129371</w:t>
      </w:r>
      <w:r w:rsidRPr="00112E04">
        <w:rPr>
          <w:color w:val="FFFFFF"/>
          <w:sz w:val="2"/>
          <w:szCs w:val="2"/>
          <w:rtl/>
        </w:rPr>
        <w:tab/>
      </w:r>
      <w:r w:rsidRPr="00112E04">
        <w:rPr>
          <w:color w:val="FFFFFF"/>
          <w:sz w:val="2"/>
          <w:szCs w:val="2"/>
          <w:rtl/>
        </w:rPr>
        <w:tab/>
      </w:r>
      <w:r w:rsidRPr="00112E04">
        <w:rPr>
          <w:color w:val="FFFFFF"/>
          <w:sz w:val="2"/>
          <w:szCs w:val="2"/>
          <w:rtl/>
        </w:rPr>
        <w:tab/>
      </w:r>
      <w:r w:rsidRPr="00112E04">
        <w:rPr>
          <w:color w:val="FFFFFF"/>
          <w:sz w:val="2"/>
          <w:szCs w:val="2"/>
          <w:rtl/>
        </w:rPr>
        <w:tab/>
      </w:r>
      <w:r w:rsidRPr="00112E04">
        <w:rPr>
          <w:color w:val="FFFFFF"/>
          <w:sz w:val="2"/>
          <w:szCs w:val="2"/>
          <w:rtl/>
        </w:rPr>
        <w:tab/>
      </w:r>
      <w:r w:rsidRPr="00112E04">
        <w:rPr>
          <w:color w:val="FFFFFF"/>
          <w:sz w:val="2"/>
          <w:szCs w:val="2"/>
          <w:rtl/>
        </w:rPr>
        <w:tab/>
      </w:r>
      <w:r w:rsidRPr="00112E04">
        <w:rPr>
          <w:color w:val="FFFFFF"/>
          <w:sz w:val="2"/>
          <w:szCs w:val="2"/>
          <w:rtl/>
        </w:rPr>
        <w:tab/>
      </w:r>
      <w:r w:rsidRPr="00112E04">
        <w:rPr>
          <w:color w:val="FFFFFF"/>
          <w:sz w:val="2"/>
          <w:szCs w:val="2"/>
          <w:rtl/>
        </w:rPr>
        <w:tab/>
      </w:r>
      <w:r w:rsidRPr="00112E04">
        <w:rPr>
          <w:color w:val="FFFFFF"/>
          <w:sz w:val="2"/>
          <w:szCs w:val="2"/>
          <w:rtl/>
        </w:rPr>
        <w:tab/>
      </w:r>
      <w:r w:rsidRPr="00112E04">
        <w:rPr>
          <w:color w:val="FFFFFF"/>
          <w:sz w:val="2"/>
          <w:szCs w:val="2"/>
          <w:rtl/>
        </w:rPr>
        <w:tab/>
      </w:r>
    </w:p>
    <w:tbl>
      <w:tblPr>
        <w:bidiVisual/>
        <w:tblW w:w="0" w:type="auto"/>
        <w:tblBorders>
          <w:insideH w:val="single" w:sz="4" w:space="0" w:color="auto"/>
          <w:insideV w:val="single" w:sz="4" w:space="0" w:color="auto"/>
        </w:tblBorders>
        <w:tblLook w:val="01E0" w:firstRow="1" w:lastRow="1" w:firstColumn="1" w:lastColumn="1" w:noHBand="0" w:noVBand="0"/>
      </w:tblPr>
      <w:tblGrid>
        <w:gridCol w:w="3936"/>
      </w:tblGrid>
      <w:tr w:rsidR="007C7294" w14:paraId="2BC9E17A" w14:textId="77777777">
        <w:trPr>
          <w:trHeight w:val="316"/>
        </w:trPr>
        <w:tc>
          <w:tcPr>
            <w:tcW w:w="3936" w:type="dxa"/>
            <w:tcBorders>
              <w:top w:val="nil"/>
              <w:left w:val="nil"/>
              <w:bottom w:val="single" w:sz="4" w:space="0" w:color="auto"/>
              <w:right w:val="nil"/>
            </w:tcBorders>
            <w:shd w:val="clear" w:color="auto" w:fill="auto"/>
          </w:tcPr>
          <w:p w14:paraId="4DECDC1C" w14:textId="77777777" w:rsidR="007C7294" w:rsidRPr="00112E04" w:rsidRDefault="00112E04">
            <w:pPr>
              <w:jc w:val="center"/>
              <w:rPr>
                <w:rFonts w:cs="Times New Roman"/>
                <w:color w:val="FFFFFF"/>
                <w:sz w:val="2"/>
                <w:szCs w:val="2"/>
              </w:rPr>
            </w:pPr>
            <w:r w:rsidRPr="00112E04">
              <w:rPr>
                <w:rFonts w:cs="Times New Roman"/>
                <w:color w:val="FFFFFF"/>
                <w:sz w:val="2"/>
                <w:szCs w:val="2"/>
                <w:rtl/>
              </w:rPr>
              <w:t>54678313</w:t>
            </w:r>
          </w:p>
          <w:p w14:paraId="12C507D3" w14:textId="77777777" w:rsidR="007C7294" w:rsidRDefault="007C7294">
            <w:pPr>
              <w:jc w:val="center"/>
            </w:pPr>
          </w:p>
        </w:tc>
      </w:tr>
      <w:tr w:rsidR="007C7294" w14:paraId="5C278671" w14:textId="77777777">
        <w:trPr>
          <w:trHeight w:val="361"/>
        </w:trPr>
        <w:tc>
          <w:tcPr>
            <w:tcW w:w="3936" w:type="dxa"/>
            <w:tcBorders>
              <w:top w:val="single" w:sz="4" w:space="0" w:color="auto"/>
              <w:left w:val="nil"/>
              <w:bottom w:val="nil"/>
              <w:right w:val="nil"/>
            </w:tcBorders>
            <w:shd w:val="clear" w:color="auto" w:fill="auto"/>
          </w:tcPr>
          <w:p w14:paraId="7ADBC528" w14:textId="77777777" w:rsidR="007C7294" w:rsidRDefault="00112E04">
            <w:pPr>
              <w:jc w:val="center"/>
              <w:rPr>
                <w:b/>
                <w:bCs/>
                <w:rtl/>
              </w:rPr>
            </w:pPr>
            <w:r>
              <w:rPr>
                <w:rFonts w:hint="cs"/>
                <w:b/>
                <w:bCs/>
                <w:rtl/>
              </w:rPr>
              <w:t xml:space="preserve">ירון לוי , שופט </w:t>
            </w:r>
          </w:p>
        </w:tc>
      </w:tr>
    </w:tbl>
    <w:p w14:paraId="735D8114" w14:textId="77777777" w:rsidR="007C7294" w:rsidRDefault="007C7294">
      <w:pPr>
        <w:jc w:val="right"/>
        <w:rPr>
          <w:rFonts w:ascii="David" w:hAnsi="David"/>
          <w:rtl/>
        </w:rPr>
      </w:pPr>
    </w:p>
    <w:p w14:paraId="652DC8E9" w14:textId="77777777" w:rsidR="007C7294" w:rsidRDefault="007C7294">
      <w:pPr>
        <w:jc w:val="both"/>
        <w:rPr>
          <w:rtl/>
        </w:rPr>
      </w:pPr>
    </w:p>
    <w:p w14:paraId="28817B2C" w14:textId="77777777" w:rsidR="007C7294" w:rsidRDefault="007C7294">
      <w:pPr>
        <w:rPr>
          <w:rtl/>
        </w:rPr>
      </w:pPr>
    </w:p>
    <w:p w14:paraId="0A5F0960" w14:textId="77777777" w:rsidR="007C7294" w:rsidRDefault="007C7294">
      <w:pPr>
        <w:pStyle w:val="a3"/>
        <w:jc w:val="center"/>
        <w:rPr>
          <w:rtl/>
        </w:rPr>
      </w:pPr>
    </w:p>
    <w:p w14:paraId="7AF758CD" w14:textId="77777777" w:rsidR="00112E04" w:rsidRPr="00112E04" w:rsidRDefault="00112E04" w:rsidP="00112E04">
      <w:pPr>
        <w:keepNext/>
        <w:rPr>
          <w:rFonts w:ascii="David" w:hAnsi="David"/>
          <w:color w:val="000000"/>
          <w:sz w:val="22"/>
          <w:szCs w:val="22"/>
          <w:rtl/>
        </w:rPr>
      </w:pPr>
    </w:p>
    <w:p w14:paraId="7E16A1C3" w14:textId="77777777" w:rsidR="00112E04" w:rsidRPr="00112E04" w:rsidRDefault="00112E04" w:rsidP="00112E04">
      <w:pPr>
        <w:keepNext/>
        <w:rPr>
          <w:rFonts w:ascii="David" w:hAnsi="David"/>
          <w:color w:val="000000"/>
          <w:sz w:val="22"/>
          <w:szCs w:val="22"/>
          <w:rtl/>
        </w:rPr>
      </w:pPr>
      <w:r w:rsidRPr="00112E04">
        <w:rPr>
          <w:rFonts w:ascii="David" w:hAnsi="David"/>
          <w:color w:val="000000"/>
          <w:sz w:val="22"/>
          <w:szCs w:val="22"/>
          <w:rtl/>
        </w:rPr>
        <w:t>ירון לוי 54678313</w:t>
      </w:r>
    </w:p>
    <w:p w14:paraId="4548A841" w14:textId="77777777" w:rsidR="00112E04" w:rsidRDefault="00112E04" w:rsidP="00112E04">
      <w:r w:rsidRPr="00112E04">
        <w:rPr>
          <w:color w:val="000000"/>
          <w:rtl/>
        </w:rPr>
        <w:t>נוסח מסמך זה כפוף לשינויי ניסוח ועריכה</w:t>
      </w:r>
    </w:p>
    <w:p w14:paraId="0F6BAD8B" w14:textId="77777777" w:rsidR="00112E04" w:rsidRDefault="00112E04" w:rsidP="00112E04">
      <w:pPr>
        <w:rPr>
          <w:rtl/>
        </w:rPr>
      </w:pPr>
    </w:p>
    <w:p w14:paraId="30ED5E80" w14:textId="77777777" w:rsidR="00112E04" w:rsidRDefault="00112E04" w:rsidP="00112E04">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p>
    <w:p w14:paraId="1D4F2666" w14:textId="77777777" w:rsidR="007C7294" w:rsidRPr="00112E04" w:rsidRDefault="007C7294" w:rsidP="00112E04">
      <w:pPr>
        <w:jc w:val="center"/>
        <w:rPr>
          <w:color w:val="0000FF"/>
          <w:u w:val="single"/>
        </w:rPr>
      </w:pPr>
    </w:p>
    <w:sectPr w:rsidR="007C7294" w:rsidRPr="00112E04" w:rsidSect="00112E04">
      <w:headerReference w:type="even" r:id="rId35"/>
      <w:headerReference w:type="default" r:id="rId36"/>
      <w:footerReference w:type="even" r:id="rId37"/>
      <w:footerReference w:type="default" r:id="rId3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2C6189" w14:textId="77777777" w:rsidR="00C45842" w:rsidRDefault="00C45842">
      <w:r>
        <w:separator/>
      </w:r>
    </w:p>
  </w:endnote>
  <w:endnote w:type="continuationSeparator" w:id="0">
    <w:p w14:paraId="3779B965" w14:textId="77777777" w:rsidR="00C45842" w:rsidRDefault="00C458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C08FE2" w14:textId="77777777" w:rsidR="00C45842" w:rsidRDefault="00C45842" w:rsidP="00112E04">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85CA03B" w14:textId="77777777" w:rsidR="00C45842" w:rsidRPr="00112E04" w:rsidRDefault="00C45842" w:rsidP="00112E04">
    <w:pPr>
      <w:pStyle w:val="a4"/>
      <w:pBdr>
        <w:top w:val="single" w:sz="4" w:space="1" w:color="auto"/>
        <w:between w:val="single" w:sz="4" w:space="0" w:color="auto"/>
      </w:pBdr>
      <w:spacing w:after="60"/>
      <w:jc w:val="center"/>
      <w:rPr>
        <w:rFonts w:ascii="FrankRuehl" w:hAnsi="FrankRuehl" w:cs="FrankRuehl"/>
        <w:color w:val="000000"/>
      </w:rPr>
    </w:pPr>
    <w:r w:rsidRPr="00112E0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448ABB" w14:textId="77777777" w:rsidR="00C45842" w:rsidRDefault="00C45842" w:rsidP="00112E04">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662D1">
      <w:rPr>
        <w:rFonts w:ascii="FrankRuehl" w:hAnsi="FrankRuehl" w:cs="FrankRuehl"/>
        <w:noProof/>
        <w:rtl/>
      </w:rPr>
      <w:t>1</w:t>
    </w:r>
    <w:r>
      <w:rPr>
        <w:rFonts w:ascii="FrankRuehl" w:hAnsi="FrankRuehl" w:cs="FrankRuehl"/>
        <w:rtl/>
      </w:rPr>
      <w:fldChar w:fldCharType="end"/>
    </w:r>
  </w:p>
  <w:p w14:paraId="3E8B0D50" w14:textId="77777777" w:rsidR="00C45842" w:rsidRPr="00112E04" w:rsidRDefault="00C45842" w:rsidP="00112E04">
    <w:pPr>
      <w:pStyle w:val="a4"/>
      <w:pBdr>
        <w:top w:val="single" w:sz="4" w:space="1" w:color="auto"/>
        <w:between w:val="single" w:sz="4" w:space="0" w:color="auto"/>
      </w:pBdr>
      <w:spacing w:after="60"/>
      <w:jc w:val="center"/>
      <w:rPr>
        <w:rFonts w:ascii="FrankRuehl" w:hAnsi="FrankRuehl" w:cs="FrankRuehl"/>
        <w:color w:val="000000"/>
      </w:rPr>
    </w:pPr>
    <w:r w:rsidRPr="00112E04">
      <w:rPr>
        <w:rFonts w:ascii="FrankRuehl" w:hAnsi="FrankRuehl" w:cs="FrankRuehl"/>
        <w:color w:val="000000"/>
      </w:rPr>
      <w:pict w14:anchorId="50A79D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F751C5" w14:textId="77777777" w:rsidR="00C45842" w:rsidRDefault="00C45842">
      <w:r>
        <w:separator/>
      </w:r>
    </w:p>
  </w:footnote>
  <w:footnote w:type="continuationSeparator" w:id="0">
    <w:p w14:paraId="49650326" w14:textId="77777777" w:rsidR="00C45842" w:rsidRDefault="00C458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FA9EA9" w14:textId="77777777" w:rsidR="00C45842" w:rsidRPr="00112E04" w:rsidRDefault="00C45842" w:rsidP="00112E0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10283-03-16</w:t>
    </w:r>
    <w:r>
      <w:rPr>
        <w:rFonts w:ascii="David" w:hAnsi="David"/>
        <w:color w:val="000000"/>
        <w:sz w:val="22"/>
        <w:szCs w:val="22"/>
        <w:rtl/>
      </w:rPr>
      <w:tab/>
      <w:t xml:space="preserve"> מדינת ישראל נ' יריב קובלסקי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1E57D" w14:textId="77777777" w:rsidR="00C45842" w:rsidRPr="00112E04" w:rsidRDefault="00C45842" w:rsidP="00112E0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10283-03-16</w:t>
    </w:r>
    <w:r>
      <w:rPr>
        <w:rFonts w:ascii="David" w:hAnsi="David"/>
        <w:color w:val="000000"/>
        <w:sz w:val="22"/>
        <w:szCs w:val="22"/>
        <w:rtl/>
      </w:rPr>
      <w:tab/>
      <w:t xml:space="preserve"> מדינת ישראל נ' יריב קובלסקי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A4910"/>
    <w:multiLevelType w:val="hybridMultilevel"/>
    <w:tmpl w:val="6534E052"/>
    <w:lvl w:ilvl="0" w:tplc="301ABB9C">
      <w:start w:val="1"/>
      <w:numFmt w:val="decimal"/>
      <w:lvlText w:val="%1."/>
      <w:lvlJc w:val="left"/>
      <w:pPr>
        <w:ind w:left="720" w:hanging="360"/>
      </w:pPr>
      <w:rPr>
        <w:lang w:bidi="he-IL"/>
      </w:rPr>
    </w:lvl>
    <w:lvl w:ilvl="1" w:tplc="A9583564">
      <w:start w:val="1"/>
      <w:numFmt w:val="hebrew1"/>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D4859B7"/>
    <w:multiLevelType w:val="hybridMultilevel"/>
    <w:tmpl w:val="FEB05640"/>
    <w:lvl w:ilvl="0" w:tplc="F71E022E">
      <w:start w:val="1"/>
      <w:numFmt w:val="decimal"/>
      <w:lvlText w:val="%1."/>
      <w:lvlJc w:val="left"/>
      <w:pPr>
        <w:ind w:left="720" w:hanging="360"/>
      </w:pPr>
      <w:rPr>
        <w:lang w:val="en-US" w:bidi="he-IL"/>
      </w:rPr>
    </w:lvl>
    <w:lvl w:ilvl="1" w:tplc="A9583564">
      <w:start w:val="1"/>
      <w:numFmt w:val="hebrew1"/>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DC00E5A"/>
    <w:multiLevelType w:val="hybridMultilevel"/>
    <w:tmpl w:val="8E387F96"/>
    <w:lvl w:ilvl="0" w:tplc="A9583564">
      <w:start w:val="1"/>
      <w:numFmt w:val="hebrew1"/>
      <w:lvlText w:val="%1."/>
      <w:lvlJc w:val="left"/>
      <w:pPr>
        <w:ind w:left="2091" w:hanging="360"/>
      </w:pPr>
    </w:lvl>
    <w:lvl w:ilvl="1" w:tplc="04090019">
      <w:start w:val="1"/>
      <w:numFmt w:val="lowerLetter"/>
      <w:lvlText w:val="%2."/>
      <w:lvlJc w:val="left"/>
      <w:pPr>
        <w:ind w:left="2811" w:hanging="360"/>
      </w:pPr>
    </w:lvl>
    <w:lvl w:ilvl="2" w:tplc="0409001B">
      <w:start w:val="1"/>
      <w:numFmt w:val="lowerRoman"/>
      <w:lvlText w:val="%3."/>
      <w:lvlJc w:val="right"/>
      <w:pPr>
        <w:ind w:left="3531" w:hanging="180"/>
      </w:pPr>
    </w:lvl>
    <w:lvl w:ilvl="3" w:tplc="0409000F">
      <w:start w:val="1"/>
      <w:numFmt w:val="decimal"/>
      <w:lvlText w:val="%4."/>
      <w:lvlJc w:val="left"/>
      <w:pPr>
        <w:ind w:left="4251" w:hanging="360"/>
      </w:pPr>
    </w:lvl>
    <w:lvl w:ilvl="4" w:tplc="04090019">
      <w:start w:val="1"/>
      <w:numFmt w:val="lowerLetter"/>
      <w:lvlText w:val="%5."/>
      <w:lvlJc w:val="left"/>
      <w:pPr>
        <w:ind w:left="4971" w:hanging="360"/>
      </w:pPr>
    </w:lvl>
    <w:lvl w:ilvl="5" w:tplc="0409001B">
      <w:start w:val="1"/>
      <w:numFmt w:val="lowerRoman"/>
      <w:lvlText w:val="%6."/>
      <w:lvlJc w:val="right"/>
      <w:pPr>
        <w:ind w:left="5691" w:hanging="180"/>
      </w:pPr>
    </w:lvl>
    <w:lvl w:ilvl="6" w:tplc="0409000F">
      <w:start w:val="1"/>
      <w:numFmt w:val="decimal"/>
      <w:lvlText w:val="%7."/>
      <w:lvlJc w:val="left"/>
      <w:pPr>
        <w:ind w:left="6411" w:hanging="360"/>
      </w:pPr>
    </w:lvl>
    <w:lvl w:ilvl="7" w:tplc="04090019">
      <w:start w:val="1"/>
      <w:numFmt w:val="lowerLetter"/>
      <w:lvlText w:val="%8."/>
      <w:lvlJc w:val="left"/>
      <w:pPr>
        <w:ind w:left="7131" w:hanging="360"/>
      </w:pPr>
    </w:lvl>
    <w:lvl w:ilvl="8" w:tplc="0409001B">
      <w:start w:val="1"/>
      <w:numFmt w:val="lowerRoman"/>
      <w:lvlText w:val="%9."/>
      <w:lvlJc w:val="right"/>
      <w:pPr>
        <w:ind w:left="7851" w:hanging="180"/>
      </w:pPr>
    </w:lvl>
  </w:abstractNum>
  <w:abstractNum w:abstractNumId="3" w15:restartNumberingAfterBreak="0">
    <w:nsid w:val="7FCC0416"/>
    <w:multiLevelType w:val="hybridMultilevel"/>
    <w:tmpl w:val="CE506BE6"/>
    <w:lvl w:ilvl="0" w:tplc="04090013">
      <w:start w:val="1"/>
      <w:numFmt w:val="hebrew1"/>
      <w:lvlText w:val="%1."/>
      <w:lvlJc w:val="center"/>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16cid:durableId="8562376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337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62023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913244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C7294"/>
    <w:rsid w:val="00112E04"/>
    <w:rsid w:val="00376FED"/>
    <w:rsid w:val="00541908"/>
    <w:rsid w:val="006C76EE"/>
    <w:rsid w:val="007C7294"/>
    <w:rsid w:val="00AE5068"/>
    <w:rsid w:val="00C45842"/>
    <w:rsid w:val="00D662D1"/>
    <w:rsid w:val="00F101A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8131845"/>
  <w15:chartTrackingRefBased/>
  <w15:docId w15:val="{FD45EA1C-18F2-48A6-8D23-A546195F0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E202B"/>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9E202B"/>
    <w:pPr>
      <w:tabs>
        <w:tab w:val="center" w:pos="4153"/>
        <w:tab w:val="right" w:pos="8306"/>
      </w:tabs>
    </w:pPr>
  </w:style>
  <w:style w:type="paragraph" w:styleId="a4">
    <w:name w:val="footer"/>
    <w:basedOn w:val="a"/>
    <w:rsid w:val="009E202B"/>
    <w:pPr>
      <w:tabs>
        <w:tab w:val="center" w:pos="4153"/>
        <w:tab w:val="right" w:pos="8306"/>
      </w:tabs>
    </w:pPr>
  </w:style>
  <w:style w:type="character" w:styleId="a5">
    <w:name w:val="page number"/>
    <w:basedOn w:val="a0"/>
    <w:rsid w:val="009E202B"/>
  </w:style>
  <w:style w:type="paragraph" w:customStyle="1" w:styleId="ListParagraph">
    <w:name w:val="List Paragraph"/>
    <w:basedOn w:val="a"/>
    <w:rsid w:val="009E202B"/>
    <w:pPr>
      <w:spacing w:after="200" w:line="276" w:lineRule="auto"/>
      <w:ind w:left="720"/>
      <w:contextualSpacing/>
    </w:pPr>
    <w:rPr>
      <w:rFonts w:ascii="Calibri" w:eastAsia="Calibri" w:hAnsi="Calibri" w:cs="Arial"/>
      <w:sz w:val="22"/>
      <w:szCs w:val="22"/>
    </w:rPr>
  </w:style>
  <w:style w:type="character" w:styleId="Hyperlink">
    <w:name w:val="Hyperlink"/>
    <w:basedOn w:val="a0"/>
    <w:rsid w:val="00112E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c" TargetMode="External"/><Relationship Id="rId18" Type="http://schemas.openxmlformats.org/officeDocument/2006/relationships/hyperlink" Target="http://www.nevo.co.il/law/4216" TargetMode="External"/><Relationship Id="rId26" Type="http://schemas.openxmlformats.org/officeDocument/2006/relationships/hyperlink" Target="http://www.nevo.co.il/case/13093721" TargetMode="External"/><Relationship Id="rId39" Type="http://schemas.openxmlformats.org/officeDocument/2006/relationships/fontTable" Target="fontTable.xml"/><Relationship Id="rId21" Type="http://schemas.openxmlformats.org/officeDocument/2006/relationships/hyperlink" Target="http://www.nevo.co.il/law/70301/242"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298" TargetMode="External"/><Relationship Id="rId17" Type="http://schemas.openxmlformats.org/officeDocument/2006/relationships/hyperlink" Target="http://www.nevo.co.il/law/4216/13" TargetMode="External"/><Relationship Id="rId25" Type="http://schemas.openxmlformats.org/officeDocument/2006/relationships/hyperlink" Target="http://www.nevo.co.il/law/70301/40jc" TargetMode="External"/><Relationship Id="rId33" Type="http://schemas.openxmlformats.org/officeDocument/2006/relationships/hyperlink" Target="http://www.nevo.co.il/law/4216"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law/4216/13" TargetMode="External"/><Relationship Id="rId29" Type="http://schemas.openxmlformats.org/officeDocument/2006/relationships/hyperlink" Target="http://www.nevo.co.il/case/2068359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244" TargetMode="External"/><Relationship Id="rId24" Type="http://schemas.openxmlformats.org/officeDocument/2006/relationships/hyperlink" Target="http://www.nevo.co.il/law/70301/40d" TargetMode="External"/><Relationship Id="rId32" Type="http://schemas.openxmlformats.org/officeDocument/2006/relationships/hyperlink" Target="http://www.nevo.co.il/case/20243562"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4216/13" TargetMode="External"/><Relationship Id="rId23" Type="http://schemas.openxmlformats.org/officeDocument/2006/relationships/hyperlink" Target="http://www.nevo.co.il/law/70301/298" TargetMode="External"/><Relationship Id="rId28" Type="http://schemas.openxmlformats.org/officeDocument/2006/relationships/hyperlink" Target="http://www.nevo.co.il/case/5726579" TargetMode="External"/><Relationship Id="rId36" Type="http://schemas.openxmlformats.org/officeDocument/2006/relationships/header" Target="header2.xml"/><Relationship Id="rId10" Type="http://schemas.openxmlformats.org/officeDocument/2006/relationships/hyperlink" Target="http://www.nevo.co.il/law/70301/242" TargetMode="External"/><Relationship Id="rId19" Type="http://schemas.openxmlformats.org/officeDocument/2006/relationships/hyperlink" Target="http://www.nevo.co.il/law/70301/25" TargetMode="External"/><Relationship Id="rId31" Type="http://schemas.openxmlformats.org/officeDocument/2006/relationships/hyperlink" Target="http://www.nevo.co.il/case/5583249" TargetMode="External"/><Relationship Id="rId4" Type="http://schemas.openxmlformats.org/officeDocument/2006/relationships/webSettings" Target="webSettings.xml"/><Relationship Id="rId9" Type="http://schemas.openxmlformats.org/officeDocument/2006/relationships/hyperlink" Target="http://www.nevo.co.il/law/70301/40d" TargetMode="External"/><Relationship Id="rId14" Type="http://schemas.openxmlformats.org/officeDocument/2006/relationships/hyperlink" Target="http://www.nevo.co.il/law/4216" TargetMode="External"/><Relationship Id="rId22" Type="http://schemas.openxmlformats.org/officeDocument/2006/relationships/hyperlink" Target="http://www.nevo.co.il/law/70301/244" TargetMode="External"/><Relationship Id="rId27" Type="http://schemas.openxmlformats.org/officeDocument/2006/relationships/hyperlink" Target="http://www.nevo.co.il/case/17954235" TargetMode="External"/><Relationship Id="rId30" Type="http://schemas.openxmlformats.org/officeDocument/2006/relationships/hyperlink" Target="http://www.nevo.co.il/case/13048300" TargetMode="External"/><Relationship Id="rId35" Type="http://schemas.openxmlformats.org/officeDocument/2006/relationships/header" Target="header1.xml"/><Relationship Id="rId8" Type="http://schemas.openxmlformats.org/officeDocument/2006/relationships/hyperlink" Target="http://www.nevo.co.il/law/70301/25"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3825</Words>
  <Characters>19130</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22910</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8257637</vt:i4>
      </vt:variant>
      <vt:variant>
        <vt:i4>78</vt:i4>
      </vt:variant>
      <vt:variant>
        <vt:i4>0</vt:i4>
      </vt:variant>
      <vt:variant>
        <vt:i4>5</vt:i4>
      </vt:variant>
      <vt:variant>
        <vt:lpwstr>http://www.nevo.co.il/law/4216</vt:lpwstr>
      </vt:variant>
      <vt:variant>
        <vt:lpwstr/>
      </vt:variant>
      <vt:variant>
        <vt:i4>3473525</vt:i4>
      </vt:variant>
      <vt:variant>
        <vt:i4>75</vt:i4>
      </vt:variant>
      <vt:variant>
        <vt:i4>0</vt:i4>
      </vt:variant>
      <vt:variant>
        <vt:i4>5</vt:i4>
      </vt:variant>
      <vt:variant>
        <vt:lpwstr>http://www.nevo.co.il/case/20243562</vt:lpwstr>
      </vt:variant>
      <vt:variant>
        <vt:lpwstr/>
      </vt:variant>
      <vt:variant>
        <vt:i4>3539062</vt:i4>
      </vt:variant>
      <vt:variant>
        <vt:i4>72</vt:i4>
      </vt:variant>
      <vt:variant>
        <vt:i4>0</vt:i4>
      </vt:variant>
      <vt:variant>
        <vt:i4>5</vt:i4>
      </vt:variant>
      <vt:variant>
        <vt:lpwstr>http://www.nevo.co.il/case/5583249</vt:lpwstr>
      </vt:variant>
      <vt:variant>
        <vt:lpwstr/>
      </vt:variant>
      <vt:variant>
        <vt:i4>3735664</vt:i4>
      </vt:variant>
      <vt:variant>
        <vt:i4>69</vt:i4>
      </vt:variant>
      <vt:variant>
        <vt:i4>0</vt:i4>
      </vt:variant>
      <vt:variant>
        <vt:i4>5</vt:i4>
      </vt:variant>
      <vt:variant>
        <vt:lpwstr>http://www.nevo.co.il/case/13048300</vt:lpwstr>
      </vt:variant>
      <vt:variant>
        <vt:lpwstr/>
      </vt:variant>
      <vt:variant>
        <vt:i4>4063353</vt:i4>
      </vt:variant>
      <vt:variant>
        <vt:i4>66</vt:i4>
      </vt:variant>
      <vt:variant>
        <vt:i4>0</vt:i4>
      </vt:variant>
      <vt:variant>
        <vt:i4>5</vt:i4>
      </vt:variant>
      <vt:variant>
        <vt:lpwstr>http://www.nevo.co.il/case/20683594</vt:lpwstr>
      </vt:variant>
      <vt:variant>
        <vt:lpwstr/>
      </vt:variant>
      <vt:variant>
        <vt:i4>3866738</vt:i4>
      </vt:variant>
      <vt:variant>
        <vt:i4>63</vt:i4>
      </vt:variant>
      <vt:variant>
        <vt:i4>0</vt:i4>
      </vt:variant>
      <vt:variant>
        <vt:i4>5</vt:i4>
      </vt:variant>
      <vt:variant>
        <vt:lpwstr>http://www.nevo.co.il/case/5726579</vt:lpwstr>
      </vt:variant>
      <vt:variant>
        <vt:lpwstr/>
      </vt:variant>
      <vt:variant>
        <vt:i4>4128884</vt:i4>
      </vt:variant>
      <vt:variant>
        <vt:i4>60</vt:i4>
      </vt:variant>
      <vt:variant>
        <vt:i4>0</vt:i4>
      </vt:variant>
      <vt:variant>
        <vt:i4>5</vt:i4>
      </vt:variant>
      <vt:variant>
        <vt:lpwstr>http://www.nevo.co.il/case/17954235</vt:lpwstr>
      </vt:variant>
      <vt:variant>
        <vt:lpwstr/>
      </vt:variant>
      <vt:variant>
        <vt:i4>3145849</vt:i4>
      </vt:variant>
      <vt:variant>
        <vt:i4>57</vt:i4>
      </vt:variant>
      <vt:variant>
        <vt:i4>0</vt:i4>
      </vt:variant>
      <vt:variant>
        <vt:i4>5</vt:i4>
      </vt:variant>
      <vt:variant>
        <vt:lpwstr>http://www.nevo.co.il/case/13093721</vt:lpwstr>
      </vt:variant>
      <vt:variant>
        <vt:lpwstr/>
      </vt:variant>
      <vt:variant>
        <vt:i4>393227</vt:i4>
      </vt:variant>
      <vt:variant>
        <vt:i4>54</vt:i4>
      </vt:variant>
      <vt:variant>
        <vt:i4>0</vt:i4>
      </vt:variant>
      <vt:variant>
        <vt:i4>5</vt:i4>
      </vt:variant>
      <vt:variant>
        <vt:lpwstr>http://www.nevo.co.il/law/70301/40jc</vt:lpwstr>
      </vt:variant>
      <vt:variant>
        <vt:lpwstr/>
      </vt:variant>
      <vt:variant>
        <vt:i4>6619233</vt:i4>
      </vt:variant>
      <vt:variant>
        <vt:i4>51</vt:i4>
      </vt:variant>
      <vt:variant>
        <vt:i4>0</vt:i4>
      </vt:variant>
      <vt:variant>
        <vt:i4>5</vt:i4>
      </vt:variant>
      <vt:variant>
        <vt:lpwstr>http://www.nevo.co.il/law/70301/40d</vt:lpwstr>
      </vt:variant>
      <vt:variant>
        <vt:lpwstr/>
      </vt:variant>
      <vt:variant>
        <vt:i4>7077991</vt:i4>
      </vt:variant>
      <vt:variant>
        <vt:i4>48</vt:i4>
      </vt:variant>
      <vt:variant>
        <vt:i4>0</vt:i4>
      </vt:variant>
      <vt:variant>
        <vt:i4>5</vt:i4>
      </vt:variant>
      <vt:variant>
        <vt:lpwstr>http://www.nevo.co.il/law/70301/298</vt:lpwstr>
      </vt:variant>
      <vt:variant>
        <vt:lpwstr/>
      </vt:variant>
      <vt:variant>
        <vt:i4>6357095</vt:i4>
      </vt:variant>
      <vt:variant>
        <vt:i4>45</vt:i4>
      </vt:variant>
      <vt:variant>
        <vt:i4>0</vt:i4>
      </vt:variant>
      <vt:variant>
        <vt:i4>5</vt:i4>
      </vt:variant>
      <vt:variant>
        <vt:lpwstr>http://www.nevo.co.il/law/70301/244</vt:lpwstr>
      </vt:variant>
      <vt:variant>
        <vt:lpwstr/>
      </vt:variant>
      <vt:variant>
        <vt:i4>6357095</vt:i4>
      </vt:variant>
      <vt:variant>
        <vt:i4>42</vt:i4>
      </vt:variant>
      <vt:variant>
        <vt:i4>0</vt:i4>
      </vt:variant>
      <vt:variant>
        <vt:i4>5</vt:i4>
      </vt:variant>
      <vt:variant>
        <vt:lpwstr>http://www.nevo.co.il/law/70301/242</vt:lpwstr>
      </vt:variant>
      <vt:variant>
        <vt:lpwstr/>
      </vt:variant>
      <vt:variant>
        <vt:i4>5177418</vt:i4>
      </vt:variant>
      <vt:variant>
        <vt:i4>39</vt:i4>
      </vt:variant>
      <vt:variant>
        <vt:i4>0</vt:i4>
      </vt:variant>
      <vt:variant>
        <vt:i4>5</vt:i4>
      </vt:variant>
      <vt:variant>
        <vt:lpwstr>http://www.nevo.co.il/law/4216/13</vt:lpwstr>
      </vt:variant>
      <vt:variant>
        <vt:lpwstr/>
      </vt:variant>
      <vt:variant>
        <vt:i4>6291559</vt:i4>
      </vt:variant>
      <vt:variant>
        <vt:i4>36</vt:i4>
      </vt:variant>
      <vt:variant>
        <vt:i4>0</vt:i4>
      </vt:variant>
      <vt:variant>
        <vt:i4>5</vt:i4>
      </vt:variant>
      <vt:variant>
        <vt:lpwstr>http://www.nevo.co.il/law/70301/25</vt:lpwstr>
      </vt:variant>
      <vt:variant>
        <vt:lpwstr/>
      </vt:variant>
      <vt:variant>
        <vt:i4>8257637</vt:i4>
      </vt:variant>
      <vt:variant>
        <vt:i4>33</vt:i4>
      </vt:variant>
      <vt:variant>
        <vt:i4>0</vt:i4>
      </vt:variant>
      <vt:variant>
        <vt:i4>5</vt:i4>
      </vt:variant>
      <vt:variant>
        <vt:lpwstr>http://www.nevo.co.il/law/4216</vt:lpwstr>
      </vt:variant>
      <vt:variant>
        <vt:lpwstr/>
      </vt:variant>
      <vt:variant>
        <vt:i4>5177418</vt:i4>
      </vt:variant>
      <vt:variant>
        <vt:i4>30</vt:i4>
      </vt:variant>
      <vt:variant>
        <vt:i4>0</vt:i4>
      </vt:variant>
      <vt:variant>
        <vt:i4>5</vt:i4>
      </vt:variant>
      <vt:variant>
        <vt:lpwstr>http://www.nevo.co.il/law/4216/13</vt:lpwstr>
      </vt:variant>
      <vt:variant>
        <vt:lpwstr/>
      </vt:variant>
      <vt:variant>
        <vt:i4>7995492</vt:i4>
      </vt:variant>
      <vt:variant>
        <vt:i4>27</vt:i4>
      </vt:variant>
      <vt:variant>
        <vt:i4>0</vt:i4>
      </vt:variant>
      <vt:variant>
        <vt:i4>5</vt:i4>
      </vt:variant>
      <vt:variant>
        <vt:lpwstr>http://www.nevo.co.il/law/70301</vt:lpwstr>
      </vt:variant>
      <vt:variant>
        <vt:lpwstr/>
      </vt:variant>
      <vt:variant>
        <vt:i4>5177418</vt:i4>
      </vt:variant>
      <vt:variant>
        <vt:i4>24</vt:i4>
      </vt:variant>
      <vt:variant>
        <vt:i4>0</vt:i4>
      </vt:variant>
      <vt:variant>
        <vt:i4>5</vt:i4>
      </vt:variant>
      <vt:variant>
        <vt:lpwstr>http://www.nevo.co.il/law/4216/13</vt:lpwstr>
      </vt:variant>
      <vt:variant>
        <vt:lpwstr/>
      </vt:variant>
      <vt:variant>
        <vt:i4>8257637</vt:i4>
      </vt:variant>
      <vt:variant>
        <vt:i4>21</vt:i4>
      </vt:variant>
      <vt:variant>
        <vt:i4>0</vt:i4>
      </vt:variant>
      <vt:variant>
        <vt:i4>5</vt:i4>
      </vt:variant>
      <vt:variant>
        <vt:lpwstr>http://www.nevo.co.il/law/4216</vt:lpwstr>
      </vt:variant>
      <vt:variant>
        <vt:lpwstr/>
      </vt:variant>
      <vt:variant>
        <vt:i4>393227</vt:i4>
      </vt:variant>
      <vt:variant>
        <vt:i4>18</vt:i4>
      </vt:variant>
      <vt:variant>
        <vt:i4>0</vt:i4>
      </vt:variant>
      <vt:variant>
        <vt:i4>5</vt:i4>
      </vt:variant>
      <vt:variant>
        <vt:lpwstr>http://www.nevo.co.il/law/70301/40jc</vt:lpwstr>
      </vt:variant>
      <vt:variant>
        <vt:lpwstr/>
      </vt:variant>
      <vt:variant>
        <vt:i4>7077991</vt:i4>
      </vt:variant>
      <vt:variant>
        <vt:i4>15</vt:i4>
      </vt:variant>
      <vt:variant>
        <vt:i4>0</vt:i4>
      </vt:variant>
      <vt:variant>
        <vt:i4>5</vt:i4>
      </vt:variant>
      <vt:variant>
        <vt:lpwstr>http://www.nevo.co.il/law/70301/298</vt:lpwstr>
      </vt:variant>
      <vt:variant>
        <vt:lpwstr/>
      </vt:variant>
      <vt:variant>
        <vt:i4>6357095</vt:i4>
      </vt:variant>
      <vt:variant>
        <vt:i4>12</vt:i4>
      </vt:variant>
      <vt:variant>
        <vt:i4>0</vt:i4>
      </vt:variant>
      <vt:variant>
        <vt:i4>5</vt:i4>
      </vt:variant>
      <vt:variant>
        <vt:lpwstr>http://www.nevo.co.il/law/70301/244</vt:lpwstr>
      </vt:variant>
      <vt:variant>
        <vt:lpwstr/>
      </vt:variant>
      <vt:variant>
        <vt:i4>6357095</vt:i4>
      </vt:variant>
      <vt:variant>
        <vt:i4>9</vt:i4>
      </vt:variant>
      <vt:variant>
        <vt:i4>0</vt:i4>
      </vt:variant>
      <vt:variant>
        <vt:i4>5</vt:i4>
      </vt:variant>
      <vt:variant>
        <vt:lpwstr>http://www.nevo.co.il/law/70301/242</vt:lpwstr>
      </vt:variant>
      <vt:variant>
        <vt:lpwstr/>
      </vt:variant>
      <vt:variant>
        <vt:i4>6619233</vt:i4>
      </vt:variant>
      <vt:variant>
        <vt:i4>6</vt:i4>
      </vt:variant>
      <vt:variant>
        <vt:i4>0</vt:i4>
      </vt:variant>
      <vt:variant>
        <vt:i4>5</vt:i4>
      </vt:variant>
      <vt:variant>
        <vt:lpwstr>http://www.nevo.co.il/law/70301/40d</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2025-04-22T20:44:00Z</dcterms:created>
  <dcterms:modified xsi:type="dcterms:W3CDTF">2025-04-22T20:44:00Z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10283</vt:lpwstr>
  </property>
  <property fmtid="{D5CDD505-2E9C-101B-9397-08002B2CF9AE}" pid="6" name="NEWPARTB">
    <vt:lpwstr>03</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יריב קובלסקי</vt:lpwstr>
  </property>
  <property fmtid="{D5CDD505-2E9C-101B-9397-08002B2CF9AE}" pid="10" name="LAWYER">
    <vt:lpwstr>שרית שמש;שאול שניידר</vt:lpwstr>
  </property>
  <property fmtid="{D5CDD505-2E9C-101B-9397-08002B2CF9AE}" pid="11" name="JUDGE">
    <vt:lpwstr>ירון לוי</vt:lpwstr>
  </property>
  <property fmtid="{D5CDD505-2E9C-101B-9397-08002B2CF9AE}" pid="12" name="CITY">
    <vt:lpwstr>ת"א</vt:lpwstr>
  </property>
  <property fmtid="{D5CDD505-2E9C-101B-9397-08002B2CF9AE}" pid="13" name="DATE">
    <vt:lpwstr>20170104</vt:lpwstr>
  </property>
  <property fmtid="{D5CDD505-2E9C-101B-9397-08002B2CF9AE}" pid="14" name="TYPE_N_DATE">
    <vt:lpwstr>39020170104</vt:lpwstr>
  </property>
  <property fmtid="{D5CDD505-2E9C-101B-9397-08002B2CF9AE}" pid="15" name="CASESLISTTMP1">
    <vt:lpwstr>13093721;17954235;5726579;20683594;13048300;5583249;20243562</vt:lpwstr>
  </property>
  <property fmtid="{D5CDD505-2E9C-101B-9397-08002B2CF9AE}" pid="16" name="WORDNUMPAGES">
    <vt:lpwstr>13</vt:lpwstr>
  </property>
  <property fmtid="{D5CDD505-2E9C-101B-9397-08002B2CF9AE}" pid="17" name="TYPE_ABS_DATE">
    <vt:lpwstr>390020170104</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70301/025;242;244;298;040d;40jc</vt:lpwstr>
  </property>
  <property fmtid="{D5CDD505-2E9C-101B-9397-08002B2CF9AE}" pid="36" name="LAWLISTTMP2">
    <vt:lpwstr>4216/013:2</vt:lpwstr>
  </property>
  <property fmtid="{D5CDD505-2E9C-101B-9397-08002B2CF9AE}" pid="37" name="ISABSTRACT">
    <vt:lpwstr>Y</vt:lpwstr>
  </property>
</Properties>
</file>