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51C6E" w:rsidRPr="004E093A" w14:paraId="3AE4C80F" w14:textId="77777777">
        <w:trPr>
          <w:trHeight w:hRule="exact" w:val="418"/>
          <w:jc w:val="center"/>
        </w:trPr>
        <w:tc>
          <w:tcPr>
            <w:tcW w:w="8721" w:type="dxa"/>
            <w:gridSpan w:val="2"/>
          </w:tcPr>
          <w:p w14:paraId="0B5444EC" w14:textId="77777777" w:rsidR="00351C6E" w:rsidRPr="004E093A" w:rsidRDefault="00351C6E" w:rsidP="004E093A">
            <w:pPr>
              <w:pStyle w:val="a3"/>
              <w:jc w:val="center"/>
              <w:rPr>
                <w:rFonts w:ascii="Tahoma" w:hAnsi="Tahoma" w:cs="Tahoma"/>
                <w:color w:val="000080"/>
                <w:rtl/>
              </w:rPr>
            </w:pPr>
            <w:bookmarkStart w:id="0" w:name="LastJudge"/>
            <w:r w:rsidRPr="004E093A">
              <w:rPr>
                <w:rFonts w:ascii="Tahoma" w:hAnsi="Tahoma" w:cs="Tahoma"/>
                <w:b/>
                <w:bCs/>
                <w:color w:val="000080"/>
                <w:rtl/>
              </w:rPr>
              <w:t>בית המשפט המחוזי בחיפה</w:t>
            </w:r>
          </w:p>
        </w:tc>
      </w:tr>
      <w:tr w:rsidR="00351C6E" w:rsidRPr="004E093A" w14:paraId="0E14E1AE" w14:textId="77777777">
        <w:trPr>
          <w:trHeight w:val="337"/>
          <w:jc w:val="center"/>
        </w:trPr>
        <w:tc>
          <w:tcPr>
            <w:tcW w:w="5059" w:type="dxa"/>
          </w:tcPr>
          <w:p w14:paraId="75DBB55F" w14:textId="77777777" w:rsidR="00351C6E" w:rsidRPr="004E093A" w:rsidRDefault="00351C6E" w:rsidP="004E093A">
            <w:pPr>
              <w:rPr>
                <w:rFonts w:cs="FrankRuehl"/>
                <w:sz w:val="28"/>
                <w:szCs w:val="28"/>
                <w:rtl/>
              </w:rPr>
            </w:pPr>
            <w:r w:rsidRPr="004E093A">
              <w:rPr>
                <w:rFonts w:cs="FrankRuehl"/>
                <w:sz w:val="28"/>
                <w:szCs w:val="28"/>
                <w:rtl/>
              </w:rPr>
              <w:t>ת"פ</w:t>
            </w:r>
            <w:r w:rsidRPr="004E093A">
              <w:rPr>
                <w:rFonts w:cs="FrankRuehl" w:hint="cs"/>
                <w:sz w:val="28"/>
                <w:szCs w:val="28"/>
                <w:rtl/>
              </w:rPr>
              <w:t xml:space="preserve"> </w:t>
            </w:r>
            <w:r w:rsidRPr="004E093A">
              <w:rPr>
                <w:rFonts w:cs="FrankRuehl"/>
                <w:sz w:val="28"/>
                <w:szCs w:val="28"/>
                <w:rtl/>
              </w:rPr>
              <w:t>52982-03-16</w:t>
            </w:r>
            <w:r w:rsidRPr="004E093A">
              <w:rPr>
                <w:rFonts w:cs="FrankRuehl" w:hint="cs"/>
                <w:sz w:val="28"/>
                <w:szCs w:val="28"/>
                <w:rtl/>
              </w:rPr>
              <w:t xml:space="preserve"> </w:t>
            </w:r>
            <w:r w:rsidRPr="004E093A">
              <w:rPr>
                <w:rFonts w:cs="FrankRuehl"/>
                <w:sz w:val="28"/>
                <w:szCs w:val="28"/>
                <w:rtl/>
              </w:rPr>
              <w:t>מדינת ישראל נ' נאבלסי(עציר)</w:t>
            </w:r>
          </w:p>
          <w:p w14:paraId="08C9FA1F" w14:textId="77777777" w:rsidR="00351C6E" w:rsidRPr="004E093A" w:rsidRDefault="00351C6E" w:rsidP="004E093A">
            <w:pPr>
              <w:pStyle w:val="a3"/>
              <w:rPr>
                <w:rFonts w:cs="FrankRuehl"/>
                <w:sz w:val="28"/>
                <w:szCs w:val="28"/>
                <w:rtl/>
              </w:rPr>
            </w:pPr>
          </w:p>
        </w:tc>
        <w:tc>
          <w:tcPr>
            <w:tcW w:w="3662" w:type="dxa"/>
          </w:tcPr>
          <w:p w14:paraId="478D2D6F" w14:textId="77777777" w:rsidR="00351C6E" w:rsidRPr="004E093A" w:rsidRDefault="00351C6E" w:rsidP="004E093A">
            <w:pPr>
              <w:pStyle w:val="a3"/>
              <w:jc w:val="right"/>
              <w:rPr>
                <w:rFonts w:cs="FrankRuehl"/>
                <w:sz w:val="28"/>
                <w:szCs w:val="28"/>
                <w:rtl/>
              </w:rPr>
            </w:pPr>
          </w:p>
        </w:tc>
      </w:tr>
    </w:tbl>
    <w:p w14:paraId="52228855" w14:textId="77777777" w:rsidR="00351C6E" w:rsidRPr="004E093A" w:rsidRDefault="00351C6E" w:rsidP="00351C6E">
      <w:pPr>
        <w:pStyle w:val="a3"/>
        <w:rPr>
          <w:rtl/>
        </w:rPr>
      </w:pPr>
      <w:r w:rsidRPr="004E093A">
        <w:rPr>
          <w:rFonts w:hint="cs"/>
          <w:rtl/>
        </w:rPr>
        <w:t xml:space="preserve"> </w:t>
      </w:r>
    </w:p>
    <w:p w14:paraId="11D50098" w14:textId="77777777" w:rsidR="00351C6E" w:rsidRPr="004E093A" w:rsidRDefault="00351C6E" w:rsidP="00351C6E">
      <w:pPr>
        <w:rPr>
          <w:rtl/>
        </w:rPr>
      </w:pPr>
    </w:p>
    <w:tbl>
      <w:tblPr>
        <w:bidiVisual/>
        <w:tblW w:w="8802" w:type="dxa"/>
        <w:tblInd w:w="-28" w:type="dxa"/>
        <w:tblLook w:val="01E0" w:firstRow="1" w:lastRow="1" w:firstColumn="1" w:lastColumn="1" w:noHBand="0" w:noVBand="0"/>
      </w:tblPr>
      <w:tblGrid>
        <w:gridCol w:w="2880"/>
        <w:gridCol w:w="5838"/>
        <w:gridCol w:w="84"/>
      </w:tblGrid>
      <w:tr w:rsidR="00351C6E" w:rsidRPr="004E093A" w14:paraId="7E46BA9B" w14:textId="77777777">
        <w:trPr>
          <w:gridAfter w:val="1"/>
          <w:wAfter w:w="56" w:type="dxa"/>
        </w:trPr>
        <w:tc>
          <w:tcPr>
            <w:tcW w:w="8718" w:type="dxa"/>
            <w:gridSpan w:val="2"/>
            <w:shd w:val="clear" w:color="auto" w:fill="auto"/>
          </w:tcPr>
          <w:p w14:paraId="33848749" w14:textId="77777777" w:rsidR="00351C6E" w:rsidRPr="004E093A" w:rsidRDefault="00351C6E" w:rsidP="004E093A">
            <w:pPr>
              <w:spacing w:line="360" w:lineRule="auto"/>
              <w:rPr>
                <w:b/>
                <w:bCs/>
                <w:sz w:val="26"/>
                <w:szCs w:val="26"/>
                <w:rtl/>
              </w:rPr>
            </w:pPr>
            <w:r w:rsidRPr="004E093A">
              <w:rPr>
                <w:rFonts w:hint="cs"/>
                <w:b/>
                <w:bCs/>
                <w:sz w:val="26"/>
                <w:szCs w:val="26"/>
                <w:rtl/>
              </w:rPr>
              <w:t>לפני כבוד ה</w:t>
            </w:r>
            <w:r w:rsidRPr="004E093A">
              <w:rPr>
                <w:rFonts w:hint="cs"/>
                <w:rtl/>
              </w:rPr>
              <w:t>שופט אבי לוי</w:t>
            </w:r>
            <w:r w:rsidRPr="004E093A">
              <w:rPr>
                <w:rStyle w:val="TimesNewRomanTimesNewRoman"/>
                <w:rFonts w:hint="cs"/>
                <w:rtl/>
              </w:rPr>
              <w:t xml:space="preserve"> </w:t>
            </w:r>
          </w:p>
        </w:tc>
      </w:tr>
      <w:tr w:rsidR="00351C6E" w:rsidRPr="004E093A" w14:paraId="617D75E9" w14:textId="77777777">
        <w:trPr>
          <w:cantSplit/>
          <w:trHeight w:val="724"/>
        </w:trPr>
        <w:tc>
          <w:tcPr>
            <w:tcW w:w="2880" w:type="dxa"/>
            <w:shd w:val="clear" w:color="auto" w:fill="auto"/>
          </w:tcPr>
          <w:p w14:paraId="7A71CA43" w14:textId="77777777" w:rsidR="00351C6E" w:rsidRPr="004E093A" w:rsidRDefault="00351C6E" w:rsidP="004E093A">
            <w:pPr>
              <w:ind w:left="26"/>
              <w:rPr>
                <w:b/>
                <w:bCs/>
                <w:sz w:val="26"/>
                <w:szCs w:val="26"/>
                <w:rtl/>
              </w:rPr>
            </w:pPr>
            <w:bookmarkStart w:id="1" w:name="FirstAppellant"/>
            <w:r w:rsidRPr="004E093A">
              <w:rPr>
                <w:rFonts w:hint="cs"/>
                <w:b/>
                <w:bCs/>
                <w:sz w:val="26"/>
                <w:szCs w:val="26"/>
                <w:rtl/>
              </w:rPr>
              <w:t>המאשימה</w:t>
            </w:r>
          </w:p>
        </w:tc>
        <w:tc>
          <w:tcPr>
            <w:tcW w:w="5922" w:type="dxa"/>
            <w:gridSpan w:val="2"/>
            <w:shd w:val="clear" w:color="auto" w:fill="auto"/>
          </w:tcPr>
          <w:p w14:paraId="7A695337" w14:textId="77777777" w:rsidR="00351C6E" w:rsidRPr="004E093A" w:rsidRDefault="00351C6E" w:rsidP="004E093A">
            <w:pPr>
              <w:rPr>
                <w:b/>
                <w:bCs/>
                <w:sz w:val="26"/>
                <w:szCs w:val="26"/>
                <w:rtl/>
              </w:rPr>
            </w:pPr>
            <w:r w:rsidRPr="004E093A">
              <w:rPr>
                <w:rFonts w:hint="cs"/>
                <w:rtl/>
              </w:rPr>
              <w:t>מדינת ישראל</w:t>
            </w:r>
          </w:p>
          <w:p w14:paraId="35AA4DF5" w14:textId="77777777" w:rsidR="00351C6E" w:rsidRPr="004E093A" w:rsidRDefault="00351C6E" w:rsidP="004E093A">
            <w:pPr>
              <w:rPr>
                <w:b/>
                <w:bCs/>
                <w:sz w:val="26"/>
                <w:szCs w:val="26"/>
                <w:rtl/>
              </w:rPr>
            </w:pPr>
          </w:p>
        </w:tc>
      </w:tr>
      <w:bookmarkEnd w:id="1"/>
      <w:tr w:rsidR="00351C6E" w:rsidRPr="004E093A" w14:paraId="3E27F7E4" w14:textId="77777777">
        <w:tc>
          <w:tcPr>
            <w:tcW w:w="8802" w:type="dxa"/>
            <w:gridSpan w:val="3"/>
            <w:shd w:val="clear" w:color="auto" w:fill="auto"/>
            <w:vAlign w:val="center"/>
          </w:tcPr>
          <w:p w14:paraId="2521578B" w14:textId="77777777" w:rsidR="00351C6E" w:rsidRPr="004E093A" w:rsidRDefault="00351C6E" w:rsidP="004E093A">
            <w:pPr>
              <w:jc w:val="center"/>
              <w:rPr>
                <w:rFonts w:ascii="Arial" w:hAnsi="Arial"/>
                <w:b/>
                <w:bCs/>
                <w:sz w:val="26"/>
                <w:szCs w:val="26"/>
                <w:rtl/>
              </w:rPr>
            </w:pPr>
          </w:p>
          <w:p w14:paraId="0B28388E" w14:textId="77777777" w:rsidR="00351C6E" w:rsidRPr="004E093A" w:rsidRDefault="00351C6E" w:rsidP="004E093A">
            <w:pPr>
              <w:jc w:val="center"/>
              <w:rPr>
                <w:rFonts w:ascii="Arial" w:hAnsi="Arial"/>
                <w:b/>
                <w:bCs/>
                <w:sz w:val="26"/>
                <w:szCs w:val="26"/>
                <w:rtl/>
              </w:rPr>
            </w:pPr>
            <w:r w:rsidRPr="004E093A">
              <w:rPr>
                <w:rFonts w:ascii="Arial" w:hAnsi="Arial" w:hint="cs"/>
                <w:b/>
                <w:bCs/>
                <w:sz w:val="26"/>
                <w:szCs w:val="26"/>
                <w:rtl/>
              </w:rPr>
              <w:t>נגד</w:t>
            </w:r>
          </w:p>
          <w:p w14:paraId="210E56E3" w14:textId="77777777" w:rsidR="00351C6E" w:rsidRPr="004E093A" w:rsidRDefault="00351C6E" w:rsidP="004E093A">
            <w:pPr>
              <w:rPr>
                <w:rFonts w:ascii="Arial" w:hAnsi="Arial"/>
                <w:b/>
                <w:bCs/>
                <w:sz w:val="26"/>
                <w:szCs w:val="26"/>
                <w:rtl/>
              </w:rPr>
            </w:pPr>
          </w:p>
        </w:tc>
      </w:tr>
      <w:tr w:rsidR="00351C6E" w:rsidRPr="004E093A" w14:paraId="6DDDEF0B" w14:textId="77777777">
        <w:tc>
          <w:tcPr>
            <w:tcW w:w="2880" w:type="dxa"/>
            <w:shd w:val="clear" w:color="auto" w:fill="auto"/>
          </w:tcPr>
          <w:p w14:paraId="1E5DACDD" w14:textId="77777777" w:rsidR="00351C6E" w:rsidRPr="004E093A" w:rsidRDefault="00351C6E" w:rsidP="004E093A">
            <w:pPr>
              <w:ind w:left="26"/>
              <w:rPr>
                <w:b/>
                <w:bCs/>
                <w:sz w:val="26"/>
                <w:szCs w:val="26"/>
              </w:rPr>
            </w:pPr>
            <w:r w:rsidRPr="004E093A">
              <w:rPr>
                <w:rFonts w:hint="cs"/>
                <w:b/>
                <w:bCs/>
                <w:sz w:val="26"/>
                <w:szCs w:val="26"/>
                <w:rtl/>
              </w:rPr>
              <w:t>הנאשם</w:t>
            </w:r>
          </w:p>
        </w:tc>
        <w:tc>
          <w:tcPr>
            <w:tcW w:w="5922" w:type="dxa"/>
            <w:gridSpan w:val="2"/>
            <w:shd w:val="clear" w:color="auto" w:fill="auto"/>
          </w:tcPr>
          <w:p w14:paraId="0ABD5542" w14:textId="77777777" w:rsidR="00351C6E" w:rsidRPr="004E093A" w:rsidRDefault="00351C6E" w:rsidP="004E093A">
            <w:pPr>
              <w:rPr>
                <w:b/>
                <w:bCs/>
                <w:sz w:val="26"/>
                <w:szCs w:val="26"/>
                <w:rtl/>
              </w:rPr>
            </w:pPr>
            <w:r w:rsidRPr="004E093A">
              <w:rPr>
                <w:rtl/>
              </w:rPr>
              <w:t xml:space="preserve"> </w:t>
            </w:r>
            <w:r w:rsidRPr="004E093A">
              <w:rPr>
                <w:rFonts w:hint="cs"/>
                <w:rtl/>
              </w:rPr>
              <w:t xml:space="preserve">הייתם נאבלסי ת.ז. </w:t>
            </w:r>
            <w:r w:rsidR="004E093A">
              <w:t>xxxxxxxxxx</w:t>
            </w:r>
            <w:r w:rsidRPr="004E093A">
              <w:rPr>
                <w:rFonts w:hint="cs"/>
                <w:rtl/>
              </w:rPr>
              <w:t>(עציר)</w:t>
            </w:r>
          </w:p>
          <w:p w14:paraId="1C7C7695" w14:textId="77777777" w:rsidR="00351C6E" w:rsidRPr="004E093A" w:rsidRDefault="00351C6E" w:rsidP="004E093A">
            <w:pPr>
              <w:rPr>
                <w:b/>
                <w:bCs/>
                <w:sz w:val="26"/>
                <w:szCs w:val="26"/>
                <w:rtl/>
              </w:rPr>
            </w:pPr>
          </w:p>
        </w:tc>
      </w:tr>
    </w:tbl>
    <w:p w14:paraId="76286CAF" w14:textId="77777777" w:rsidR="00C65097" w:rsidRDefault="00C65097" w:rsidP="00351C6E">
      <w:pPr>
        <w:rPr>
          <w:rtl/>
        </w:rPr>
      </w:pPr>
      <w:bookmarkStart w:id="2" w:name="LawTable"/>
      <w:bookmarkEnd w:id="2"/>
    </w:p>
    <w:p w14:paraId="07DE60CD" w14:textId="77777777" w:rsidR="00C65097" w:rsidRPr="00C65097" w:rsidRDefault="00C65097" w:rsidP="00C65097">
      <w:pPr>
        <w:spacing w:after="120" w:line="240" w:lineRule="exact"/>
        <w:ind w:left="283" w:hanging="283"/>
        <w:jc w:val="both"/>
        <w:rPr>
          <w:rFonts w:ascii="FrankRuehl" w:hAnsi="FrankRuehl" w:cs="FrankRuehl"/>
          <w:rtl/>
        </w:rPr>
      </w:pPr>
    </w:p>
    <w:p w14:paraId="7934493F" w14:textId="77777777" w:rsidR="00C65097" w:rsidRPr="00C65097" w:rsidRDefault="00C65097" w:rsidP="00C65097">
      <w:pPr>
        <w:spacing w:after="120" w:line="240" w:lineRule="exact"/>
        <w:ind w:left="283" w:hanging="283"/>
        <w:jc w:val="both"/>
        <w:rPr>
          <w:rFonts w:ascii="FrankRuehl" w:hAnsi="FrankRuehl" w:cs="FrankRuehl"/>
          <w:rtl/>
        </w:rPr>
      </w:pPr>
      <w:r w:rsidRPr="00C65097">
        <w:rPr>
          <w:rFonts w:ascii="FrankRuehl" w:hAnsi="FrankRuehl" w:cs="FrankRuehl"/>
          <w:rtl/>
        </w:rPr>
        <w:t xml:space="preserve">חקיקה שאוזכרה: </w:t>
      </w:r>
    </w:p>
    <w:p w14:paraId="65EAFF9A" w14:textId="77777777" w:rsidR="00C65097" w:rsidRPr="00C65097" w:rsidRDefault="00C65097" w:rsidP="00C65097">
      <w:pPr>
        <w:spacing w:after="120" w:line="240" w:lineRule="exact"/>
        <w:ind w:left="283" w:hanging="283"/>
        <w:jc w:val="both"/>
        <w:rPr>
          <w:rFonts w:ascii="FrankRuehl" w:hAnsi="FrankRuehl" w:cs="FrankRuehl"/>
          <w:rtl/>
        </w:rPr>
      </w:pPr>
      <w:hyperlink r:id="rId6" w:history="1">
        <w:r w:rsidRPr="00C65097">
          <w:rPr>
            <w:rFonts w:ascii="FrankRuehl" w:hAnsi="FrankRuehl" w:cs="FrankRuehl"/>
            <w:color w:val="0000FF"/>
            <w:u w:val="single"/>
            <w:rtl/>
          </w:rPr>
          <w:t>חוק העונשין, תשל"ז-1977</w:t>
        </w:r>
      </w:hyperlink>
      <w:r w:rsidRPr="00C65097">
        <w:rPr>
          <w:rFonts w:ascii="FrankRuehl" w:hAnsi="FrankRuehl" w:cs="FrankRuehl"/>
          <w:rtl/>
        </w:rPr>
        <w:t xml:space="preserve">: סע'  </w:t>
      </w:r>
      <w:hyperlink r:id="rId7" w:history="1">
        <w:r w:rsidRPr="00C65097">
          <w:rPr>
            <w:rFonts w:ascii="FrankRuehl" w:hAnsi="FrankRuehl" w:cs="FrankRuehl"/>
            <w:color w:val="0000FF"/>
            <w:u w:val="single"/>
            <w:rtl/>
          </w:rPr>
          <w:t>25ב</w:t>
        </w:r>
      </w:hyperlink>
      <w:r w:rsidRPr="00C65097">
        <w:rPr>
          <w:rFonts w:ascii="FrankRuehl" w:hAnsi="FrankRuehl" w:cs="FrankRuehl"/>
          <w:rtl/>
        </w:rPr>
        <w:t xml:space="preserve">, </w:t>
      </w:r>
      <w:hyperlink r:id="rId8" w:history="1">
        <w:r w:rsidRPr="00C65097">
          <w:rPr>
            <w:rFonts w:ascii="FrankRuehl" w:hAnsi="FrankRuehl" w:cs="FrankRuehl"/>
            <w:color w:val="0000FF"/>
            <w:u w:val="single"/>
            <w:rtl/>
          </w:rPr>
          <w:t>40ג (א)</w:t>
        </w:r>
      </w:hyperlink>
      <w:r w:rsidRPr="00C65097">
        <w:rPr>
          <w:rFonts w:ascii="FrankRuehl" w:hAnsi="FrankRuehl" w:cs="FrankRuehl"/>
          <w:rtl/>
        </w:rPr>
        <w:t xml:space="preserve">, </w:t>
      </w:r>
      <w:hyperlink r:id="rId9" w:history="1">
        <w:r w:rsidRPr="00C65097">
          <w:rPr>
            <w:rFonts w:ascii="FrankRuehl" w:hAnsi="FrankRuehl" w:cs="FrankRuehl"/>
            <w:color w:val="0000FF"/>
            <w:u w:val="single"/>
            <w:rtl/>
          </w:rPr>
          <w:t>40ז</w:t>
        </w:r>
      </w:hyperlink>
      <w:r w:rsidRPr="00C65097">
        <w:rPr>
          <w:rFonts w:ascii="FrankRuehl" w:hAnsi="FrankRuehl" w:cs="FrankRuehl"/>
          <w:rtl/>
        </w:rPr>
        <w:t xml:space="preserve">, </w:t>
      </w:r>
      <w:hyperlink r:id="rId10" w:history="1">
        <w:r w:rsidRPr="00C65097">
          <w:rPr>
            <w:rFonts w:ascii="FrankRuehl" w:hAnsi="FrankRuehl" w:cs="FrankRuehl"/>
            <w:color w:val="0000FF"/>
            <w:u w:val="single"/>
            <w:rtl/>
          </w:rPr>
          <w:t>40ט</w:t>
        </w:r>
      </w:hyperlink>
      <w:r w:rsidRPr="00C65097">
        <w:rPr>
          <w:rFonts w:ascii="FrankRuehl" w:hAnsi="FrankRuehl" w:cs="FrankRuehl"/>
          <w:rtl/>
        </w:rPr>
        <w:t xml:space="preserve">, </w:t>
      </w:r>
      <w:hyperlink r:id="rId11" w:history="1">
        <w:r w:rsidRPr="00C65097">
          <w:rPr>
            <w:rFonts w:ascii="FrankRuehl" w:hAnsi="FrankRuehl" w:cs="FrankRuehl"/>
            <w:color w:val="0000FF"/>
            <w:u w:val="single"/>
            <w:rtl/>
          </w:rPr>
          <w:t>275</w:t>
        </w:r>
      </w:hyperlink>
      <w:r w:rsidRPr="00C65097">
        <w:rPr>
          <w:rFonts w:ascii="FrankRuehl" w:hAnsi="FrankRuehl" w:cs="FrankRuehl"/>
          <w:rtl/>
        </w:rPr>
        <w:t xml:space="preserve">, </w:t>
      </w:r>
      <w:hyperlink r:id="rId12" w:history="1">
        <w:r w:rsidRPr="00C65097">
          <w:rPr>
            <w:rFonts w:ascii="FrankRuehl" w:hAnsi="FrankRuehl" w:cs="FrankRuehl"/>
            <w:color w:val="0000FF"/>
            <w:u w:val="single"/>
            <w:rtl/>
          </w:rPr>
          <w:t>402(א)</w:t>
        </w:r>
      </w:hyperlink>
      <w:r w:rsidRPr="00C65097">
        <w:rPr>
          <w:rFonts w:ascii="FrankRuehl" w:hAnsi="FrankRuehl" w:cs="FrankRuehl"/>
          <w:rtl/>
        </w:rPr>
        <w:t xml:space="preserve">, </w:t>
      </w:r>
      <w:hyperlink r:id="rId13" w:history="1">
        <w:r w:rsidRPr="00C65097">
          <w:rPr>
            <w:rFonts w:ascii="FrankRuehl" w:hAnsi="FrankRuehl" w:cs="FrankRuehl"/>
            <w:color w:val="0000FF"/>
            <w:u w:val="single"/>
            <w:rtl/>
          </w:rPr>
          <w:t>40יג (א)</w:t>
        </w:r>
      </w:hyperlink>
      <w:r w:rsidRPr="00C65097">
        <w:rPr>
          <w:rFonts w:ascii="FrankRuehl" w:hAnsi="FrankRuehl" w:cs="FrankRuehl"/>
          <w:rtl/>
        </w:rPr>
        <w:t xml:space="preserve">, </w:t>
      </w:r>
      <w:hyperlink r:id="rId14" w:history="1">
        <w:r w:rsidRPr="00C65097">
          <w:rPr>
            <w:rFonts w:ascii="FrankRuehl" w:hAnsi="FrankRuehl" w:cs="FrankRuehl"/>
            <w:color w:val="0000FF"/>
            <w:u w:val="single"/>
            <w:rtl/>
          </w:rPr>
          <w:t>413ג</w:t>
        </w:r>
      </w:hyperlink>
      <w:r w:rsidRPr="00C65097">
        <w:rPr>
          <w:rFonts w:ascii="FrankRuehl" w:hAnsi="FrankRuehl" w:cs="FrankRuehl"/>
          <w:rtl/>
        </w:rPr>
        <w:t xml:space="preserve">, </w:t>
      </w:r>
      <w:hyperlink r:id="rId15" w:history="1">
        <w:r w:rsidRPr="00C65097">
          <w:rPr>
            <w:rFonts w:ascii="FrankRuehl" w:hAnsi="FrankRuehl" w:cs="FrankRuehl"/>
            <w:color w:val="0000FF"/>
            <w:u w:val="single"/>
            <w:rtl/>
          </w:rPr>
          <w:t>448</w:t>
        </w:r>
      </w:hyperlink>
      <w:r w:rsidRPr="00C65097">
        <w:rPr>
          <w:rFonts w:ascii="FrankRuehl" w:hAnsi="FrankRuehl" w:cs="FrankRuehl"/>
          <w:rtl/>
        </w:rPr>
        <w:t xml:space="preserve">, </w:t>
      </w:r>
      <w:hyperlink r:id="rId16" w:history="1">
        <w:r w:rsidRPr="00C65097">
          <w:rPr>
            <w:rFonts w:ascii="FrankRuehl" w:hAnsi="FrankRuehl" w:cs="FrankRuehl"/>
            <w:color w:val="0000FF"/>
            <w:u w:val="single"/>
            <w:rtl/>
          </w:rPr>
          <w:t>452</w:t>
        </w:r>
      </w:hyperlink>
      <w:r w:rsidRPr="00C65097">
        <w:rPr>
          <w:rFonts w:ascii="FrankRuehl" w:hAnsi="FrankRuehl" w:cs="FrankRuehl"/>
          <w:rtl/>
        </w:rPr>
        <w:t xml:space="preserve">, </w:t>
      </w:r>
      <w:hyperlink r:id="rId17" w:history="1">
        <w:r w:rsidRPr="00C65097">
          <w:rPr>
            <w:rFonts w:ascii="FrankRuehl" w:hAnsi="FrankRuehl" w:cs="FrankRuehl"/>
            <w:color w:val="0000FF"/>
            <w:u w:val="single"/>
            <w:rtl/>
          </w:rPr>
          <w:t>פרק יא'  א'</w:t>
        </w:r>
      </w:hyperlink>
      <w:r w:rsidRPr="00C65097">
        <w:rPr>
          <w:rFonts w:ascii="FrankRuehl" w:hAnsi="FrankRuehl" w:cs="FrankRuehl"/>
          <w:rtl/>
        </w:rPr>
        <w:t xml:space="preserve">, </w:t>
      </w:r>
      <w:hyperlink r:id="rId18" w:history="1">
        <w:r w:rsidRPr="00C65097">
          <w:rPr>
            <w:rFonts w:ascii="FrankRuehl" w:hAnsi="FrankRuehl" w:cs="FrankRuehl"/>
            <w:color w:val="0000FF"/>
            <w:u w:val="single"/>
            <w:rtl/>
          </w:rPr>
          <w:t>ג'</w:t>
        </w:r>
      </w:hyperlink>
      <w:r w:rsidRPr="00C65097">
        <w:rPr>
          <w:rFonts w:ascii="FrankRuehl" w:hAnsi="FrankRuehl" w:cs="FrankRuehl"/>
          <w:rtl/>
        </w:rPr>
        <w:t xml:space="preserve">, </w:t>
      </w:r>
      <w:hyperlink r:id="rId19" w:history="1">
        <w:r w:rsidRPr="00C65097">
          <w:rPr>
            <w:rFonts w:ascii="FrankRuehl" w:hAnsi="FrankRuehl" w:cs="FrankRuehl"/>
            <w:color w:val="0000FF"/>
            <w:u w:val="single"/>
            <w:rtl/>
          </w:rPr>
          <w:t>ד'</w:t>
        </w:r>
      </w:hyperlink>
      <w:r w:rsidRPr="00C65097">
        <w:rPr>
          <w:rFonts w:ascii="FrankRuehl" w:hAnsi="FrankRuehl" w:cs="FrankRuehl"/>
          <w:rtl/>
        </w:rPr>
        <w:t xml:space="preserve">, </w:t>
      </w:r>
      <w:hyperlink r:id="rId20" w:history="1">
        <w:r w:rsidRPr="00C65097">
          <w:rPr>
            <w:rFonts w:ascii="FrankRuehl" w:hAnsi="FrankRuehl" w:cs="FrankRuehl"/>
            <w:color w:val="0000FF"/>
            <w:u w:val="single"/>
            <w:rtl/>
          </w:rPr>
          <w:t>ו ה'1</w:t>
        </w:r>
      </w:hyperlink>
    </w:p>
    <w:p w14:paraId="035CB1C2" w14:textId="77777777" w:rsidR="00C65097" w:rsidRPr="00C65097" w:rsidRDefault="00C65097" w:rsidP="00C65097">
      <w:pPr>
        <w:spacing w:after="120" w:line="240" w:lineRule="exact"/>
        <w:ind w:left="283" w:hanging="283"/>
        <w:jc w:val="both"/>
        <w:rPr>
          <w:rFonts w:ascii="FrankRuehl" w:hAnsi="FrankRuehl" w:cs="FrankRuehl"/>
          <w:rtl/>
        </w:rPr>
      </w:pPr>
      <w:hyperlink r:id="rId21" w:history="1">
        <w:r w:rsidRPr="00C65097">
          <w:rPr>
            <w:rFonts w:ascii="FrankRuehl" w:hAnsi="FrankRuehl" w:cs="FrankRuehl"/>
            <w:color w:val="0000FF"/>
            <w:u w:val="single"/>
            <w:rtl/>
          </w:rPr>
          <w:t>פקודת הסמים המסוכנים [נוסח חדש], תשל"ג-1973</w:t>
        </w:r>
      </w:hyperlink>
      <w:r w:rsidRPr="00C65097">
        <w:rPr>
          <w:rFonts w:ascii="FrankRuehl" w:hAnsi="FrankRuehl" w:cs="FrankRuehl"/>
          <w:rtl/>
        </w:rPr>
        <w:t xml:space="preserve">: סע'  </w:t>
      </w:r>
      <w:hyperlink r:id="rId22" w:history="1">
        <w:r w:rsidRPr="00C65097">
          <w:rPr>
            <w:rFonts w:ascii="FrankRuehl" w:hAnsi="FrankRuehl" w:cs="FrankRuehl"/>
            <w:color w:val="0000FF"/>
            <w:u w:val="single"/>
            <w:rtl/>
          </w:rPr>
          <w:t>13</w:t>
        </w:r>
      </w:hyperlink>
      <w:r w:rsidRPr="00C65097">
        <w:rPr>
          <w:rFonts w:ascii="FrankRuehl" w:hAnsi="FrankRuehl" w:cs="FrankRuehl"/>
          <w:rtl/>
        </w:rPr>
        <w:t xml:space="preserve">, </w:t>
      </w:r>
      <w:hyperlink r:id="rId23" w:history="1">
        <w:r w:rsidRPr="00C65097">
          <w:rPr>
            <w:rFonts w:ascii="FrankRuehl" w:hAnsi="FrankRuehl" w:cs="FrankRuehl"/>
            <w:color w:val="0000FF"/>
            <w:u w:val="single"/>
            <w:rtl/>
          </w:rPr>
          <w:t>19א</w:t>
        </w:r>
      </w:hyperlink>
    </w:p>
    <w:p w14:paraId="161C07CA" w14:textId="77777777" w:rsidR="00C65097" w:rsidRPr="00C65097" w:rsidRDefault="00C65097" w:rsidP="00C65097">
      <w:pPr>
        <w:spacing w:after="120" w:line="240" w:lineRule="exact"/>
        <w:ind w:left="283" w:hanging="283"/>
        <w:jc w:val="both"/>
        <w:rPr>
          <w:rFonts w:ascii="FrankRuehl" w:hAnsi="FrankRuehl" w:cs="FrankRuehl"/>
          <w:rtl/>
        </w:rPr>
      </w:pPr>
    </w:p>
    <w:p w14:paraId="4C639F95" w14:textId="77777777" w:rsidR="004E093A" w:rsidRPr="004E093A" w:rsidRDefault="004E093A" w:rsidP="00351C6E">
      <w:pPr>
        <w:rPr>
          <w:rFonts w:ascii="Arial" w:hAnsi="Arial"/>
          <w:rtl/>
        </w:rPr>
      </w:pPr>
      <w:bookmarkStart w:id="3" w:name="LawTable_End"/>
      <w:bookmarkEnd w:id="3"/>
    </w:p>
    <w:p w14:paraId="24EDF0BF" w14:textId="77777777" w:rsidR="00351C6E" w:rsidRPr="004E093A" w:rsidRDefault="00351C6E" w:rsidP="00351C6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1C6E" w14:paraId="2597BFD6" w14:textId="77777777">
        <w:trPr>
          <w:trHeight w:val="355"/>
          <w:jc w:val="center"/>
        </w:trPr>
        <w:tc>
          <w:tcPr>
            <w:tcW w:w="8820" w:type="dxa"/>
            <w:tcBorders>
              <w:top w:val="nil"/>
              <w:left w:val="nil"/>
              <w:bottom w:val="nil"/>
              <w:right w:val="nil"/>
            </w:tcBorders>
            <w:shd w:val="clear" w:color="auto" w:fill="auto"/>
          </w:tcPr>
          <w:p w14:paraId="57398C27" w14:textId="77777777" w:rsidR="004E093A" w:rsidRPr="004E093A" w:rsidRDefault="004E093A" w:rsidP="004E093A">
            <w:pPr>
              <w:jc w:val="center"/>
              <w:rPr>
                <w:rFonts w:ascii="Arial" w:hAnsi="Arial" w:cs="FrankRuehl"/>
                <w:b/>
                <w:bCs/>
                <w:sz w:val="32"/>
                <w:szCs w:val="32"/>
                <w:u w:val="single"/>
                <w:rtl/>
              </w:rPr>
            </w:pPr>
            <w:bookmarkStart w:id="4" w:name="PsakDin" w:colFirst="0" w:colLast="0"/>
            <w:bookmarkEnd w:id="0"/>
            <w:r w:rsidRPr="004E093A">
              <w:rPr>
                <w:rFonts w:ascii="Arial" w:hAnsi="Arial" w:cs="FrankRuehl"/>
                <w:b/>
                <w:bCs/>
                <w:sz w:val="32"/>
                <w:szCs w:val="32"/>
                <w:u w:val="single"/>
                <w:rtl/>
              </w:rPr>
              <w:t>גזר דין</w:t>
            </w:r>
          </w:p>
          <w:p w14:paraId="55C299EB" w14:textId="77777777" w:rsidR="00351C6E" w:rsidRPr="004E093A" w:rsidRDefault="00351C6E" w:rsidP="004E093A">
            <w:pPr>
              <w:jc w:val="center"/>
              <w:rPr>
                <w:rFonts w:ascii="Arial" w:hAnsi="Arial" w:cs="FrankRuehl"/>
                <w:bCs/>
                <w:sz w:val="32"/>
                <w:szCs w:val="32"/>
                <w:u w:val="single"/>
                <w:rtl/>
              </w:rPr>
            </w:pPr>
          </w:p>
        </w:tc>
      </w:tr>
      <w:bookmarkEnd w:id="4"/>
    </w:tbl>
    <w:p w14:paraId="49A74B0F" w14:textId="77777777" w:rsidR="00351C6E" w:rsidRPr="00B05847" w:rsidRDefault="00351C6E" w:rsidP="00351C6E">
      <w:pPr>
        <w:rPr>
          <w:rFonts w:ascii="Arial" w:hAnsi="Arial"/>
          <w:rtl/>
        </w:rPr>
      </w:pPr>
    </w:p>
    <w:p w14:paraId="31F761E1" w14:textId="77777777" w:rsidR="00351C6E" w:rsidRPr="006855FE" w:rsidRDefault="00351C6E" w:rsidP="00351C6E">
      <w:pPr>
        <w:spacing w:after="160"/>
        <w:rPr>
          <w:rFonts w:ascii="Calibri" w:hAnsi="Calibri"/>
          <w:b/>
          <w:bCs/>
          <w:u w:val="single"/>
          <w:rtl/>
        </w:rPr>
      </w:pPr>
      <w:r w:rsidRPr="006855FE">
        <w:rPr>
          <w:rFonts w:ascii="Calibri" w:hAnsi="Calibri" w:hint="cs"/>
          <w:b/>
          <w:bCs/>
          <w:u w:val="single"/>
          <w:rtl/>
        </w:rPr>
        <w:t>כללי</w:t>
      </w:r>
    </w:p>
    <w:p w14:paraId="7A72CFFF" w14:textId="77777777" w:rsidR="00351C6E" w:rsidRPr="006855FE" w:rsidRDefault="00351C6E" w:rsidP="00351C6E">
      <w:pPr>
        <w:spacing w:after="160" w:line="360" w:lineRule="auto"/>
        <w:jc w:val="both"/>
        <w:rPr>
          <w:rFonts w:ascii="Calibri" w:hAnsi="Calibri"/>
          <w:rtl/>
        </w:rPr>
      </w:pPr>
      <w:bookmarkStart w:id="5" w:name="ABSTRACT_START"/>
      <w:bookmarkEnd w:id="5"/>
      <w:r w:rsidRPr="006855FE">
        <w:rPr>
          <w:rFonts w:ascii="Calibri" w:hAnsi="Calibri" w:hint="cs"/>
          <w:rtl/>
        </w:rPr>
        <w:t xml:space="preserve">הנאשם שלפניי, הייתם בן ג'מיל נאבלסי, הורשע על-סמך הודאתו בעבירה שעניינה </w:t>
      </w:r>
      <w:r w:rsidRPr="006855FE">
        <w:rPr>
          <w:rFonts w:ascii="Calibri" w:hAnsi="Calibri" w:hint="cs"/>
          <w:b/>
          <w:bCs/>
          <w:rtl/>
        </w:rPr>
        <w:t>שוד</w:t>
      </w:r>
      <w:r w:rsidRPr="006855FE">
        <w:rPr>
          <w:rFonts w:ascii="Calibri" w:hAnsi="Calibri" w:hint="cs"/>
          <w:rtl/>
        </w:rPr>
        <w:t xml:space="preserve">, בניגוד </w:t>
      </w:r>
      <w:hyperlink r:id="rId24" w:history="1">
        <w:r w:rsidR="00C65097" w:rsidRPr="00C65097">
          <w:rPr>
            <w:rFonts w:ascii="Calibri" w:hAnsi="Calibri" w:hint="eastAsia"/>
            <w:color w:val="0000FF"/>
            <w:u w:val="single"/>
            <w:rtl/>
          </w:rPr>
          <w:t>לסעיף</w:t>
        </w:r>
        <w:r w:rsidR="00C65097" w:rsidRPr="00C65097">
          <w:rPr>
            <w:rFonts w:ascii="Calibri" w:hAnsi="Calibri"/>
            <w:color w:val="0000FF"/>
            <w:u w:val="single"/>
            <w:rtl/>
          </w:rPr>
          <w:t xml:space="preserve"> 402(</w:t>
        </w:r>
        <w:r w:rsidR="00C65097" w:rsidRPr="00C65097">
          <w:rPr>
            <w:rFonts w:ascii="Calibri" w:hAnsi="Calibri" w:hint="eastAsia"/>
            <w:color w:val="0000FF"/>
            <w:u w:val="single"/>
            <w:rtl/>
          </w:rPr>
          <w:t>א</w:t>
        </w:r>
        <w:r w:rsidR="00C65097" w:rsidRPr="00C65097">
          <w:rPr>
            <w:rFonts w:ascii="Calibri" w:hAnsi="Calibri"/>
            <w:color w:val="0000FF"/>
            <w:u w:val="single"/>
            <w:rtl/>
          </w:rPr>
          <w:t>)</w:t>
        </w:r>
      </w:hyperlink>
      <w:r w:rsidRPr="006855FE">
        <w:rPr>
          <w:rFonts w:ascii="Calibri" w:hAnsi="Calibri" w:hint="cs"/>
          <w:rtl/>
        </w:rPr>
        <w:t xml:space="preserve"> ל</w:t>
      </w:r>
      <w:hyperlink r:id="rId25"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 xml:space="preserve">, התשל"ז - 1977 (להלן: </w:t>
      </w:r>
      <w:r w:rsidRPr="006855FE">
        <w:rPr>
          <w:rFonts w:ascii="Calibri" w:hAnsi="Calibri" w:hint="cs"/>
          <w:b/>
          <w:bCs/>
          <w:rtl/>
        </w:rPr>
        <w:t>"חוק העונשין"</w:t>
      </w:r>
      <w:r w:rsidRPr="006855FE">
        <w:rPr>
          <w:rFonts w:ascii="Calibri" w:hAnsi="Calibri" w:hint="cs"/>
          <w:rtl/>
        </w:rPr>
        <w:t xml:space="preserve">), ובעבירה של </w:t>
      </w:r>
      <w:r w:rsidRPr="006855FE">
        <w:rPr>
          <w:rFonts w:ascii="Calibri" w:hAnsi="Calibri" w:hint="cs"/>
          <w:b/>
          <w:bCs/>
          <w:rtl/>
        </w:rPr>
        <w:t xml:space="preserve">שימוש ברכב ללא רשות </w:t>
      </w:r>
      <w:r w:rsidRPr="006855FE">
        <w:rPr>
          <w:rFonts w:ascii="Calibri" w:hAnsi="Calibri" w:hint="cs"/>
          <w:rtl/>
        </w:rPr>
        <w:t xml:space="preserve"> בניגוד </w:t>
      </w:r>
      <w:hyperlink r:id="rId26" w:history="1">
        <w:r w:rsidR="00C65097" w:rsidRPr="00C65097">
          <w:rPr>
            <w:rFonts w:ascii="Calibri" w:hAnsi="Calibri" w:hint="eastAsia"/>
            <w:color w:val="0000FF"/>
            <w:u w:val="single"/>
            <w:rtl/>
          </w:rPr>
          <w:t>לסעיף</w:t>
        </w:r>
        <w:r w:rsidR="00C65097" w:rsidRPr="00C65097">
          <w:rPr>
            <w:rFonts w:ascii="Calibri" w:hAnsi="Calibri"/>
            <w:color w:val="0000FF"/>
            <w:u w:val="single"/>
            <w:rtl/>
          </w:rPr>
          <w:t xml:space="preserve"> 413</w:t>
        </w:r>
        <w:r w:rsidR="00C65097" w:rsidRPr="00C65097">
          <w:rPr>
            <w:rFonts w:ascii="Calibri" w:hAnsi="Calibri" w:hint="eastAsia"/>
            <w:color w:val="0000FF"/>
            <w:u w:val="single"/>
            <w:rtl/>
          </w:rPr>
          <w:t>ג</w:t>
        </w:r>
      </w:hyperlink>
      <w:r w:rsidRPr="006855FE">
        <w:rPr>
          <w:rFonts w:ascii="Calibri" w:hAnsi="Calibri" w:hint="cs"/>
          <w:rtl/>
        </w:rPr>
        <w:t xml:space="preserve"> סיפא לחוק העונשין</w:t>
      </w:r>
      <w:bookmarkStart w:id="6" w:name="ABSTRACT_END"/>
      <w:bookmarkEnd w:id="6"/>
      <w:r w:rsidRPr="006855FE">
        <w:rPr>
          <w:rFonts w:ascii="Calibri" w:hAnsi="Calibri" w:hint="cs"/>
          <w:rtl/>
        </w:rPr>
        <w:t xml:space="preserve">.  </w:t>
      </w:r>
    </w:p>
    <w:p w14:paraId="21A272FC"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הודאתו באשמה באה במסגרת הסדר-טיעון, שבמסגרתו תוקן כתב-האישום, אשר הוגש נגדו מלכתחילה. </w:t>
      </w:r>
    </w:p>
    <w:p w14:paraId="7021DF12"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עובדות כתב-האישום המתוקן מלמדות, כי ביום 29.2.16 או בסמוך לכך, תכנן הנאשם לבצע שוד בסניף הדואר בכפר יאסיף (להלן: </w:t>
      </w:r>
      <w:r w:rsidRPr="006855FE">
        <w:rPr>
          <w:rFonts w:ascii="Calibri" w:hAnsi="Calibri" w:hint="cs"/>
          <w:b/>
          <w:bCs/>
          <w:rtl/>
        </w:rPr>
        <w:t>"סניף הדואר"</w:t>
      </w:r>
      <w:r w:rsidRPr="006855FE">
        <w:rPr>
          <w:rFonts w:ascii="Calibri" w:hAnsi="Calibri" w:hint="cs"/>
          <w:rtl/>
        </w:rPr>
        <w:t xml:space="preserve">). לצורך הוצאת התוכנית העבריינית אל הפועל, הצטייד הנאשם במסכה, בכפפות, בחפץ הנחזה לאקדח, ובאופנוע מסוג מובי מ"ר 2185179 (להלן: </w:t>
      </w:r>
      <w:r w:rsidRPr="006855FE">
        <w:rPr>
          <w:rFonts w:ascii="Calibri" w:hAnsi="Calibri" w:hint="cs"/>
          <w:b/>
          <w:bCs/>
          <w:rtl/>
        </w:rPr>
        <w:t>"האופנוע"</w:t>
      </w:r>
      <w:r w:rsidRPr="006855FE">
        <w:rPr>
          <w:rFonts w:ascii="Calibri" w:hAnsi="Calibri" w:hint="cs"/>
          <w:rtl/>
        </w:rPr>
        <w:t xml:space="preserve">), אשר נגנב מבעליו מספר ימים קודם לכן. </w:t>
      </w:r>
    </w:p>
    <w:p w14:paraId="5E77B836"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בו ביום, בשעה 8:45, כשהוא רכוב על גבי האופנוע, הגיע הנאשם לסניף הדואר. הנאשם נכנס לסניף כשהוא עוטה מסכה המסתירה את פניו, כפפות על ידיו, וראשו מכוסה באמצעות כובע "קפוצ'ון". בנוסף, הנאשם אחז בידיו חפץ הנחזה לאקדח ושקית כהה. עם כניסתו אל סניף הדואר,  צעק הנאשם לעובדות המקום וללקוחות ששהו בסניף - שלא לזוז. הנאשם עשה כן תוך שהוא מאיים על עובדות הסניף, ומכוון לעברן את החפץ הנחזה להיות אקדח. בהמשך, הורה לעובדות הסניף להכניס </w:t>
      </w:r>
      <w:r w:rsidRPr="006855FE">
        <w:rPr>
          <w:rFonts w:ascii="Calibri" w:hAnsi="Calibri" w:hint="cs"/>
          <w:rtl/>
        </w:rPr>
        <w:lastRenderedPageBreak/>
        <w:t xml:space="preserve">כסף לתוך שקית שאותה אחז בידיו. עובדות הסניף שחששו מהנאשם, עשו כדבריו והכניסו לשקית שטרות ומטבעות בערך כולל של כ-4,700 ₪.      </w:t>
      </w:r>
    </w:p>
    <w:p w14:paraId="31E2E76E"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במהלך ביצוע השוד המפורט לעיל, ניגש הנאשם לאחד מלקוחות סניף הדואר ששהה במקום, מר שכיב נבואני, דחף אותו, הפילו ארצה וכיוון לעברו את החפץ הנחזה לאקדח, כשהוא צועק לעברו: "</w:t>
      </w:r>
      <w:r w:rsidRPr="006855FE">
        <w:rPr>
          <w:rFonts w:ascii="Calibri" w:hAnsi="Calibri" w:hint="cs"/>
          <w:b/>
          <w:bCs/>
          <w:rtl/>
        </w:rPr>
        <w:t>אמרתי לך לשכב למה אתה לא מקשיב</w:t>
      </w:r>
      <w:r w:rsidRPr="006855FE">
        <w:rPr>
          <w:rFonts w:ascii="Calibri" w:hAnsi="Calibri" w:hint="cs"/>
          <w:rtl/>
        </w:rPr>
        <w:t xml:space="preserve">".  </w:t>
      </w:r>
    </w:p>
    <w:p w14:paraId="68D52B71"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בהמשך למתואר, ניגש הנאשם לעברן של עובדות הסניף, לקח מהן את השקית המכילה  את הכסף,  והחל ביציאתו מסניף הדואר. על מנת למנוע התנגדות אפשרית במהלך יציאתו, כיוון הנאשם את החפץ הנחזה לאקדח לעבר לקוחות סניף הדואר. </w:t>
      </w:r>
    </w:p>
    <w:p w14:paraId="54F08F00"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על מנת להימלט מהמקום התקרב הנאשם לעבר האופנוע. או אז, החל מר נסיף אבו חליל, שעמד בקרבתו, להכותו באמצעות מקל הליכה, במטרה למנוע את בריחתו. בתגובה, כיוון הנאשם את החפץ הנחזה לאקדח לכיוונו של אבו חליל ונמלט מהמקום ברגל. במהלך מנוסתו, כיוון הנאשם את החפץ הנחזה לאקדח לעבר אנשים נוספים שדלקו אחריו. </w:t>
      </w:r>
    </w:p>
    <w:p w14:paraId="2BAAE3FE"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הסדר הטיעון</w:t>
      </w:r>
    </w:p>
    <w:p w14:paraId="55F95DD1"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הצדדים הביאו לפניי הסדר טיעון אשר בו נקשרו בכל הנוגע להרשעתו של הנאשם בדין וביחס לעונש הראוי להיות מוטל עליו בגין הרשעתו בדינו. במסגרת הסדר הטיעון עתרו הצדדים במשותף כי אגזור לנאשם עונש של </w:t>
      </w:r>
      <w:r w:rsidRPr="006855FE">
        <w:rPr>
          <w:rFonts w:ascii="Calibri" w:hAnsi="Calibri" w:hint="cs"/>
          <w:b/>
          <w:bCs/>
          <w:rtl/>
        </w:rPr>
        <w:t>34 חודשי מאסר לריצוי בפועל בניכוי ימי מעצרו</w:t>
      </w:r>
      <w:r w:rsidRPr="006855FE">
        <w:rPr>
          <w:rFonts w:ascii="Calibri" w:hAnsi="Calibri" w:hint="cs"/>
          <w:rtl/>
        </w:rPr>
        <w:t xml:space="preserve">, מאסר על תנאי ופיצוי לעובדות סניף הדואר, על פי שיקול דעתו של בית המשפט.   </w:t>
      </w:r>
    </w:p>
    <w:p w14:paraId="5A90ECE5"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ראיות לעניין העונש</w:t>
      </w:r>
    </w:p>
    <w:p w14:paraId="04DD0275"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בא-כוח המאשימה הציג לפניי את גיליון הרישום הפלילי בעניינו של הנאשם. גיליון זה לימד, שלחובתו שני רישומים, האחד, מיום 29.11.09, מלמד כי הנאשם עמד לדין בבית-המשפט המחוזי בחיפה בגין עבירות שונות שעניינן </w:t>
      </w:r>
      <w:r w:rsidRPr="006855FE">
        <w:rPr>
          <w:rFonts w:ascii="Calibri" w:hAnsi="Calibri" w:hint="cs"/>
          <w:b/>
          <w:bCs/>
          <w:rtl/>
        </w:rPr>
        <w:t xml:space="preserve">הצתה </w:t>
      </w:r>
      <w:r w:rsidRPr="006855FE">
        <w:rPr>
          <w:rFonts w:ascii="Calibri" w:hAnsi="Calibri" w:hint="cs"/>
          <w:rtl/>
        </w:rPr>
        <w:t xml:space="preserve">לפי </w:t>
      </w:r>
      <w:hyperlink r:id="rId27"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448</w:t>
        </w:r>
      </w:hyperlink>
      <w:r w:rsidRPr="006855FE">
        <w:rPr>
          <w:rFonts w:ascii="Calibri" w:hAnsi="Calibri" w:hint="cs"/>
          <w:rtl/>
        </w:rPr>
        <w:t xml:space="preserve"> ל</w:t>
      </w:r>
      <w:hyperlink r:id="rId28"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 xml:space="preserve">, </w:t>
      </w:r>
      <w:r w:rsidRPr="006855FE">
        <w:rPr>
          <w:rFonts w:ascii="Calibri" w:hAnsi="Calibri" w:hint="cs"/>
          <w:b/>
          <w:bCs/>
          <w:rtl/>
        </w:rPr>
        <w:t>היזק לרכוש במזיד</w:t>
      </w:r>
      <w:r w:rsidRPr="006855FE">
        <w:rPr>
          <w:rFonts w:ascii="Calibri" w:hAnsi="Calibri" w:hint="cs"/>
          <w:rtl/>
        </w:rPr>
        <w:t xml:space="preserve"> לפי </w:t>
      </w:r>
      <w:hyperlink r:id="rId29"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452</w:t>
        </w:r>
      </w:hyperlink>
      <w:r w:rsidRPr="006855FE">
        <w:rPr>
          <w:rFonts w:ascii="Calibri" w:hAnsi="Calibri" w:hint="cs"/>
          <w:rtl/>
        </w:rPr>
        <w:t xml:space="preserve"> לחוק העונשין </w:t>
      </w:r>
      <w:r w:rsidRPr="006855FE">
        <w:rPr>
          <w:rFonts w:ascii="Calibri" w:hAnsi="Calibri" w:hint="cs"/>
          <w:b/>
          <w:bCs/>
          <w:rtl/>
        </w:rPr>
        <w:t>והפרעה לשוטר במילוי תפקידו</w:t>
      </w:r>
      <w:r w:rsidRPr="006855FE">
        <w:rPr>
          <w:rFonts w:ascii="Calibri" w:hAnsi="Calibri" w:hint="cs"/>
          <w:rtl/>
        </w:rPr>
        <w:t xml:space="preserve"> לפי </w:t>
      </w:r>
      <w:hyperlink r:id="rId30"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275</w:t>
        </w:r>
      </w:hyperlink>
      <w:r w:rsidRPr="006855FE">
        <w:rPr>
          <w:rFonts w:ascii="Calibri" w:hAnsi="Calibri" w:hint="cs"/>
          <w:rtl/>
        </w:rPr>
        <w:t xml:space="preserve"> לחוק העונשין. בגין עבירות אלו הושת על הנאשם עונש מאסר בן 30 חודשים לריצוי בפועל, ומאסר על תנאי. הרישום השני בעניינו של הנאשם מלמד כי ביום 11.8.13 עמד הנאשם לדין בבית משפט השלום בעכו בגין ביצועה של עבירת </w:t>
      </w:r>
      <w:r w:rsidRPr="006855FE">
        <w:rPr>
          <w:rFonts w:ascii="Calibri" w:hAnsi="Calibri" w:hint="cs"/>
          <w:b/>
          <w:bCs/>
          <w:rtl/>
        </w:rPr>
        <w:t xml:space="preserve">ניסיון  ליבוא, מסחר, הספקה סמים מסוכנים, לפי </w:t>
      </w:r>
      <w:hyperlink r:id="rId31" w:history="1">
        <w:r w:rsidR="00C65097" w:rsidRPr="00C65097">
          <w:rPr>
            <w:rFonts w:ascii="Calibri" w:hAnsi="Calibri" w:hint="eastAsia"/>
            <w:b/>
            <w:bCs/>
            <w:color w:val="0000FF"/>
            <w:u w:val="single"/>
            <w:rtl/>
          </w:rPr>
          <w:t>סעיפים</w:t>
        </w:r>
        <w:r w:rsidR="00C65097" w:rsidRPr="00C65097">
          <w:rPr>
            <w:rFonts w:ascii="Calibri" w:hAnsi="Calibri"/>
            <w:b/>
            <w:bCs/>
            <w:color w:val="0000FF"/>
            <w:u w:val="single"/>
            <w:rtl/>
          </w:rPr>
          <w:t xml:space="preserve"> 13</w:t>
        </w:r>
      </w:hyperlink>
      <w:r w:rsidRPr="006855FE">
        <w:rPr>
          <w:rFonts w:ascii="Calibri" w:hAnsi="Calibri" w:hint="cs"/>
          <w:b/>
          <w:bCs/>
          <w:rtl/>
        </w:rPr>
        <w:t xml:space="preserve"> ו-</w:t>
      </w:r>
      <w:hyperlink r:id="rId32" w:history="1">
        <w:r w:rsidR="00C65097" w:rsidRPr="00C65097">
          <w:rPr>
            <w:rFonts w:ascii="Calibri" w:hAnsi="Calibri"/>
            <w:b/>
            <w:bCs/>
            <w:color w:val="0000FF"/>
            <w:u w:val="single"/>
            <w:rtl/>
          </w:rPr>
          <w:t>19</w:t>
        </w:r>
        <w:r w:rsidR="00C65097" w:rsidRPr="00C65097">
          <w:rPr>
            <w:rFonts w:ascii="Calibri" w:hAnsi="Calibri" w:hint="eastAsia"/>
            <w:b/>
            <w:bCs/>
            <w:color w:val="0000FF"/>
            <w:u w:val="single"/>
            <w:rtl/>
          </w:rPr>
          <w:t>א</w:t>
        </w:r>
      </w:hyperlink>
      <w:r w:rsidRPr="006855FE">
        <w:rPr>
          <w:rFonts w:ascii="Calibri" w:hAnsi="Calibri" w:hint="cs"/>
          <w:b/>
          <w:bCs/>
          <w:rtl/>
        </w:rPr>
        <w:t xml:space="preserve"> ל</w:t>
      </w:r>
      <w:hyperlink r:id="rId33" w:history="1">
        <w:r w:rsidR="004E093A" w:rsidRPr="004E093A">
          <w:rPr>
            <w:rFonts w:ascii="Calibri" w:hAnsi="Calibri" w:hint="eastAsia"/>
            <w:b/>
            <w:bCs/>
            <w:color w:val="0000FF"/>
            <w:u w:val="single"/>
            <w:rtl/>
          </w:rPr>
          <w:t>פקודת</w:t>
        </w:r>
        <w:r w:rsidR="004E093A" w:rsidRPr="004E093A">
          <w:rPr>
            <w:rFonts w:ascii="Calibri" w:hAnsi="Calibri"/>
            <w:b/>
            <w:bCs/>
            <w:color w:val="0000FF"/>
            <w:u w:val="single"/>
            <w:rtl/>
          </w:rPr>
          <w:t xml:space="preserve"> </w:t>
        </w:r>
        <w:r w:rsidR="004E093A" w:rsidRPr="004E093A">
          <w:rPr>
            <w:rFonts w:ascii="Calibri" w:hAnsi="Calibri" w:hint="eastAsia"/>
            <w:b/>
            <w:bCs/>
            <w:color w:val="0000FF"/>
            <w:u w:val="single"/>
            <w:rtl/>
          </w:rPr>
          <w:t>הסמים</w:t>
        </w:r>
        <w:r w:rsidR="004E093A" w:rsidRPr="004E093A">
          <w:rPr>
            <w:rFonts w:ascii="Calibri" w:hAnsi="Calibri"/>
            <w:b/>
            <w:bCs/>
            <w:color w:val="0000FF"/>
            <w:u w:val="single"/>
            <w:rtl/>
          </w:rPr>
          <w:t xml:space="preserve"> </w:t>
        </w:r>
        <w:r w:rsidR="004E093A" w:rsidRPr="004E093A">
          <w:rPr>
            <w:rFonts w:ascii="Calibri" w:hAnsi="Calibri" w:hint="eastAsia"/>
            <w:b/>
            <w:bCs/>
            <w:color w:val="0000FF"/>
            <w:u w:val="single"/>
            <w:rtl/>
          </w:rPr>
          <w:t>המסוכנים</w:t>
        </w:r>
      </w:hyperlink>
      <w:r w:rsidRPr="006855FE">
        <w:rPr>
          <w:rFonts w:ascii="Calibri" w:hAnsi="Calibri" w:hint="cs"/>
          <w:rtl/>
        </w:rPr>
        <w:t xml:space="preserve"> בצירוף </w:t>
      </w:r>
      <w:hyperlink r:id="rId34" w:history="1">
        <w:r w:rsidR="00C65097" w:rsidRPr="00C65097">
          <w:rPr>
            <w:rFonts w:ascii="Calibri" w:hAnsi="Calibri" w:hint="eastAsia"/>
            <w:color w:val="0000FF"/>
            <w:u w:val="single"/>
            <w:rtl/>
          </w:rPr>
          <w:t>לסעיף</w:t>
        </w:r>
        <w:r w:rsidR="00C65097" w:rsidRPr="00C65097">
          <w:rPr>
            <w:rFonts w:ascii="Calibri" w:hAnsi="Calibri"/>
            <w:color w:val="0000FF"/>
            <w:u w:val="single"/>
            <w:rtl/>
          </w:rPr>
          <w:t xml:space="preserve"> 25</w:t>
        </w:r>
        <w:r w:rsidR="00C65097" w:rsidRPr="00C65097">
          <w:rPr>
            <w:rFonts w:ascii="Calibri" w:hAnsi="Calibri" w:hint="eastAsia"/>
            <w:color w:val="0000FF"/>
            <w:u w:val="single"/>
            <w:rtl/>
          </w:rPr>
          <w:t>ב</w:t>
        </w:r>
      </w:hyperlink>
      <w:r w:rsidRPr="006855FE">
        <w:rPr>
          <w:rFonts w:ascii="Calibri" w:hAnsi="Calibri" w:hint="cs"/>
          <w:rtl/>
        </w:rPr>
        <w:t xml:space="preserve"> ל</w:t>
      </w:r>
      <w:hyperlink r:id="rId35"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 בגין הרשעה זה הושת על הנאשם עונש מאסר בן 3 חודשים לריצוי בפועל, ומאסר על תנאי.</w:t>
      </w:r>
    </w:p>
    <w:p w14:paraId="2DB4003F"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 xml:space="preserve">טיעוני הצדדים לעונש </w:t>
      </w:r>
    </w:p>
    <w:p w14:paraId="6D7A3E23"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המאשימה</w:t>
      </w:r>
    </w:p>
    <w:p w14:paraId="05AEA8F9"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בא-כוח המאשימה, עו"ד ד"ר ערן בר, ציין בפניי את הערכים החברתיים בהם פגע הנאשם במעשיו, וציין שלתפיסתו העונש המוצע בהסדר הטיעון הינו סביר בנסיבות העניין. הפרקליט המלומד הרחיב וסקר את חלק מן המניעים שהובילו את המאשימה להיקשר בהסדר הטיעון דלעיל. הפרקליט הבהיר כי הוכחת אשמתו של הנאשם בבית המשפט הייתה כרוכה בקשיים ראייתיים של ממש </w:t>
      </w:r>
      <w:r w:rsidRPr="006855FE">
        <w:rPr>
          <w:rFonts w:ascii="Calibri" w:hAnsi="Calibri" w:hint="cs"/>
          <w:rtl/>
        </w:rPr>
        <w:lastRenderedPageBreak/>
        <w:t xml:space="preserve">והדבר היה מצריך השקעת משאבי זמן ניכרים, הן מצד התביעה הן מצדו של בית המשפט, שעה שעסקינן בתיק בו עשרות רבות של עדים.  </w:t>
      </w:r>
    </w:p>
    <w:p w14:paraId="18950D6F"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לאור האמור התבקשתי לאמץ את הסדר הטיעון ככתבו וכלשונו.</w:t>
      </w:r>
    </w:p>
    <w:p w14:paraId="29311EE9"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ההגנה</w:t>
      </w:r>
    </w:p>
    <w:p w14:paraId="5C7BA457"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ב"כ המלומד של הנאשם, עו"ד כמיל עודה, הדגיש לפניי כי הודאתו של הנאשם מבטאת קבלת אחריות על מעשיו. אליבא דסנגור על אף עברו הפלילי של הנאשם, העונש המוצע בהסדר הטיעון  הינו ראוי ואינו חורג ממתחם הסבירות. הסנגור גם הוא ציין בפניי את הקשיים הראייתיים בתיק ככאלו שהובילו להיקשרותו של הנאשם בהסדר הטיעון. </w:t>
      </w:r>
    </w:p>
    <w:p w14:paraId="0E5C7354"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לעניין רכיב הפיצוי בענישה, ביקש הסנגור כי אחייב את הנאשם בסכום פיצוי מזערי, מהטעם שמשפחתו של הנאשם שרויה במצב כלכלי שאינו פשוט, ומתקיימת בדוחק. </w:t>
      </w:r>
    </w:p>
    <w:p w14:paraId="0BC10934"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לאור האמור ביקש הסנגור כי אאמץ את הסדר הטיעון כאמור לעיל.   </w:t>
      </w:r>
    </w:p>
    <w:p w14:paraId="078ABF66" w14:textId="77777777" w:rsidR="00351C6E" w:rsidRPr="006855FE" w:rsidRDefault="00351C6E" w:rsidP="00351C6E">
      <w:pPr>
        <w:spacing w:after="160"/>
        <w:jc w:val="both"/>
        <w:rPr>
          <w:rFonts w:ascii="Calibri" w:hAnsi="Calibri"/>
          <w:b/>
          <w:bCs/>
          <w:u w:val="single"/>
          <w:rtl/>
        </w:rPr>
      </w:pPr>
      <w:r w:rsidRPr="006855FE">
        <w:rPr>
          <w:rFonts w:ascii="Calibri" w:hAnsi="Calibri" w:hint="cs"/>
          <w:b/>
          <w:bCs/>
          <w:u w:val="single"/>
          <w:rtl/>
        </w:rPr>
        <w:t>הנאשם בדברו האחרון</w:t>
      </w:r>
    </w:p>
    <w:p w14:paraId="70DD65AC"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הנאשם ביקש סליחה על מעשיו וציין, כי יימנע בעתיד מלבצע מעשים מסוג זה.</w:t>
      </w:r>
    </w:p>
    <w:p w14:paraId="78926B78" w14:textId="77777777" w:rsidR="00351C6E" w:rsidRPr="006855FE" w:rsidRDefault="00351C6E" w:rsidP="00351C6E">
      <w:pPr>
        <w:spacing w:after="160"/>
        <w:jc w:val="both"/>
        <w:rPr>
          <w:rFonts w:ascii="Calibri" w:hAnsi="Calibri"/>
          <w:rtl/>
        </w:rPr>
      </w:pPr>
      <w:r w:rsidRPr="006855FE">
        <w:rPr>
          <w:rFonts w:ascii="Calibri" w:hAnsi="Calibri" w:hint="cs"/>
          <w:b/>
          <w:bCs/>
          <w:u w:val="single"/>
          <w:rtl/>
        </w:rPr>
        <w:t>דיון והכרעה</w:t>
      </w:r>
    </w:p>
    <w:p w14:paraId="2431E1B1"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בבואי לגזור את עונשו של הנאשם, עליי לבחון את הסדר הטיעון, אשר הוצג לי בידי הצדדים בעניינו של הנאשם, כמפורט לעיל. עליי לבחון אם העונש המוצע בגדרו של ההסדר סוטה במידה ניכרת מזה אשר ראוי היה להיות מוטל על הנאשם, אילולא נקשר בהסדר הטיעון.   </w:t>
      </w:r>
    </w:p>
    <w:p w14:paraId="28AC09F6"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הסדרי טיעון לכיבוד נועדו. נקודת המוצא הינה כי בבסיס עריכת הסדרי הטיעון גלומים שיקולי התביעה המאזנים נכונה בין ההקלה בעונש, המוענקת לנאשם, לבין התועלת הציבורית הצומחת מסיום התיק בלא צורך בשמיעת ראיות על כל הכרוך בכך (ראו לעניין זה: </w:t>
      </w:r>
      <w:hyperlink r:id="rId36"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1958/98</w:t>
        </w:r>
      </w:hyperlink>
      <w:r w:rsidRPr="006855FE">
        <w:rPr>
          <w:rFonts w:ascii="Calibri" w:hAnsi="Calibri" w:hint="cs"/>
          <w:rtl/>
        </w:rPr>
        <w:t xml:space="preserve"> </w:t>
      </w:r>
      <w:r w:rsidRPr="006855FE">
        <w:rPr>
          <w:rFonts w:ascii="Calibri" w:hAnsi="Calibri" w:hint="cs"/>
          <w:b/>
          <w:bCs/>
          <w:rtl/>
        </w:rPr>
        <w:t>פלוני נ' מדינת ישראל</w:t>
      </w:r>
      <w:r w:rsidRPr="006855FE">
        <w:rPr>
          <w:rFonts w:ascii="Calibri" w:hAnsi="Calibri" w:hint="cs"/>
          <w:rtl/>
        </w:rPr>
        <w:t xml:space="preserve">, ניתן ביום 25.12.02). הטעמים, המצדיקים כיבוד הסדרי טיעון, רבים הם ומגוונים ותקצר היריעה לעמוד על כולם במסגרת פסק דין זה. הם כוללים את החיסכון במשאבים הנלווה להודאת הנאשם, החיסכון בזמן שיפוטי, הצורך להתמודד עם קשיים ראייתיים אשר עימם מתמודדת המדינה בדרכה להרשיע את הנאשם בדינו, הרצון למנוע עדות של קורבן העבירה ועוד. </w:t>
      </w:r>
    </w:p>
    <w:p w14:paraId="6B06E0DB"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לפי תפיסתי, גם מקום בו מוצג לפני בית משפט הסדר טיעון חלה עליו </w:t>
      </w:r>
      <w:r w:rsidRPr="006855FE">
        <w:rPr>
          <w:rFonts w:ascii="Calibri" w:hAnsi="Calibri" w:hint="cs"/>
          <w:b/>
          <w:bCs/>
          <w:rtl/>
        </w:rPr>
        <w:t>חובה לבחון מה היה העונש הראוי להיות מוטל על הנאשם בהתאם לעקרונות המותווים בשיטת הבניית שיקול הדעת בענישה</w:t>
      </w:r>
      <w:r w:rsidRPr="006855FE">
        <w:rPr>
          <w:rFonts w:ascii="Calibri" w:hAnsi="Calibri" w:hint="cs"/>
          <w:rtl/>
        </w:rPr>
        <w:t xml:space="preserve">, לקבוע מהו </w:t>
      </w:r>
      <w:r w:rsidRPr="006855FE">
        <w:rPr>
          <w:rFonts w:ascii="Calibri" w:hAnsi="Calibri" w:hint="cs"/>
          <w:b/>
          <w:bCs/>
          <w:rtl/>
        </w:rPr>
        <w:t>המתחם העונשי ההולם</w:t>
      </w:r>
      <w:r w:rsidRPr="006855FE">
        <w:rPr>
          <w:rFonts w:ascii="Calibri" w:hAnsi="Calibri" w:hint="cs"/>
          <w:rtl/>
        </w:rPr>
        <w:t xml:space="preserve"> לעבירה בה הורשע הנאשם בנסיבותיה, ומה היה </w:t>
      </w:r>
      <w:r w:rsidRPr="006855FE">
        <w:rPr>
          <w:rFonts w:ascii="Calibri" w:hAnsi="Calibri" w:hint="cs"/>
          <w:b/>
          <w:bCs/>
          <w:rtl/>
        </w:rPr>
        <w:t>העונש הראוי להיות מוטל עליו בהתאם לעקרונות שאותם התווה המחוקק בתיקון 113 ל</w:t>
      </w:r>
      <w:hyperlink r:id="rId37" w:history="1">
        <w:r w:rsidR="004E093A" w:rsidRPr="004E093A">
          <w:rPr>
            <w:rFonts w:ascii="Calibri" w:hAnsi="Calibri" w:hint="eastAsia"/>
            <w:b/>
            <w:bCs/>
            <w:color w:val="0000FF"/>
            <w:u w:val="single"/>
            <w:rtl/>
          </w:rPr>
          <w:t>חוק</w:t>
        </w:r>
        <w:r w:rsidR="004E093A" w:rsidRPr="004E093A">
          <w:rPr>
            <w:rFonts w:ascii="Calibri" w:hAnsi="Calibri"/>
            <w:b/>
            <w:bCs/>
            <w:color w:val="0000FF"/>
            <w:u w:val="single"/>
            <w:rtl/>
          </w:rPr>
          <w:t xml:space="preserve"> </w:t>
        </w:r>
        <w:r w:rsidR="004E093A" w:rsidRPr="004E093A">
          <w:rPr>
            <w:rFonts w:ascii="Calibri" w:hAnsi="Calibri" w:hint="eastAsia"/>
            <w:b/>
            <w:bCs/>
            <w:color w:val="0000FF"/>
            <w:u w:val="single"/>
            <w:rtl/>
          </w:rPr>
          <w:t>העונשין</w:t>
        </w:r>
      </w:hyperlink>
      <w:r w:rsidRPr="006855FE">
        <w:rPr>
          <w:rFonts w:ascii="Calibri" w:hAnsi="Calibri" w:hint="cs"/>
          <w:b/>
          <w:bCs/>
          <w:rtl/>
        </w:rPr>
        <w:t xml:space="preserve"> </w:t>
      </w:r>
      <w:r w:rsidRPr="006855FE">
        <w:rPr>
          <w:rFonts w:ascii="Calibri" w:hAnsi="Calibri" w:hint="cs"/>
          <w:rtl/>
        </w:rPr>
        <w:t xml:space="preserve">(ראו והשוו לעניין זה: </w:t>
      </w:r>
      <w:hyperlink r:id="rId38"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6799/14</w:t>
        </w:r>
      </w:hyperlink>
      <w:r w:rsidRPr="006855FE">
        <w:rPr>
          <w:rFonts w:ascii="Calibri" w:hAnsi="Calibri" w:hint="cs"/>
          <w:rtl/>
        </w:rPr>
        <w:t xml:space="preserve"> </w:t>
      </w:r>
      <w:r w:rsidRPr="006855FE">
        <w:rPr>
          <w:rFonts w:ascii="Calibri" w:hAnsi="Calibri" w:hint="cs"/>
          <w:b/>
          <w:bCs/>
          <w:rtl/>
        </w:rPr>
        <w:t>אילן אופיר נ' מדינת ישראל</w:t>
      </w:r>
      <w:r w:rsidRPr="006855FE">
        <w:rPr>
          <w:rFonts w:ascii="Calibri" w:hAnsi="Calibri" w:hint="cs"/>
          <w:rtl/>
        </w:rPr>
        <w:t xml:space="preserve"> (פסקה 10), ניתן ביום 16.3.15; ראו בנוסף: </w:t>
      </w:r>
      <w:hyperlink r:id="rId39"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4301/15</w:t>
        </w:r>
      </w:hyperlink>
      <w:r w:rsidRPr="006855FE">
        <w:rPr>
          <w:rFonts w:ascii="Calibri" w:hAnsi="Calibri" w:hint="cs"/>
          <w:rtl/>
        </w:rPr>
        <w:t xml:space="preserve"> </w:t>
      </w:r>
      <w:r w:rsidRPr="006855FE">
        <w:rPr>
          <w:rFonts w:ascii="Calibri" w:hAnsi="Calibri" w:hint="cs"/>
          <w:b/>
          <w:bCs/>
          <w:rtl/>
        </w:rPr>
        <w:t>פינטו נ' מדינת ישראל,</w:t>
      </w:r>
      <w:r w:rsidRPr="006855FE">
        <w:rPr>
          <w:rFonts w:ascii="Calibri" w:hAnsi="Calibri" w:hint="cs"/>
          <w:rtl/>
        </w:rPr>
        <w:t xml:space="preserve"> ניתן ביום 5.1.16).  </w:t>
      </w:r>
    </w:p>
    <w:p w14:paraId="01ED1E22"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או אז, יהא על בית המשפט לבחון את העונש המוצע באספקלריית העונש הראוי. זהו השלב שבו יישם בית המשפט את שיקול דעתו השיפוטי ויקבע אם העונש המוצע במסגרת הסדר הטיעון חורג (לקולה) מהעונש הראוי. רק אם האמור </w:t>
      </w:r>
      <w:r w:rsidRPr="006855FE">
        <w:rPr>
          <w:rFonts w:ascii="Calibri" w:hAnsi="Calibri" w:hint="cs"/>
          <w:b/>
          <w:bCs/>
          <w:rtl/>
        </w:rPr>
        <w:t>בסטייה בלתי סבירה ובלתי מוצדקת בנסיבות העניין</w:t>
      </w:r>
      <w:r w:rsidRPr="006855FE">
        <w:rPr>
          <w:rFonts w:ascii="Calibri" w:hAnsi="Calibri" w:hint="cs"/>
          <w:rtl/>
        </w:rPr>
        <w:t xml:space="preserve">, יסטה בית המשפט מהעונש המוצע ויטיל על הנאשם עונש חמור הימנו. ברוב המקרים, גם אם העונש המוצע קל מהעונש הראוי, יכובד הסדר הטיעון. </w:t>
      </w:r>
    </w:p>
    <w:p w14:paraId="00A9B979"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נעבור כעת מן הכלל אל הפרט. </w:t>
      </w:r>
    </w:p>
    <w:p w14:paraId="0A3D1681"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הנאשם שלפניי הורשע בעבירה של </w:t>
      </w:r>
      <w:r w:rsidRPr="006855FE">
        <w:rPr>
          <w:rFonts w:ascii="Calibri" w:hAnsi="Calibri" w:hint="cs"/>
          <w:b/>
          <w:bCs/>
          <w:rtl/>
        </w:rPr>
        <w:t>שוד</w:t>
      </w:r>
      <w:r w:rsidRPr="006855FE">
        <w:rPr>
          <w:rFonts w:ascii="Calibri" w:hAnsi="Calibri" w:hint="cs"/>
          <w:rtl/>
        </w:rPr>
        <w:t xml:space="preserve">, ובעבירה של </w:t>
      </w:r>
      <w:r w:rsidRPr="006855FE">
        <w:rPr>
          <w:rFonts w:ascii="Calibri" w:hAnsi="Calibri" w:hint="cs"/>
          <w:b/>
          <w:bCs/>
          <w:rtl/>
        </w:rPr>
        <w:t>שימוש ברכב ללא רשות</w:t>
      </w:r>
      <w:r w:rsidRPr="006855FE">
        <w:rPr>
          <w:rFonts w:ascii="Calibri" w:hAnsi="Calibri" w:hint="cs"/>
          <w:rtl/>
        </w:rPr>
        <w:t>. כמפורט לעיל עסקינן באירוע אחד, אלים ומתמשך (</w:t>
      </w:r>
      <w:hyperlink r:id="rId40"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40</w:t>
        </w:r>
        <w:r w:rsidR="00C65097" w:rsidRPr="00C65097">
          <w:rPr>
            <w:rFonts w:ascii="Calibri" w:hAnsi="Calibri" w:hint="eastAsia"/>
            <w:color w:val="0000FF"/>
            <w:u w:val="single"/>
            <w:rtl/>
          </w:rPr>
          <w:t>יג</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א</w:t>
        </w:r>
        <w:r w:rsidR="00C65097" w:rsidRPr="00C65097">
          <w:rPr>
            <w:rFonts w:ascii="Calibri" w:hAnsi="Calibri"/>
            <w:color w:val="0000FF"/>
            <w:u w:val="single"/>
            <w:rtl/>
          </w:rPr>
          <w:t>)</w:t>
        </w:r>
      </w:hyperlink>
      <w:r w:rsidRPr="006855FE">
        <w:rPr>
          <w:rFonts w:ascii="Calibri" w:hAnsi="Calibri" w:hint="cs"/>
          <w:rtl/>
        </w:rPr>
        <w:t xml:space="preserve"> ל</w:t>
      </w:r>
      <w:hyperlink r:id="rId41"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 במהלכו פגע הנאשם באורח חמור בערכים החברתיים הבאים (</w:t>
      </w:r>
      <w:hyperlink r:id="rId42"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40</w:t>
        </w:r>
        <w:r w:rsidR="00C65097" w:rsidRPr="00C65097">
          <w:rPr>
            <w:rFonts w:ascii="Calibri" w:hAnsi="Calibri" w:hint="eastAsia"/>
            <w:color w:val="0000FF"/>
            <w:u w:val="single"/>
            <w:rtl/>
          </w:rPr>
          <w:t>ג</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א</w:t>
        </w:r>
        <w:r w:rsidR="00C65097" w:rsidRPr="00C65097">
          <w:rPr>
            <w:rFonts w:ascii="Calibri" w:hAnsi="Calibri"/>
            <w:color w:val="0000FF"/>
            <w:u w:val="single"/>
            <w:rtl/>
          </w:rPr>
          <w:t>)</w:t>
        </w:r>
      </w:hyperlink>
      <w:r w:rsidRPr="006855FE">
        <w:rPr>
          <w:rFonts w:ascii="Calibri" w:hAnsi="Calibri" w:hint="cs"/>
          <w:rtl/>
        </w:rPr>
        <w:t xml:space="preserve"> לחוק העונשין): </w:t>
      </w:r>
      <w:r w:rsidRPr="006855FE">
        <w:rPr>
          <w:rFonts w:ascii="Calibri" w:hAnsi="Calibri" w:hint="cs"/>
          <w:b/>
          <w:bCs/>
          <w:rtl/>
        </w:rPr>
        <w:t>שלמות הגוף, מהבחינה הנפשית ומהבחינה הפיזית</w:t>
      </w:r>
      <w:r w:rsidRPr="006855FE">
        <w:rPr>
          <w:rFonts w:ascii="Calibri" w:hAnsi="Calibri" w:hint="cs"/>
          <w:rtl/>
        </w:rPr>
        <w:t xml:space="preserve"> </w:t>
      </w:r>
      <w:r w:rsidRPr="006855FE">
        <w:rPr>
          <w:rFonts w:ascii="Calibri" w:hAnsi="Calibri" w:hint="cs"/>
          <w:b/>
          <w:bCs/>
          <w:rtl/>
        </w:rPr>
        <w:t>והגנה על פקידים העושים את מלאכתם ונותנים שירות לציבור.</w:t>
      </w:r>
      <w:r w:rsidRPr="006855FE">
        <w:rPr>
          <w:rFonts w:ascii="Calibri" w:hAnsi="Calibri" w:hint="cs"/>
          <w:rtl/>
        </w:rPr>
        <w:t xml:space="preserve"> לא זו אף זו, מעשיו של הנאשם פגעו פגיעה ממשית </w:t>
      </w:r>
      <w:r w:rsidRPr="006855FE">
        <w:rPr>
          <w:rFonts w:ascii="Calibri" w:hAnsi="Calibri" w:hint="cs"/>
          <w:b/>
          <w:bCs/>
          <w:rtl/>
        </w:rPr>
        <w:t>בזכויות הקניין</w:t>
      </w:r>
      <w:r w:rsidRPr="006855FE">
        <w:rPr>
          <w:rFonts w:ascii="Calibri" w:hAnsi="Calibri" w:hint="cs"/>
          <w:rtl/>
        </w:rPr>
        <w:t xml:space="preserve"> של סניף הדואר, ובזכויות בעלי האופנוע, בו השתמש הנאשם ללא רשותו.</w:t>
      </w:r>
      <w:r w:rsidRPr="006855FE">
        <w:rPr>
          <w:rFonts w:ascii="Calibri" w:hAnsi="Calibri" w:hint="cs"/>
          <w:b/>
          <w:bCs/>
          <w:rtl/>
        </w:rPr>
        <w:t xml:space="preserve"> כן פגע הנאשם בזכות הציבור לביטחון אישי מפני מעשי תקיפה או אלימות הנעשים במקומות ציבוריים. </w:t>
      </w:r>
      <w:r w:rsidRPr="006855FE">
        <w:rPr>
          <w:rFonts w:ascii="Calibri" w:hAnsi="Calibri" w:hint="cs"/>
          <w:rtl/>
        </w:rPr>
        <w:t xml:space="preserve">פגיעתו של הנאשם בערכים הללו איננה מזערית. הוא </w:t>
      </w:r>
      <w:r w:rsidRPr="006855FE">
        <w:rPr>
          <w:rFonts w:ascii="Calibri" w:hAnsi="Calibri" w:hint="cs"/>
          <w:b/>
          <w:bCs/>
          <w:rtl/>
        </w:rPr>
        <w:t xml:space="preserve">עשה שימוש באלימות ממשית, תוך שימוש בחפץ הנחזה לסוג של כלי-נשק חם. </w:t>
      </w:r>
      <w:r w:rsidRPr="006855FE">
        <w:rPr>
          <w:rFonts w:ascii="Calibri" w:hAnsi="Calibri" w:hint="cs"/>
          <w:rtl/>
        </w:rPr>
        <w:t xml:space="preserve">למרבה המזל, האירוע לא הסלים, דבר אשר עלול היה להוביל לתוצאות הרות אסון. </w:t>
      </w:r>
    </w:p>
    <w:p w14:paraId="6494F82B"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מדיניות הענישה הנהוגה בעבירת השוד הינה מגוונת - ראו לעניין זה: </w:t>
      </w:r>
      <w:hyperlink r:id="rId43" w:history="1">
        <w:r w:rsidR="004E093A" w:rsidRPr="004E093A">
          <w:rPr>
            <w:rFonts w:ascii="Century" w:hAnsi="Century" w:hint="eastAsia"/>
            <w:color w:val="0000FF"/>
            <w:spacing w:val="10"/>
            <w:u w:val="single"/>
            <w:rtl/>
          </w:rPr>
          <w:t>ע</w:t>
        </w:r>
        <w:r w:rsidR="004E093A" w:rsidRPr="004E093A">
          <w:rPr>
            <w:rFonts w:ascii="Century" w:hAnsi="Century"/>
            <w:color w:val="0000FF"/>
            <w:spacing w:val="10"/>
            <w:u w:val="single"/>
            <w:rtl/>
          </w:rPr>
          <w:t>"</w:t>
        </w:r>
        <w:r w:rsidR="004E093A" w:rsidRPr="004E093A">
          <w:rPr>
            <w:rFonts w:ascii="Century" w:hAnsi="Century" w:hint="eastAsia"/>
            <w:color w:val="0000FF"/>
            <w:spacing w:val="10"/>
            <w:u w:val="single"/>
            <w:rtl/>
          </w:rPr>
          <w:t>פ</w:t>
        </w:r>
        <w:r w:rsidR="004E093A" w:rsidRPr="004E093A">
          <w:rPr>
            <w:rFonts w:ascii="Century" w:hAnsi="Century"/>
            <w:color w:val="0000FF"/>
            <w:spacing w:val="10"/>
            <w:u w:val="single"/>
            <w:rtl/>
          </w:rPr>
          <w:t xml:space="preserve"> 4841/13</w:t>
        </w:r>
      </w:hyperlink>
      <w:r>
        <w:rPr>
          <w:rFonts w:ascii="Century" w:hAnsi="Century" w:hint="cs"/>
          <w:spacing w:val="10"/>
          <w:rtl/>
        </w:rPr>
        <w:t xml:space="preserve"> </w:t>
      </w:r>
      <w:r>
        <w:rPr>
          <w:rFonts w:ascii="Century" w:hAnsi="Century" w:hint="cs"/>
          <w:b/>
          <w:bCs/>
          <w:spacing w:val="10"/>
          <w:rtl/>
        </w:rPr>
        <w:t>עומר</w:t>
      </w:r>
      <w:r>
        <w:rPr>
          <w:rFonts w:ascii="Century" w:hAnsi="Century" w:hint="cs"/>
          <w:spacing w:val="10"/>
          <w:rtl/>
        </w:rPr>
        <w:t xml:space="preserve"> </w:t>
      </w:r>
      <w:r>
        <w:rPr>
          <w:rFonts w:ascii="Century" w:hAnsi="Century" w:hint="cs"/>
          <w:b/>
          <w:bCs/>
          <w:spacing w:val="10"/>
          <w:rtl/>
        </w:rPr>
        <w:t>וספי נ' מדינת ישראל</w:t>
      </w:r>
      <w:r>
        <w:rPr>
          <w:rFonts w:ascii="Century" w:hAnsi="Century" w:hint="cs"/>
          <w:spacing w:val="10"/>
          <w:rtl/>
        </w:rPr>
        <w:t>, ניתן ביום 6.2.14).</w:t>
      </w:r>
      <w:r w:rsidRPr="006855FE">
        <w:rPr>
          <w:rFonts w:ascii="Calibri" w:hAnsi="Calibri" w:hint="cs"/>
          <w:rtl/>
        </w:rPr>
        <w:t xml:space="preserve"> ברי, כי תלויה היא </w:t>
      </w:r>
      <w:r w:rsidRPr="006855FE">
        <w:rPr>
          <w:rFonts w:ascii="Calibri" w:hAnsi="Calibri" w:hint="cs"/>
          <w:b/>
          <w:bCs/>
          <w:rtl/>
        </w:rPr>
        <w:t xml:space="preserve">בנסיבותיו </w:t>
      </w:r>
      <w:r w:rsidRPr="006855FE">
        <w:rPr>
          <w:rFonts w:ascii="Calibri" w:hAnsi="Calibri" w:hint="cs"/>
          <w:rtl/>
        </w:rPr>
        <w:t xml:space="preserve">של כל מקרה ומקרה.  </w:t>
      </w:r>
    </w:p>
    <w:p w14:paraId="4201883B"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כך למשל, ב</w:t>
      </w:r>
      <w:hyperlink r:id="rId44"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1702/16</w:t>
        </w:r>
      </w:hyperlink>
      <w:r w:rsidRPr="006855FE">
        <w:rPr>
          <w:rFonts w:ascii="Calibri" w:hAnsi="Calibri" w:hint="cs"/>
          <w:rtl/>
        </w:rPr>
        <w:t xml:space="preserve"> </w:t>
      </w:r>
      <w:r w:rsidRPr="006855FE">
        <w:rPr>
          <w:rFonts w:ascii="Calibri" w:hAnsi="Calibri" w:hint="cs"/>
          <w:b/>
          <w:bCs/>
          <w:rtl/>
        </w:rPr>
        <w:t>מדינת ישראל נ' אדי שושני</w:t>
      </w:r>
      <w:r w:rsidRPr="006855FE">
        <w:rPr>
          <w:rFonts w:ascii="Calibri" w:hAnsi="Calibri" w:hint="cs"/>
          <w:rtl/>
        </w:rPr>
        <w:t xml:space="preserve"> (ניתן ביום 17.5.16), </w:t>
      </w:r>
      <w:r>
        <w:rPr>
          <w:rFonts w:ascii="Calibri" w:hAnsi="Calibri" w:hint="cs"/>
          <w:rtl/>
        </w:rPr>
        <w:t xml:space="preserve">הגישה המדינה ערעור על קולת העונש (12 חודשי מאסר לריצוי בפועל, והפעלת עונש מותנה בן 12 חודשי מאסר במצטבר) שהשית בית המשפט המחוזי בירושלים על המשיב, בגין ביצועה של עבירת ניסיון שוד.  בית המשפט העליון קיבל את ערעור המדינה והעמיד את עונשו של המשיב על </w:t>
      </w:r>
      <w:r>
        <w:rPr>
          <w:rFonts w:ascii="Calibri" w:hAnsi="Calibri" w:hint="cs"/>
          <w:b/>
          <w:bCs/>
          <w:rtl/>
        </w:rPr>
        <w:t xml:space="preserve">24 חודשי מאסר בפועל, כך שסך הכל ירצה המשיב 36 חודשי מאסר </w:t>
      </w:r>
      <w:r>
        <w:rPr>
          <w:rFonts w:ascii="Calibri" w:hAnsi="Calibri" w:hint="cs"/>
          <w:rtl/>
        </w:rPr>
        <w:t xml:space="preserve">(הכוללים את 12 החודשים על תנאי שהופעלו במצטבר). </w:t>
      </w:r>
      <w:r>
        <w:rPr>
          <w:rFonts w:ascii="Calibri" w:hAnsi="Calibri" w:hint="cs"/>
          <w:b/>
          <w:bCs/>
          <w:rtl/>
        </w:rPr>
        <w:t xml:space="preserve"> </w:t>
      </w:r>
      <w:r w:rsidRPr="006855FE">
        <w:rPr>
          <w:rFonts w:ascii="Calibri" w:hAnsi="Calibri" w:hint="cs"/>
          <w:rtl/>
          <w:lang w:eastAsia="he-IL"/>
        </w:rPr>
        <w:t xml:space="preserve">במקרה זה המשיב </w:t>
      </w:r>
      <w:r w:rsidRPr="006855FE">
        <w:rPr>
          <w:rFonts w:ascii="Calibri" w:hAnsi="Calibri" w:hint="cs"/>
          <w:rtl/>
        </w:rPr>
        <w:t xml:space="preserve">נכנס לסניף הדואר המרכזי בירושלים כשהוא לבוש מעיל, כובע צמר ומשקפי שמש גדולים שכיסו את מרבית פניו. לאחר מכן, ניגש לדלפק מאחוריו ישבה פקידה, והעביר לה פתק עליו היה רשום: "לכספרית!!! זה שוד מיד למסור את כול הכסף שבדלפק אני חמוש באקדח ולא יהסס לפרק לך את המוח מול הלקוחות [...]". בתגובה, הפקידה לחצה על לחצן המצוקה וצעקה "זה שוד", ועובדי המקום חשו לכיוונה ועיכבו את המשיב עד להגעת המשטרה לשם. </w:t>
      </w:r>
    </w:p>
    <w:p w14:paraId="4FD42017"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ראו בנוסף מקרים דומים ב- </w:t>
      </w:r>
      <w:hyperlink r:id="rId45"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606/13</w:t>
        </w:r>
      </w:hyperlink>
      <w:r w:rsidRPr="006855FE">
        <w:rPr>
          <w:rFonts w:ascii="Calibri" w:hAnsi="Calibri" w:hint="cs"/>
          <w:rtl/>
        </w:rPr>
        <w:t xml:space="preserve"> </w:t>
      </w:r>
      <w:r w:rsidRPr="006855FE">
        <w:rPr>
          <w:rFonts w:ascii="Calibri" w:hAnsi="Calibri" w:hint="cs"/>
          <w:b/>
          <w:bCs/>
          <w:rtl/>
        </w:rPr>
        <w:t xml:space="preserve">חכמון נ' מדינת ישראל </w:t>
      </w:r>
      <w:r w:rsidRPr="006855FE">
        <w:rPr>
          <w:rFonts w:ascii="Calibri" w:hAnsi="Calibri" w:hint="cs"/>
          <w:rtl/>
        </w:rPr>
        <w:t xml:space="preserve">(ניתן ביום 11.12.13) בו הושתו על הנאשם 24 חודשי מאסר לריצוי בפועל; </w:t>
      </w:r>
      <w:hyperlink r:id="rId46"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2678/12</w:t>
        </w:r>
      </w:hyperlink>
      <w:r w:rsidRPr="006855FE">
        <w:rPr>
          <w:rFonts w:ascii="Calibri" w:hAnsi="Calibri" w:hint="cs"/>
          <w:rtl/>
        </w:rPr>
        <w:t xml:space="preserve"> </w:t>
      </w:r>
      <w:r w:rsidRPr="006855FE">
        <w:rPr>
          <w:rFonts w:ascii="Calibri" w:hAnsi="Calibri" w:hint="cs"/>
          <w:b/>
          <w:bCs/>
          <w:rtl/>
        </w:rPr>
        <w:t xml:space="preserve">סלאמה אבו כף נ' מדינת ישראל </w:t>
      </w:r>
      <w:r w:rsidRPr="006855FE">
        <w:rPr>
          <w:rFonts w:ascii="Calibri" w:hAnsi="Calibri" w:hint="cs"/>
          <w:rtl/>
        </w:rPr>
        <w:t>(ניתן ביום 5.4.12) בו הושתו על הנאשם 36 חודשי מאסר לריצוי בפועל והפעלת מאסר מותנה ו</w:t>
      </w:r>
      <w:hyperlink r:id="rId47" w:history="1">
        <w:r w:rsidR="004E093A" w:rsidRPr="004E093A">
          <w:rPr>
            <w:rFonts w:ascii="Calibri" w:hAnsi="Calibri" w:hint="eastAsia"/>
            <w:color w:val="0000FF"/>
            <w:u w:val="single"/>
            <w:rtl/>
          </w:rPr>
          <w:t>ע</w:t>
        </w:r>
        <w:r w:rsidR="004E093A" w:rsidRPr="004E093A">
          <w:rPr>
            <w:rFonts w:ascii="Calibri" w:hAnsi="Calibri"/>
            <w:color w:val="0000FF"/>
            <w:u w:val="single"/>
            <w:rtl/>
          </w:rPr>
          <w:t>"</w:t>
        </w:r>
        <w:r w:rsidR="004E093A" w:rsidRPr="004E093A">
          <w:rPr>
            <w:rFonts w:ascii="Calibri" w:hAnsi="Calibri" w:hint="eastAsia"/>
            <w:color w:val="0000FF"/>
            <w:u w:val="single"/>
            <w:rtl/>
          </w:rPr>
          <w:t>פ</w:t>
        </w:r>
        <w:r w:rsidR="004E093A" w:rsidRPr="004E093A">
          <w:rPr>
            <w:rFonts w:ascii="Calibri" w:hAnsi="Calibri"/>
            <w:color w:val="0000FF"/>
            <w:u w:val="single"/>
            <w:rtl/>
          </w:rPr>
          <w:t xml:space="preserve"> 9872/08</w:t>
        </w:r>
      </w:hyperlink>
      <w:r w:rsidRPr="006855FE">
        <w:rPr>
          <w:rFonts w:ascii="Calibri" w:hAnsi="Calibri" w:hint="cs"/>
          <w:rtl/>
        </w:rPr>
        <w:t xml:space="preserve"> </w:t>
      </w:r>
      <w:r w:rsidRPr="006855FE">
        <w:rPr>
          <w:rFonts w:ascii="Calibri" w:hAnsi="Calibri" w:hint="cs"/>
          <w:b/>
          <w:bCs/>
          <w:rtl/>
        </w:rPr>
        <w:t xml:space="preserve">רפאל עמרם לחמני נ' מדינת ישראל </w:t>
      </w:r>
      <w:r w:rsidRPr="006855FE">
        <w:rPr>
          <w:rFonts w:ascii="Calibri" w:hAnsi="Calibri" w:hint="cs"/>
          <w:rtl/>
        </w:rPr>
        <w:t>(ניתן ביום 7.9.09) בו</w:t>
      </w:r>
      <w:r w:rsidRPr="006855FE">
        <w:rPr>
          <w:rFonts w:ascii="Calibri" w:hAnsi="Calibri" w:hint="cs"/>
          <w:b/>
          <w:bCs/>
          <w:rtl/>
        </w:rPr>
        <w:t xml:space="preserve"> </w:t>
      </w:r>
      <w:r w:rsidRPr="006855FE">
        <w:rPr>
          <w:rFonts w:ascii="Calibri" w:hAnsi="Calibri" w:hint="cs"/>
          <w:rtl/>
        </w:rPr>
        <w:t xml:space="preserve">הושת על הנאשם 40 חודשי מאסר לריצוי בפועל, בגין ביצוען של שתי עבירות שוד.  </w:t>
      </w:r>
      <w:r w:rsidRPr="006855FE">
        <w:rPr>
          <w:rFonts w:ascii="Calibri" w:hAnsi="Calibri" w:hint="cs"/>
          <w:b/>
          <w:bCs/>
          <w:rtl/>
        </w:rPr>
        <w:t xml:space="preserve"> </w:t>
      </w:r>
    </w:p>
    <w:p w14:paraId="17DFF856"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אין כל ספק כי המקרה של הנאשם שלפניי ניחן ברף </w:t>
      </w:r>
      <w:r w:rsidRPr="006855FE">
        <w:rPr>
          <w:rFonts w:ascii="Calibri" w:hAnsi="Calibri" w:hint="cs"/>
          <w:b/>
          <w:bCs/>
          <w:rtl/>
        </w:rPr>
        <w:t>חומרה גבוה יותר</w:t>
      </w:r>
      <w:r w:rsidRPr="006855FE">
        <w:rPr>
          <w:rFonts w:ascii="Calibri" w:hAnsi="Calibri" w:hint="cs"/>
          <w:rtl/>
        </w:rPr>
        <w:t xml:space="preserve"> מן המקרים המתוארים לעיל. הנאשם עשה שימוש </w:t>
      </w:r>
      <w:r w:rsidRPr="006855FE">
        <w:rPr>
          <w:rFonts w:ascii="Calibri" w:hAnsi="Calibri" w:hint="cs"/>
          <w:b/>
          <w:bCs/>
          <w:rtl/>
        </w:rPr>
        <w:t>בכלי הנחזה לנשק חם,</w:t>
      </w:r>
      <w:r w:rsidRPr="006855FE">
        <w:rPr>
          <w:rFonts w:ascii="Calibri" w:hAnsi="Calibri" w:hint="cs"/>
          <w:rtl/>
        </w:rPr>
        <w:t xml:space="preserve"> נתון שיש בו כאמור פוטנציאל להסלמה ממשית, כמו כן, עשה שימוש בכלי רכב ללא רשות בעליו. במובן זה, עונשו ראוי שיהיה חמור יותר.</w:t>
      </w:r>
    </w:p>
    <w:p w14:paraId="0646B6E4"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בבחינת הנסיבות הקשורות בביצוע העבירה (</w:t>
      </w:r>
      <w:hyperlink r:id="rId48"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40</w:t>
        </w:r>
        <w:r w:rsidR="00C65097" w:rsidRPr="00C65097">
          <w:rPr>
            <w:rFonts w:ascii="Calibri" w:hAnsi="Calibri" w:hint="eastAsia"/>
            <w:color w:val="0000FF"/>
            <w:u w:val="single"/>
            <w:rtl/>
          </w:rPr>
          <w:t>ט</w:t>
        </w:r>
      </w:hyperlink>
      <w:r w:rsidRPr="006855FE">
        <w:rPr>
          <w:rFonts w:ascii="Calibri" w:hAnsi="Calibri" w:hint="cs"/>
          <w:rtl/>
        </w:rPr>
        <w:t xml:space="preserve"> לחוק) ראוי לציין כי מעשיו של הנאשם היו </w:t>
      </w:r>
      <w:r w:rsidRPr="006855FE">
        <w:rPr>
          <w:rFonts w:ascii="Calibri" w:hAnsi="Calibri" w:hint="cs"/>
          <w:b/>
          <w:bCs/>
          <w:rtl/>
        </w:rPr>
        <w:t>מתוכננים;</w:t>
      </w:r>
      <w:r w:rsidRPr="006855FE">
        <w:rPr>
          <w:rFonts w:ascii="Calibri" w:hAnsi="Calibri" w:hint="cs"/>
          <w:rtl/>
        </w:rPr>
        <w:t xml:space="preserve"> הנאשם הוא העבריין הבלעדי באירוע; </w:t>
      </w:r>
      <w:r w:rsidRPr="006855FE">
        <w:rPr>
          <w:rFonts w:ascii="Calibri" w:hAnsi="Calibri" w:hint="cs"/>
          <w:b/>
          <w:bCs/>
          <w:rtl/>
        </w:rPr>
        <w:t>הנזק,</w:t>
      </w:r>
      <w:r w:rsidRPr="006855FE">
        <w:rPr>
          <w:rFonts w:ascii="Calibri" w:hAnsi="Calibri" w:hint="cs"/>
          <w:rtl/>
        </w:rPr>
        <w:t xml:space="preserve"> אשר נגרם מביצוע העבירה כולל נזק רכושי אך גם נזק לא-רכושי. המעשים גרמו טראומה לשורה של קרבנות, ולדידי עלול היה להיגרם נזק חמור עוד יותר. הדברים ידועים ואינם צריכים הרחבה. כשאלו הם פני הדברים  מתחייבת ענישה הולמת שתביא לידי ביטוי את שאט נפשו של הציבור מפעילות עבריינית המתרחשת במרחב הציבורי. </w:t>
      </w:r>
    </w:p>
    <w:p w14:paraId="61E2EC6B"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כמו כן, ראוי שבענישה יתקיים </w:t>
      </w:r>
      <w:r w:rsidRPr="006855FE">
        <w:rPr>
          <w:rFonts w:ascii="Calibri" w:hAnsi="Calibri" w:hint="cs"/>
          <w:b/>
          <w:bCs/>
          <w:rtl/>
        </w:rPr>
        <w:t>מסר הרתעתי</w:t>
      </w:r>
      <w:r w:rsidRPr="006855FE">
        <w:rPr>
          <w:rFonts w:ascii="Calibri" w:hAnsi="Calibri" w:hint="cs"/>
          <w:rtl/>
        </w:rPr>
        <w:t xml:space="preserve"> לעבריינים פוטנציאליים המהרהרים בביצוען של עבירות עתידיות (</w:t>
      </w:r>
      <w:hyperlink r:id="rId49" w:history="1">
        <w:r w:rsidR="00C65097" w:rsidRPr="00C65097">
          <w:rPr>
            <w:rFonts w:ascii="Calibri" w:hAnsi="Calibri" w:hint="eastAsia"/>
            <w:color w:val="0000FF"/>
            <w:u w:val="single"/>
            <w:rtl/>
          </w:rPr>
          <w:t>סעיף</w:t>
        </w:r>
        <w:r w:rsidR="00C65097" w:rsidRPr="00C65097">
          <w:rPr>
            <w:rFonts w:ascii="Calibri" w:hAnsi="Calibri"/>
            <w:color w:val="0000FF"/>
            <w:u w:val="single"/>
            <w:rtl/>
          </w:rPr>
          <w:t xml:space="preserve"> 40</w:t>
        </w:r>
        <w:r w:rsidR="00C65097" w:rsidRPr="00C65097">
          <w:rPr>
            <w:rFonts w:ascii="Calibri" w:hAnsi="Calibri" w:hint="eastAsia"/>
            <w:color w:val="0000FF"/>
            <w:u w:val="single"/>
            <w:rtl/>
          </w:rPr>
          <w:t>ז</w:t>
        </w:r>
      </w:hyperlink>
      <w:r w:rsidRPr="006855FE">
        <w:rPr>
          <w:rFonts w:ascii="Calibri" w:hAnsi="Calibri" w:hint="cs"/>
          <w:rtl/>
        </w:rPr>
        <w:t xml:space="preserve"> ל</w:t>
      </w:r>
      <w:hyperlink r:id="rId50"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 xml:space="preserve">). </w:t>
      </w:r>
    </w:p>
    <w:p w14:paraId="5994A96C"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לסיכום, בראי הערכים החברתיים אשר נפגעו כתוצאה ממעשיו של הנאשם ומידת הפגיעה בהם, במדיניות הענישה הנוהגת בכגון דא, כפי שפירטתי לעיל והנסיבות הקשורות בביצוע העבירה, מצאתי כי מתחם הענישה ההולם את העבירות שבביצוען הורשע הנאשם נע בין </w:t>
      </w:r>
      <w:r w:rsidRPr="006855FE">
        <w:rPr>
          <w:rFonts w:ascii="Calibri" w:hAnsi="Calibri" w:hint="cs"/>
          <w:b/>
          <w:bCs/>
          <w:rtl/>
        </w:rPr>
        <w:t>שנתיים ומחצה לבין חמש שנות מאסר</w:t>
      </w:r>
      <w:r w:rsidRPr="006855FE">
        <w:rPr>
          <w:rFonts w:ascii="Calibri" w:hAnsi="Calibri" w:hint="cs"/>
          <w:rtl/>
        </w:rPr>
        <w:t xml:space="preserve">, לצד עונשים נוספים, נלווים. </w:t>
      </w:r>
    </w:p>
    <w:p w14:paraId="37348B4C"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הנאשם נטל אחריות על מעשיו; </w:t>
      </w:r>
      <w:r w:rsidRPr="006855FE">
        <w:rPr>
          <w:rFonts w:ascii="Calibri" w:hAnsi="Calibri" w:hint="cs"/>
          <w:b/>
          <w:bCs/>
          <w:rtl/>
        </w:rPr>
        <w:t>הוא הודה באשמה</w:t>
      </w:r>
      <w:r w:rsidRPr="006855FE">
        <w:rPr>
          <w:rFonts w:ascii="Calibri" w:hAnsi="Calibri" w:hint="cs"/>
          <w:rtl/>
        </w:rPr>
        <w:t xml:space="preserve"> מיד לאחר תיקון כתב-האישום; </w:t>
      </w:r>
      <w:r w:rsidRPr="006855FE">
        <w:rPr>
          <w:rFonts w:ascii="Calibri" w:hAnsi="Calibri" w:hint="cs"/>
          <w:b/>
          <w:bCs/>
          <w:rtl/>
        </w:rPr>
        <w:t>לחובתו של הנאשם עבר פלילי</w:t>
      </w:r>
      <w:r w:rsidRPr="006855FE">
        <w:rPr>
          <w:rFonts w:ascii="Calibri" w:hAnsi="Calibri" w:hint="cs"/>
          <w:rtl/>
        </w:rPr>
        <w:t xml:space="preserve"> כמצוין לעיל.  </w:t>
      </w:r>
    </w:p>
    <w:p w14:paraId="75D0AE22"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כעת עליי לבחון האם קיים </w:t>
      </w:r>
      <w:r w:rsidRPr="006855FE">
        <w:rPr>
          <w:rFonts w:ascii="Calibri" w:hAnsi="Calibri" w:hint="cs"/>
          <w:b/>
          <w:bCs/>
          <w:rtl/>
        </w:rPr>
        <w:t>פער קיצוני</w:t>
      </w:r>
      <w:r w:rsidRPr="006855FE">
        <w:rPr>
          <w:rFonts w:ascii="Calibri" w:hAnsi="Calibri" w:hint="cs"/>
          <w:rtl/>
        </w:rPr>
        <w:t xml:space="preserve"> בין העונש המוצע בהסדר הטיעון, לבין העונש שראוי היה להיות מוטל על הנאשם בתוככי המתחם, בגין העבירות שבהן הורשע אלמלא הסדר הטיעון.</w:t>
      </w:r>
    </w:p>
    <w:p w14:paraId="61B55226"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 xml:space="preserve">לאחר שקילת מכלול השיקולים המפורטים לעיל, באתי לדעה, כי העונש המוצע במסגרת הסדר הטיעון איננו חורג ממתחם הענישה הראוי למקרים כגון דא. העונש המוצע מצוי סמוך לרף התחתון של מתחם הענישה הנהוג במקרים דומים; יחד עם זאת שיקולי התביעה להיקשר בהסדר דלעיל, פורטו לפניי, ולתפיסתי מצדיקים הם הקלה מסוימת בעונש.  </w:t>
      </w:r>
    </w:p>
    <w:p w14:paraId="041D6921" w14:textId="77777777" w:rsidR="00351C6E" w:rsidRPr="006855FE" w:rsidRDefault="00351C6E" w:rsidP="00351C6E">
      <w:pPr>
        <w:spacing w:after="160" w:line="360" w:lineRule="auto"/>
        <w:jc w:val="both"/>
        <w:rPr>
          <w:rFonts w:ascii="Calibri" w:hAnsi="Calibri"/>
          <w:rtl/>
        </w:rPr>
      </w:pPr>
      <w:r w:rsidRPr="006855FE">
        <w:rPr>
          <w:rFonts w:ascii="Calibri" w:hAnsi="Calibri" w:hint="cs"/>
          <w:rtl/>
        </w:rPr>
        <w:t>לאור כל האמור לעיל, מצאתי לנכון לאמץ את הסדר הטיעון ולהטיל על הנאשם</w:t>
      </w:r>
      <w:r w:rsidRPr="006855FE">
        <w:rPr>
          <w:rFonts w:ascii="Calibri" w:hAnsi="Calibri" w:hint="cs"/>
          <w:b/>
          <w:bCs/>
          <w:rtl/>
        </w:rPr>
        <w:t xml:space="preserve"> 54 חודשי מאסר, שמתוכם יהיו 34 חודשים לריצוי בפועל  מיום מעצרו, ה – 7 מרץ 2016 </w:t>
      </w:r>
      <w:r w:rsidRPr="006855FE">
        <w:rPr>
          <w:rFonts w:ascii="Calibri" w:hAnsi="Calibri" w:hint="cs"/>
          <w:rtl/>
        </w:rPr>
        <w:t xml:space="preserve">והיתרה תהא על-תנאי שלא יעבור במשך 3 שנים עבירות לפי </w:t>
      </w:r>
      <w:hyperlink r:id="rId51" w:history="1">
        <w:r w:rsidR="00C65097" w:rsidRPr="00C65097">
          <w:rPr>
            <w:rFonts w:ascii="Calibri" w:hAnsi="Calibri" w:hint="eastAsia"/>
            <w:color w:val="0000FF"/>
            <w:u w:val="single"/>
            <w:rtl/>
          </w:rPr>
          <w:t>פרק</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יא</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סימן</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א</w:t>
        </w:r>
        <w:r w:rsidR="00C65097" w:rsidRPr="00C65097">
          <w:rPr>
            <w:rFonts w:ascii="Calibri" w:hAnsi="Calibri"/>
            <w:color w:val="0000FF"/>
            <w:u w:val="single"/>
            <w:rtl/>
          </w:rPr>
          <w:t>'</w:t>
        </w:r>
      </w:hyperlink>
      <w:r w:rsidRPr="006855FE">
        <w:rPr>
          <w:rFonts w:ascii="Calibri" w:hAnsi="Calibri" w:hint="cs"/>
          <w:rtl/>
        </w:rPr>
        <w:t xml:space="preserve">, </w:t>
      </w:r>
      <w:hyperlink r:id="rId52" w:history="1">
        <w:r w:rsidR="00C65097" w:rsidRPr="00C65097">
          <w:rPr>
            <w:rFonts w:ascii="Calibri" w:hAnsi="Calibri" w:hint="eastAsia"/>
            <w:color w:val="0000FF"/>
            <w:u w:val="single"/>
            <w:rtl/>
          </w:rPr>
          <w:t>סימן</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ג</w:t>
        </w:r>
        <w:r w:rsidR="00C65097" w:rsidRPr="00C65097">
          <w:rPr>
            <w:rFonts w:ascii="Calibri" w:hAnsi="Calibri"/>
            <w:color w:val="0000FF"/>
            <w:u w:val="single"/>
            <w:rtl/>
          </w:rPr>
          <w:t>'</w:t>
        </w:r>
      </w:hyperlink>
      <w:r w:rsidRPr="006855FE">
        <w:rPr>
          <w:rFonts w:ascii="Calibri" w:hAnsi="Calibri" w:hint="cs"/>
          <w:rtl/>
        </w:rPr>
        <w:t xml:space="preserve">, </w:t>
      </w:r>
      <w:hyperlink r:id="rId53" w:history="1">
        <w:r w:rsidR="00C65097" w:rsidRPr="00C65097">
          <w:rPr>
            <w:rFonts w:ascii="Calibri" w:hAnsi="Calibri" w:hint="eastAsia"/>
            <w:color w:val="0000FF"/>
            <w:u w:val="single"/>
            <w:rtl/>
          </w:rPr>
          <w:t>סימן</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ד</w:t>
        </w:r>
        <w:r w:rsidR="00C65097" w:rsidRPr="00C65097">
          <w:rPr>
            <w:rFonts w:ascii="Calibri" w:hAnsi="Calibri"/>
            <w:color w:val="0000FF"/>
            <w:u w:val="single"/>
            <w:rtl/>
          </w:rPr>
          <w:t>'</w:t>
        </w:r>
      </w:hyperlink>
      <w:r w:rsidRPr="006855FE">
        <w:rPr>
          <w:rFonts w:ascii="Calibri" w:hAnsi="Calibri" w:hint="cs"/>
          <w:rtl/>
        </w:rPr>
        <w:t xml:space="preserve"> </w:t>
      </w:r>
      <w:hyperlink r:id="rId54" w:history="1">
        <w:r w:rsidR="00C65097" w:rsidRPr="00C65097">
          <w:rPr>
            <w:rFonts w:ascii="Calibri" w:hAnsi="Calibri" w:hint="eastAsia"/>
            <w:color w:val="0000FF"/>
            <w:u w:val="single"/>
            <w:rtl/>
          </w:rPr>
          <w:t>וסימן</w:t>
        </w:r>
        <w:r w:rsidR="00C65097" w:rsidRPr="00C65097">
          <w:rPr>
            <w:rFonts w:ascii="Calibri" w:hAnsi="Calibri"/>
            <w:color w:val="0000FF"/>
            <w:u w:val="single"/>
            <w:rtl/>
          </w:rPr>
          <w:t xml:space="preserve"> </w:t>
        </w:r>
        <w:r w:rsidR="00C65097" w:rsidRPr="00C65097">
          <w:rPr>
            <w:rFonts w:ascii="Calibri" w:hAnsi="Calibri" w:hint="eastAsia"/>
            <w:color w:val="0000FF"/>
            <w:u w:val="single"/>
            <w:rtl/>
          </w:rPr>
          <w:t>ה</w:t>
        </w:r>
        <w:r w:rsidR="00C65097" w:rsidRPr="00C65097">
          <w:rPr>
            <w:rFonts w:ascii="Calibri" w:hAnsi="Calibri"/>
            <w:color w:val="0000FF"/>
            <w:u w:val="single"/>
            <w:rtl/>
          </w:rPr>
          <w:t>'1</w:t>
        </w:r>
      </w:hyperlink>
      <w:r w:rsidRPr="006855FE">
        <w:rPr>
          <w:rFonts w:ascii="Calibri" w:hAnsi="Calibri" w:hint="cs"/>
          <w:rtl/>
        </w:rPr>
        <w:t xml:space="preserve"> ל</w:t>
      </w:r>
      <w:hyperlink r:id="rId55" w:history="1">
        <w:r w:rsidR="004E093A" w:rsidRPr="004E093A">
          <w:rPr>
            <w:rFonts w:ascii="Calibri" w:hAnsi="Calibri" w:hint="eastAsia"/>
            <w:color w:val="0000FF"/>
            <w:u w:val="single"/>
            <w:rtl/>
          </w:rPr>
          <w:t>חוק</w:t>
        </w:r>
        <w:r w:rsidR="004E093A" w:rsidRPr="004E093A">
          <w:rPr>
            <w:rFonts w:ascii="Calibri" w:hAnsi="Calibri"/>
            <w:color w:val="0000FF"/>
            <w:u w:val="single"/>
            <w:rtl/>
          </w:rPr>
          <w:t xml:space="preserve"> </w:t>
        </w:r>
        <w:r w:rsidR="004E093A" w:rsidRPr="004E093A">
          <w:rPr>
            <w:rFonts w:ascii="Calibri" w:hAnsi="Calibri" w:hint="eastAsia"/>
            <w:color w:val="0000FF"/>
            <w:u w:val="single"/>
            <w:rtl/>
          </w:rPr>
          <w:t>העונשין</w:t>
        </w:r>
      </w:hyperlink>
      <w:r w:rsidRPr="006855FE">
        <w:rPr>
          <w:rFonts w:ascii="Calibri" w:hAnsi="Calibri" w:hint="cs"/>
          <w:rtl/>
        </w:rPr>
        <w:t>.</w:t>
      </w:r>
    </w:p>
    <w:p w14:paraId="7756CAFC" w14:textId="77777777" w:rsidR="00351C6E" w:rsidRPr="006855FE" w:rsidRDefault="00351C6E" w:rsidP="00351C6E">
      <w:pPr>
        <w:spacing w:after="160" w:line="360" w:lineRule="auto"/>
        <w:jc w:val="both"/>
        <w:rPr>
          <w:rFonts w:ascii="Calibri" w:hAnsi="Calibri"/>
          <w:b/>
          <w:bCs/>
          <w:rtl/>
        </w:rPr>
      </w:pPr>
      <w:r w:rsidRPr="006855FE">
        <w:rPr>
          <w:rFonts w:ascii="Calibri" w:hAnsi="Calibri" w:hint="cs"/>
          <w:rtl/>
        </w:rPr>
        <w:t xml:space="preserve">כמו כן, אני מחייב את הנאשם לפצות כל אחד משני המתלוננים בתיק זה בסך של 5,000 ₪. </w:t>
      </w:r>
    </w:p>
    <w:p w14:paraId="57B627FF" w14:textId="77777777" w:rsidR="00351C6E" w:rsidRPr="006855FE" w:rsidRDefault="00351C6E" w:rsidP="00351C6E">
      <w:pPr>
        <w:rPr>
          <w:rFonts w:ascii="Calibri" w:hAnsi="Calibri"/>
          <w:b/>
          <w:bCs/>
          <w:rtl/>
        </w:rPr>
      </w:pPr>
    </w:p>
    <w:p w14:paraId="0229449F" w14:textId="77777777" w:rsidR="00351C6E" w:rsidRDefault="00351C6E" w:rsidP="00351C6E">
      <w:pPr>
        <w:rPr>
          <w:rFonts w:ascii="Arial" w:hAnsi="Arial"/>
          <w:rtl/>
        </w:rPr>
      </w:pPr>
      <w:r w:rsidRPr="006855FE">
        <w:rPr>
          <w:rFonts w:ascii="Calibri" w:hAnsi="Calibri" w:hint="cs"/>
          <w:b/>
          <w:bCs/>
          <w:rtl/>
        </w:rPr>
        <w:t xml:space="preserve">זכות ערעור כחוק.  </w:t>
      </w:r>
    </w:p>
    <w:p w14:paraId="043A3938" w14:textId="77777777" w:rsidR="00351C6E" w:rsidRDefault="00351C6E" w:rsidP="00351C6E">
      <w:pPr>
        <w:rPr>
          <w:rtl/>
        </w:rPr>
      </w:pPr>
    </w:p>
    <w:p w14:paraId="48B1C853" w14:textId="77777777" w:rsidR="00351C6E" w:rsidRPr="004E093A" w:rsidRDefault="004E093A" w:rsidP="00351C6E">
      <w:pPr>
        <w:rPr>
          <w:color w:val="FFFFFF"/>
          <w:sz w:val="2"/>
          <w:szCs w:val="2"/>
          <w:rtl/>
        </w:rPr>
      </w:pPr>
      <w:r w:rsidRPr="004E093A">
        <w:rPr>
          <w:color w:val="FFFFFF"/>
          <w:sz w:val="2"/>
          <w:szCs w:val="2"/>
          <w:rtl/>
        </w:rPr>
        <w:t>5129371</w:t>
      </w:r>
    </w:p>
    <w:p w14:paraId="675F04B6" w14:textId="77777777" w:rsidR="00351C6E" w:rsidRDefault="004E093A" w:rsidP="00351C6E">
      <w:pPr>
        <w:rPr>
          <w:rFonts w:cs="FrankRuehl"/>
          <w:sz w:val="28"/>
          <w:szCs w:val="28"/>
          <w:rtl/>
        </w:rPr>
      </w:pPr>
      <w:r w:rsidRPr="004E093A">
        <w:rPr>
          <w:rFonts w:ascii="Arial" w:hAnsi="Arial"/>
          <w:color w:val="FFFFFF"/>
          <w:sz w:val="2"/>
          <w:szCs w:val="2"/>
          <w:rtl/>
        </w:rPr>
        <w:t>54678313</w:t>
      </w:r>
      <w:r>
        <w:rPr>
          <w:rFonts w:ascii="Arial" w:hAnsi="Arial"/>
          <w:rtl/>
        </w:rPr>
        <w:t xml:space="preserve">ניתן היום,  כ"ג סיוון תשע"ו, 29 יוני 2016 בנוכחות הצדדים. </w:t>
      </w:r>
    </w:p>
    <w:p w14:paraId="4344B29A" w14:textId="77777777" w:rsidR="00351C6E" w:rsidRDefault="00351C6E" w:rsidP="00351C6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849AC8" w14:textId="77777777" w:rsidR="00351C6E" w:rsidRDefault="00351C6E" w:rsidP="00351C6E">
      <w:pPr>
        <w:jc w:val="center"/>
        <w:rPr>
          <w:rFonts w:ascii="Arial" w:hAnsi="Arial" w:cs="FrankRuehl"/>
          <w:sz w:val="28"/>
          <w:szCs w:val="28"/>
          <w:rtl/>
        </w:rPr>
      </w:pPr>
    </w:p>
    <w:p w14:paraId="2332C685" w14:textId="77777777" w:rsidR="00351C6E" w:rsidRDefault="00351C6E" w:rsidP="00351C6E">
      <w:pPr>
        <w:rPr>
          <w:rFonts w:cs="FrankRuehl"/>
          <w:sz w:val="28"/>
          <w:szCs w:val="28"/>
          <w:rtl/>
        </w:rPr>
      </w:pPr>
    </w:p>
    <w:p w14:paraId="6DF6AA50" w14:textId="77777777" w:rsidR="00351C6E" w:rsidRDefault="00351C6E" w:rsidP="00351C6E">
      <w:pPr>
        <w:pStyle w:val="a3"/>
        <w:jc w:val="center"/>
        <w:rPr>
          <w:rtl/>
        </w:rPr>
      </w:pPr>
    </w:p>
    <w:p w14:paraId="2AF0C2A3" w14:textId="77777777" w:rsidR="004E093A" w:rsidRPr="004E093A" w:rsidRDefault="004E093A" w:rsidP="004E093A">
      <w:pPr>
        <w:keepNext/>
        <w:rPr>
          <w:rFonts w:ascii="David" w:hAnsi="David"/>
          <w:color w:val="000000"/>
          <w:sz w:val="22"/>
          <w:szCs w:val="22"/>
          <w:rtl/>
        </w:rPr>
      </w:pPr>
    </w:p>
    <w:p w14:paraId="7167BF8D" w14:textId="77777777" w:rsidR="004E093A" w:rsidRPr="004E093A" w:rsidRDefault="004E093A" w:rsidP="004E093A">
      <w:pPr>
        <w:keepNext/>
        <w:rPr>
          <w:rFonts w:ascii="David" w:hAnsi="David"/>
          <w:color w:val="000000"/>
          <w:sz w:val="22"/>
          <w:szCs w:val="22"/>
          <w:rtl/>
        </w:rPr>
      </w:pPr>
      <w:r w:rsidRPr="004E093A">
        <w:rPr>
          <w:rFonts w:ascii="David" w:hAnsi="David"/>
          <w:color w:val="000000"/>
          <w:sz w:val="22"/>
          <w:szCs w:val="22"/>
          <w:rtl/>
        </w:rPr>
        <w:t>אבי לוי 54678313</w:t>
      </w:r>
    </w:p>
    <w:p w14:paraId="342C8A58" w14:textId="77777777" w:rsidR="004E093A" w:rsidRDefault="004E093A" w:rsidP="004E093A">
      <w:r w:rsidRPr="004E093A">
        <w:rPr>
          <w:color w:val="000000"/>
          <w:rtl/>
        </w:rPr>
        <w:t>נוסח מסמך זה כפוף לשינויי ניסוח ועריכה</w:t>
      </w:r>
    </w:p>
    <w:p w14:paraId="2BC43134" w14:textId="77777777" w:rsidR="004E093A" w:rsidRDefault="004E093A" w:rsidP="004E093A">
      <w:pPr>
        <w:rPr>
          <w:rtl/>
        </w:rPr>
      </w:pPr>
    </w:p>
    <w:p w14:paraId="20A06C90" w14:textId="77777777" w:rsidR="004E093A" w:rsidRDefault="004E093A" w:rsidP="004E093A">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r w:rsidR="007E40CD">
        <w:rPr>
          <w:rFonts w:hint="cs"/>
          <w:color w:val="0000FF"/>
          <w:u w:val="single"/>
          <w:rtl/>
        </w:rPr>
        <w:t xml:space="preserve"> </w:t>
      </w:r>
    </w:p>
    <w:p w14:paraId="45718D87" w14:textId="77777777" w:rsidR="00B1215F" w:rsidRPr="004E093A" w:rsidRDefault="00B1215F" w:rsidP="004E093A">
      <w:pPr>
        <w:jc w:val="center"/>
        <w:rPr>
          <w:color w:val="0000FF"/>
          <w:u w:val="single"/>
        </w:rPr>
      </w:pPr>
    </w:p>
    <w:sectPr w:rsidR="00B1215F" w:rsidRPr="004E093A" w:rsidSect="004E093A">
      <w:headerReference w:type="even" r:id="rId57"/>
      <w:headerReference w:type="default" r:id="rId58"/>
      <w:footerReference w:type="even" r:id="rId59"/>
      <w:footerReference w:type="default" r:id="rId60"/>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56ED4" w14:textId="77777777" w:rsidR="005A0C5B" w:rsidRDefault="005A0C5B">
      <w:r>
        <w:separator/>
      </w:r>
    </w:p>
  </w:endnote>
  <w:endnote w:type="continuationSeparator" w:id="0">
    <w:p w14:paraId="154976EC" w14:textId="77777777" w:rsidR="005A0C5B" w:rsidRDefault="005A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5B487" w14:textId="77777777" w:rsidR="0031220D" w:rsidRDefault="0031220D" w:rsidP="004E09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AB5AC4" w14:textId="77777777" w:rsidR="0031220D" w:rsidRPr="004E093A" w:rsidRDefault="0031220D" w:rsidP="004E093A">
    <w:pPr>
      <w:pStyle w:val="a5"/>
      <w:pBdr>
        <w:top w:val="single" w:sz="4" w:space="1" w:color="auto"/>
        <w:between w:val="single" w:sz="4" w:space="0" w:color="auto"/>
      </w:pBdr>
      <w:spacing w:after="60"/>
      <w:jc w:val="center"/>
      <w:rPr>
        <w:rFonts w:ascii="FrankRuehl" w:hAnsi="FrankRuehl" w:cs="FrankRuehl"/>
        <w:color w:val="000000"/>
      </w:rPr>
    </w:pPr>
    <w:r w:rsidRPr="004E09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0846" w14:textId="77777777" w:rsidR="0031220D" w:rsidRDefault="0031220D" w:rsidP="004E09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6621">
      <w:rPr>
        <w:rFonts w:ascii="FrankRuehl" w:hAnsi="FrankRuehl" w:cs="FrankRuehl"/>
        <w:noProof/>
        <w:rtl/>
      </w:rPr>
      <w:t>2</w:t>
    </w:r>
    <w:r>
      <w:rPr>
        <w:rFonts w:ascii="FrankRuehl" w:hAnsi="FrankRuehl" w:cs="FrankRuehl"/>
        <w:rtl/>
      </w:rPr>
      <w:fldChar w:fldCharType="end"/>
    </w:r>
  </w:p>
  <w:p w14:paraId="5C6741F7" w14:textId="77777777" w:rsidR="0031220D" w:rsidRPr="004E093A" w:rsidRDefault="0031220D" w:rsidP="004E093A">
    <w:pPr>
      <w:pStyle w:val="a5"/>
      <w:pBdr>
        <w:top w:val="single" w:sz="4" w:space="1" w:color="auto"/>
        <w:between w:val="single" w:sz="4" w:space="0" w:color="auto"/>
      </w:pBdr>
      <w:spacing w:after="60"/>
      <w:jc w:val="center"/>
      <w:rPr>
        <w:rFonts w:ascii="FrankRuehl" w:hAnsi="FrankRuehl" w:cs="FrankRuehl"/>
        <w:color w:val="000000"/>
      </w:rPr>
    </w:pPr>
    <w:r w:rsidRPr="004E093A">
      <w:rPr>
        <w:rFonts w:ascii="FrankRuehl" w:hAnsi="FrankRuehl" w:cs="FrankRuehl"/>
        <w:color w:val="000000"/>
      </w:rPr>
      <w:pict w14:anchorId="2639A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8EE42" w14:textId="77777777" w:rsidR="005A0C5B" w:rsidRDefault="005A0C5B">
      <w:r>
        <w:separator/>
      </w:r>
    </w:p>
  </w:footnote>
  <w:footnote w:type="continuationSeparator" w:id="0">
    <w:p w14:paraId="29F48ABC" w14:textId="77777777" w:rsidR="005A0C5B" w:rsidRDefault="005A0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AA9AB" w14:textId="77777777" w:rsidR="0031220D" w:rsidRPr="004E093A" w:rsidRDefault="0031220D" w:rsidP="004E09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52982-03-16</w:t>
    </w:r>
    <w:r>
      <w:rPr>
        <w:rFonts w:ascii="David" w:hAnsi="David"/>
        <w:color w:val="000000"/>
        <w:sz w:val="22"/>
        <w:szCs w:val="22"/>
        <w:rtl/>
      </w:rPr>
      <w:tab/>
      <w:t xml:space="preserve"> מדינת ישראל נ' הייתם נאבלסי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234DB" w14:textId="77777777" w:rsidR="0031220D" w:rsidRPr="004E093A" w:rsidRDefault="0031220D" w:rsidP="004E09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52982-03-16</w:t>
    </w:r>
    <w:r>
      <w:rPr>
        <w:rFonts w:ascii="David" w:hAnsi="David"/>
        <w:color w:val="000000"/>
        <w:sz w:val="22"/>
        <w:szCs w:val="22"/>
        <w:rtl/>
      </w:rPr>
      <w:tab/>
      <w:t xml:space="preserve"> מדינת ישראל נ' הייתם נאבלסי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1C6E"/>
    <w:rsid w:val="00032833"/>
    <w:rsid w:val="001331D3"/>
    <w:rsid w:val="00174FB2"/>
    <w:rsid w:val="002C72DB"/>
    <w:rsid w:val="002D1BEE"/>
    <w:rsid w:val="0031220D"/>
    <w:rsid w:val="00351C6E"/>
    <w:rsid w:val="004E093A"/>
    <w:rsid w:val="005A0C5B"/>
    <w:rsid w:val="005C6F99"/>
    <w:rsid w:val="007E40CD"/>
    <w:rsid w:val="00AB6035"/>
    <w:rsid w:val="00B1215F"/>
    <w:rsid w:val="00C65097"/>
    <w:rsid w:val="00E366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D783AF"/>
  <w15:chartTrackingRefBased/>
  <w15:docId w15:val="{C19DE01F-1834-47EC-B506-850286D0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1C6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51C6E"/>
    <w:pPr>
      <w:tabs>
        <w:tab w:val="center" w:pos="4153"/>
        <w:tab w:val="right" w:pos="8306"/>
      </w:tabs>
    </w:pPr>
  </w:style>
  <w:style w:type="paragraph" w:styleId="a5">
    <w:name w:val="footer"/>
    <w:basedOn w:val="a"/>
    <w:rsid w:val="00351C6E"/>
    <w:pPr>
      <w:tabs>
        <w:tab w:val="center" w:pos="4153"/>
        <w:tab w:val="right" w:pos="8306"/>
      </w:tabs>
    </w:pPr>
  </w:style>
  <w:style w:type="character" w:styleId="a6">
    <w:name w:val="page number"/>
    <w:basedOn w:val="a0"/>
    <w:rsid w:val="00351C6E"/>
  </w:style>
  <w:style w:type="character" w:customStyle="1" w:styleId="TimesNewRomanTimesNewRoman">
    <w:name w:val="סגנון (לטיני) Times New Roman (עברית ושפות אחרות) Times New Roman..."/>
    <w:rsid w:val="00351C6E"/>
    <w:rPr>
      <w:rFonts w:ascii="Times New Roman" w:hAnsi="Times New Roman" w:cs="David" w:hint="default"/>
      <w:b/>
      <w:bCs/>
      <w:sz w:val="26"/>
      <w:szCs w:val="26"/>
    </w:rPr>
  </w:style>
  <w:style w:type="character" w:customStyle="1" w:styleId="a4">
    <w:name w:val="כותרת עליונה תו"/>
    <w:link w:val="a3"/>
    <w:rsid w:val="00351C6E"/>
    <w:rPr>
      <w:rFonts w:cs="David"/>
      <w:sz w:val="24"/>
      <w:szCs w:val="24"/>
      <w:lang w:val="en-US" w:eastAsia="en-US" w:bidi="he-IL"/>
    </w:rPr>
  </w:style>
  <w:style w:type="character" w:styleId="Hyperlink">
    <w:name w:val="Hyperlink"/>
    <w:rsid w:val="004E0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law/70301/jaCcS" TargetMode="External"/><Relationship Id="rId26" Type="http://schemas.openxmlformats.org/officeDocument/2006/relationships/hyperlink" Target="http://www.nevo.co.il/law/70301/413c" TargetMode="External"/><Relationship Id="rId39" Type="http://schemas.openxmlformats.org/officeDocument/2006/relationships/hyperlink" Target="http://www.nevo.co.il/case/20371840"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25b" TargetMode="External"/><Relationship Id="rId42" Type="http://schemas.openxmlformats.org/officeDocument/2006/relationships/hyperlink" Target="http://www.nevo.co.il/law/70301/40c.a" TargetMode="External"/><Relationship Id="rId47" Type="http://schemas.openxmlformats.org/officeDocument/2006/relationships/hyperlink" Target="http://www.nevo.co.il/case/616109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25b" TargetMode="External"/><Relationship Id="rId2" Type="http://schemas.openxmlformats.org/officeDocument/2006/relationships/settings" Target="settings.xml"/><Relationship Id="rId16" Type="http://schemas.openxmlformats.org/officeDocument/2006/relationships/hyperlink" Target="http://www.nevo.co.il/law/70301/452"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0301/402.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c.a" TargetMode="External"/><Relationship Id="rId45" Type="http://schemas.openxmlformats.org/officeDocument/2006/relationships/hyperlink" Target="http://www.nevo.co.il/case/5569418" TargetMode="External"/><Relationship Id="rId53" Type="http://schemas.openxmlformats.org/officeDocument/2006/relationships/hyperlink" Target="http://www.nevo.co.il/law/70301/jaCdS"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jaCdS" TargetMode="External"/><Relationship Id="rId14" Type="http://schemas.openxmlformats.org/officeDocument/2006/relationships/hyperlink" Target="http://www.nevo.co.il/law/70301/413c"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448" TargetMode="External"/><Relationship Id="rId30" Type="http://schemas.openxmlformats.org/officeDocument/2006/relationships/hyperlink" Target="http://www.nevo.co.il/law/70301/275"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7773349" TargetMode="External"/><Relationship Id="rId48" Type="http://schemas.openxmlformats.org/officeDocument/2006/relationships/hyperlink" Target="http://www.nevo.co.il/law/70301/40i"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jaCaS" TargetMode="External"/><Relationship Id="rId3" Type="http://schemas.openxmlformats.org/officeDocument/2006/relationships/webSettings" Target="webSettings.xml"/><Relationship Id="rId12" Type="http://schemas.openxmlformats.org/officeDocument/2006/relationships/hyperlink" Target="http://www.nevo.co.il/law/70301/402.a" TargetMode="External"/><Relationship Id="rId17" Type="http://schemas.openxmlformats.org/officeDocument/2006/relationships/hyperlink" Target="http://www.nevo.co.il/law/70301/jaCaS"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case/18090623" TargetMode="External"/><Relationship Id="rId46" Type="http://schemas.openxmlformats.org/officeDocument/2006/relationships/hyperlink" Target="http://www.nevo.co.il/case/5581070" TargetMode="External"/><Relationship Id="rId59" Type="http://schemas.openxmlformats.org/officeDocument/2006/relationships/footer" Target="footer1.xml"/><Relationship Id="rId20" Type="http://schemas.openxmlformats.org/officeDocument/2006/relationships/hyperlink" Target="http://www.nevo.co.il/law/70301/jaCe1S"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jaCe1S"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48"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61892" TargetMode="External"/><Relationship Id="rId49" Type="http://schemas.openxmlformats.org/officeDocument/2006/relationships/hyperlink" Target="http://www.nevo.co.il/law/70301/40g"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21472762" TargetMode="External"/><Relationship Id="rId52" Type="http://schemas.openxmlformats.org/officeDocument/2006/relationships/hyperlink" Target="http://www.nevo.co.il/law/70301/jaCcS"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2191</Words>
  <Characters>10959</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13124</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2228333</vt:i4>
      </vt:variant>
      <vt:variant>
        <vt:i4>144</vt:i4>
      </vt:variant>
      <vt:variant>
        <vt:i4>0</vt:i4>
      </vt:variant>
      <vt:variant>
        <vt:i4>5</vt:i4>
      </vt:variant>
      <vt:variant>
        <vt:lpwstr>http://www.nevo.co.il/law/70301/jaCe1S</vt:lpwstr>
      </vt:variant>
      <vt:variant>
        <vt:lpwstr/>
      </vt:variant>
      <vt:variant>
        <vt:i4>5242972</vt:i4>
      </vt:variant>
      <vt:variant>
        <vt:i4>141</vt:i4>
      </vt:variant>
      <vt:variant>
        <vt:i4>0</vt:i4>
      </vt:variant>
      <vt:variant>
        <vt:i4>5</vt:i4>
      </vt:variant>
      <vt:variant>
        <vt:lpwstr>http://www.nevo.co.il/law/70301/jaCdS</vt:lpwstr>
      </vt:variant>
      <vt:variant>
        <vt:lpwstr/>
      </vt:variant>
      <vt:variant>
        <vt:i4>5701724</vt:i4>
      </vt:variant>
      <vt:variant>
        <vt:i4>138</vt:i4>
      </vt:variant>
      <vt:variant>
        <vt:i4>0</vt:i4>
      </vt:variant>
      <vt:variant>
        <vt:i4>5</vt:i4>
      </vt:variant>
      <vt:variant>
        <vt:lpwstr>http://www.nevo.co.il/law/70301/jaCcS</vt:lpwstr>
      </vt:variant>
      <vt:variant>
        <vt:lpwstr/>
      </vt:variant>
      <vt:variant>
        <vt:i4>5570652</vt:i4>
      </vt:variant>
      <vt:variant>
        <vt:i4>135</vt:i4>
      </vt:variant>
      <vt:variant>
        <vt:i4>0</vt:i4>
      </vt:variant>
      <vt:variant>
        <vt:i4>5</vt:i4>
      </vt:variant>
      <vt:variant>
        <vt:lpwstr>http://www.nevo.co.il/law/70301/jaCaS</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http://www.nevo.co.il/law/70301/40g</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3407997</vt:i4>
      </vt:variant>
      <vt:variant>
        <vt:i4>123</vt:i4>
      </vt:variant>
      <vt:variant>
        <vt:i4>0</vt:i4>
      </vt:variant>
      <vt:variant>
        <vt:i4>5</vt:i4>
      </vt:variant>
      <vt:variant>
        <vt:lpwstr>http://www.nevo.co.il/case/6161094</vt:lpwstr>
      </vt:variant>
      <vt:variant>
        <vt:lpwstr/>
      </vt:variant>
      <vt:variant>
        <vt:i4>3997815</vt:i4>
      </vt:variant>
      <vt:variant>
        <vt:i4>120</vt:i4>
      </vt:variant>
      <vt:variant>
        <vt:i4>0</vt:i4>
      </vt:variant>
      <vt:variant>
        <vt:i4>5</vt:i4>
      </vt:variant>
      <vt:variant>
        <vt:lpwstr>http://www.nevo.co.il/case/5581070</vt:lpwstr>
      </vt:variant>
      <vt:variant>
        <vt:lpwstr/>
      </vt:variant>
      <vt:variant>
        <vt:i4>4128889</vt:i4>
      </vt:variant>
      <vt:variant>
        <vt:i4>117</vt:i4>
      </vt:variant>
      <vt:variant>
        <vt:i4>0</vt:i4>
      </vt:variant>
      <vt:variant>
        <vt:i4>5</vt:i4>
      </vt:variant>
      <vt:variant>
        <vt:lpwstr>http://www.nevo.co.il/case/5569418</vt:lpwstr>
      </vt:variant>
      <vt:variant>
        <vt:lpwstr/>
      </vt:variant>
      <vt:variant>
        <vt:i4>3276917</vt:i4>
      </vt:variant>
      <vt:variant>
        <vt:i4>114</vt:i4>
      </vt:variant>
      <vt:variant>
        <vt:i4>0</vt:i4>
      </vt:variant>
      <vt:variant>
        <vt:i4>5</vt:i4>
      </vt:variant>
      <vt:variant>
        <vt:lpwstr>http://www.nevo.co.il/case/21472762</vt:lpwstr>
      </vt:variant>
      <vt:variant>
        <vt:lpwstr/>
      </vt:variant>
      <vt:variant>
        <vt:i4>3801204</vt:i4>
      </vt:variant>
      <vt:variant>
        <vt:i4>111</vt:i4>
      </vt:variant>
      <vt:variant>
        <vt:i4>0</vt:i4>
      </vt:variant>
      <vt:variant>
        <vt:i4>5</vt:i4>
      </vt:variant>
      <vt:variant>
        <vt:lpwstr>http://www.nevo.co.il/case/7773349</vt:lpwstr>
      </vt:variant>
      <vt:variant>
        <vt:lpwstr/>
      </vt:variant>
      <vt:variant>
        <vt:i4>4915202</vt:i4>
      </vt:variant>
      <vt:variant>
        <vt:i4>108</vt:i4>
      </vt:variant>
      <vt:variant>
        <vt:i4>0</vt:i4>
      </vt:variant>
      <vt:variant>
        <vt:i4>5</vt:i4>
      </vt:variant>
      <vt:variant>
        <vt:lpwstr>http://www.nevo.co.il/law/70301/40c.a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6750245</vt:i4>
      </vt:variant>
      <vt:variant>
        <vt:i4>102</vt:i4>
      </vt:variant>
      <vt:variant>
        <vt:i4>0</vt:i4>
      </vt:variant>
      <vt:variant>
        <vt:i4>5</vt:i4>
      </vt:variant>
      <vt:variant>
        <vt:lpwstr>http://www.nevo.co.il/law/70301/40jc.a</vt:lpwstr>
      </vt:variant>
      <vt:variant>
        <vt:lpwstr/>
      </vt:variant>
      <vt:variant>
        <vt:i4>3407995</vt:i4>
      </vt:variant>
      <vt:variant>
        <vt:i4>99</vt:i4>
      </vt:variant>
      <vt:variant>
        <vt:i4>0</vt:i4>
      </vt:variant>
      <vt:variant>
        <vt:i4>5</vt:i4>
      </vt:variant>
      <vt:variant>
        <vt:lpwstr>http://www.nevo.co.il/case/20371840</vt:lpwstr>
      </vt:variant>
      <vt:variant>
        <vt:lpwstr/>
      </vt:variant>
      <vt:variant>
        <vt:i4>3342451</vt:i4>
      </vt:variant>
      <vt:variant>
        <vt:i4>96</vt:i4>
      </vt:variant>
      <vt:variant>
        <vt:i4>0</vt:i4>
      </vt:variant>
      <vt:variant>
        <vt:i4>5</vt:i4>
      </vt:variant>
      <vt:variant>
        <vt:lpwstr>http://www.nevo.co.il/case/18090623</vt:lpwstr>
      </vt:variant>
      <vt:variant>
        <vt:lpwstr/>
      </vt:variant>
      <vt:variant>
        <vt:i4>7995492</vt:i4>
      </vt:variant>
      <vt:variant>
        <vt:i4>93</vt:i4>
      </vt:variant>
      <vt:variant>
        <vt:i4>0</vt:i4>
      </vt:variant>
      <vt:variant>
        <vt:i4>5</vt:i4>
      </vt:variant>
      <vt:variant>
        <vt:lpwstr>http://www.nevo.co.il/law/70301</vt:lpwstr>
      </vt:variant>
      <vt:variant>
        <vt:lpwstr/>
      </vt:variant>
      <vt:variant>
        <vt:i4>589898</vt:i4>
      </vt:variant>
      <vt:variant>
        <vt:i4>90</vt:i4>
      </vt:variant>
      <vt:variant>
        <vt:i4>0</vt:i4>
      </vt:variant>
      <vt:variant>
        <vt:i4>5</vt:i4>
      </vt:variant>
      <vt:variant>
        <vt:lpwstr>http://www.nevo.co.il/case/161892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6291559</vt:i4>
      </vt:variant>
      <vt:variant>
        <vt:i4>84</vt:i4>
      </vt:variant>
      <vt:variant>
        <vt:i4>0</vt:i4>
      </vt:variant>
      <vt:variant>
        <vt:i4>5</vt:i4>
      </vt:variant>
      <vt:variant>
        <vt:lpwstr>http://www.nevo.co.il/law/70301/25b</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6291553</vt:i4>
      </vt:variant>
      <vt:variant>
        <vt:i4>69</vt:i4>
      </vt:variant>
      <vt:variant>
        <vt:i4>0</vt:i4>
      </vt:variant>
      <vt:variant>
        <vt:i4>5</vt:i4>
      </vt:variant>
      <vt:variant>
        <vt:lpwstr>http://www.nevo.co.il/law/70301/452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6357089</vt:i4>
      </vt:variant>
      <vt:variant>
        <vt:i4>63</vt:i4>
      </vt:variant>
      <vt:variant>
        <vt:i4>0</vt:i4>
      </vt:variant>
      <vt:variant>
        <vt:i4>5</vt:i4>
      </vt:variant>
      <vt:variant>
        <vt:lpwstr>http://www.nevo.co.il/law/70301/448</vt:lpwstr>
      </vt:variant>
      <vt:variant>
        <vt:lpwstr/>
      </vt:variant>
      <vt:variant>
        <vt:i4>458834</vt:i4>
      </vt:variant>
      <vt:variant>
        <vt:i4>60</vt:i4>
      </vt:variant>
      <vt:variant>
        <vt:i4>0</vt:i4>
      </vt:variant>
      <vt:variant>
        <vt:i4>5</vt:i4>
      </vt:variant>
      <vt:variant>
        <vt:lpwstr>http://www.nevo.co.il/law/70301/413c</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4915283</vt:i4>
      </vt:variant>
      <vt:variant>
        <vt:i4>54</vt:i4>
      </vt:variant>
      <vt:variant>
        <vt:i4>0</vt:i4>
      </vt:variant>
      <vt:variant>
        <vt:i4>5</vt:i4>
      </vt:variant>
      <vt:variant>
        <vt:lpwstr>http://www.nevo.co.il/law/70301/402.a</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2228333</vt:i4>
      </vt:variant>
      <vt:variant>
        <vt:i4>42</vt:i4>
      </vt:variant>
      <vt:variant>
        <vt:i4>0</vt:i4>
      </vt:variant>
      <vt:variant>
        <vt:i4>5</vt:i4>
      </vt:variant>
      <vt:variant>
        <vt:lpwstr>http://www.nevo.co.il/law/70301/jaCe1S</vt:lpwstr>
      </vt:variant>
      <vt:variant>
        <vt:lpwstr/>
      </vt:variant>
      <vt:variant>
        <vt:i4>5242972</vt:i4>
      </vt:variant>
      <vt:variant>
        <vt:i4>39</vt:i4>
      </vt:variant>
      <vt:variant>
        <vt:i4>0</vt:i4>
      </vt:variant>
      <vt:variant>
        <vt:i4>5</vt:i4>
      </vt:variant>
      <vt:variant>
        <vt:lpwstr>http://www.nevo.co.il/law/70301/jaCdS</vt:lpwstr>
      </vt:variant>
      <vt:variant>
        <vt:lpwstr/>
      </vt:variant>
      <vt:variant>
        <vt:i4>5701724</vt:i4>
      </vt:variant>
      <vt:variant>
        <vt:i4>36</vt:i4>
      </vt:variant>
      <vt:variant>
        <vt:i4>0</vt:i4>
      </vt:variant>
      <vt:variant>
        <vt:i4>5</vt:i4>
      </vt:variant>
      <vt:variant>
        <vt:lpwstr>http://www.nevo.co.il/law/70301/jaCcS</vt:lpwstr>
      </vt:variant>
      <vt:variant>
        <vt:lpwstr/>
      </vt:variant>
      <vt:variant>
        <vt:i4>5570652</vt:i4>
      </vt:variant>
      <vt:variant>
        <vt:i4>33</vt:i4>
      </vt:variant>
      <vt:variant>
        <vt:i4>0</vt:i4>
      </vt:variant>
      <vt:variant>
        <vt:i4>5</vt:i4>
      </vt:variant>
      <vt:variant>
        <vt:lpwstr>http://www.nevo.co.il/law/70301/jaCaS</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6357089</vt:i4>
      </vt:variant>
      <vt:variant>
        <vt:i4>27</vt:i4>
      </vt:variant>
      <vt:variant>
        <vt:i4>0</vt:i4>
      </vt:variant>
      <vt:variant>
        <vt:i4>5</vt:i4>
      </vt:variant>
      <vt:variant>
        <vt:lpwstr>http://www.nevo.co.il/law/70301/448</vt:lpwstr>
      </vt:variant>
      <vt:variant>
        <vt:lpwstr/>
      </vt:variant>
      <vt:variant>
        <vt:i4>458834</vt:i4>
      </vt:variant>
      <vt:variant>
        <vt:i4>24</vt:i4>
      </vt:variant>
      <vt:variant>
        <vt:i4>0</vt:i4>
      </vt:variant>
      <vt:variant>
        <vt:i4>5</vt:i4>
      </vt:variant>
      <vt:variant>
        <vt:lpwstr>http://www.nevo.co.il/law/70301/413c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4915283</vt:i4>
      </vt:variant>
      <vt:variant>
        <vt:i4>18</vt:i4>
      </vt:variant>
      <vt:variant>
        <vt:i4>0</vt:i4>
      </vt:variant>
      <vt:variant>
        <vt:i4>5</vt:i4>
      </vt:variant>
      <vt:variant>
        <vt:lpwstr>http://www.nevo.co.il/law/70301/402.a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52982</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הייתם נאבלסי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20160629</vt:lpwstr>
  </property>
  <property fmtid="{D5CDD505-2E9C-101B-9397-08002B2CF9AE}" pid="13" name="TYPE_N_DATE">
    <vt:lpwstr>39020160629</vt:lpwstr>
  </property>
  <property fmtid="{D5CDD505-2E9C-101B-9397-08002B2CF9AE}" pid="14" name="CASESLISTTMP1">
    <vt:lpwstr>161892;18090623;20371840;7773349;21472762;5569418;5581070;6161094</vt:lpwstr>
  </property>
  <property fmtid="{D5CDD505-2E9C-101B-9397-08002B2CF9AE}" pid="15" name="WORDNUMPAGES">
    <vt:lpwstr>6</vt:lpwstr>
  </property>
  <property fmtid="{D5CDD505-2E9C-101B-9397-08002B2CF9AE}" pid="16" name="TYPE_ABS_DATE">
    <vt:lpwstr>390020160629</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70301/402.a;413c;448;452;275;025b;40jc.a;040c.a;040i;040g;jaCaS;jaCcS;jaCdS;jaCe1S</vt:lpwstr>
  </property>
  <property fmtid="{D5CDD505-2E9C-101B-9397-08002B2CF9AE}" pid="37" name="LAWLISTTMP2">
    <vt:lpwstr>4216/013;019a</vt:lpwstr>
  </property>
</Properties>
</file>