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EF14CD" w:rsidRPr="00C140E4" w14:paraId="0EF5C976" w14:textId="77777777">
        <w:trPr>
          <w:trHeight w:hRule="exact" w:val="418"/>
          <w:jc w:val="center"/>
        </w:trPr>
        <w:tc>
          <w:tcPr>
            <w:tcW w:w="8721" w:type="dxa"/>
            <w:gridSpan w:val="2"/>
          </w:tcPr>
          <w:p w14:paraId="04215CE7" w14:textId="77777777" w:rsidR="00EF14CD" w:rsidRPr="00C140E4" w:rsidRDefault="00EF14CD" w:rsidP="00C140E4">
            <w:pPr>
              <w:pStyle w:val="a3"/>
              <w:jc w:val="center"/>
              <w:rPr>
                <w:rFonts w:ascii="Tahoma" w:hAnsi="Tahoma" w:cs="Tahoma"/>
                <w:color w:val="000080"/>
                <w:rtl/>
              </w:rPr>
            </w:pPr>
            <w:bookmarkStart w:id="0" w:name="LastJudge"/>
            <w:r w:rsidRPr="00C140E4">
              <w:rPr>
                <w:rFonts w:ascii="Tahoma" w:hAnsi="Tahoma" w:cs="Tahoma"/>
                <w:b/>
                <w:bCs/>
                <w:color w:val="000080"/>
                <w:rtl/>
              </w:rPr>
              <w:t>בית המשפט המחוזי בתל אביב - יפו</w:t>
            </w:r>
          </w:p>
        </w:tc>
      </w:tr>
      <w:tr w:rsidR="00EF14CD" w:rsidRPr="00C140E4" w14:paraId="386F0390" w14:textId="77777777">
        <w:trPr>
          <w:trHeight w:val="337"/>
          <w:jc w:val="center"/>
        </w:trPr>
        <w:tc>
          <w:tcPr>
            <w:tcW w:w="5059" w:type="dxa"/>
          </w:tcPr>
          <w:p w14:paraId="063E688C" w14:textId="77777777" w:rsidR="00EF14CD" w:rsidRPr="00C140E4" w:rsidRDefault="00EF14CD" w:rsidP="00C140E4">
            <w:pPr>
              <w:rPr>
                <w:b/>
                <w:bCs/>
                <w:sz w:val="30"/>
                <w:szCs w:val="30"/>
                <w:rtl/>
              </w:rPr>
            </w:pPr>
            <w:r w:rsidRPr="00C140E4">
              <w:rPr>
                <w:b/>
                <w:bCs/>
                <w:sz w:val="26"/>
                <w:szCs w:val="26"/>
                <w:rtl/>
              </w:rPr>
              <w:t>ת"פ</w:t>
            </w:r>
            <w:r w:rsidRPr="00C140E4">
              <w:rPr>
                <w:rFonts w:hint="cs"/>
                <w:b/>
                <w:bCs/>
                <w:sz w:val="30"/>
                <w:szCs w:val="30"/>
                <w:rtl/>
              </w:rPr>
              <w:t xml:space="preserve"> </w:t>
            </w:r>
            <w:r w:rsidRPr="00C140E4">
              <w:rPr>
                <w:b/>
                <w:bCs/>
                <w:sz w:val="26"/>
                <w:szCs w:val="26"/>
                <w:rtl/>
              </w:rPr>
              <w:t>9736-03-16</w:t>
            </w:r>
            <w:r w:rsidRPr="00C140E4">
              <w:rPr>
                <w:rFonts w:hint="cs"/>
                <w:b/>
                <w:bCs/>
                <w:sz w:val="30"/>
                <w:szCs w:val="30"/>
                <w:rtl/>
              </w:rPr>
              <w:t xml:space="preserve"> </w:t>
            </w:r>
            <w:r w:rsidRPr="00C140E4">
              <w:rPr>
                <w:b/>
                <w:bCs/>
                <w:sz w:val="26"/>
                <w:szCs w:val="26"/>
                <w:rtl/>
              </w:rPr>
              <w:t>מדינת ישראל נ' אפללו(עציר)</w:t>
            </w:r>
          </w:p>
          <w:p w14:paraId="233D6A93" w14:textId="77777777" w:rsidR="00EF14CD" w:rsidRPr="00C140E4" w:rsidRDefault="00EF14CD" w:rsidP="00C140E4">
            <w:pPr>
              <w:pStyle w:val="a3"/>
              <w:rPr>
                <w:rFonts w:cs="FrankRuehl"/>
                <w:sz w:val="28"/>
                <w:szCs w:val="28"/>
                <w:rtl/>
              </w:rPr>
            </w:pPr>
          </w:p>
        </w:tc>
        <w:tc>
          <w:tcPr>
            <w:tcW w:w="3662" w:type="dxa"/>
          </w:tcPr>
          <w:p w14:paraId="062E4739" w14:textId="77777777" w:rsidR="00EF14CD" w:rsidRPr="00C140E4" w:rsidRDefault="00EF14CD" w:rsidP="00C140E4">
            <w:pPr>
              <w:pStyle w:val="a3"/>
              <w:jc w:val="right"/>
              <w:rPr>
                <w:rFonts w:cs="FrankRuehl"/>
                <w:sz w:val="28"/>
                <w:szCs w:val="28"/>
                <w:rtl/>
              </w:rPr>
            </w:pPr>
          </w:p>
        </w:tc>
      </w:tr>
    </w:tbl>
    <w:p w14:paraId="15E88B73" w14:textId="77777777" w:rsidR="00EF14CD" w:rsidRPr="00C140E4" w:rsidRDefault="00EF14CD" w:rsidP="00EF14CD">
      <w:pPr>
        <w:pStyle w:val="a3"/>
        <w:rPr>
          <w:rtl/>
        </w:rPr>
      </w:pPr>
      <w:r w:rsidRPr="00C140E4">
        <w:rPr>
          <w:rFonts w:hint="cs"/>
          <w:rtl/>
        </w:rPr>
        <w:t xml:space="preserve"> </w:t>
      </w:r>
    </w:p>
    <w:tbl>
      <w:tblPr>
        <w:bidiVisual/>
        <w:tblW w:w="8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0"/>
        <w:gridCol w:w="7897"/>
      </w:tblGrid>
      <w:tr w:rsidR="00EF14CD" w:rsidRPr="00C140E4" w14:paraId="1077D241" w14:textId="77777777">
        <w:trPr>
          <w:trHeight w:val="295"/>
          <w:jc w:val="center"/>
        </w:trPr>
        <w:tc>
          <w:tcPr>
            <w:tcW w:w="740" w:type="dxa"/>
            <w:tcBorders>
              <w:top w:val="nil"/>
              <w:left w:val="nil"/>
              <w:bottom w:val="nil"/>
              <w:right w:val="nil"/>
            </w:tcBorders>
            <w:shd w:val="clear" w:color="auto" w:fill="auto"/>
          </w:tcPr>
          <w:p w14:paraId="153A6FFB" w14:textId="77777777" w:rsidR="00EF14CD" w:rsidRPr="00C140E4" w:rsidRDefault="00EF14CD" w:rsidP="00C140E4">
            <w:pPr>
              <w:jc w:val="both"/>
              <w:rPr>
                <w:rFonts w:ascii="Arial" w:hAnsi="Arial"/>
                <w:b/>
                <w:bCs/>
                <w:sz w:val="28"/>
                <w:szCs w:val="28"/>
              </w:rPr>
            </w:pPr>
            <w:r w:rsidRPr="00C140E4">
              <w:rPr>
                <w:rFonts w:ascii="Arial" w:hAnsi="Arial" w:hint="cs"/>
                <w:b/>
                <w:bCs/>
                <w:rtl/>
              </w:rPr>
              <w:t>ב</w:t>
            </w:r>
            <w:r w:rsidRPr="00C140E4">
              <w:rPr>
                <w:rFonts w:ascii="Arial" w:hAnsi="Arial"/>
                <w:b/>
                <w:bCs/>
                <w:rtl/>
              </w:rPr>
              <w:t xml:space="preserve">פני </w:t>
            </w:r>
          </w:p>
        </w:tc>
        <w:tc>
          <w:tcPr>
            <w:tcW w:w="7897" w:type="dxa"/>
            <w:tcBorders>
              <w:top w:val="nil"/>
              <w:left w:val="nil"/>
              <w:bottom w:val="nil"/>
              <w:right w:val="nil"/>
            </w:tcBorders>
            <w:shd w:val="clear" w:color="auto" w:fill="auto"/>
          </w:tcPr>
          <w:p w14:paraId="7DE6A24F" w14:textId="77777777" w:rsidR="00EF14CD" w:rsidRPr="00C140E4" w:rsidRDefault="00EF14CD" w:rsidP="00C140E4">
            <w:pPr>
              <w:rPr>
                <w:rFonts w:ascii="Arial" w:hAnsi="Arial"/>
                <w:b/>
                <w:bCs/>
                <w:rtl/>
              </w:rPr>
            </w:pPr>
            <w:r w:rsidRPr="00C140E4">
              <w:rPr>
                <w:rFonts w:ascii="Arial" w:hAnsi="Arial" w:hint="cs"/>
                <w:b/>
                <w:bCs/>
                <w:rtl/>
              </w:rPr>
              <w:t>כבוד ה</w:t>
            </w:r>
            <w:r w:rsidRPr="00C140E4">
              <w:rPr>
                <w:rFonts w:ascii="Arial" w:hAnsi="Arial"/>
                <w:b/>
                <w:bCs/>
                <w:rtl/>
              </w:rPr>
              <w:t>שופט עמית</w:t>
            </w:r>
            <w:r w:rsidRPr="00C140E4">
              <w:rPr>
                <w:rFonts w:ascii="Arial" w:hAnsi="Arial" w:hint="cs"/>
                <w:b/>
                <w:bCs/>
                <w:rtl/>
              </w:rPr>
              <w:t xml:space="preserve">  </w:t>
            </w:r>
            <w:r w:rsidRPr="00C140E4">
              <w:rPr>
                <w:rFonts w:ascii="Arial" w:hAnsi="Arial"/>
                <w:b/>
                <w:bCs/>
                <w:rtl/>
              </w:rPr>
              <w:t>צבי גורפינקל</w:t>
            </w:r>
            <w:r w:rsidRPr="00C140E4">
              <w:rPr>
                <w:rFonts w:hint="cs"/>
                <w:b/>
                <w:bCs/>
                <w:rtl/>
              </w:rPr>
              <w:t xml:space="preserve">                                                          תאריך: 29.11.16 </w:t>
            </w:r>
          </w:p>
          <w:p w14:paraId="13ED9E66" w14:textId="77777777" w:rsidR="00EF14CD" w:rsidRPr="00C140E4" w:rsidRDefault="00EF14CD" w:rsidP="00C140E4">
            <w:pPr>
              <w:rPr>
                <w:rtl/>
              </w:rPr>
            </w:pPr>
          </w:p>
          <w:p w14:paraId="1DE25F89" w14:textId="77777777" w:rsidR="00EF14CD" w:rsidRPr="00C140E4" w:rsidRDefault="00EF14CD" w:rsidP="00C140E4">
            <w:pPr>
              <w:jc w:val="both"/>
              <w:rPr>
                <w:rFonts w:ascii="Arial" w:hAnsi="Arial" w:cs="FrankRuehl"/>
                <w:sz w:val="28"/>
                <w:szCs w:val="28"/>
              </w:rPr>
            </w:pPr>
          </w:p>
        </w:tc>
      </w:tr>
    </w:tbl>
    <w:p w14:paraId="5FC9C607" w14:textId="77777777" w:rsidR="00EF14CD" w:rsidRPr="00C140E4" w:rsidRDefault="00EF14CD" w:rsidP="00EF14CD">
      <w:pPr>
        <w:pStyle w:val="a3"/>
        <w:rPr>
          <w:rtl/>
        </w:rPr>
      </w:pPr>
    </w:p>
    <w:p w14:paraId="5ABEE025" w14:textId="77777777" w:rsidR="00EF14CD" w:rsidRPr="00C140E4" w:rsidRDefault="00EF14CD" w:rsidP="00EF14CD">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6"/>
        <w:gridCol w:w="3970"/>
        <w:gridCol w:w="3604"/>
      </w:tblGrid>
      <w:tr w:rsidR="00EF14CD" w:rsidRPr="00C140E4" w14:paraId="275473EA" w14:textId="77777777">
        <w:trPr>
          <w:trHeight w:val="355"/>
          <w:jc w:val="center"/>
        </w:trPr>
        <w:tc>
          <w:tcPr>
            <w:tcW w:w="1246" w:type="dxa"/>
            <w:tcBorders>
              <w:top w:val="nil"/>
              <w:left w:val="nil"/>
              <w:bottom w:val="nil"/>
              <w:right w:val="nil"/>
            </w:tcBorders>
            <w:shd w:val="clear" w:color="auto" w:fill="auto"/>
          </w:tcPr>
          <w:p w14:paraId="67A9D0F8" w14:textId="77777777" w:rsidR="00EF14CD" w:rsidRPr="00C140E4" w:rsidRDefault="00EF14CD" w:rsidP="00C140E4">
            <w:pPr>
              <w:spacing w:line="360" w:lineRule="auto"/>
              <w:jc w:val="both"/>
              <w:rPr>
                <w:rFonts w:ascii="Arial" w:hAnsi="Arial"/>
              </w:rPr>
            </w:pPr>
            <w:bookmarkStart w:id="1" w:name="FirstAppellant"/>
            <w:bookmarkStart w:id="2" w:name="FirstLawyer"/>
            <w:r w:rsidRPr="00C140E4">
              <w:rPr>
                <w:rFonts w:ascii="Arial" w:hAnsi="Arial" w:hint="cs"/>
                <w:b/>
                <w:bCs/>
                <w:rtl/>
              </w:rPr>
              <w:t>המאשימה</w:t>
            </w:r>
            <w:r w:rsidRPr="00C140E4">
              <w:rPr>
                <w:rFonts w:ascii="Arial" w:hAnsi="Arial" w:hint="cs"/>
                <w:rtl/>
              </w:rPr>
              <w:t>:</w:t>
            </w:r>
          </w:p>
        </w:tc>
        <w:tc>
          <w:tcPr>
            <w:tcW w:w="3970" w:type="dxa"/>
            <w:tcBorders>
              <w:top w:val="nil"/>
              <w:left w:val="nil"/>
              <w:bottom w:val="nil"/>
              <w:right w:val="nil"/>
            </w:tcBorders>
            <w:shd w:val="clear" w:color="auto" w:fill="auto"/>
          </w:tcPr>
          <w:p w14:paraId="78C298A6" w14:textId="77777777" w:rsidR="00EF14CD" w:rsidRPr="00C140E4" w:rsidRDefault="00EF14CD" w:rsidP="00C140E4">
            <w:pPr>
              <w:rPr>
                <w:b/>
                <w:bCs/>
                <w:rtl/>
              </w:rPr>
            </w:pPr>
            <w:r w:rsidRPr="00C140E4">
              <w:rPr>
                <w:rFonts w:hint="cs"/>
                <w:b/>
                <w:bCs/>
                <w:rtl/>
              </w:rPr>
              <w:t>מדינת ישראל</w:t>
            </w:r>
          </w:p>
          <w:p w14:paraId="5C672159" w14:textId="77777777" w:rsidR="00EF14CD" w:rsidRPr="00C140E4" w:rsidRDefault="00EF14CD" w:rsidP="00C140E4">
            <w:pPr>
              <w:rPr>
                <w:b/>
                <w:bCs/>
              </w:rPr>
            </w:pPr>
            <w:r w:rsidRPr="00C140E4">
              <w:rPr>
                <w:rFonts w:hint="cs"/>
                <w:b/>
                <w:bCs/>
                <w:rtl/>
              </w:rPr>
              <w:t>ע"י ב"כ עו"ד אלון סיון</w:t>
            </w:r>
          </w:p>
        </w:tc>
        <w:tc>
          <w:tcPr>
            <w:tcW w:w="3604" w:type="dxa"/>
            <w:tcBorders>
              <w:top w:val="nil"/>
              <w:left w:val="nil"/>
              <w:bottom w:val="nil"/>
              <w:right w:val="nil"/>
            </w:tcBorders>
            <w:shd w:val="clear" w:color="auto" w:fill="auto"/>
          </w:tcPr>
          <w:p w14:paraId="7B7735B6" w14:textId="77777777" w:rsidR="00EF14CD" w:rsidRPr="00C140E4" w:rsidRDefault="00EF14CD" w:rsidP="00C140E4">
            <w:pPr>
              <w:jc w:val="both"/>
              <w:rPr>
                <w:rFonts w:ascii="Arial" w:hAnsi="Arial"/>
              </w:rPr>
            </w:pPr>
          </w:p>
        </w:tc>
      </w:tr>
      <w:bookmarkEnd w:id="1"/>
      <w:bookmarkEnd w:id="2"/>
      <w:tr w:rsidR="00EF14CD" w:rsidRPr="00C140E4" w14:paraId="4D54A1D0" w14:textId="77777777">
        <w:trPr>
          <w:trHeight w:val="355"/>
          <w:jc w:val="center"/>
        </w:trPr>
        <w:tc>
          <w:tcPr>
            <w:tcW w:w="1246" w:type="dxa"/>
            <w:tcBorders>
              <w:top w:val="nil"/>
              <w:left w:val="nil"/>
              <w:bottom w:val="nil"/>
              <w:right w:val="nil"/>
            </w:tcBorders>
            <w:shd w:val="clear" w:color="auto" w:fill="auto"/>
          </w:tcPr>
          <w:p w14:paraId="6DEFA7F4" w14:textId="77777777" w:rsidR="00EF14CD" w:rsidRPr="00C140E4" w:rsidRDefault="00EF14CD" w:rsidP="00C140E4">
            <w:pPr>
              <w:jc w:val="both"/>
              <w:rPr>
                <w:rFonts w:ascii="Arial" w:hAnsi="Arial"/>
                <w:rtl/>
              </w:rPr>
            </w:pPr>
          </w:p>
        </w:tc>
        <w:tc>
          <w:tcPr>
            <w:tcW w:w="3970" w:type="dxa"/>
            <w:tcBorders>
              <w:top w:val="nil"/>
              <w:left w:val="nil"/>
              <w:bottom w:val="nil"/>
              <w:right w:val="nil"/>
            </w:tcBorders>
            <w:shd w:val="clear" w:color="auto" w:fill="auto"/>
          </w:tcPr>
          <w:p w14:paraId="1E0B3494" w14:textId="77777777" w:rsidR="00EF14CD" w:rsidRPr="00C140E4" w:rsidRDefault="00EF14CD" w:rsidP="00C140E4">
            <w:pPr>
              <w:jc w:val="both"/>
              <w:rPr>
                <w:b/>
                <w:bCs/>
                <w:rtl/>
              </w:rPr>
            </w:pPr>
          </w:p>
        </w:tc>
        <w:tc>
          <w:tcPr>
            <w:tcW w:w="3604" w:type="dxa"/>
            <w:tcBorders>
              <w:top w:val="nil"/>
              <w:left w:val="nil"/>
              <w:bottom w:val="nil"/>
              <w:right w:val="nil"/>
            </w:tcBorders>
            <w:shd w:val="clear" w:color="auto" w:fill="auto"/>
          </w:tcPr>
          <w:p w14:paraId="2EECCBD6" w14:textId="77777777" w:rsidR="00EF14CD" w:rsidRPr="00C140E4" w:rsidRDefault="00EF14CD" w:rsidP="00C140E4">
            <w:pPr>
              <w:jc w:val="right"/>
              <w:rPr>
                <w:rFonts w:ascii="Arial" w:hAnsi="Arial"/>
                <w:rtl/>
              </w:rPr>
            </w:pPr>
          </w:p>
        </w:tc>
      </w:tr>
      <w:tr w:rsidR="00EF14CD" w:rsidRPr="00C140E4" w14:paraId="518CB8E4" w14:textId="77777777">
        <w:trPr>
          <w:trHeight w:val="355"/>
          <w:jc w:val="center"/>
        </w:trPr>
        <w:tc>
          <w:tcPr>
            <w:tcW w:w="1246" w:type="dxa"/>
            <w:tcBorders>
              <w:top w:val="nil"/>
              <w:left w:val="nil"/>
              <w:bottom w:val="nil"/>
              <w:right w:val="nil"/>
            </w:tcBorders>
            <w:shd w:val="clear" w:color="auto" w:fill="auto"/>
          </w:tcPr>
          <w:p w14:paraId="42D096EF" w14:textId="77777777" w:rsidR="00EF14CD" w:rsidRPr="00C140E4" w:rsidRDefault="00EF14CD" w:rsidP="00C140E4">
            <w:pPr>
              <w:jc w:val="both"/>
              <w:rPr>
                <w:rFonts w:ascii="Arial" w:hAnsi="Arial"/>
                <w:rtl/>
              </w:rPr>
            </w:pPr>
          </w:p>
        </w:tc>
        <w:tc>
          <w:tcPr>
            <w:tcW w:w="7574" w:type="dxa"/>
            <w:gridSpan w:val="2"/>
            <w:tcBorders>
              <w:top w:val="nil"/>
              <w:left w:val="nil"/>
              <w:bottom w:val="nil"/>
              <w:right w:val="nil"/>
            </w:tcBorders>
            <w:shd w:val="clear" w:color="auto" w:fill="auto"/>
          </w:tcPr>
          <w:p w14:paraId="573B17A7" w14:textId="77777777" w:rsidR="00EF14CD" w:rsidRPr="00C140E4" w:rsidRDefault="00EF14CD" w:rsidP="00C140E4">
            <w:pPr>
              <w:jc w:val="center"/>
              <w:rPr>
                <w:rFonts w:ascii="Arial" w:hAnsi="Arial"/>
                <w:b/>
                <w:bCs/>
                <w:rtl/>
              </w:rPr>
            </w:pPr>
          </w:p>
          <w:p w14:paraId="110750CA" w14:textId="77777777" w:rsidR="00EF14CD" w:rsidRPr="00C140E4" w:rsidRDefault="00EF14CD" w:rsidP="00C140E4">
            <w:pPr>
              <w:jc w:val="center"/>
              <w:rPr>
                <w:rFonts w:ascii="Arial" w:hAnsi="Arial"/>
                <w:b/>
                <w:bCs/>
                <w:rtl/>
              </w:rPr>
            </w:pPr>
            <w:r w:rsidRPr="00C140E4">
              <w:rPr>
                <w:rFonts w:ascii="Arial" w:hAnsi="Arial"/>
                <w:b/>
                <w:bCs/>
                <w:rtl/>
              </w:rPr>
              <w:t>נגד</w:t>
            </w:r>
          </w:p>
          <w:p w14:paraId="60B3172B" w14:textId="77777777" w:rsidR="00EF14CD" w:rsidRPr="00C140E4" w:rsidRDefault="00EF14CD" w:rsidP="00C140E4">
            <w:pPr>
              <w:jc w:val="both"/>
              <w:rPr>
                <w:rFonts w:ascii="Arial" w:hAnsi="Arial"/>
              </w:rPr>
            </w:pPr>
          </w:p>
        </w:tc>
      </w:tr>
      <w:tr w:rsidR="00EF14CD" w:rsidRPr="00C140E4" w14:paraId="5349033B" w14:textId="77777777">
        <w:trPr>
          <w:trHeight w:val="355"/>
          <w:jc w:val="center"/>
        </w:trPr>
        <w:tc>
          <w:tcPr>
            <w:tcW w:w="1246" w:type="dxa"/>
            <w:tcBorders>
              <w:top w:val="nil"/>
              <w:left w:val="nil"/>
              <w:bottom w:val="nil"/>
              <w:right w:val="nil"/>
            </w:tcBorders>
            <w:shd w:val="clear" w:color="auto" w:fill="auto"/>
          </w:tcPr>
          <w:p w14:paraId="1E9DEEBA" w14:textId="77777777" w:rsidR="00EF14CD" w:rsidRPr="00C140E4" w:rsidRDefault="00EF14CD" w:rsidP="00C140E4">
            <w:pPr>
              <w:spacing w:line="360" w:lineRule="auto"/>
              <w:rPr>
                <w:rFonts w:ascii="Arial" w:hAnsi="Arial"/>
                <w:rtl/>
              </w:rPr>
            </w:pPr>
            <w:r w:rsidRPr="00C140E4">
              <w:rPr>
                <w:rFonts w:ascii="Arial" w:hAnsi="Arial" w:hint="cs"/>
                <w:b/>
                <w:bCs/>
                <w:rtl/>
              </w:rPr>
              <w:t>הנאשם</w:t>
            </w:r>
            <w:r w:rsidRPr="00C140E4">
              <w:rPr>
                <w:rFonts w:ascii="Arial" w:hAnsi="Arial" w:hint="cs"/>
                <w:rtl/>
              </w:rPr>
              <w:t>:</w:t>
            </w:r>
          </w:p>
        </w:tc>
        <w:tc>
          <w:tcPr>
            <w:tcW w:w="3970" w:type="dxa"/>
            <w:tcBorders>
              <w:top w:val="nil"/>
              <w:left w:val="nil"/>
              <w:bottom w:val="nil"/>
              <w:right w:val="nil"/>
            </w:tcBorders>
            <w:shd w:val="clear" w:color="auto" w:fill="auto"/>
          </w:tcPr>
          <w:p w14:paraId="2BDC1EA1" w14:textId="77777777" w:rsidR="00EF14CD" w:rsidRPr="00C140E4" w:rsidRDefault="00EF14CD" w:rsidP="00C140E4">
            <w:pPr>
              <w:rPr>
                <w:b/>
                <w:bCs/>
                <w:rtl/>
              </w:rPr>
            </w:pPr>
            <w:r w:rsidRPr="00C140E4">
              <w:rPr>
                <w:rFonts w:hint="cs"/>
                <w:b/>
                <w:bCs/>
                <w:rtl/>
              </w:rPr>
              <w:t xml:space="preserve">מאור אפללו (עציר) </w:t>
            </w:r>
            <w:r w:rsidRPr="00C140E4">
              <w:rPr>
                <w:b/>
                <w:bCs/>
                <w:rtl/>
              </w:rPr>
              <w:t>–</w:t>
            </w:r>
            <w:r w:rsidRPr="00C140E4">
              <w:rPr>
                <w:rFonts w:hint="cs"/>
                <w:b/>
                <w:bCs/>
                <w:rtl/>
              </w:rPr>
              <w:t xml:space="preserve"> הובא ע"י שב"ס</w:t>
            </w:r>
          </w:p>
          <w:p w14:paraId="368FBDC9" w14:textId="77777777" w:rsidR="00EF14CD" w:rsidRPr="00C140E4" w:rsidRDefault="00EF14CD" w:rsidP="00C140E4">
            <w:pPr>
              <w:rPr>
                <w:b/>
                <w:bCs/>
                <w:rtl/>
              </w:rPr>
            </w:pPr>
            <w:r w:rsidRPr="00C140E4">
              <w:rPr>
                <w:rFonts w:hint="cs"/>
                <w:b/>
                <w:bCs/>
                <w:rtl/>
              </w:rPr>
              <w:t>ע"י ב"כ עו"ד שי רודה</w:t>
            </w:r>
          </w:p>
        </w:tc>
        <w:tc>
          <w:tcPr>
            <w:tcW w:w="3604" w:type="dxa"/>
            <w:tcBorders>
              <w:top w:val="nil"/>
              <w:left w:val="nil"/>
              <w:bottom w:val="nil"/>
              <w:right w:val="nil"/>
            </w:tcBorders>
            <w:shd w:val="clear" w:color="auto" w:fill="auto"/>
          </w:tcPr>
          <w:p w14:paraId="4370A3CF" w14:textId="77777777" w:rsidR="00EF14CD" w:rsidRPr="00C140E4" w:rsidRDefault="00EF14CD" w:rsidP="00C140E4">
            <w:pPr>
              <w:jc w:val="right"/>
              <w:rPr>
                <w:rFonts w:ascii="Arial" w:hAnsi="Arial"/>
              </w:rPr>
            </w:pPr>
          </w:p>
        </w:tc>
      </w:tr>
      <w:tr w:rsidR="00EF14CD" w:rsidRPr="00C140E4" w14:paraId="3D6A293F" w14:textId="77777777">
        <w:trPr>
          <w:trHeight w:val="355"/>
          <w:jc w:val="center"/>
        </w:trPr>
        <w:tc>
          <w:tcPr>
            <w:tcW w:w="1246" w:type="dxa"/>
            <w:tcBorders>
              <w:top w:val="nil"/>
              <w:left w:val="nil"/>
              <w:bottom w:val="nil"/>
              <w:right w:val="nil"/>
            </w:tcBorders>
            <w:shd w:val="clear" w:color="auto" w:fill="auto"/>
          </w:tcPr>
          <w:p w14:paraId="330DCFC4" w14:textId="77777777" w:rsidR="00EF14CD" w:rsidRPr="00C140E4" w:rsidRDefault="00EF14CD" w:rsidP="00C140E4">
            <w:pPr>
              <w:jc w:val="both"/>
              <w:rPr>
                <w:rFonts w:ascii="Arial" w:hAnsi="Arial"/>
                <w:rtl/>
              </w:rPr>
            </w:pPr>
          </w:p>
        </w:tc>
        <w:tc>
          <w:tcPr>
            <w:tcW w:w="3970" w:type="dxa"/>
            <w:tcBorders>
              <w:top w:val="nil"/>
              <w:left w:val="nil"/>
              <w:bottom w:val="nil"/>
              <w:right w:val="nil"/>
            </w:tcBorders>
            <w:shd w:val="clear" w:color="auto" w:fill="auto"/>
          </w:tcPr>
          <w:p w14:paraId="33E86A2C" w14:textId="77777777" w:rsidR="00EF14CD" w:rsidRPr="00C140E4" w:rsidRDefault="00EF14CD" w:rsidP="00C140E4">
            <w:pPr>
              <w:jc w:val="both"/>
              <w:rPr>
                <w:b/>
                <w:bCs/>
                <w:rtl/>
              </w:rPr>
            </w:pPr>
          </w:p>
        </w:tc>
        <w:tc>
          <w:tcPr>
            <w:tcW w:w="3604" w:type="dxa"/>
            <w:tcBorders>
              <w:top w:val="nil"/>
              <w:left w:val="nil"/>
              <w:bottom w:val="nil"/>
              <w:right w:val="nil"/>
            </w:tcBorders>
            <w:shd w:val="clear" w:color="auto" w:fill="auto"/>
          </w:tcPr>
          <w:p w14:paraId="763DD6E6" w14:textId="77777777" w:rsidR="00EF14CD" w:rsidRPr="00C140E4" w:rsidRDefault="00EF14CD" w:rsidP="00C140E4">
            <w:pPr>
              <w:jc w:val="right"/>
              <w:rPr>
                <w:rFonts w:ascii="Arial" w:hAnsi="Arial"/>
              </w:rPr>
            </w:pPr>
          </w:p>
        </w:tc>
      </w:tr>
      <w:tr w:rsidR="00EF14CD" w:rsidRPr="00B43BA8" w14:paraId="71BFA3EA" w14:textId="77777777">
        <w:trPr>
          <w:trHeight w:val="355"/>
          <w:jc w:val="center"/>
        </w:trPr>
        <w:tc>
          <w:tcPr>
            <w:tcW w:w="8820" w:type="dxa"/>
            <w:gridSpan w:val="3"/>
            <w:tcBorders>
              <w:top w:val="nil"/>
              <w:left w:val="nil"/>
              <w:bottom w:val="nil"/>
              <w:right w:val="nil"/>
            </w:tcBorders>
            <w:shd w:val="clear" w:color="auto" w:fill="auto"/>
          </w:tcPr>
          <w:p w14:paraId="2CBD1ABF" w14:textId="77777777" w:rsidR="00111E9D" w:rsidRDefault="00111E9D" w:rsidP="00C140E4">
            <w:pPr>
              <w:jc w:val="center"/>
              <w:rPr>
                <w:rFonts w:ascii="Arial" w:hAnsi="Arial"/>
                <w:sz w:val="32"/>
                <w:szCs w:val="32"/>
                <w:rtl/>
              </w:rPr>
            </w:pPr>
            <w:bookmarkStart w:id="3" w:name="PsakDin" w:colFirst="0" w:colLast="0"/>
            <w:bookmarkStart w:id="4" w:name="LawTable"/>
            <w:bookmarkEnd w:id="0"/>
            <w:bookmarkEnd w:id="4"/>
          </w:p>
          <w:p w14:paraId="6DB7E873" w14:textId="77777777" w:rsidR="00111E9D" w:rsidRPr="00111E9D" w:rsidRDefault="00111E9D" w:rsidP="00111E9D">
            <w:pPr>
              <w:spacing w:after="120" w:line="240" w:lineRule="exact"/>
              <w:ind w:left="283" w:hanging="283"/>
              <w:jc w:val="both"/>
              <w:rPr>
                <w:rFonts w:ascii="FrankRuehl" w:hAnsi="FrankRuehl" w:cs="FrankRuehl"/>
                <w:rtl/>
              </w:rPr>
            </w:pPr>
          </w:p>
          <w:p w14:paraId="435D8687" w14:textId="77777777" w:rsidR="00111E9D" w:rsidRPr="00111E9D" w:rsidRDefault="00111E9D" w:rsidP="00111E9D">
            <w:pPr>
              <w:spacing w:after="120" w:line="240" w:lineRule="exact"/>
              <w:ind w:left="283" w:hanging="283"/>
              <w:jc w:val="both"/>
              <w:rPr>
                <w:rFonts w:ascii="FrankRuehl" w:hAnsi="FrankRuehl" w:cs="FrankRuehl"/>
                <w:rtl/>
              </w:rPr>
            </w:pPr>
            <w:r w:rsidRPr="00111E9D">
              <w:rPr>
                <w:rFonts w:ascii="FrankRuehl" w:hAnsi="FrankRuehl" w:cs="FrankRuehl"/>
                <w:rtl/>
              </w:rPr>
              <w:t xml:space="preserve">חקיקה שאוזכרה: </w:t>
            </w:r>
          </w:p>
          <w:p w14:paraId="75FEC188" w14:textId="77777777" w:rsidR="00111E9D" w:rsidRPr="00111E9D" w:rsidRDefault="00111E9D" w:rsidP="00111E9D">
            <w:pPr>
              <w:spacing w:after="120" w:line="240" w:lineRule="exact"/>
              <w:ind w:left="283" w:hanging="283"/>
              <w:jc w:val="both"/>
              <w:rPr>
                <w:rFonts w:ascii="FrankRuehl" w:hAnsi="FrankRuehl" w:cs="FrankRuehl"/>
                <w:color w:val="0000FF"/>
                <w:u w:val="single"/>
                <w:rtl/>
              </w:rPr>
            </w:pPr>
            <w:hyperlink r:id="rId6" w:history="1">
              <w:r w:rsidRPr="00111E9D">
                <w:rPr>
                  <w:rStyle w:val="Hyperlink"/>
                  <w:rFonts w:ascii="FrankRuehl" w:hAnsi="FrankRuehl" w:cs="FrankRuehl"/>
                  <w:rtl/>
                </w:rPr>
                <w:t>פקודת הסמים המסוכנים [נוסח חדש], תשל"ג-1973</w:t>
              </w:r>
            </w:hyperlink>
            <w:r w:rsidRPr="00111E9D">
              <w:rPr>
                <w:rFonts w:ascii="FrankRuehl" w:hAnsi="FrankRuehl" w:cs="FrankRuehl"/>
                <w:color w:val="0000FF"/>
                <w:u w:val="single"/>
                <w:rtl/>
              </w:rPr>
              <w:t xml:space="preserve">: סע'  </w:t>
            </w:r>
            <w:hyperlink r:id="rId7" w:history="1">
              <w:r w:rsidRPr="00111E9D">
                <w:rPr>
                  <w:rStyle w:val="Hyperlink"/>
                  <w:rFonts w:ascii="FrankRuehl" w:hAnsi="FrankRuehl" w:cs="FrankRuehl"/>
                </w:rPr>
                <w:t>7.</w:t>
              </w:r>
              <w:r w:rsidRPr="00111E9D">
                <w:rPr>
                  <w:rStyle w:val="Hyperlink"/>
                  <w:rFonts w:ascii="FrankRuehl" w:hAnsi="FrankRuehl" w:cs="FrankRuehl"/>
                  <w:rtl/>
                </w:rPr>
                <w:t>א</w:t>
              </w:r>
              <w:r w:rsidRPr="00111E9D">
                <w:rPr>
                  <w:rStyle w:val="Hyperlink"/>
                  <w:rFonts w:ascii="FrankRuehl" w:hAnsi="FrankRuehl" w:cs="FrankRuehl"/>
                </w:rPr>
                <w:t>.</w:t>
              </w:r>
            </w:hyperlink>
            <w:r w:rsidRPr="00111E9D">
              <w:rPr>
                <w:rFonts w:ascii="FrankRuehl" w:hAnsi="FrankRuehl" w:cs="FrankRuehl"/>
                <w:color w:val="0000FF"/>
                <w:u w:val="single"/>
                <w:rtl/>
              </w:rPr>
              <w:t xml:space="preserve">, </w:t>
            </w:r>
            <w:hyperlink r:id="rId8" w:history="1">
              <w:r w:rsidRPr="00111E9D">
                <w:rPr>
                  <w:rStyle w:val="Hyperlink"/>
                  <w:rFonts w:ascii="FrankRuehl" w:hAnsi="FrankRuehl" w:cs="FrankRuehl"/>
                </w:rPr>
                <w:t>7.</w:t>
              </w:r>
              <w:r w:rsidRPr="00111E9D">
                <w:rPr>
                  <w:rStyle w:val="Hyperlink"/>
                  <w:rFonts w:ascii="FrankRuehl" w:hAnsi="FrankRuehl" w:cs="FrankRuehl"/>
                  <w:rtl/>
                </w:rPr>
                <w:t>ג</w:t>
              </w:r>
            </w:hyperlink>
            <w:r w:rsidRPr="00111E9D">
              <w:rPr>
                <w:rFonts w:ascii="FrankRuehl" w:hAnsi="FrankRuehl" w:cs="FrankRuehl"/>
                <w:color w:val="0000FF"/>
                <w:u w:val="single"/>
                <w:rtl/>
              </w:rPr>
              <w:t xml:space="preserve">, </w:t>
            </w:r>
            <w:hyperlink r:id="rId9" w:history="1">
              <w:r w:rsidRPr="00111E9D">
                <w:rPr>
                  <w:rStyle w:val="Hyperlink"/>
                  <w:rFonts w:ascii="FrankRuehl" w:hAnsi="FrankRuehl" w:cs="FrankRuehl"/>
                </w:rPr>
                <w:t>13</w:t>
              </w:r>
            </w:hyperlink>
          </w:p>
          <w:p w14:paraId="49536C1A" w14:textId="77777777" w:rsidR="00111E9D" w:rsidRPr="00111E9D" w:rsidRDefault="00111E9D" w:rsidP="00111E9D">
            <w:pPr>
              <w:spacing w:after="120" w:line="240" w:lineRule="exact"/>
              <w:ind w:left="283" w:hanging="283"/>
              <w:jc w:val="both"/>
              <w:rPr>
                <w:rFonts w:ascii="FrankRuehl" w:hAnsi="FrankRuehl" w:cs="FrankRuehl"/>
                <w:rtl/>
              </w:rPr>
            </w:pPr>
          </w:p>
          <w:p w14:paraId="2066F84A" w14:textId="77777777" w:rsidR="00111E9D" w:rsidRPr="00111E9D" w:rsidRDefault="00111E9D" w:rsidP="00C140E4">
            <w:pPr>
              <w:jc w:val="center"/>
              <w:rPr>
                <w:rFonts w:ascii="Arial" w:hAnsi="Arial"/>
                <w:sz w:val="32"/>
                <w:szCs w:val="32"/>
                <w:rtl/>
              </w:rPr>
            </w:pPr>
            <w:bookmarkStart w:id="5" w:name="LawTable_End"/>
            <w:bookmarkEnd w:id="5"/>
            <w:r>
              <w:rPr>
                <w:rFonts w:ascii="Arial" w:hAnsi="Arial" w:hint="cs"/>
                <w:sz w:val="32"/>
                <w:szCs w:val="32"/>
                <w:rtl/>
              </w:rPr>
              <w:t xml:space="preserve">   </w:t>
            </w:r>
          </w:p>
          <w:p w14:paraId="294FF65E" w14:textId="77777777" w:rsidR="00C140E4" w:rsidRPr="00C140E4" w:rsidRDefault="00C140E4" w:rsidP="00C140E4">
            <w:pPr>
              <w:jc w:val="center"/>
              <w:rPr>
                <w:rFonts w:ascii="Arial" w:hAnsi="Arial"/>
                <w:b/>
                <w:bCs/>
                <w:sz w:val="32"/>
                <w:szCs w:val="32"/>
                <w:rtl/>
              </w:rPr>
            </w:pPr>
            <w:r w:rsidRPr="00C140E4">
              <w:rPr>
                <w:rFonts w:ascii="Arial" w:hAnsi="Arial"/>
                <w:b/>
                <w:bCs/>
                <w:sz w:val="32"/>
                <w:szCs w:val="32"/>
                <w:rtl/>
              </w:rPr>
              <w:t>גזר דין</w:t>
            </w:r>
          </w:p>
          <w:p w14:paraId="7BAB328F" w14:textId="77777777" w:rsidR="00EF14CD" w:rsidRPr="00C140E4" w:rsidRDefault="00EF14CD" w:rsidP="00C140E4">
            <w:pPr>
              <w:jc w:val="center"/>
              <w:rPr>
                <w:rFonts w:ascii="Arial" w:hAnsi="Arial"/>
                <w:bCs/>
                <w:sz w:val="32"/>
                <w:szCs w:val="32"/>
                <w:rtl/>
              </w:rPr>
            </w:pPr>
          </w:p>
        </w:tc>
      </w:tr>
      <w:bookmarkEnd w:id="3"/>
    </w:tbl>
    <w:p w14:paraId="60002D89" w14:textId="77777777" w:rsidR="00EF14CD" w:rsidRPr="00FD2768" w:rsidRDefault="00EF14CD" w:rsidP="00EF14CD">
      <w:pPr>
        <w:rPr>
          <w:rFonts w:ascii="Arial" w:hAnsi="Arial"/>
          <w:rtl/>
        </w:rPr>
      </w:pPr>
    </w:p>
    <w:p w14:paraId="01DFBF68" w14:textId="77777777" w:rsidR="00EF14CD" w:rsidRPr="00FD2768" w:rsidRDefault="00EF14CD" w:rsidP="00EF14CD">
      <w:pPr>
        <w:rPr>
          <w:rFonts w:ascii="Arial" w:hAnsi="Arial"/>
          <w:rtl/>
        </w:rPr>
      </w:pPr>
    </w:p>
    <w:p w14:paraId="7FBEBC10" w14:textId="77777777" w:rsidR="00EF14CD" w:rsidRDefault="00EF14CD" w:rsidP="00EF14CD">
      <w:pPr>
        <w:spacing w:line="360" w:lineRule="auto"/>
        <w:jc w:val="both"/>
        <w:rPr>
          <w:rtl/>
        </w:rPr>
      </w:pPr>
      <w:r>
        <w:rPr>
          <w:rFonts w:hint="cs"/>
          <w:rtl/>
        </w:rPr>
        <w:t xml:space="preserve">בשתי הזדמנויות </w:t>
      </w:r>
      <w:bookmarkStart w:id="6" w:name="ABSTRACT_START"/>
      <w:bookmarkEnd w:id="6"/>
      <w:r>
        <w:rPr>
          <w:rFonts w:hint="cs"/>
          <w:rtl/>
        </w:rPr>
        <w:t xml:space="preserve">בחודשים יולי אוגוסט 2015, מכר הנאשם בביתו לרובי אסולין סם מסוכן מסוג </w:t>
      </w:r>
      <w:r>
        <w:rPr>
          <w:rFonts w:hint="cs"/>
        </w:rPr>
        <w:t>MDMA</w:t>
      </w:r>
      <w:r>
        <w:rPr>
          <w:rFonts w:hint="cs"/>
          <w:rtl/>
        </w:rPr>
        <w:t xml:space="preserve">, פעם אחת מכר 5 גרם סם תמורת 1,500 ₪ וכעבור שבועיים מכר 3 גרם נוספים תמורת 900 ₪. </w:t>
      </w:r>
    </w:p>
    <w:p w14:paraId="5341B65D" w14:textId="77777777" w:rsidR="00EF14CD" w:rsidRDefault="00EF14CD" w:rsidP="00EF14CD">
      <w:pPr>
        <w:spacing w:line="360" w:lineRule="auto"/>
        <w:jc w:val="both"/>
        <w:rPr>
          <w:rtl/>
        </w:rPr>
      </w:pPr>
      <w:bookmarkStart w:id="7" w:name="ABSTRACT_END"/>
      <w:bookmarkEnd w:id="7"/>
    </w:p>
    <w:p w14:paraId="1AFDE4A1" w14:textId="77777777" w:rsidR="00EF14CD" w:rsidRDefault="00EF14CD" w:rsidP="00EF14CD">
      <w:pPr>
        <w:spacing w:line="360" w:lineRule="auto"/>
        <w:jc w:val="both"/>
        <w:rPr>
          <w:rtl/>
        </w:rPr>
      </w:pPr>
      <w:r>
        <w:rPr>
          <w:rFonts w:hint="cs"/>
          <w:rtl/>
        </w:rPr>
        <w:t>ביום 21.2.16, בחיפוש שנערך בדירה בתל אביב שם מתגורר הנאשם עם אחרים, נמצא כי החזיק 1,200 טבליות של הסם המסוכן הנ"ל וכן בחיפוש שנערך על גופו בתחנת המשטרה, נמצא כי החזיק בתוך גרב ברגליו 1.96 גרם נטו סם מסוכן מסוג קוקאין.</w:t>
      </w:r>
    </w:p>
    <w:p w14:paraId="1938BBF9" w14:textId="77777777" w:rsidR="00EF14CD" w:rsidRDefault="00EF14CD" w:rsidP="00EF14CD">
      <w:pPr>
        <w:spacing w:line="360" w:lineRule="auto"/>
        <w:jc w:val="both"/>
        <w:rPr>
          <w:rtl/>
        </w:rPr>
      </w:pPr>
    </w:p>
    <w:p w14:paraId="308FFDE0" w14:textId="77777777" w:rsidR="00EF14CD" w:rsidRDefault="00EF14CD" w:rsidP="00EF14CD">
      <w:pPr>
        <w:spacing w:line="360" w:lineRule="auto"/>
        <w:jc w:val="both"/>
        <w:rPr>
          <w:rtl/>
        </w:rPr>
      </w:pPr>
      <w:r>
        <w:rPr>
          <w:rFonts w:hint="cs"/>
          <w:rtl/>
        </w:rPr>
        <w:t xml:space="preserve">בגין זאת הורשע הנאשם על פי הודאתו בשתי עבירות של סחר בסם מסוכן לפי </w:t>
      </w:r>
      <w:hyperlink r:id="rId10" w:history="1">
        <w:r w:rsidR="005D076D" w:rsidRPr="005D076D">
          <w:rPr>
            <w:color w:val="0000FF"/>
            <w:u w:val="single"/>
            <w:rtl/>
          </w:rPr>
          <w:t>סעיף 13</w:t>
        </w:r>
      </w:hyperlink>
      <w:r>
        <w:rPr>
          <w:rFonts w:hint="cs"/>
          <w:rtl/>
        </w:rPr>
        <w:t xml:space="preserve"> ל</w:t>
      </w:r>
      <w:hyperlink r:id="rId11" w:history="1">
        <w:r w:rsidR="00C140E4" w:rsidRPr="00C140E4">
          <w:rPr>
            <w:color w:val="0000FF"/>
            <w:u w:val="single"/>
            <w:rtl/>
          </w:rPr>
          <w:t>פקודת הסמים המסוכנים</w:t>
        </w:r>
      </w:hyperlink>
      <w:r>
        <w:rPr>
          <w:rFonts w:hint="cs"/>
          <w:rtl/>
        </w:rPr>
        <w:t xml:space="preserve"> (נוסח חדש) תשל"ג </w:t>
      </w:r>
      <w:r>
        <w:rPr>
          <w:rtl/>
        </w:rPr>
        <w:t>–</w:t>
      </w:r>
      <w:r>
        <w:rPr>
          <w:rFonts w:hint="cs"/>
          <w:rtl/>
        </w:rPr>
        <w:t xml:space="preserve"> 1973, החזקת סמים שלא לצריכה עצמית לפי </w:t>
      </w:r>
      <w:hyperlink r:id="rId12" w:history="1">
        <w:r w:rsidR="005D076D" w:rsidRPr="005D076D">
          <w:rPr>
            <w:color w:val="0000FF"/>
            <w:u w:val="single"/>
            <w:rtl/>
          </w:rPr>
          <w:t>סעיף 7(א)+7(ג)</w:t>
        </w:r>
      </w:hyperlink>
      <w:r>
        <w:rPr>
          <w:rFonts w:hint="cs"/>
          <w:rtl/>
        </w:rPr>
        <w:t xml:space="preserve"> רישא לפקודת הסמים, והחזקת סמים לצריכה עצמית לפי </w:t>
      </w:r>
      <w:hyperlink r:id="rId13" w:history="1">
        <w:r w:rsidR="005D076D" w:rsidRPr="005D076D">
          <w:rPr>
            <w:color w:val="0000FF"/>
            <w:u w:val="single"/>
            <w:rtl/>
          </w:rPr>
          <w:t>סעיף 7(א) + 7(ג)</w:t>
        </w:r>
      </w:hyperlink>
      <w:r>
        <w:rPr>
          <w:rFonts w:hint="cs"/>
          <w:rtl/>
        </w:rPr>
        <w:t xml:space="preserve"> סיפא לפקודת הסמים. </w:t>
      </w:r>
    </w:p>
    <w:p w14:paraId="1F0B399E" w14:textId="77777777" w:rsidR="00EF14CD" w:rsidRDefault="00EF14CD" w:rsidP="00EF14CD">
      <w:pPr>
        <w:spacing w:line="360" w:lineRule="auto"/>
        <w:jc w:val="both"/>
        <w:rPr>
          <w:rtl/>
        </w:rPr>
      </w:pPr>
      <w:r>
        <w:rPr>
          <w:rFonts w:hint="cs"/>
          <w:rtl/>
        </w:rPr>
        <w:lastRenderedPageBreak/>
        <w:t xml:space="preserve">הנאשם הורשע כאמור על פי הודאתו במסגרת הסדר טיעון שבו תוקן כתב האישום, אולם לא הייתה הסכמה לגבי העונש. </w:t>
      </w:r>
    </w:p>
    <w:p w14:paraId="0CAE2191" w14:textId="77777777" w:rsidR="00EF14CD" w:rsidRDefault="00EF14CD" w:rsidP="00EF14CD">
      <w:pPr>
        <w:spacing w:line="360" w:lineRule="auto"/>
        <w:jc w:val="both"/>
        <w:rPr>
          <w:rtl/>
        </w:rPr>
      </w:pPr>
      <w:r>
        <w:rPr>
          <w:rFonts w:hint="cs"/>
          <w:rtl/>
        </w:rPr>
        <w:t>ביום 11.9.11 הורשע הנאשם בבית משפט השלום בתל אביב בביצוע עבירה בניגוד ל</w:t>
      </w:r>
      <w:hyperlink r:id="rId14" w:history="1">
        <w:r w:rsidR="00C140E4" w:rsidRPr="00C140E4">
          <w:rPr>
            <w:color w:val="0000FF"/>
            <w:u w:val="single"/>
            <w:rtl/>
          </w:rPr>
          <w:t>פקודת הסמים המסוכנים</w:t>
        </w:r>
      </w:hyperlink>
      <w:r>
        <w:rPr>
          <w:rFonts w:hint="cs"/>
          <w:rtl/>
        </w:rPr>
        <w:t xml:space="preserve"> וכן תקיפת שוטר במילוי תפקידו והפרעה לשוטר ונדון ל-4 חודשי מאסר על תנאי בגין העבירה של תקיפת שוטרים, ולשני חודשי מאסר על תנאי בגין עבירת הסמים. </w:t>
      </w:r>
    </w:p>
    <w:p w14:paraId="0F4A6FE0" w14:textId="77777777" w:rsidR="00EF14CD" w:rsidRDefault="00EF14CD" w:rsidP="00EF14CD">
      <w:pPr>
        <w:spacing w:line="360" w:lineRule="auto"/>
        <w:jc w:val="both"/>
        <w:rPr>
          <w:rtl/>
        </w:rPr>
      </w:pPr>
      <w:r>
        <w:rPr>
          <w:rFonts w:hint="cs"/>
          <w:rtl/>
        </w:rPr>
        <w:t xml:space="preserve">ביום 9.2.14 נדון הנאשם פעם נוספת בגין עבירה בניגוד לפקודת הסמים ועונש המאסר על תנאי שהוטל עליו בתיק הקודם, הוארך לתקופה נוספת של שנתיים. </w:t>
      </w:r>
    </w:p>
    <w:p w14:paraId="35B2A0B1" w14:textId="77777777" w:rsidR="00EF14CD" w:rsidRDefault="00EF14CD" w:rsidP="00EF14CD">
      <w:pPr>
        <w:spacing w:line="360" w:lineRule="auto"/>
        <w:jc w:val="both"/>
        <w:rPr>
          <w:rtl/>
        </w:rPr>
      </w:pPr>
    </w:p>
    <w:p w14:paraId="20CB889C" w14:textId="77777777" w:rsidR="00EF14CD" w:rsidRDefault="00EF14CD" w:rsidP="00EF14CD">
      <w:pPr>
        <w:spacing w:line="360" w:lineRule="auto"/>
        <w:jc w:val="both"/>
        <w:rPr>
          <w:rtl/>
        </w:rPr>
      </w:pPr>
      <w:r>
        <w:rPr>
          <w:rFonts w:hint="cs"/>
          <w:rtl/>
        </w:rPr>
        <w:t xml:space="preserve">הנאשם גדל במשפחה שבה שררו סכסוכים קשים בין ההורים והם עברו הליך ארוך של גירושין במשך 7 שנים. אימו של הנאשם חולה במחלה קשה, ומקבלת טיפולים, ועד למעצרו הנאשם היה זה שטיפל בה. </w:t>
      </w:r>
    </w:p>
    <w:p w14:paraId="3B448823" w14:textId="77777777" w:rsidR="00EF14CD" w:rsidRDefault="00EF14CD" w:rsidP="00EF14CD">
      <w:pPr>
        <w:spacing w:line="360" w:lineRule="auto"/>
        <w:jc w:val="both"/>
        <w:rPr>
          <w:rtl/>
        </w:rPr>
      </w:pPr>
    </w:p>
    <w:p w14:paraId="4F277AC9" w14:textId="77777777" w:rsidR="00EF14CD" w:rsidRDefault="00EF14CD" w:rsidP="00EF14CD">
      <w:pPr>
        <w:spacing w:line="360" w:lineRule="auto"/>
        <w:jc w:val="both"/>
        <w:rPr>
          <w:rtl/>
        </w:rPr>
      </w:pPr>
      <w:r>
        <w:rPr>
          <w:rFonts w:hint="cs"/>
          <w:rtl/>
        </w:rPr>
        <w:t xml:space="preserve">כבר מגיל 10 נפלט הנאשם ממסגרת הלימודים והחל מגיל 16 הידרדר לסמים והחל לצרוך אותם. לאחרונה, עבד הנאשם במכירת בגדים ולצורך זה רכש קטנוע שסייע לו בביצוע עבודתו. </w:t>
      </w:r>
    </w:p>
    <w:p w14:paraId="389E4337" w14:textId="77777777" w:rsidR="00EF14CD" w:rsidRDefault="00EF14CD" w:rsidP="00EF14CD">
      <w:pPr>
        <w:spacing w:line="360" w:lineRule="auto"/>
        <w:jc w:val="both"/>
        <w:rPr>
          <w:rtl/>
        </w:rPr>
      </w:pPr>
    </w:p>
    <w:p w14:paraId="2A8578C9" w14:textId="77777777" w:rsidR="00EF14CD" w:rsidRDefault="00EF14CD" w:rsidP="00EF14CD">
      <w:pPr>
        <w:spacing w:line="360" w:lineRule="auto"/>
        <w:jc w:val="both"/>
        <w:rPr>
          <w:rtl/>
        </w:rPr>
      </w:pPr>
      <w:r>
        <w:rPr>
          <w:rFonts w:hint="cs"/>
          <w:rtl/>
        </w:rPr>
        <w:t xml:space="preserve">הנאשם מאורס ועמד להינשא לבת זוגו, אלא שמעצרו גדע את התהליך. </w:t>
      </w:r>
    </w:p>
    <w:p w14:paraId="5D778EC2" w14:textId="77777777" w:rsidR="00EF14CD" w:rsidRDefault="00EF14CD" w:rsidP="00EF14CD">
      <w:pPr>
        <w:spacing w:line="360" w:lineRule="auto"/>
        <w:jc w:val="both"/>
        <w:rPr>
          <w:rtl/>
        </w:rPr>
      </w:pPr>
    </w:p>
    <w:p w14:paraId="4EAC9D37" w14:textId="77777777" w:rsidR="00EF14CD" w:rsidRDefault="00EF14CD" w:rsidP="00EF14CD">
      <w:pPr>
        <w:spacing w:line="360" w:lineRule="auto"/>
        <w:jc w:val="both"/>
        <w:rPr>
          <w:rtl/>
        </w:rPr>
      </w:pPr>
      <w:r>
        <w:rPr>
          <w:rFonts w:hint="cs"/>
          <w:rtl/>
        </w:rPr>
        <w:t xml:space="preserve">במסגרת שהייתו בבית הסוהר השתתף הנאשם בקורס השכלה וקיבל על כך תעודה בדבר אישור לימודים מענף חינוך והשכלה בשב"ס. </w:t>
      </w:r>
    </w:p>
    <w:p w14:paraId="4F1820AB" w14:textId="77777777" w:rsidR="00EF14CD" w:rsidRDefault="00EF14CD" w:rsidP="00EF14CD">
      <w:pPr>
        <w:spacing w:line="360" w:lineRule="auto"/>
        <w:jc w:val="both"/>
        <w:rPr>
          <w:rtl/>
        </w:rPr>
      </w:pPr>
    </w:p>
    <w:p w14:paraId="6BAA2A38" w14:textId="77777777" w:rsidR="00EF14CD" w:rsidRDefault="00EF14CD" w:rsidP="00EF14CD">
      <w:pPr>
        <w:spacing w:line="360" w:lineRule="auto"/>
        <w:jc w:val="both"/>
        <w:rPr>
          <w:rtl/>
        </w:rPr>
      </w:pPr>
      <w:r>
        <w:rPr>
          <w:rFonts w:hint="cs"/>
          <w:rtl/>
        </w:rPr>
        <w:t xml:space="preserve">העיקרון המנחה בענישה הוא קיומו של יחס הולם בין חומרת מעשה העבירה בנסיבותיו ומידת אשמו של הנאשם, ובין סוג ומידת העונש המוטל עליו. על בית המשפט לקבוע מתחם עונש הולם למעשה העבירה שביצע הנאשם, תוך התחשבות בערך החברתי שנפגע מביצוע העבירה, במידת הפגיעה בו, במדיניות הענישה הנהוגה, ובנסיבות הקשורות בביצוע העבירה. </w:t>
      </w:r>
    </w:p>
    <w:p w14:paraId="7A2287F9" w14:textId="77777777" w:rsidR="00EF14CD" w:rsidRDefault="00EF14CD" w:rsidP="00EF14CD">
      <w:pPr>
        <w:spacing w:line="360" w:lineRule="auto"/>
        <w:jc w:val="both"/>
        <w:rPr>
          <w:rtl/>
        </w:rPr>
      </w:pPr>
    </w:p>
    <w:p w14:paraId="19C74F60" w14:textId="77777777" w:rsidR="00EF14CD" w:rsidRDefault="00EF14CD" w:rsidP="00EF14CD">
      <w:pPr>
        <w:spacing w:line="360" w:lineRule="auto"/>
        <w:jc w:val="both"/>
        <w:rPr>
          <w:rtl/>
        </w:rPr>
      </w:pPr>
      <w:r>
        <w:rPr>
          <w:rFonts w:hint="cs"/>
          <w:rtl/>
        </w:rPr>
        <w:t xml:space="preserve">בתוך מתחם העונש ההולם, על בית המשפט להטיל את העונש המתאים לנאשם גם התחשב בנסיבות שאינן קשורות בביצוע העבירה. </w:t>
      </w:r>
    </w:p>
    <w:p w14:paraId="0E3CC95B" w14:textId="77777777" w:rsidR="00EF14CD" w:rsidRDefault="00EF14CD" w:rsidP="00EF14CD">
      <w:pPr>
        <w:spacing w:line="360" w:lineRule="auto"/>
        <w:jc w:val="both"/>
        <w:rPr>
          <w:rtl/>
        </w:rPr>
      </w:pPr>
    </w:p>
    <w:p w14:paraId="4D05535E" w14:textId="77777777" w:rsidR="00EF14CD" w:rsidRDefault="00EF14CD" w:rsidP="00EF14CD">
      <w:pPr>
        <w:spacing w:line="360" w:lineRule="auto"/>
        <w:jc w:val="both"/>
        <w:rPr>
          <w:rtl/>
        </w:rPr>
      </w:pPr>
      <w:r>
        <w:rPr>
          <w:rFonts w:hint="cs"/>
          <w:rtl/>
        </w:rPr>
        <w:t xml:space="preserve">במסגרת העונש רשאי בית המשפט להחמיר אם מצא כי קיים חשש ממשי שהנאשם יחזור ויבצע עבירות, וכי החמרה בעונשו והרחקתו מהציבור נדרשות כדי להגן על שלום הציבור, וכן רשאי להחמיר כאשר מצא שיש צורך בהתרעת הנאשם מפני ביצוע עבירה נוספת. </w:t>
      </w:r>
    </w:p>
    <w:p w14:paraId="605C1689" w14:textId="77777777" w:rsidR="00EF14CD" w:rsidRDefault="00EF14CD" w:rsidP="00EF14CD">
      <w:pPr>
        <w:spacing w:line="360" w:lineRule="auto"/>
        <w:jc w:val="both"/>
        <w:rPr>
          <w:rtl/>
        </w:rPr>
      </w:pPr>
    </w:p>
    <w:p w14:paraId="47D97A5C" w14:textId="77777777" w:rsidR="00EF14CD" w:rsidRDefault="00EF14CD" w:rsidP="00EF14CD">
      <w:pPr>
        <w:spacing w:line="360" w:lineRule="auto"/>
        <w:jc w:val="both"/>
        <w:rPr>
          <w:rtl/>
        </w:rPr>
      </w:pPr>
      <w:r>
        <w:rPr>
          <w:rFonts w:hint="cs"/>
          <w:rtl/>
        </w:rPr>
        <w:t xml:space="preserve">בקביעת מתחם העונש יש להתחשב בתכנון שקדם לביצוע העבירה, וחלקו היחסי של הנאשם בביצועה, בנזק שהיה צפוי להיגרם מביצוע העבירה ובנזק שנגרם בפועל, בסיבות שהביאו את הנאשם לבצע את העבירה, וביכולתו להבין את מעשיו. </w:t>
      </w:r>
    </w:p>
    <w:p w14:paraId="7D37E72C" w14:textId="77777777" w:rsidR="00EF14CD" w:rsidRDefault="00EF14CD" w:rsidP="00EF14CD">
      <w:pPr>
        <w:spacing w:line="360" w:lineRule="auto"/>
        <w:jc w:val="both"/>
        <w:rPr>
          <w:rtl/>
        </w:rPr>
      </w:pPr>
      <w:r>
        <w:rPr>
          <w:rFonts w:hint="cs"/>
          <w:rtl/>
        </w:rPr>
        <w:lastRenderedPageBreak/>
        <w:t xml:space="preserve">כמו כן על בית המשפט להתחשב בפגיעה של העונש בנאשם ובמשפחתו, בנזקים שנגרמו לו מביצוע העבירה ומהרשעתו, ובנטילת האחריות על מעשיו ומאמציו לחזור למוטב. </w:t>
      </w:r>
    </w:p>
    <w:p w14:paraId="64AC7553" w14:textId="77777777" w:rsidR="00EF14CD" w:rsidRDefault="00EF14CD" w:rsidP="00EF14CD">
      <w:pPr>
        <w:spacing w:line="360" w:lineRule="auto"/>
        <w:jc w:val="both"/>
        <w:rPr>
          <w:rtl/>
        </w:rPr>
      </w:pPr>
      <w:r>
        <w:rPr>
          <w:rFonts w:hint="cs"/>
          <w:rtl/>
        </w:rPr>
        <w:t xml:space="preserve">כמו כן נסיבה לקולא היא שיתוף הפעולה של הנאשם עם רשויות של אכיפת החוק, לרבות הודאה באשמה. </w:t>
      </w:r>
    </w:p>
    <w:p w14:paraId="471DD22F" w14:textId="77777777" w:rsidR="00EF14CD" w:rsidRDefault="00EF14CD" w:rsidP="00EF14CD">
      <w:pPr>
        <w:spacing w:line="360" w:lineRule="auto"/>
        <w:jc w:val="both"/>
        <w:rPr>
          <w:rtl/>
        </w:rPr>
      </w:pPr>
    </w:p>
    <w:p w14:paraId="5E153787" w14:textId="77777777" w:rsidR="00EF14CD" w:rsidRDefault="00EF14CD" w:rsidP="00EF14CD">
      <w:pPr>
        <w:spacing w:line="360" w:lineRule="auto"/>
        <w:jc w:val="both"/>
        <w:rPr>
          <w:rtl/>
        </w:rPr>
      </w:pPr>
      <w:r>
        <w:rPr>
          <w:rFonts w:hint="cs"/>
          <w:rtl/>
        </w:rPr>
        <w:t xml:space="preserve">התביעה ביקשה להכריז על הנאשם כסוחר סמים, ולקבוע מתחם עונש שבין 30-48 חודשי מאסר תוך שהיא עותרת להטיל 39 חודשים ולצרף אליהם את שני חודשי המאסר על תנאי שיש להפעילם. כמו כן מבקשת התביעה לגזור מאסר על תנאי, קנס ולחלט כסף שנתפס ברשות הנאשם וכן את קטנועו. </w:t>
      </w:r>
    </w:p>
    <w:p w14:paraId="6F0029CE" w14:textId="77777777" w:rsidR="00EF14CD" w:rsidRDefault="00EF14CD" w:rsidP="00EF14CD">
      <w:pPr>
        <w:spacing w:line="360" w:lineRule="auto"/>
        <w:jc w:val="both"/>
        <w:rPr>
          <w:rtl/>
        </w:rPr>
      </w:pPr>
    </w:p>
    <w:p w14:paraId="7450B606" w14:textId="77777777" w:rsidR="00EF14CD" w:rsidRDefault="00EF14CD" w:rsidP="00EF14CD">
      <w:pPr>
        <w:spacing w:line="360" w:lineRule="auto"/>
        <w:jc w:val="both"/>
        <w:rPr>
          <w:rtl/>
        </w:rPr>
      </w:pPr>
      <w:r>
        <w:rPr>
          <w:rFonts w:hint="cs"/>
          <w:rtl/>
        </w:rPr>
        <w:t xml:space="preserve">הסניגור מצידו טען כי מתחם העונש ההולם הינו בין שנה לשלוש שנים, תוך שהוא מציין את מצבו הקשה של הנאשם, את המצב הרפואי של אימו ואת נסיבותיו האישיות. הסניגור אינו מתנגד לחילוט הכסף שנתפס אצל הנאשם אולם טוען שאין לחלט את האופנוע שנרכש לפני ביצוע העבירה, ואין לו קשר לביצועה. </w:t>
      </w:r>
    </w:p>
    <w:p w14:paraId="5763FD7D" w14:textId="77777777" w:rsidR="00EF14CD" w:rsidRDefault="00EF14CD" w:rsidP="00EF14CD">
      <w:pPr>
        <w:spacing w:line="360" w:lineRule="auto"/>
        <w:jc w:val="both"/>
        <w:rPr>
          <w:rtl/>
        </w:rPr>
      </w:pPr>
    </w:p>
    <w:p w14:paraId="3200813F" w14:textId="77777777" w:rsidR="00EF14CD" w:rsidRDefault="00EF14CD" w:rsidP="00EF14CD">
      <w:pPr>
        <w:spacing w:line="360" w:lineRule="auto"/>
        <w:jc w:val="both"/>
        <w:rPr>
          <w:rtl/>
        </w:rPr>
      </w:pPr>
      <w:r>
        <w:rPr>
          <w:rFonts w:hint="cs"/>
          <w:rtl/>
        </w:rPr>
        <w:t xml:space="preserve">רבות נכתב על הצורך להילחם עד חורמה בנגע הסמים ועל הצורך לגזור עונשי מאסר מחמירים ומרתיעים כדי לסייע במלחמה בנגע זה ולמנוע היגררות של קורבנות נוספים למעגל הסמים. כנגד החומרה היתרה של עבירות הסמים, יש לשקול לקולא את מצבו האישי של הנאשם, מצב בריאותה של אימו, ובעיקר יש להתחשב לקולא בהודאתו באשמה ובלקיחת אחריות על מעשיו. </w:t>
      </w:r>
    </w:p>
    <w:p w14:paraId="586B29BF" w14:textId="77777777" w:rsidR="00EF14CD" w:rsidRDefault="00EF14CD" w:rsidP="00EF14CD">
      <w:pPr>
        <w:spacing w:line="360" w:lineRule="auto"/>
        <w:jc w:val="both"/>
        <w:rPr>
          <w:rtl/>
        </w:rPr>
      </w:pPr>
    </w:p>
    <w:p w14:paraId="222D78C1" w14:textId="77777777" w:rsidR="00EF14CD" w:rsidRDefault="00EF14CD" w:rsidP="00EF14CD">
      <w:pPr>
        <w:spacing w:line="360" w:lineRule="auto"/>
        <w:jc w:val="both"/>
        <w:rPr>
          <w:rtl/>
        </w:rPr>
      </w:pPr>
      <w:r>
        <w:rPr>
          <w:rFonts w:hint="cs"/>
          <w:rtl/>
        </w:rPr>
        <w:t xml:space="preserve">התביעה הציגה פסקי דין בהם נגזרו עונשי מאסר בפועל שבין 21 חודשי מאסר ל-48 חודשים, הסניגור הציג פסיקה בנסיבות דומות ואף חמורות יותר המטילה עונשי מאסר שבין 15 חודשים עד 30 חודשי מאסר בפועל. </w:t>
      </w:r>
    </w:p>
    <w:p w14:paraId="457E3AF6" w14:textId="77777777" w:rsidR="00EF14CD" w:rsidRDefault="00EF14CD" w:rsidP="00EF14CD">
      <w:pPr>
        <w:spacing w:line="360" w:lineRule="auto"/>
        <w:jc w:val="both"/>
        <w:rPr>
          <w:rtl/>
        </w:rPr>
      </w:pPr>
    </w:p>
    <w:p w14:paraId="16A8C7B6" w14:textId="77777777" w:rsidR="00EF14CD" w:rsidRDefault="00EF14CD" w:rsidP="00EF14CD">
      <w:pPr>
        <w:spacing w:line="360" w:lineRule="auto"/>
        <w:jc w:val="both"/>
        <w:rPr>
          <w:rtl/>
        </w:rPr>
      </w:pPr>
      <w:r>
        <w:rPr>
          <w:rFonts w:hint="cs"/>
          <w:rtl/>
        </w:rPr>
        <w:t xml:space="preserve">בהתחשב בנסיבות העבירה, בצורך להטיל עונשים מרתיעים כדי להילחם בנגע הסמים מצד אחד ובצורך להתחשב בנסיבותיו האישיות של הנאשם ובעיקר בהודאתו באשמה ולקיחת אחריות על מעשיו, ותוך התייחסות לפסיקה הנהוגה בעבירות אלה, נראה כי מתחם העונש הראוי בתיק זה הינו בין 24 ל-40 חודשי מאסר בפועל. </w:t>
      </w:r>
    </w:p>
    <w:p w14:paraId="64024A83" w14:textId="77777777" w:rsidR="00EF14CD" w:rsidRDefault="00EF14CD" w:rsidP="00EF14CD">
      <w:pPr>
        <w:spacing w:line="360" w:lineRule="auto"/>
        <w:jc w:val="both"/>
        <w:rPr>
          <w:rtl/>
        </w:rPr>
      </w:pPr>
    </w:p>
    <w:p w14:paraId="46F162AC" w14:textId="77777777" w:rsidR="00EF14CD" w:rsidRDefault="00EF14CD" w:rsidP="00EF14CD">
      <w:pPr>
        <w:spacing w:line="360" w:lineRule="auto"/>
        <w:jc w:val="both"/>
        <w:rPr>
          <w:rtl/>
        </w:rPr>
      </w:pPr>
      <w:r>
        <w:rPr>
          <w:rFonts w:hint="cs"/>
          <w:rtl/>
        </w:rPr>
        <w:t xml:space="preserve">יודגש כי אילו הורשע הנאשם לאחר שמיעת ראיות, היה מקום לגזור עליו עונש של 40 חודשי מאסר בפועל, אולם בשל הודאתו המיידית באשמה ולקיחת אחריות על מעשיו, וכן כדי לאפשר לו להשתקם, להשתחרר ממאסר ולהינשא לבת זוגו, וכן לסייע לאימו במצוקתה, אני מחליט לגזור על הנאשם עונש של 30 חודשי מאסר בפועל. </w:t>
      </w:r>
    </w:p>
    <w:p w14:paraId="35634D95" w14:textId="77777777" w:rsidR="00EF14CD" w:rsidRDefault="00EF14CD" w:rsidP="00EF14CD">
      <w:pPr>
        <w:spacing w:line="360" w:lineRule="auto"/>
        <w:jc w:val="both"/>
        <w:rPr>
          <w:rtl/>
        </w:rPr>
      </w:pPr>
      <w:r>
        <w:rPr>
          <w:rFonts w:hint="cs"/>
          <w:rtl/>
        </w:rPr>
        <w:t>כמו כן, אני מטיל עליו שנה מאסר על תנאי, שלא יעבור תוך שלש שנים מיום שחרורו ממאסר עבירה בניגוד ל</w:t>
      </w:r>
      <w:hyperlink r:id="rId15" w:history="1">
        <w:r w:rsidR="00C140E4" w:rsidRPr="00C140E4">
          <w:rPr>
            <w:color w:val="0000FF"/>
            <w:u w:val="single"/>
            <w:rtl/>
          </w:rPr>
          <w:t>פקודת הסמים המסוכנים</w:t>
        </w:r>
      </w:hyperlink>
      <w:r>
        <w:rPr>
          <w:rFonts w:hint="cs"/>
          <w:rtl/>
        </w:rPr>
        <w:t>.</w:t>
      </w:r>
    </w:p>
    <w:p w14:paraId="3DA41297" w14:textId="77777777" w:rsidR="00EF14CD" w:rsidRDefault="00EF14CD" w:rsidP="00EF14CD">
      <w:pPr>
        <w:spacing w:line="360" w:lineRule="auto"/>
        <w:jc w:val="both"/>
        <w:rPr>
          <w:rtl/>
        </w:rPr>
      </w:pPr>
      <w:r>
        <w:rPr>
          <w:rFonts w:hint="cs"/>
          <w:rtl/>
        </w:rPr>
        <w:t xml:space="preserve">אני מורה להפעיל את עונש המאסר על תנאי בין 2 חודשים שנגזר על הנאשם בתיק </w:t>
      </w:r>
      <w:hyperlink r:id="rId16" w:history="1">
        <w:r w:rsidR="00111E9D" w:rsidRPr="00111E9D">
          <w:rPr>
            <w:rStyle w:val="Hyperlink"/>
            <w:rtl/>
          </w:rPr>
          <w:t xml:space="preserve">52701-01-11 </w:t>
        </w:r>
      </w:hyperlink>
      <w:r>
        <w:rPr>
          <w:rFonts w:hint="cs"/>
          <w:rtl/>
        </w:rPr>
        <w:t xml:space="preserve"> בבית משפט השלום בתל אביב, והוארך בתיק 28755-05-11 בבית משפט השלום בתל אביב. עונש המאסר המותנה יופעל במצטבר לעונש המוטל, ולפיכך על הנאשם לשאת בעונש מאסר לתקופה כוללת של 32 חודשי מאסר בפועל החל מיום מעצרו 21.2.16. </w:t>
      </w:r>
    </w:p>
    <w:p w14:paraId="5A69ECF1" w14:textId="77777777" w:rsidR="00EF14CD" w:rsidRDefault="00EF14CD" w:rsidP="00EF14CD">
      <w:pPr>
        <w:spacing w:line="360" w:lineRule="auto"/>
        <w:jc w:val="both"/>
        <w:rPr>
          <w:rtl/>
        </w:rPr>
      </w:pPr>
    </w:p>
    <w:p w14:paraId="2CB3BB55" w14:textId="77777777" w:rsidR="00EF14CD" w:rsidRDefault="00EF14CD" w:rsidP="00EF14CD">
      <w:pPr>
        <w:spacing w:line="360" w:lineRule="auto"/>
        <w:jc w:val="both"/>
        <w:rPr>
          <w:rtl/>
        </w:rPr>
      </w:pPr>
      <w:r>
        <w:rPr>
          <w:rFonts w:hint="cs"/>
          <w:rtl/>
        </w:rPr>
        <w:t xml:space="preserve">אני גוזר על הנאשם קנס בסך 5,000 ₪ שישולם ב-10 תשלומים של 500 ₪ כל אחד החל מיום 1.1.17 וב-1 לכל חודש שלאחריו, אי תשלום שני תשלומים רצופים יעמיד את מלוא סכום הקנס לפרעון  מיידי, ואם הקנס לא ישולם ייאסר הנאשם לחודשיים תמורתו. </w:t>
      </w:r>
    </w:p>
    <w:p w14:paraId="0626874C" w14:textId="77777777" w:rsidR="00EF14CD" w:rsidRDefault="00EF14CD" w:rsidP="00EF14CD">
      <w:pPr>
        <w:spacing w:line="360" w:lineRule="auto"/>
        <w:jc w:val="both"/>
        <w:rPr>
          <w:rtl/>
        </w:rPr>
      </w:pPr>
    </w:p>
    <w:p w14:paraId="0F2112CE" w14:textId="77777777" w:rsidR="00EF14CD" w:rsidRDefault="00EF14CD" w:rsidP="00EF14CD">
      <w:pPr>
        <w:spacing w:line="360" w:lineRule="auto"/>
        <w:jc w:val="both"/>
        <w:rPr>
          <w:rtl/>
        </w:rPr>
      </w:pPr>
      <w:r>
        <w:rPr>
          <w:rFonts w:hint="cs"/>
          <w:rtl/>
        </w:rPr>
        <w:t xml:space="preserve">אני מכריז על הנאשם כסוחר סמים. </w:t>
      </w:r>
    </w:p>
    <w:p w14:paraId="02DB120D" w14:textId="77777777" w:rsidR="00EF14CD" w:rsidRDefault="00EF14CD" w:rsidP="00EF14CD">
      <w:pPr>
        <w:spacing w:line="360" w:lineRule="auto"/>
        <w:jc w:val="both"/>
        <w:rPr>
          <w:rtl/>
        </w:rPr>
      </w:pPr>
    </w:p>
    <w:p w14:paraId="29502C74" w14:textId="77777777" w:rsidR="00EF14CD" w:rsidRDefault="00EF14CD" w:rsidP="00EF14CD">
      <w:pPr>
        <w:spacing w:line="360" w:lineRule="auto"/>
        <w:jc w:val="both"/>
        <w:rPr>
          <w:rtl/>
        </w:rPr>
      </w:pPr>
      <w:r>
        <w:rPr>
          <w:rFonts w:hint="cs"/>
          <w:rtl/>
        </w:rPr>
        <w:t xml:space="preserve">בהעדר התנגדות אני מורה לחלט סכום של 10,050 ₪ שנתפס אצל הנאשם. </w:t>
      </w:r>
    </w:p>
    <w:p w14:paraId="03C62CAC" w14:textId="77777777" w:rsidR="00EF14CD" w:rsidRDefault="00EF14CD" w:rsidP="00EF14CD">
      <w:pPr>
        <w:spacing w:line="360" w:lineRule="auto"/>
        <w:jc w:val="both"/>
        <w:rPr>
          <w:rtl/>
        </w:rPr>
      </w:pPr>
    </w:p>
    <w:p w14:paraId="64AC7462" w14:textId="77777777" w:rsidR="00EF14CD" w:rsidRDefault="00EF14CD" w:rsidP="00EF14CD">
      <w:pPr>
        <w:spacing w:line="360" w:lineRule="auto"/>
        <w:jc w:val="both"/>
        <w:rPr>
          <w:rtl/>
        </w:rPr>
      </w:pPr>
      <w:r>
        <w:rPr>
          <w:rFonts w:hint="cs"/>
          <w:rtl/>
        </w:rPr>
        <w:t xml:space="preserve">התביעה מבקשת לחלט קטנוע מסוג סאן יאנג מס' 12-354-12 השייך לנאשם, אולם לא מצאתי שיש מקום להיעתר לבקשה זו. </w:t>
      </w:r>
    </w:p>
    <w:p w14:paraId="46F9D2C1" w14:textId="77777777" w:rsidR="00EF14CD" w:rsidRDefault="00EF14CD" w:rsidP="00EF14CD">
      <w:pPr>
        <w:spacing w:line="360" w:lineRule="auto"/>
        <w:jc w:val="both"/>
        <w:rPr>
          <w:rtl/>
        </w:rPr>
      </w:pPr>
    </w:p>
    <w:p w14:paraId="79171951" w14:textId="77777777" w:rsidR="00EF14CD" w:rsidRDefault="00EF14CD" w:rsidP="00EF14CD">
      <w:pPr>
        <w:spacing w:line="360" w:lineRule="auto"/>
        <w:jc w:val="both"/>
        <w:rPr>
          <w:rtl/>
        </w:rPr>
      </w:pPr>
      <w:r>
        <w:rPr>
          <w:rFonts w:hint="cs"/>
          <w:rtl/>
        </w:rPr>
        <w:t xml:space="preserve">ראשית, הוצג בפני מסמך שעל פיו הקטנוע נרכש  ב-29.4.13 דהיינו למעלה משנתיים לפני ביצוע העבירות נשוא תיק זה, כך שלא ניתן לקבוע כי הקטנוע נרכש כתוצאה מביצוע עבירת סמים, שנית, לא מצאתי כל קשר בין עבירת הסמים שבה הורשע הנאשם לבין השימוש בקטנוע. לפיכך הקטנוע הנ"ל יוחזר לרשות הנאשם. </w:t>
      </w:r>
    </w:p>
    <w:p w14:paraId="06332527" w14:textId="77777777" w:rsidR="00EF14CD" w:rsidRPr="00B05847" w:rsidRDefault="00EF14CD" w:rsidP="00EF14CD">
      <w:pPr>
        <w:spacing w:line="360" w:lineRule="auto"/>
        <w:jc w:val="both"/>
        <w:rPr>
          <w:rtl/>
        </w:rPr>
      </w:pPr>
      <w:r>
        <w:rPr>
          <w:rFonts w:hint="cs"/>
          <w:rtl/>
        </w:rPr>
        <w:t xml:space="preserve">זכות ערעור תוך 45 ימים מהיום. </w:t>
      </w:r>
    </w:p>
    <w:p w14:paraId="7324EBDB" w14:textId="77777777" w:rsidR="00EF14CD" w:rsidRPr="00C140E4" w:rsidRDefault="00C140E4" w:rsidP="00EF14CD">
      <w:pPr>
        <w:rPr>
          <w:color w:val="FFFFFF"/>
          <w:sz w:val="2"/>
          <w:szCs w:val="2"/>
          <w:rtl/>
        </w:rPr>
      </w:pPr>
      <w:r w:rsidRPr="00C140E4">
        <w:rPr>
          <w:color w:val="FFFFFF"/>
          <w:sz w:val="2"/>
          <w:szCs w:val="2"/>
          <w:rtl/>
        </w:rPr>
        <w:t>5129371</w:t>
      </w:r>
    </w:p>
    <w:p w14:paraId="6A793494" w14:textId="77777777" w:rsidR="00EF14CD" w:rsidRPr="002B585D" w:rsidRDefault="00C140E4" w:rsidP="00EF14CD">
      <w:pPr>
        <w:spacing w:line="360" w:lineRule="auto"/>
        <w:jc w:val="both"/>
      </w:pPr>
      <w:r w:rsidRPr="00C140E4">
        <w:rPr>
          <w:rFonts w:ascii="Arial" w:hAnsi="Arial"/>
          <w:color w:val="FFFFFF"/>
          <w:sz w:val="2"/>
          <w:szCs w:val="2"/>
          <w:rtl/>
        </w:rPr>
        <w:t>54678313</w:t>
      </w:r>
      <w:r>
        <w:rPr>
          <w:rFonts w:ascii="Arial" w:hAnsi="Arial"/>
          <w:rtl/>
        </w:rPr>
        <w:t xml:space="preserve">ניתן היום,  כ"ח חשוון תשע"ז, 29 נובמבר 2016, במעמד הצדדים.      </w:t>
      </w:r>
      <w:r w:rsidR="00EF14CD">
        <w:rPr>
          <w:rFonts w:hint="cs"/>
          <w:rtl/>
        </w:rPr>
        <w:tab/>
      </w:r>
    </w:p>
    <w:p w14:paraId="46E31411" w14:textId="77777777" w:rsidR="00EF14CD" w:rsidRPr="002B585D" w:rsidRDefault="00EF14CD" w:rsidP="00EF14CD">
      <w:pPr>
        <w:spacing w:line="360" w:lineRule="auto"/>
        <w:jc w:val="both"/>
        <w:rPr>
          <w:rFonts w:ascii="Arial" w:hAnsi="Arial"/>
          <w:rtl/>
        </w:rPr>
      </w:pPr>
    </w:p>
    <w:p w14:paraId="1085A526" w14:textId="77777777" w:rsidR="00EF14CD" w:rsidRDefault="00EF14CD" w:rsidP="00EF14CD">
      <w:pPr>
        <w:rPr>
          <w:rFonts w:cs="FrankRuehl"/>
          <w:sz w:val="28"/>
          <w:szCs w:val="28"/>
          <w:rtl/>
        </w:rPr>
      </w:pPr>
    </w:p>
    <w:p w14:paraId="721D5587" w14:textId="77777777" w:rsidR="00EF14CD" w:rsidRDefault="00EF14CD" w:rsidP="00EF14CD">
      <w:pPr>
        <w:pStyle w:val="a3"/>
        <w:jc w:val="center"/>
        <w:rPr>
          <w:rtl/>
        </w:rPr>
      </w:pPr>
      <w:r>
        <w:rPr>
          <w:rtl/>
        </w:rPr>
        <w:tab/>
      </w:r>
      <w:r>
        <w:rPr>
          <w:rtl/>
        </w:rPr>
        <w:tab/>
      </w:r>
      <w:r>
        <w:rPr>
          <w:rFonts w:hint="cs"/>
          <w:rtl/>
        </w:rPr>
        <w:t>___________________</w:t>
      </w:r>
    </w:p>
    <w:p w14:paraId="6A671B1E" w14:textId="77777777" w:rsidR="00EF14CD" w:rsidRDefault="005D076D" w:rsidP="00EF14CD">
      <w:pPr>
        <w:pStyle w:val="a3"/>
        <w:jc w:val="center"/>
        <w:rPr>
          <w:rtl/>
        </w:rPr>
      </w:pPr>
      <w:r w:rsidRPr="005D076D">
        <w:rPr>
          <w:color w:val="FFFFFF"/>
          <w:sz w:val="2"/>
          <w:szCs w:val="2"/>
          <w:rtl/>
        </w:rPr>
        <w:t>5129371</w:t>
      </w:r>
      <w:r w:rsidR="00EF14CD">
        <w:rPr>
          <w:rtl/>
        </w:rPr>
        <w:tab/>
      </w:r>
      <w:r w:rsidR="00EF14CD">
        <w:rPr>
          <w:rtl/>
        </w:rPr>
        <w:tab/>
      </w:r>
      <w:r w:rsidR="00EF14CD">
        <w:rPr>
          <w:rFonts w:hint="cs"/>
          <w:rtl/>
        </w:rPr>
        <w:t>צבי גורפינקל, שופט עמית</w:t>
      </w:r>
    </w:p>
    <w:p w14:paraId="10885080" w14:textId="77777777" w:rsidR="00C140E4" w:rsidRDefault="00C140E4" w:rsidP="00C140E4">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r w:rsidR="00E873C8">
        <w:rPr>
          <w:rFonts w:hint="cs"/>
          <w:color w:val="0000FF"/>
          <w:u w:val="single"/>
          <w:rtl/>
        </w:rPr>
        <w:t xml:space="preserve"> </w:t>
      </w:r>
    </w:p>
    <w:p w14:paraId="588508FA" w14:textId="77777777" w:rsidR="005D076D" w:rsidRPr="005D076D" w:rsidRDefault="005D076D" w:rsidP="005D076D">
      <w:pPr>
        <w:keepNext/>
        <w:rPr>
          <w:rFonts w:ascii="David" w:hAnsi="David"/>
          <w:color w:val="000000"/>
          <w:sz w:val="22"/>
          <w:szCs w:val="22"/>
          <w:rtl/>
        </w:rPr>
      </w:pPr>
    </w:p>
    <w:p w14:paraId="02B64DCB" w14:textId="77777777" w:rsidR="005D076D" w:rsidRPr="005D076D" w:rsidRDefault="005D076D" w:rsidP="005D076D">
      <w:pPr>
        <w:keepNext/>
        <w:rPr>
          <w:rFonts w:ascii="David" w:hAnsi="David"/>
          <w:color w:val="000000"/>
          <w:sz w:val="22"/>
          <w:szCs w:val="22"/>
          <w:rtl/>
        </w:rPr>
      </w:pPr>
      <w:r w:rsidRPr="005D076D">
        <w:rPr>
          <w:rFonts w:ascii="David" w:hAnsi="David"/>
          <w:color w:val="000000"/>
          <w:sz w:val="22"/>
          <w:szCs w:val="22"/>
          <w:rtl/>
        </w:rPr>
        <w:t>צבי גורפינקל  54678313-/</w:t>
      </w:r>
    </w:p>
    <w:p w14:paraId="26D31899" w14:textId="77777777" w:rsidR="00B35717" w:rsidRPr="00C140E4" w:rsidRDefault="005D076D" w:rsidP="005D076D">
      <w:pPr>
        <w:rPr>
          <w:color w:val="0000FF"/>
          <w:u w:val="single"/>
        </w:rPr>
      </w:pPr>
      <w:r w:rsidRPr="005D076D">
        <w:rPr>
          <w:color w:val="000000"/>
          <w:u w:val="single"/>
          <w:rtl/>
        </w:rPr>
        <w:t>נוסח מסמך זה כפוף לשינויי ניסוח ועריכה</w:t>
      </w:r>
    </w:p>
    <w:sectPr w:rsidR="00B35717" w:rsidRPr="00C140E4" w:rsidSect="005D076D">
      <w:headerReference w:type="even" r:id="rId18"/>
      <w:headerReference w:type="default" r:id="rId19"/>
      <w:footerReference w:type="even" r:id="rId20"/>
      <w:footerReference w:type="default" r:id="rId2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BD8914" w14:textId="77777777" w:rsidR="00BF721A" w:rsidRDefault="00BF721A">
      <w:r>
        <w:separator/>
      </w:r>
    </w:p>
  </w:endnote>
  <w:endnote w:type="continuationSeparator" w:id="0">
    <w:p w14:paraId="545CF3B4" w14:textId="77777777" w:rsidR="00BF721A" w:rsidRDefault="00BF7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FFA3E" w14:textId="77777777" w:rsidR="00F16FB0" w:rsidRDefault="00F16FB0" w:rsidP="005D076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52FF70A" w14:textId="77777777" w:rsidR="00F16FB0" w:rsidRPr="005D076D" w:rsidRDefault="00F16FB0" w:rsidP="005D076D">
    <w:pPr>
      <w:pStyle w:val="a4"/>
      <w:pBdr>
        <w:top w:val="single" w:sz="4" w:space="1" w:color="auto"/>
        <w:between w:val="single" w:sz="4" w:space="0" w:color="auto"/>
      </w:pBdr>
      <w:spacing w:after="60"/>
      <w:jc w:val="center"/>
      <w:rPr>
        <w:rFonts w:ascii="FrankRuehl" w:hAnsi="FrankRuehl" w:cs="FrankRuehl"/>
        <w:color w:val="000000"/>
      </w:rPr>
    </w:pPr>
    <w:r w:rsidRPr="005D076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C5DEA" w14:textId="77777777" w:rsidR="00F16FB0" w:rsidRDefault="00F16FB0" w:rsidP="005D076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34A88">
      <w:rPr>
        <w:rFonts w:ascii="FrankRuehl" w:hAnsi="FrankRuehl" w:cs="FrankRuehl"/>
        <w:noProof/>
        <w:rtl/>
      </w:rPr>
      <w:t>1</w:t>
    </w:r>
    <w:r>
      <w:rPr>
        <w:rFonts w:ascii="FrankRuehl" w:hAnsi="FrankRuehl" w:cs="FrankRuehl"/>
        <w:rtl/>
      </w:rPr>
      <w:fldChar w:fldCharType="end"/>
    </w:r>
  </w:p>
  <w:p w14:paraId="60EB853D" w14:textId="77777777" w:rsidR="00F16FB0" w:rsidRPr="005D076D" w:rsidRDefault="00F16FB0" w:rsidP="005D076D">
    <w:pPr>
      <w:pStyle w:val="a4"/>
      <w:pBdr>
        <w:top w:val="single" w:sz="4" w:space="1" w:color="auto"/>
        <w:between w:val="single" w:sz="4" w:space="0" w:color="auto"/>
      </w:pBdr>
      <w:spacing w:after="60"/>
      <w:jc w:val="center"/>
      <w:rPr>
        <w:rFonts w:ascii="FrankRuehl" w:hAnsi="FrankRuehl" w:cs="FrankRuehl"/>
        <w:color w:val="000000"/>
      </w:rPr>
    </w:pPr>
    <w:r w:rsidRPr="005D076D">
      <w:rPr>
        <w:rFonts w:ascii="FrankRuehl" w:hAnsi="FrankRuehl" w:cs="FrankRuehl"/>
        <w:color w:val="000000"/>
      </w:rPr>
      <w:pict w14:anchorId="472BE1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5BCF17" w14:textId="77777777" w:rsidR="00BF721A" w:rsidRDefault="00BF721A">
      <w:r>
        <w:separator/>
      </w:r>
    </w:p>
  </w:footnote>
  <w:footnote w:type="continuationSeparator" w:id="0">
    <w:p w14:paraId="1C9F3584" w14:textId="77777777" w:rsidR="00BF721A" w:rsidRDefault="00BF72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4A2DE" w14:textId="77777777" w:rsidR="00F16FB0" w:rsidRPr="005D076D" w:rsidRDefault="00F16FB0" w:rsidP="005D076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9736-03-16</w:t>
    </w:r>
    <w:r>
      <w:rPr>
        <w:rFonts w:ascii="David" w:hAnsi="David"/>
        <w:color w:val="000000"/>
        <w:sz w:val="22"/>
        <w:szCs w:val="22"/>
        <w:rtl/>
      </w:rPr>
      <w:tab/>
      <w:t xml:space="preserve"> מדינת ישראל נ' מאור אפללו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00A96" w14:textId="77777777" w:rsidR="00F16FB0" w:rsidRPr="005D076D" w:rsidRDefault="00F16FB0" w:rsidP="005D076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9736-03-16</w:t>
    </w:r>
    <w:r>
      <w:rPr>
        <w:rFonts w:ascii="David" w:hAnsi="David"/>
        <w:color w:val="000000"/>
        <w:sz w:val="22"/>
        <w:szCs w:val="22"/>
        <w:rtl/>
      </w:rPr>
      <w:tab/>
      <w:t xml:space="preserve"> מדינת ישראל נ' מאור אפללו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F14CD"/>
    <w:rsid w:val="00004B4A"/>
    <w:rsid w:val="000258C6"/>
    <w:rsid w:val="00092DB2"/>
    <w:rsid w:val="000B222D"/>
    <w:rsid w:val="000F3716"/>
    <w:rsid w:val="000F776E"/>
    <w:rsid w:val="00111E9D"/>
    <w:rsid w:val="001163D9"/>
    <w:rsid w:val="00123268"/>
    <w:rsid w:val="0013605C"/>
    <w:rsid w:val="0015154B"/>
    <w:rsid w:val="0017711A"/>
    <w:rsid w:val="001809CA"/>
    <w:rsid w:val="00203146"/>
    <w:rsid w:val="002474C9"/>
    <w:rsid w:val="002B1389"/>
    <w:rsid w:val="002D2C1C"/>
    <w:rsid w:val="002E4BA2"/>
    <w:rsid w:val="00327617"/>
    <w:rsid w:val="00371D27"/>
    <w:rsid w:val="00374124"/>
    <w:rsid w:val="003C709F"/>
    <w:rsid w:val="003D65D3"/>
    <w:rsid w:val="003E51B4"/>
    <w:rsid w:val="003F02C5"/>
    <w:rsid w:val="004D1A95"/>
    <w:rsid w:val="004D5997"/>
    <w:rsid w:val="00533D5C"/>
    <w:rsid w:val="00551C5E"/>
    <w:rsid w:val="005638FB"/>
    <w:rsid w:val="00582B08"/>
    <w:rsid w:val="005847C1"/>
    <w:rsid w:val="005B4DDE"/>
    <w:rsid w:val="005D076D"/>
    <w:rsid w:val="005D7467"/>
    <w:rsid w:val="005E305D"/>
    <w:rsid w:val="00671477"/>
    <w:rsid w:val="006D1E81"/>
    <w:rsid w:val="00710EDB"/>
    <w:rsid w:val="007171C2"/>
    <w:rsid w:val="00720984"/>
    <w:rsid w:val="007900C5"/>
    <w:rsid w:val="007A3B68"/>
    <w:rsid w:val="007D10E0"/>
    <w:rsid w:val="007E62CB"/>
    <w:rsid w:val="008043FC"/>
    <w:rsid w:val="008057C3"/>
    <w:rsid w:val="00860D56"/>
    <w:rsid w:val="00866CE3"/>
    <w:rsid w:val="00875CAA"/>
    <w:rsid w:val="008760F0"/>
    <w:rsid w:val="008B2C82"/>
    <w:rsid w:val="008D4AF6"/>
    <w:rsid w:val="00901DEA"/>
    <w:rsid w:val="00902C78"/>
    <w:rsid w:val="00913EC5"/>
    <w:rsid w:val="00946CA3"/>
    <w:rsid w:val="009742C4"/>
    <w:rsid w:val="009A4E50"/>
    <w:rsid w:val="009A720E"/>
    <w:rsid w:val="009B4682"/>
    <w:rsid w:val="009D03B5"/>
    <w:rsid w:val="00A03304"/>
    <w:rsid w:val="00A24369"/>
    <w:rsid w:val="00A472AB"/>
    <w:rsid w:val="00A52B25"/>
    <w:rsid w:val="00A96648"/>
    <w:rsid w:val="00AE1669"/>
    <w:rsid w:val="00B07251"/>
    <w:rsid w:val="00B10E9A"/>
    <w:rsid w:val="00B24722"/>
    <w:rsid w:val="00B35717"/>
    <w:rsid w:val="00B47E2E"/>
    <w:rsid w:val="00B6502B"/>
    <w:rsid w:val="00B73086"/>
    <w:rsid w:val="00B73E69"/>
    <w:rsid w:val="00B922D9"/>
    <w:rsid w:val="00B970C5"/>
    <w:rsid w:val="00BA5B6F"/>
    <w:rsid w:val="00BD5087"/>
    <w:rsid w:val="00BF5C5D"/>
    <w:rsid w:val="00BF721A"/>
    <w:rsid w:val="00C140E4"/>
    <w:rsid w:val="00C22EAD"/>
    <w:rsid w:val="00C25259"/>
    <w:rsid w:val="00C303EF"/>
    <w:rsid w:val="00C66536"/>
    <w:rsid w:val="00C6661F"/>
    <w:rsid w:val="00C9418A"/>
    <w:rsid w:val="00D11A80"/>
    <w:rsid w:val="00D2431F"/>
    <w:rsid w:val="00D308EF"/>
    <w:rsid w:val="00D357B5"/>
    <w:rsid w:val="00D40041"/>
    <w:rsid w:val="00D56203"/>
    <w:rsid w:val="00D807AC"/>
    <w:rsid w:val="00DD36BA"/>
    <w:rsid w:val="00DE1662"/>
    <w:rsid w:val="00E45CCB"/>
    <w:rsid w:val="00E61C95"/>
    <w:rsid w:val="00E873C8"/>
    <w:rsid w:val="00EA60CD"/>
    <w:rsid w:val="00EE2A1B"/>
    <w:rsid w:val="00EF14CD"/>
    <w:rsid w:val="00F16FB0"/>
    <w:rsid w:val="00F274FE"/>
    <w:rsid w:val="00F34A88"/>
    <w:rsid w:val="00FF3C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2334F37"/>
  <w15:chartTrackingRefBased/>
  <w15:docId w15:val="{50163CC3-956D-46E7-8605-F5411D3D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F14CD"/>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EF14CD"/>
    <w:pPr>
      <w:tabs>
        <w:tab w:val="center" w:pos="4153"/>
        <w:tab w:val="right" w:pos="8306"/>
      </w:tabs>
    </w:pPr>
  </w:style>
  <w:style w:type="paragraph" w:styleId="a4">
    <w:name w:val="footer"/>
    <w:basedOn w:val="a"/>
    <w:rsid w:val="00EF14CD"/>
    <w:pPr>
      <w:tabs>
        <w:tab w:val="center" w:pos="4153"/>
        <w:tab w:val="right" w:pos="8306"/>
      </w:tabs>
    </w:pPr>
  </w:style>
  <w:style w:type="character" w:styleId="a5">
    <w:name w:val="page number"/>
    <w:basedOn w:val="a0"/>
    <w:rsid w:val="00EF14CD"/>
  </w:style>
  <w:style w:type="character" w:styleId="Hyperlink">
    <w:name w:val="Hyperlink"/>
    <w:rsid w:val="00C140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law/4216/7.a.;7.c"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4216/7.a." TargetMode="External"/><Relationship Id="rId12" Type="http://schemas.openxmlformats.org/officeDocument/2006/relationships/hyperlink" Target="http://www.nevo.co.il/law/4216/7.a.;7.c" TargetMode="External"/><Relationship Id="rId17"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case/5627119"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theme" Target="theme/theme1.xml"/><Relationship Id="rId10" Type="http://schemas.openxmlformats.org/officeDocument/2006/relationships/hyperlink" Target="http://www.nevo.co.il/law/4216/13"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law/4216"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1131</Words>
  <Characters>5658</Characters>
  <Application>Microsoft Office Word</Application>
  <DocSecurity>0</DocSecurity>
  <Lines>47</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6776</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4128884</vt:i4>
      </vt:variant>
      <vt:variant>
        <vt:i4>30</vt:i4>
      </vt:variant>
      <vt:variant>
        <vt:i4>0</vt:i4>
      </vt:variant>
      <vt:variant>
        <vt:i4>5</vt:i4>
      </vt:variant>
      <vt:variant>
        <vt:lpwstr>http://www.nevo.co.il/case/5627119</vt:lpwstr>
      </vt:variant>
      <vt:variant>
        <vt:lpwstr/>
      </vt:variant>
      <vt:variant>
        <vt:i4>8257637</vt:i4>
      </vt:variant>
      <vt:variant>
        <vt:i4>27</vt:i4>
      </vt:variant>
      <vt:variant>
        <vt:i4>0</vt:i4>
      </vt:variant>
      <vt:variant>
        <vt:i4>5</vt:i4>
      </vt:variant>
      <vt:variant>
        <vt:lpwstr>http://www.nevo.co.il/law/4216</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8257637</vt:i4>
      </vt:variant>
      <vt:variant>
        <vt:i4>15</vt:i4>
      </vt:variant>
      <vt:variant>
        <vt:i4>0</vt:i4>
      </vt:variant>
      <vt:variant>
        <vt:i4>5</vt:i4>
      </vt:variant>
      <vt:variant>
        <vt:lpwstr>http://www.nevo.co.il/law/4216</vt:lpwstr>
      </vt:variant>
      <vt:variant>
        <vt:lpwstr/>
      </vt:variant>
      <vt:variant>
        <vt:i4>5177418</vt:i4>
      </vt:variant>
      <vt:variant>
        <vt:i4>12</vt:i4>
      </vt:variant>
      <vt:variant>
        <vt:i4>0</vt:i4>
      </vt:variant>
      <vt:variant>
        <vt:i4>5</vt:i4>
      </vt:variant>
      <vt:variant>
        <vt:lpwstr>http://www.nevo.co.il/law/4216/13</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2025-04-22T20:44:00Z</dcterms:created>
  <dcterms:modified xsi:type="dcterms:W3CDTF">2025-04-22T20:44:00Z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9736</vt:lpwstr>
  </property>
  <property fmtid="{D5CDD505-2E9C-101B-9397-08002B2CF9AE}" pid="6" name="NEWPARTB">
    <vt:lpwstr>03</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מאור אפללו  </vt:lpwstr>
  </property>
  <property fmtid="{D5CDD505-2E9C-101B-9397-08002B2CF9AE}" pid="10" name="LAWYER">
    <vt:lpwstr>אלון סיון;שי רודה</vt:lpwstr>
  </property>
  <property fmtid="{D5CDD505-2E9C-101B-9397-08002B2CF9AE}" pid="11" name="JUDGE">
    <vt:lpwstr>צבי גורפינקל </vt:lpwstr>
  </property>
  <property fmtid="{D5CDD505-2E9C-101B-9397-08002B2CF9AE}" pid="12" name="CITY">
    <vt:lpwstr>ת"א</vt:lpwstr>
  </property>
  <property fmtid="{D5CDD505-2E9C-101B-9397-08002B2CF9AE}" pid="13" name="DATE">
    <vt:lpwstr>20161129</vt:lpwstr>
  </property>
  <property fmtid="{D5CDD505-2E9C-101B-9397-08002B2CF9AE}" pid="14" name="TYPE_N_DATE">
    <vt:lpwstr>39020161129</vt:lpwstr>
  </property>
  <property fmtid="{D5CDD505-2E9C-101B-9397-08002B2CF9AE}" pid="15" name="WORDNUMPAGES">
    <vt:lpwstr>4</vt:lpwstr>
  </property>
  <property fmtid="{D5CDD505-2E9C-101B-9397-08002B2CF9AE}" pid="16" name="TYPE_ABS_DATE">
    <vt:lpwstr>390020161129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5627119</vt:lpwstr>
  </property>
  <property fmtid="{D5CDD505-2E9C-101B-9397-08002B2CF9AE}" pid="36" name="LAWLISTTMP1">
    <vt:lpwstr>4216/013;007.a:2;007.c:2</vt:lpwstr>
  </property>
</Properties>
</file>