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A42183" w:rsidRPr="00896B1B" w14:paraId="66E5931A" w14:textId="77777777" w:rsidTr="00085B67">
        <w:trPr>
          <w:trHeight w:hRule="exact" w:val="567"/>
          <w:jc w:val="center"/>
        </w:trPr>
        <w:tc>
          <w:tcPr>
            <w:tcW w:w="8721" w:type="dxa"/>
            <w:gridSpan w:val="2"/>
          </w:tcPr>
          <w:p w14:paraId="4900CD78" w14:textId="77777777" w:rsidR="00A42183" w:rsidRPr="00896B1B" w:rsidRDefault="00A42183" w:rsidP="006A548B">
            <w:pPr>
              <w:pStyle w:val="a3"/>
              <w:jc w:val="center"/>
              <w:rPr>
                <w:sz w:val="28"/>
                <w:szCs w:val="28"/>
                <w:rtl/>
              </w:rPr>
            </w:pPr>
            <w:bookmarkStart w:id="0" w:name="LastJudge"/>
            <w:r w:rsidRPr="00896B1B">
              <w:rPr>
                <w:rFonts w:ascii="Tahoma" w:hAnsi="Tahoma"/>
                <w:b/>
                <w:bCs/>
                <w:color w:val="000080"/>
                <w:sz w:val="28"/>
                <w:szCs w:val="28"/>
                <w:rtl/>
              </w:rPr>
              <w:t>בית המשפט המחוזי בירושלים</w:t>
            </w:r>
          </w:p>
          <w:p w14:paraId="3ED75BB2" w14:textId="77777777" w:rsidR="00A42183" w:rsidRPr="00896B1B" w:rsidRDefault="00A42183" w:rsidP="006A548B">
            <w:pPr>
              <w:pStyle w:val="a3"/>
              <w:jc w:val="center"/>
              <w:rPr>
                <w:rFonts w:ascii="Tahoma" w:hAnsi="Tahoma" w:cs="Tahoma"/>
                <w:b/>
                <w:bCs/>
                <w:color w:val="000080"/>
                <w:rtl/>
              </w:rPr>
            </w:pPr>
            <w:r w:rsidRPr="00896B1B">
              <w:rPr>
                <w:rFonts w:ascii="Tahoma" w:hAnsi="Tahoma" w:hint="cs"/>
                <w:b/>
                <w:bCs/>
                <w:color w:val="000080"/>
                <w:sz w:val="28"/>
                <w:szCs w:val="28"/>
                <w:rtl/>
              </w:rPr>
              <w:t>לפני כב' השופט אברהם רובין</w:t>
            </w:r>
          </w:p>
        </w:tc>
      </w:tr>
      <w:tr w:rsidR="00A42183" w:rsidRPr="00896B1B" w14:paraId="356F5835" w14:textId="77777777" w:rsidTr="00085B67">
        <w:trPr>
          <w:trHeight w:val="337"/>
          <w:jc w:val="center"/>
        </w:trPr>
        <w:tc>
          <w:tcPr>
            <w:tcW w:w="5053" w:type="dxa"/>
          </w:tcPr>
          <w:p w14:paraId="10494BAD" w14:textId="77777777" w:rsidR="00A42183" w:rsidRPr="00896B1B" w:rsidRDefault="00A42183" w:rsidP="006A548B">
            <w:pPr>
              <w:rPr>
                <w:b/>
                <w:bCs/>
                <w:sz w:val="26"/>
                <w:szCs w:val="26"/>
                <w:rtl/>
              </w:rPr>
            </w:pPr>
            <w:r w:rsidRPr="00896B1B">
              <w:rPr>
                <w:b/>
                <w:bCs/>
                <w:sz w:val="22"/>
                <w:szCs w:val="22"/>
                <w:rtl/>
              </w:rPr>
              <w:t>ת"פ</w:t>
            </w:r>
            <w:r w:rsidRPr="00896B1B">
              <w:rPr>
                <w:rFonts w:hint="cs"/>
                <w:b/>
                <w:bCs/>
                <w:sz w:val="26"/>
                <w:szCs w:val="26"/>
                <w:rtl/>
              </w:rPr>
              <w:t xml:space="preserve"> </w:t>
            </w:r>
            <w:r w:rsidRPr="00896B1B">
              <w:rPr>
                <w:b/>
                <w:bCs/>
                <w:sz w:val="22"/>
                <w:szCs w:val="22"/>
                <w:rtl/>
              </w:rPr>
              <w:t>1870-04-16</w:t>
            </w:r>
            <w:r w:rsidRPr="00896B1B">
              <w:rPr>
                <w:rFonts w:hint="cs"/>
                <w:b/>
                <w:bCs/>
                <w:sz w:val="26"/>
                <w:szCs w:val="26"/>
                <w:rtl/>
              </w:rPr>
              <w:t xml:space="preserve"> </w:t>
            </w:r>
            <w:r w:rsidRPr="00896B1B">
              <w:rPr>
                <w:b/>
                <w:bCs/>
                <w:sz w:val="22"/>
                <w:szCs w:val="22"/>
                <w:rtl/>
              </w:rPr>
              <w:t>מדינת ישראל נ' אגם</w:t>
            </w:r>
          </w:p>
          <w:p w14:paraId="66E8EFA8" w14:textId="77777777" w:rsidR="00A42183" w:rsidRPr="00896B1B" w:rsidRDefault="00A42183" w:rsidP="006A548B">
            <w:pPr>
              <w:pStyle w:val="a3"/>
              <w:rPr>
                <w:rFonts w:cs="FrankRuehl"/>
                <w:sz w:val="28"/>
                <w:szCs w:val="28"/>
                <w:rtl/>
              </w:rPr>
            </w:pPr>
          </w:p>
        </w:tc>
        <w:tc>
          <w:tcPr>
            <w:tcW w:w="3668" w:type="dxa"/>
          </w:tcPr>
          <w:p w14:paraId="113EE8A2" w14:textId="77777777" w:rsidR="00A42183" w:rsidRPr="00896B1B" w:rsidRDefault="00A42183" w:rsidP="006A548B">
            <w:pPr>
              <w:pStyle w:val="a3"/>
              <w:jc w:val="right"/>
              <w:rPr>
                <w:rFonts w:cs="FrankRuehl"/>
                <w:sz w:val="28"/>
                <w:szCs w:val="28"/>
                <w:rtl/>
              </w:rPr>
            </w:pPr>
          </w:p>
        </w:tc>
      </w:tr>
    </w:tbl>
    <w:p w14:paraId="0B97BC6E" w14:textId="77777777" w:rsidR="00A42183" w:rsidRPr="00896B1B" w:rsidRDefault="00A42183" w:rsidP="00A42183">
      <w:pPr>
        <w:pStyle w:val="a3"/>
        <w:rPr>
          <w:rtl/>
        </w:rPr>
      </w:pPr>
      <w:r w:rsidRPr="00896B1B">
        <w:rPr>
          <w:rFonts w:hint="cs"/>
          <w:rtl/>
        </w:rPr>
        <w:t xml:space="preserve"> </w:t>
      </w:r>
    </w:p>
    <w:p w14:paraId="57246CE6" w14:textId="77777777" w:rsidR="00A42183" w:rsidRPr="00896B1B" w:rsidRDefault="00A42183" w:rsidP="00A42183">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42183" w:rsidRPr="00896B1B" w14:paraId="12E3EF8E" w14:textId="77777777" w:rsidTr="00A42183">
        <w:trPr>
          <w:trHeight w:val="295"/>
          <w:jc w:val="center"/>
        </w:trPr>
        <w:tc>
          <w:tcPr>
            <w:tcW w:w="945" w:type="dxa"/>
            <w:tcBorders>
              <w:top w:val="nil"/>
              <w:left w:val="nil"/>
              <w:bottom w:val="nil"/>
              <w:right w:val="nil"/>
            </w:tcBorders>
            <w:shd w:val="clear" w:color="auto" w:fill="auto"/>
          </w:tcPr>
          <w:p w14:paraId="2B72A273" w14:textId="77777777" w:rsidR="00A42183" w:rsidRPr="00896B1B" w:rsidRDefault="00A42183" w:rsidP="00A42183">
            <w:pPr>
              <w:jc w:val="both"/>
              <w:rPr>
                <w:rFonts w:ascii="Arial" w:hAnsi="Arial"/>
                <w:b/>
                <w:bCs/>
                <w:sz w:val="28"/>
                <w:szCs w:val="28"/>
              </w:rPr>
            </w:pPr>
          </w:p>
        </w:tc>
        <w:tc>
          <w:tcPr>
            <w:tcW w:w="7875" w:type="dxa"/>
            <w:gridSpan w:val="2"/>
            <w:tcBorders>
              <w:top w:val="nil"/>
              <w:left w:val="nil"/>
              <w:bottom w:val="nil"/>
              <w:right w:val="nil"/>
            </w:tcBorders>
            <w:shd w:val="clear" w:color="auto" w:fill="auto"/>
          </w:tcPr>
          <w:p w14:paraId="67CEE905" w14:textId="77777777" w:rsidR="00A42183" w:rsidRPr="00896B1B" w:rsidRDefault="00A42183" w:rsidP="006A548B">
            <w:pPr>
              <w:rPr>
                <w:b/>
                <w:bCs/>
                <w:sz w:val="28"/>
                <w:szCs w:val="28"/>
                <w:rtl/>
              </w:rPr>
            </w:pPr>
          </w:p>
          <w:p w14:paraId="07CE5D74" w14:textId="77777777" w:rsidR="00A42183" w:rsidRPr="00896B1B" w:rsidRDefault="00A42183" w:rsidP="00A42183">
            <w:pPr>
              <w:jc w:val="both"/>
              <w:rPr>
                <w:rFonts w:ascii="Arial" w:hAnsi="Arial"/>
                <w:b/>
                <w:bCs/>
                <w:sz w:val="28"/>
                <w:szCs w:val="28"/>
              </w:rPr>
            </w:pPr>
          </w:p>
        </w:tc>
      </w:tr>
      <w:tr w:rsidR="00A42183" w:rsidRPr="00896B1B" w14:paraId="07ACC13D" w14:textId="77777777" w:rsidTr="00A42183">
        <w:trPr>
          <w:trHeight w:val="355"/>
          <w:jc w:val="center"/>
        </w:trPr>
        <w:tc>
          <w:tcPr>
            <w:tcW w:w="945" w:type="dxa"/>
            <w:tcBorders>
              <w:top w:val="nil"/>
              <w:left w:val="nil"/>
              <w:bottom w:val="nil"/>
              <w:right w:val="nil"/>
            </w:tcBorders>
            <w:shd w:val="clear" w:color="auto" w:fill="auto"/>
          </w:tcPr>
          <w:p w14:paraId="4D69C7D8" w14:textId="77777777" w:rsidR="00A42183" w:rsidRPr="00896B1B" w:rsidRDefault="00A42183" w:rsidP="00A42183">
            <w:pPr>
              <w:jc w:val="both"/>
              <w:rPr>
                <w:rFonts w:ascii="Arial" w:hAnsi="Arial"/>
                <w:b/>
                <w:bCs/>
                <w:sz w:val="28"/>
                <w:szCs w:val="28"/>
              </w:rPr>
            </w:pPr>
            <w:bookmarkStart w:id="1" w:name="FirstAppellant"/>
            <w:r w:rsidRPr="00896B1B">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E247837" w14:textId="77777777" w:rsidR="00A42183" w:rsidRPr="00896B1B" w:rsidRDefault="00A42183" w:rsidP="006A548B">
            <w:pPr>
              <w:rPr>
                <w:b/>
                <w:bCs/>
                <w:sz w:val="28"/>
                <w:szCs w:val="28"/>
              </w:rPr>
            </w:pPr>
            <w:r w:rsidRPr="00896B1B">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0824D284" w14:textId="77777777" w:rsidR="00A42183" w:rsidRPr="00896B1B" w:rsidRDefault="00A42183" w:rsidP="00A42183">
            <w:pPr>
              <w:jc w:val="both"/>
              <w:rPr>
                <w:rFonts w:ascii="Arial" w:hAnsi="Arial"/>
                <w:b/>
                <w:bCs/>
                <w:sz w:val="28"/>
                <w:szCs w:val="28"/>
              </w:rPr>
            </w:pPr>
            <w:r w:rsidRPr="00896B1B">
              <w:rPr>
                <w:rFonts w:ascii="Arial" w:hAnsi="Arial" w:hint="cs"/>
                <w:b/>
                <w:bCs/>
                <w:sz w:val="28"/>
                <w:szCs w:val="28"/>
                <w:rtl/>
              </w:rPr>
              <w:t>המאשימה</w:t>
            </w:r>
          </w:p>
        </w:tc>
      </w:tr>
      <w:bookmarkEnd w:id="1"/>
      <w:tr w:rsidR="00A42183" w:rsidRPr="00896B1B" w14:paraId="2961A2D7" w14:textId="77777777" w:rsidTr="00A42183">
        <w:trPr>
          <w:trHeight w:val="355"/>
          <w:jc w:val="center"/>
        </w:trPr>
        <w:tc>
          <w:tcPr>
            <w:tcW w:w="945" w:type="dxa"/>
            <w:tcBorders>
              <w:top w:val="nil"/>
              <w:left w:val="nil"/>
              <w:bottom w:val="nil"/>
              <w:right w:val="nil"/>
            </w:tcBorders>
            <w:shd w:val="clear" w:color="auto" w:fill="auto"/>
          </w:tcPr>
          <w:p w14:paraId="097DE5E1" w14:textId="77777777" w:rsidR="00A42183" w:rsidRPr="00896B1B" w:rsidRDefault="00A42183" w:rsidP="00A42183">
            <w:pPr>
              <w:jc w:val="both"/>
              <w:rPr>
                <w:rFonts w:ascii="Arial" w:hAnsi="Arial"/>
                <w:b/>
                <w:bCs/>
                <w:sz w:val="28"/>
                <w:szCs w:val="28"/>
                <w:rtl/>
              </w:rPr>
            </w:pPr>
          </w:p>
        </w:tc>
        <w:tc>
          <w:tcPr>
            <w:tcW w:w="4114" w:type="dxa"/>
            <w:tcBorders>
              <w:top w:val="nil"/>
              <w:left w:val="nil"/>
              <w:bottom w:val="nil"/>
              <w:right w:val="nil"/>
            </w:tcBorders>
            <w:shd w:val="clear" w:color="auto" w:fill="auto"/>
          </w:tcPr>
          <w:p w14:paraId="3DE89C5D" w14:textId="77777777" w:rsidR="00A42183" w:rsidRPr="00896B1B" w:rsidRDefault="00A42183" w:rsidP="00A42183">
            <w:pPr>
              <w:jc w:val="both"/>
              <w:rPr>
                <w:b/>
                <w:bCs/>
                <w:sz w:val="28"/>
                <w:szCs w:val="28"/>
                <w:rtl/>
              </w:rPr>
            </w:pPr>
          </w:p>
        </w:tc>
        <w:tc>
          <w:tcPr>
            <w:tcW w:w="3761" w:type="dxa"/>
            <w:tcBorders>
              <w:top w:val="nil"/>
              <w:left w:val="nil"/>
              <w:bottom w:val="nil"/>
              <w:right w:val="nil"/>
            </w:tcBorders>
            <w:shd w:val="clear" w:color="auto" w:fill="auto"/>
          </w:tcPr>
          <w:p w14:paraId="1FC37B65" w14:textId="77777777" w:rsidR="00A42183" w:rsidRPr="00896B1B" w:rsidRDefault="00A42183" w:rsidP="00A42183">
            <w:pPr>
              <w:jc w:val="right"/>
              <w:rPr>
                <w:rFonts w:ascii="Arial" w:hAnsi="Arial"/>
                <w:b/>
                <w:bCs/>
                <w:sz w:val="28"/>
                <w:szCs w:val="28"/>
                <w:rtl/>
              </w:rPr>
            </w:pPr>
          </w:p>
        </w:tc>
      </w:tr>
      <w:tr w:rsidR="00A42183" w:rsidRPr="00896B1B" w14:paraId="36D950C4" w14:textId="77777777" w:rsidTr="00A42183">
        <w:trPr>
          <w:trHeight w:val="355"/>
          <w:jc w:val="center"/>
        </w:trPr>
        <w:tc>
          <w:tcPr>
            <w:tcW w:w="945" w:type="dxa"/>
            <w:tcBorders>
              <w:top w:val="nil"/>
              <w:left w:val="nil"/>
              <w:bottom w:val="nil"/>
              <w:right w:val="nil"/>
            </w:tcBorders>
            <w:shd w:val="clear" w:color="auto" w:fill="auto"/>
          </w:tcPr>
          <w:p w14:paraId="21B0E115" w14:textId="77777777" w:rsidR="00A42183" w:rsidRPr="00896B1B" w:rsidRDefault="00A42183" w:rsidP="00A42183">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9B7A757" w14:textId="77777777" w:rsidR="00A42183" w:rsidRPr="00896B1B" w:rsidRDefault="00A42183" w:rsidP="00A42183">
            <w:pPr>
              <w:jc w:val="center"/>
              <w:rPr>
                <w:rFonts w:ascii="Arial" w:hAnsi="Arial"/>
                <w:b/>
                <w:bCs/>
                <w:sz w:val="28"/>
                <w:szCs w:val="28"/>
                <w:rtl/>
              </w:rPr>
            </w:pPr>
          </w:p>
          <w:p w14:paraId="359B7DBD" w14:textId="77777777" w:rsidR="00A42183" w:rsidRPr="00896B1B" w:rsidRDefault="00A42183" w:rsidP="00A42183">
            <w:pPr>
              <w:tabs>
                <w:tab w:val="left" w:pos="2935"/>
                <w:tab w:val="center" w:pos="3829"/>
              </w:tabs>
              <w:rPr>
                <w:rFonts w:ascii="Arial" w:hAnsi="Arial"/>
                <w:b/>
                <w:bCs/>
                <w:sz w:val="28"/>
                <w:szCs w:val="28"/>
                <w:rtl/>
              </w:rPr>
            </w:pPr>
            <w:r w:rsidRPr="00896B1B">
              <w:rPr>
                <w:rFonts w:ascii="Arial" w:hAnsi="Arial"/>
                <w:b/>
                <w:bCs/>
                <w:sz w:val="28"/>
                <w:szCs w:val="28"/>
                <w:rtl/>
              </w:rPr>
              <w:tab/>
              <w:t>נגד</w:t>
            </w:r>
          </w:p>
          <w:p w14:paraId="293379ED" w14:textId="77777777" w:rsidR="00A42183" w:rsidRPr="00896B1B" w:rsidRDefault="00A42183" w:rsidP="00A42183">
            <w:pPr>
              <w:jc w:val="both"/>
              <w:rPr>
                <w:rFonts w:ascii="Arial" w:hAnsi="Arial"/>
                <w:b/>
                <w:bCs/>
                <w:sz w:val="28"/>
                <w:szCs w:val="28"/>
              </w:rPr>
            </w:pPr>
          </w:p>
        </w:tc>
      </w:tr>
      <w:tr w:rsidR="00A42183" w:rsidRPr="00896B1B" w14:paraId="6DE72F02" w14:textId="77777777" w:rsidTr="00A42183">
        <w:trPr>
          <w:trHeight w:val="355"/>
          <w:jc w:val="center"/>
        </w:trPr>
        <w:tc>
          <w:tcPr>
            <w:tcW w:w="945" w:type="dxa"/>
            <w:tcBorders>
              <w:top w:val="nil"/>
              <w:left w:val="nil"/>
              <w:bottom w:val="nil"/>
              <w:right w:val="nil"/>
            </w:tcBorders>
            <w:shd w:val="clear" w:color="auto" w:fill="auto"/>
          </w:tcPr>
          <w:p w14:paraId="49FC369C" w14:textId="77777777" w:rsidR="00A42183" w:rsidRPr="00896B1B" w:rsidRDefault="00A42183" w:rsidP="006A548B">
            <w:pPr>
              <w:rPr>
                <w:rFonts w:ascii="Arial" w:hAnsi="Arial"/>
                <w:b/>
                <w:bCs/>
                <w:sz w:val="28"/>
                <w:szCs w:val="28"/>
                <w:rtl/>
              </w:rPr>
            </w:pPr>
          </w:p>
        </w:tc>
        <w:tc>
          <w:tcPr>
            <w:tcW w:w="4114" w:type="dxa"/>
            <w:tcBorders>
              <w:top w:val="nil"/>
              <w:left w:val="nil"/>
              <w:bottom w:val="nil"/>
              <w:right w:val="nil"/>
            </w:tcBorders>
            <w:shd w:val="clear" w:color="auto" w:fill="auto"/>
          </w:tcPr>
          <w:p w14:paraId="6BC7DC7B" w14:textId="77777777" w:rsidR="00A42183" w:rsidRPr="00896B1B" w:rsidRDefault="00A42183" w:rsidP="006A548B">
            <w:pPr>
              <w:rPr>
                <w:b/>
                <w:bCs/>
                <w:sz w:val="28"/>
                <w:szCs w:val="28"/>
                <w:rtl/>
              </w:rPr>
            </w:pPr>
            <w:r w:rsidRPr="00896B1B">
              <w:rPr>
                <w:rFonts w:ascii="Arial" w:hAnsi="Arial"/>
                <w:b/>
                <w:bCs/>
                <w:sz w:val="28"/>
                <w:szCs w:val="28"/>
                <w:rtl/>
              </w:rPr>
              <w:t>עופר אגם</w:t>
            </w:r>
          </w:p>
        </w:tc>
        <w:tc>
          <w:tcPr>
            <w:tcW w:w="3761" w:type="dxa"/>
            <w:tcBorders>
              <w:top w:val="nil"/>
              <w:left w:val="nil"/>
              <w:bottom w:val="nil"/>
              <w:right w:val="nil"/>
            </w:tcBorders>
            <w:shd w:val="clear" w:color="auto" w:fill="auto"/>
          </w:tcPr>
          <w:p w14:paraId="6D624468" w14:textId="77777777" w:rsidR="00A42183" w:rsidRPr="00896B1B" w:rsidRDefault="00A42183" w:rsidP="00A42183">
            <w:pPr>
              <w:tabs>
                <w:tab w:val="right" w:pos="3555"/>
              </w:tabs>
              <w:rPr>
                <w:rFonts w:ascii="Arial" w:hAnsi="Arial"/>
                <w:b/>
                <w:bCs/>
                <w:sz w:val="28"/>
                <w:szCs w:val="28"/>
              </w:rPr>
            </w:pPr>
            <w:r w:rsidRPr="00896B1B">
              <w:rPr>
                <w:rFonts w:ascii="Arial" w:hAnsi="Arial" w:hint="cs"/>
                <w:b/>
                <w:bCs/>
                <w:sz w:val="28"/>
                <w:szCs w:val="28"/>
                <w:rtl/>
              </w:rPr>
              <w:t>הנאשם</w:t>
            </w:r>
          </w:p>
        </w:tc>
      </w:tr>
      <w:tr w:rsidR="00A42183" w:rsidRPr="00896B1B" w14:paraId="65CFF6D6" w14:textId="77777777" w:rsidTr="00A42183">
        <w:trPr>
          <w:trHeight w:val="355"/>
          <w:jc w:val="center"/>
        </w:trPr>
        <w:tc>
          <w:tcPr>
            <w:tcW w:w="945" w:type="dxa"/>
            <w:tcBorders>
              <w:top w:val="nil"/>
              <w:left w:val="nil"/>
              <w:bottom w:val="nil"/>
              <w:right w:val="nil"/>
            </w:tcBorders>
            <w:shd w:val="clear" w:color="auto" w:fill="auto"/>
          </w:tcPr>
          <w:p w14:paraId="590348DA" w14:textId="77777777" w:rsidR="00A42183" w:rsidRPr="00896B1B" w:rsidRDefault="00A42183" w:rsidP="00A42183">
            <w:pPr>
              <w:jc w:val="both"/>
              <w:rPr>
                <w:rFonts w:ascii="Arial" w:hAnsi="Arial"/>
                <w:b/>
                <w:bCs/>
                <w:sz w:val="28"/>
                <w:szCs w:val="28"/>
                <w:rtl/>
              </w:rPr>
            </w:pPr>
          </w:p>
        </w:tc>
        <w:tc>
          <w:tcPr>
            <w:tcW w:w="4114" w:type="dxa"/>
            <w:tcBorders>
              <w:top w:val="nil"/>
              <w:left w:val="nil"/>
              <w:bottom w:val="nil"/>
              <w:right w:val="nil"/>
            </w:tcBorders>
            <w:shd w:val="clear" w:color="auto" w:fill="auto"/>
          </w:tcPr>
          <w:p w14:paraId="6E0EA70A" w14:textId="77777777" w:rsidR="00A42183" w:rsidRPr="00896B1B" w:rsidRDefault="00A42183" w:rsidP="00A42183">
            <w:pPr>
              <w:jc w:val="both"/>
              <w:rPr>
                <w:b/>
                <w:bCs/>
                <w:sz w:val="28"/>
                <w:szCs w:val="28"/>
                <w:rtl/>
              </w:rPr>
            </w:pPr>
          </w:p>
        </w:tc>
        <w:tc>
          <w:tcPr>
            <w:tcW w:w="3761" w:type="dxa"/>
            <w:tcBorders>
              <w:top w:val="nil"/>
              <w:left w:val="nil"/>
              <w:bottom w:val="nil"/>
              <w:right w:val="nil"/>
            </w:tcBorders>
            <w:shd w:val="clear" w:color="auto" w:fill="auto"/>
          </w:tcPr>
          <w:p w14:paraId="432B0E4A" w14:textId="77777777" w:rsidR="00A42183" w:rsidRPr="00896B1B" w:rsidRDefault="00A42183" w:rsidP="00A42183">
            <w:pPr>
              <w:jc w:val="right"/>
              <w:rPr>
                <w:rFonts w:ascii="Arial" w:hAnsi="Arial"/>
                <w:b/>
                <w:bCs/>
                <w:sz w:val="28"/>
                <w:szCs w:val="28"/>
              </w:rPr>
            </w:pPr>
          </w:p>
        </w:tc>
      </w:tr>
    </w:tbl>
    <w:p w14:paraId="763D544B" w14:textId="77777777" w:rsidR="006B5074" w:rsidRDefault="006B5074" w:rsidP="00896B1B">
      <w:pPr>
        <w:spacing w:after="120" w:line="240" w:lineRule="exact"/>
        <w:ind w:left="283" w:hanging="283"/>
        <w:jc w:val="both"/>
        <w:rPr>
          <w:rFonts w:ascii="FrankRuehl" w:hAnsi="FrankRuehl" w:cs="FrankRuehl"/>
          <w:rtl/>
        </w:rPr>
      </w:pPr>
      <w:bookmarkStart w:id="2" w:name="LawTable"/>
      <w:bookmarkEnd w:id="2"/>
    </w:p>
    <w:p w14:paraId="29D7B84F" w14:textId="77777777" w:rsidR="006B5074" w:rsidRPr="006B5074" w:rsidRDefault="006B5074" w:rsidP="006B5074">
      <w:pPr>
        <w:spacing w:after="120" w:line="240" w:lineRule="exact"/>
        <w:ind w:left="283" w:hanging="283"/>
        <w:jc w:val="both"/>
        <w:rPr>
          <w:rFonts w:ascii="FrankRuehl" w:hAnsi="FrankRuehl" w:cs="FrankRuehl"/>
          <w:rtl/>
        </w:rPr>
      </w:pPr>
    </w:p>
    <w:p w14:paraId="53C67A4D" w14:textId="77777777" w:rsidR="006B5074" w:rsidRPr="006B5074" w:rsidRDefault="006B5074" w:rsidP="006B5074">
      <w:pPr>
        <w:spacing w:after="120" w:line="240" w:lineRule="exact"/>
        <w:ind w:left="283" w:hanging="283"/>
        <w:jc w:val="both"/>
        <w:rPr>
          <w:rFonts w:ascii="FrankRuehl" w:hAnsi="FrankRuehl" w:cs="FrankRuehl"/>
          <w:rtl/>
        </w:rPr>
      </w:pPr>
      <w:r w:rsidRPr="006B5074">
        <w:rPr>
          <w:rFonts w:ascii="FrankRuehl" w:hAnsi="FrankRuehl" w:cs="FrankRuehl"/>
          <w:rtl/>
        </w:rPr>
        <w:t xml:space="preserve">חקיקה שאוזכרה: </w:t>
      </w:r>
    </w:p>
    <w:p w14:paraId="004EC061" w14:textId="77777777" w:rsidR="006B5074" w:rsidRPr="006B5074" w:rsidRDefault="006B5074" w:rsidP="006B5074">
      <w:pPr>
        <w:spacing w:after="120" w:line="240" w:lineRule="exact"/>
        <w:ind w:left="283" w:hanging="283"/>
        <w:jc w:val="both"/>
        <w:rPr>
          <w:rFonts w:ascii="FrankRuehl" w:hAnsi="FrankRuehl" w:cs="FrankRuehl"/>
          <w:rtl/>
        </w:rPr>
      </w:pPr>
      <w:hyperlink r:id="rId6" w:history="1">
        <w:r w:rsidRPr="006B5074">
          <w:rPr>
            <w:rFonts w:ascii="FrankRuehl" w:hAnsi="FrankRuehl" w:cs="FrankRuehl"/>
            <w:color w:val="0000FF"/>
            <w:u w:val="single"/>
            <w:rtl/>
          </w:rPr>
          <w:t>פקודת הסמים המסוכנים [נוסח חדש], תשל"ג-1973</w:t>
        </w:r>
      </w:hyperlink>
      <w:r w:rsidRPr="006B5074">
        <w:rPr>
          <w:rFonts w:ascii="FrankRuehl" w:hAnsi="FrankRuehl" w:cs="FrankRuehl"/>
          <w:rtl/>
        </w:rPr>
        <w:t xml:space="preserve">: סע'  </w:t>
      </w:r>
      <w:hyperlink r:id="rId7" w:history="1">
        <w:r w:rsidRPr="006B5074">
          <w:rPr>
            <w:rFonts w:ascii="FrankRuehl" w:hAnsi="FrankRuehl" w:cs="FrankRuehl"/>
            <w:color w:val="0000FF"/>
            <w:u w:val="single"/>
            <w:rtl/>
          </w:rPr>
          <w:t>6</w:t>
        </w:r>
      </w:hyperlink>
      <w:r w:rsidRPr="006B5074">
        <w:rPr>
          <w:rFonts w:ascii="FrankRuehl" w:hAnsi="FrankRuehl" w:cs="FrankRuehl"/>
          <w:rtl/>
        </w:rPr>
        <w:t xml:space="preserve">, </w:t>
      </w:r>
      <w:hyperlink r:id="rId8" w:history="1">
        <w:r w:rsidRPr="006B5074">
          <w:rPr>
            <w:rFonts w:ascii="FrankRuehl" w:hAnsi="FrankRuehl" w:cs="FrankRuehl"/>
            <w:color w:val="0000FF"/>
            <w:u w:val="single"/>
            <w:rtl/>
          </w:rPr>
          <w:t>7.א.</w:t>
        </w:r>
      </w:hyperlink>
      <w:r w:rsidRPr="006B5074">
        <w:rPr>
          <w:rFonts w:ascii="FrankRuehl" w:hAnsi="FrankRuehl" w:cs="FrankRuehl"/>
          <w:rtl/>
        </w:rPr>
        <w:t xml:space="preserve">, </w:t>
      </w:r>
      <w:hyperlink r:id="rId9" w:history="1">
        <w:r w:rsidRPr="006B5074">
          <w:rPr>
            <w:rFonts w:ascii="FrankRuehl" w:hAnsi="FrankRuehl" w:cs="FrankRuehl"/>
            <w:color w:val="0000FF"/>
            <w:u w:val="single"/>
            <w:rtl/>
          </w:rPr>
          <w:t>7.ג</w:t>
        </w:r>
      </w:hyperlink>
      <w:r w:rsidRPr="006B5074">
        <w:rPr>
          <w:rFonts w:ascii="FrankRuehl" w:hAnsi="FrankRuehl" w:cs="FrankRuehl"/>
          <w:rtl/>
        </w:rPr>
        <w:t xml:space="preserve">, </w:t>
      </w:r>
      <w:hyperlink r:id="rId10" w:history="1">
        <w:r w:rsidRPr="006B5074">
          <w:rPr>
            <w:rFonts w:ascii="FrankRuehl" w:hAnsi="FrankRuehl" w:cs="FrankRuehl"/>
            <w:color w:val="0000FF"/>
            <w:u w:val="single"/>
            <w:rtl/>
          </w:rPr>
          <w:t>9(א)</w:t>
        </w:r>
      </w:hyperlink>
      <w:r w:rsidRPr="006B5074">
        <w:rPr>
          <w:rFonts w:ascii="FrankRuehl" w:hAnsi="FrankRuehl" w:cs="FrankRuehl"/>
          <w:rtl/>
        </w:rPr>
        <w:t xml:space="preserve">, </w:t>
      </w:r>
      <w:hyperlink r:id="rId11" w:history="1">
        <w:r w:rsidRPr="006B5074">
          <w:rPr>
            <w:rFonts w:ascii="FrankRuehl" w:hAnsi="FrankRuehl" w:cs="FrankRuehl"/>
            <w:color w:val="0000FF"/>
            <w:u w:val="single"/>
            <w:rtl/>
          </w:rPr>
          <w:t>10</w:t>
        </w:r>
      </w:hyperlink>
      <w:r w:rsidRPr="006B5074">
        <w:rPr>
          <w:rFonts w:ascii="FrankRuehl" w:hAnsi="FrankRuehl" w:cs="FrankRuehl"/>
          <w:rtl/>
        </w:rPr>
        <w:t xml:space="preserve">, </w:t>
      </w:r>
      <w:hyperlink r:id="rId12" w:history="1">
        <w:r w:rsidRPr="006B5074">
          <w:rPr>
            <w:rFonts w:ascii="FrankRuehl" w:hAnsi="FrankRuehl" w:cs="FrankRuehl"/>
            <w:color w:val="0000FF"/>
            <w:u w:val="single"/>
            <w:rtl/>
          </w:rPr>
          <w:t>36א(ב)</w:t>
        </w:r>
      </w:hyperlink>
    </w:p>
    <w:p w14:paraId="68370BFF" w14:textId="77777777" w:rsidR="006B5074" w:rsidRPr="006B5074" w:rsidRDefault="006B5074" w:rsidP="006B5074">
      <w:pPr>
        <w:spacing w:after="120" w:line="240" w:lineRule="exact"/>
        <w:ind w:left="283" w:hanging="283"/>
        <w:jc w:val="both"/>
        <w:rPr>
          <w:rFonts w:ascii="FrankRuehl" w:hAnsi="FrankRuehl" w:cs="FrankRuehl"/>
          <w:rtl/>
        </w:rPr>
      </w:pPr>
      <w:hyperlink r:id="rId13" w:history="1">
        <w:r w:rsidRPr="006B5074">
          <w:rPr>
            <w:rFonts w:ascii="FrankRuehl" w:hAnsi="FrankRuehl" w:cs="FrankRuehl"/>
            <w:color w:val="0000FF"/>
            <w:u w:val="single"/>
            <w:rtl/>
          </w:rPr>
          <w:t>חוק העונשין, תשל"ז-1977</w:t>
        </w:r>
      </w:hyperlink>
      <w:r w:rsidRPr="006B5074">
        <w:rPr>
          <w:rFonts w:ascii="FrankRuehl" w:hAnsi="FrankRuehl" w:cs="FrankRuehl"/>
          <w:rtl/>
        </w:rPr>
        <w:t xml:space="preserve">: סע'  </w:t>
      </w:r>
      <w:hyperlink r:id="rId14" w:history="1">
        <w:r w:rsidRPr="006B5074">
          <w:rPr>
            <w:rFonts w:ascii="FrankRuehl" w:hAnsi="FrankRuehl" w:cs="FrankRuehl"/>
            <w:color w:val="0000FF"/>
            <w:u w:val="single"/>
            <w:rtl/>
          </w:rPr>
          <w:t>40ד</w:t>
        </w:r>
      </w:hyperlink>
    </w:p>
    <w:p w14:paraId="22D42FC6" w14:textId="77777777" w:rsidR="006B5074" w:rsidRPr="006B5074" w:rsidRDefault="006B5074" w:rsidP="006B5074">
      <w:pPr>
        <w:spacing w:after="120" w:line="240" w:lineRule="exact"/>
        <w:jc w:val="both"/>
        <w:rPr>
          <w:rFonts w:ascii="FrankRuehl" w:hAnsi="FrankRuehl" w:cs="FrankRuehl" w:hint="cs"/>
          <w:rtl/>
        </w:rPr>
      </w:pPr>
      <w:bookmarkStart w:id="3" w:name="LawTable_End"/>
      <w:bookmarkEnd w:id="3"/>
    </w:p>
    <w:p w14:paraId="413983A4" w14:textId="77777777" w:rsidR="00D61DFF" w:rsidRPr="00D61DFF" w:rsidRDefault="00D61DFF" w:rsidP="00896B1B">
      <w:pPr>
        <w:spacing w:after="120" w:line="240" w:lineRule="exact"/>
        <w:ind w:left="283" w:hanging="283"/>
        <w:jc w:val="both"/>
        <w:rPr>
          <w:rFonts w:ascii="FrankRuehl" w:hAnsi="FrankRuehl" w:cs="FrankRuehl"/>
          <w:rtl/>
        </w:rPr>
      </w:pPr>
    </w:p>
    <w:p w14:paraId="567BF3B5" w14:textId="77777777" w:rsidR="00D61DFF" w:rsidRPr="00D61DFF" w:rsidRDefault="00D61DFF" w:rsidP="00896B1B">
      <w:pPr>
        <w:spacing w:after="120" w:line="240" w:lineRule="exact"/>
        <w:ind w:left="283" w:hanging="283"/>
        <w:jc w:val="both"/>
        <w:rPr>
          <w:rFonts w:ascii="FrankRuehl" w:hAnsi="FrankRuehl" w:cs="FrankRuehl"/>
          <w:rtl/>
        </w:rPr>
      </w:pPr>
    </w:p>
    <w:p w14:paraId="6C414B61" w14:textId="77777777" w:rsidR="00085B67" w:rsidRPr="00D61DFF" w:rsidRDefault="00085B67" w:rsidP="00896B1B">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2183" w:rsidRPr="005E1B42" w14:paraId="26251B83" w14:textId="77777777" w:rsidTr="00A42183">
        <w:trPr>
          <w:trHeight w:val="355"/>
          <w:jc w:val="center"/>
        </w:trPr>
        <w:tc>
          <w:tcPr>
            <w:tcW w:w="8820" w:type="dxa"/>
            <w:tcBorders>
              <w:top w:val="nil"/>
              <w:left w:val="nil"/>
              <w:bottom w:val="nil"/>
              <w:right w:val="nil"/>
            </w:tcBorders>
            <w:shd w:val="clear" w:color="auto" w:fill="auto"/>
          </w:tcPr>
          <w:p w14:paraId="1FF5C645" w14:textId="77777777" w:rsidR="00896B1B" w:rsidRPr="00896B1B" w:rsidRDefault="00896B1B" w:rsidP="00896B1B">
            <w:pPr>
              <w:jc w:val="center"/>
              <w:rPr>
                <w:rFonts w:ascii="Arial" w:hAnsi="Arial"/>
                <w:b/>
                <w:bCs/>
                <w:sz w:val="28"/>
                <w:szCs w:val="28"/>
                <w:u w:val="single"/>
                <w:rtl/>
              </w:rPr>
            </w:pPr>
            <w:bookmarkStart w:id="4" w:name="PsakDin" w:colFirst="0" w:colLast="0"/>
            <w:bookmarkEnd w:id="0"/>
            <w:r w:rsidRPr="00896B1B">
              <w:rPr>
                <w:rFonts w:ascii="Arial" w:hAnsi="Arial"/>
                <w:b/>
                <w:bCs/>
                <w:sz w:val="28"/>
                <w:szCs w:val="28"/>
                <w:u w:val="single"/>
                <w:rtl/>
              </w:rPr>
              <w:t>גזר דין</w:t>
            </w:r>
          </w:p>
          <w:p w14:paraId="32C40CA0" w14:textId="77777777" w:rsidR="00A42183" w:rsidRPr="00896B1B" w:rsidRDefault="00A42183" w:rsidP="00896B1B">
            <w:pPr>
              <w:jc w:val="center"/>
              <w:rPr>
                <w:rFonts w:ascii="Arial" w:hAnsi="Arial"/>
                <w:b/>
                <w:bCs/>
                <w:sz w:val="28"/>
                <w:szCs w:val="28"/>
                <w:u w:val="single"/>
                <w:rtl/>
              </w:rPr>
            </w:pPr>
          </w:p>
        </w:tc>
      </w:tr>
      <w:bookmarkEnd w:id="4"/>
    </w:tbl>
    <w:p w14:paraId="789D2BB5" w14:textId="77777777" w:rsidR="00A42183" w:rsidRPr="005E1B42" w:rsidRDefault="00A42183" w:rsidP="00A42183">
      <w:pPr>
        <w:rPr>
          <w:rFonts w:ascii="Arial" w:hAnsi="Arial"/>
          <w:b/>
          <w:bCs/>
          <w:sz w:val="28"/>
          <w:szCs w:val="28"/>
          <w:rtl/>
        </w:rPr>
      </w:pPr>
    </w:p>
    <w:p w14:paraId="40A2A4A8" w14:textId="77777777" w:rsidR="00A42183" w:rsidRPr="0016549F" w:rsidRDefault="00A42183" w:rsidP="00A42183">
      <w:pPr>
        <w:spacing w:line="360" w:lineRule="auto"/>
        <w:jc w:val="both"/>
        <w:rPr>
          <w:rFonts w:ascii="Arial" w:hAnsi="Arial"/>
          <w:b/>
          <w:bCs/>
          <w:sz w:val="28"/>
          <w:szCs w:val="28"/>
          <w:u w:val="single"/>
          <w:rtl/>
        </w:rPr>
      </w:pPr>
    </w:p>
    <w:p w14:paraId="3A939C12" w14:textId="77777777" w:rsidR="00A42183" w:rsidRPr="00C213D6" w:rsidRDefault="00A42183" w:rsidP="00A42183">
      <w:pPr>
        <w:spacing w:line="360" w:lineRule="auto"/>
        <w:ind w:left="720" w:hanging="720"/>
        <w:jc w:val="both"/>
        <w:rPr>
          <w:b/>
          <w:bCs/>
          <w:u w:val="single"/>
          <w:rtl/>
        </w:rPr>
      </w:pPr>
      <w:r>
        <w:rPr>
          <w:rFonts w:hint="cs"/>
          <w:sz w:val="28"/>
          <w:szCs w:val="28"/>
          <w:rtl/>
        </w:rPr>
        <w:t>1</w:t>
      </w:r>
      <w:r w:rsidRPr="00C213D6">
        <w:rPr>
          <w:rFonts w:hint="cs"/>
          <w:rtl/>
        </w:rPr>
        <w:t>.</w:t>
      </w:r>
      <w:r w:rsidRPr="00C213D6">
        <w:rPr>
          <w:rFonts w:hint="cs"/>
          <w:rtl/>
        </w:rPr>
        <w:tab/>
      </w:r>
      <w:r w:rsidRPr="00C213D6">
        <w:rPr>
          <w:rFonts w:hint="cs"/>
          <w:b/>
          <w:bCs/>
          <w:u w:val="single"/>
          <w:rtl/>
        </w:rPr>
        <w:t>הכרעת הדין</w:t>
      </w:r>
    </w:p>
    <w:p w14:paraId="4BD72C9D" w14:textId="77777777" w:rsidR="00A42183" w:rsidRPr="00C213D6" w:rsidRDefault="00A42183" w:rsidP="00A42183">
      <w:pPr>
        <w:spacing w:line="360" w:lineRule="auto"/>
        <w:ind w:left="720"/>
        <w:jc w:val="both"/>
        <w:rPr>
          <w:rtl/>
        </w:rPr>
      </w:pPr>
      <w:bookmarkStart w:id="5" w:name="ABSTRACT_START"/>
      <w:bookmarkEnd w:id="5"/>
      <w:r w:rsidRPr="00C213D6">
        <w:rPr>
          <w:rFonts w:hint="cs"/>
          <w:rtl/>
        </w:rPr>
        <w:t>ביום 25.9.17 הורשע הנאשם</w:t>
      </w:r>
      <w:r>
        <w:rPr>
          <w:rFonts w:hint="cs"/>
          <w:rtl/>
        </w:rPr>
        <w:t>,</w:t>
      </w:r>
      <w:r w:rsidRPr="00C213D6">
        <w:rPr>
          <w:rFonts w:hint="cs"/>
          <w:rtl/>
        </w:rPr>
        <w:t xml:space="preserve"> על יסוד הודאתו בעובדות כתב האישום המתוקן</w:t>
      </w:r>
      <w:r>
        <w:rPr>
          <w:rFonts w:hint="cs"/>
          <w:rtl/>
        </w:rPr>
        <w:t>,</w:t>
      </w:r>
      <w:r w:rsidRPr="00C213D6">
        <w:rPr>
          <w:rFonts w:hint="cs"/>
          <w:rtl/>
        </w:rPr>
        <w:t xml:space="preserve"> בשלוש עבירות של גידול סם מסוכן </w:t>
      </w:r>
      <w:r w:rsidRPr="00C213D6">
        <w:rPr>
          <w:rtl/>
        </w:rPr>
        <w:t>–</w:t>
      </w:r>
      <w:r w:rsidRPr="00C213D6">
        <w:rPr>
          <w:rFonts w:hint="cs"/>
          <w:rtl/>
        </w:rPr>
        <w:t xml:space="preserve"> עבירה לפי </w:t>
      </w:r>
      <w:hyperlink r:id="rId15" w:history="1">
        <w:r w:rsidR="00085B67" w:rsidRPr="00085B67">
          <w:rPr>
            <w:color w:val="0000FF"/>
            <w:u w:val="single"/>
            <w:rtl/>
          </w:rPr>
          <w:t>סעיף 6</w:t>
        </w:r>
      </w:hyperlink>
      <w:r w:rsidRPr="00C213D6">
        <w:rPr>
          <w:rFonts w:hint="cs"/>
          <w:rtl/>
        </w:rPr>
        <w:t xml:space="preserve"> ל</w:t>
      </w:r>
      <w:hyperlink r:id="rId16" w:history="1">
        <w:r w:rsidR="00896B1B" w:rsidRPr="00896B1B">
          <w:rPr>
            <w:color w:val="0000FF"/>
            <w:u w:val="single"/>
            <w:rtl/>
          </w:rPr>
          <w:t>פקודת הסמים המסוכנים</w:t>
        </w:r>
      </w:hyperlink>
      <w:r w:rsidRPr="00C213D6">
        <w:rPr>
          <w:rFonts w:hint="cs"/>
          <w:rtl/>
        </w:rPr>
        <w:t xml:space="preserve"> [נוסח חדש] התשל"ג-1973</w:t>
      </w:r>
      <w:r>
        <w:rPr>
          <w:rFonts w:hint="cs"/>
          <w:rtl/>
        </w:rPr>
        <w:t xml:space="preserve"> (להלן </w:t>
      </w:r>
      <w:r>
        <w:rPr>
          <w:rtl/>
        </w:rPr>
        <w:t>–</w:t>
      </w:r>
      <w:r>
        <w:rPr>
          <w:rFonts w:hint="cs"/>
          <w:rtl/>
        </w:rPr>
        <w:t xml:space="preserve"> </w:t>
      </w:r>
      <w:r w:rsidRPr="00C213D6">
        <w:rPr>
          <w:rFonts w:hint="cs"/>
          <w:b/>
          <w:bCs/>
          <w:rtl/>
        </w:rPr>
        <w:t>"פקודת הסמים המסוכנים"</w:t>
      </w:r>
      <w:r>
        <w:rPr>
          <w:rFonts w:hint="cs"/>
          <w:rtl/>
        </w:rPr>
        <w:t>)</w:t>
      </w:r>
      <w:r w:rsidRPr="00C213D6">
        <w:rPr>
          <w:rFonts w:hint="cs"/>
          <w:rtl/>
        </w:rPr>
        <w:t xml:space="preserve">, בשלוש עבירות של החזקת חצרים </w:t>
      </w:r>
      <w:r w:rsidRPr="00C213D6">
        <w:rPr>
          <w:rtl/>
        </w:rPr>
        <w:t>–</w:t>
      </w:r>
      <w:r w:rsidRPr="00C213D6">
        <w:rPr>
          <w:rFonts w:hint="cs"/>
          <w:rtl/>
        </w:rPr>
        <w:t xml:space="preserve"> עבירה לפי </w:t>
      </w:r>
      <w:hyperlink r:id="rId17" w:history="1">
        <w:r w:rsidR="00085B67" w:rsidRPr="00085B67">
          <w:rPr>
            <w:color w:val="0000FF"/>
            <w:u w:val="single"/>
            <w:rtl/>
          </w:rPr>
          <w:t>סעיף 9(א)</w:t>
        </w:r>
      </w:hyperlink>
      <w:r w:rsidRPr="00C213D6">
        <w:rPr>
          <w:rFonts w:hint="cs"/>
          <w:rtl/>
        </w:rPr>
        <w:t xml:space="preserve"> לפקודת הסמים המסוכנים, בשתי עבירות של החזקת סמים שלא לצריכה עצמית </w:t>
      </w:r>
      <w:r w:rsidRPr="00C213D6">
        <w:rPr>
          <w:rtl/>
        </w:rPr>
        <w:t>–</w:t>
      </w:r>
      <w:r w:rsidRPr="00C213D6">
        <w:rPr>
          <w:rFonts w:hint="cs"/>
          <w:rtl/>
        </w:rPr>
        <w:t xml:space="preserve"> עבירה לפי </w:t>
      </w:r>
      <w:hyperlink r:id="rId18" w:history="1">
        <w:r w:rsidR="00085B67" w:rsidRPr="00085B67">
          <w:rPr>
            <w:color w:val="0000FF"/>
            <w:u w:val="single"/>
            <w:rtl/>
          </w:rPr>
          <w:t>סעיף 7(א)+(ג)</w:t>
        </w:r>
      </w:hyperlink>
      <w:r w:rsidRPr="00C213D6">
        <w:rPr>
          <w:rFonts w:hint="cs"/>
          <w:rtl/>
        </w:rPr>
        <w:t xml:space="preserve"> רישא לפקודת הסמים המסוכנים</w:t>
      </w:r>
      <w:r>
        <w:rPr>
          <w:rFonts w:hint="cs"/>
          <w:rtl/>
        </w:rPr>
        <w:t>,</w:t>
      </w:r>
      <w:r w:rsidRPr="00C213D6">
        <w:rPr>
          <w:rFonts w:hint="cs"/>
          <w:rtl/>
        </w:rPr>
        <w:t xml:space="preserve"> ובשתי עבירות של החזקת כלים </w:t>
      </w:r>
      <w:r w:rsidRPr="00C213D6">
        <w:rPr>
          <w:rtl/>
        </w:rPr>
        <w:t>–</w:t>
      </w:r>
      <w:r w:rsidRPr="00C213D6">
        <w:rPr>
          <w:rFonts w:hint="cs"/>
          <w:rtl/>
        </w:rPr>
        <w:t xml:space="preserve"> עבירה לפי </w:t>
      </w:r>
      <w:hyperlink r:id="rId19" w:history="1">
        <w:r w:rsidR="00085B67" w:rsidRPr="00085B67">
          <w:rPr>
            <w:color w:val="0000FF"/>
            <w:u w:val="single"/>
            <w:rtl/>
          </w:rPr>
          <w:t>סעיף 10</w:t>
        </w:r>
      </w:hyperlink>
      <w:r w:rsidRPr="00C213D6">
        <w:rPr>
          <w:rFonts w:hint="cs"/>
          <w:rtl/>
        </w:rPr>
        <w:t xml:space="preserve"> רישא לפקודת הסמים המסוכנים.</w:t>
      </w:r>
    </w:p>
    <w:p w14:paraId="18D76738" w14:textId="77777777" w:rsidR="00A42183" w:rsidRPr="00C213D6" w:rsidRDefault="00A42183" w:rsidP="00A42183">
      <w:pPr>
        <w:spacing w:line="360" w:lineRule="auto"/>
        <w:ind w:left="720" w:hanging="720"/>
        <w:jc w:val="both"/>
        <w:rPr>
          <w:rtl/>
        </w:rPr>
      </w:pPr>
    </w:p>
    <w:p w14:paraId="1A9F7D34" w14:textId="77777777" w:rsidR="00A42183" w:rsidRPr="00C213D6" w:rsidRDefault="00A42183" w:rsidP="00A42183">
      <w:pPr>
        <w:spacing w:line="360" w:lineRule="auto"/>
        <w:ind w:left="720" w:hanging="720"/>
        <w:jc w:val="both"/>
        <w:rPr>
          <w:rtl/>
        </w:rPr>
      </w:pPr>
      <w:bookmarkStart w:id="6" w:name="ABSTRACT_END"/>
      <w:bookmarkEnd w:id="6"/>
      <w:r w:rsidRPr="00C213D6">
        <w:rPr>
          <w:rFonts w:hint="cs"/>
          <w:rtl/>
        </w:rPr>
        <w:t>2.</w:t>
      </w:r>
      <w:r w:rsidRPr="00C213D6">
        <w:rPr>
          <w:rFonts w:hint="cs"/>
          <w:rtl/>
        </w:rPr>
        <w:tab/>
        <w:t xml:space="preserve">כתב האישום המתוקן </w:t>
      </w:r>
      <w:r>
        <w:rPr>
          <w:rFonts w:hint="cs"/>
          <w:rtl/>
        </w:rPr>
        <w:t xml:space="preserve">בו </w:t>
      </w:r>
      <w:r w:rsidRPr="00C213D6">
        <w:rPr>
          <w:rFonts w:hint="cs"/>
          <w:rtl/>
        </w:rPr>
        <w:t>הורשע הנאשם כולל שני אישומים</w:t>
      </w:r>
      <w:r>
        <w:rPr>
          <w:rFonts w:hint="cs"/>
          <w:rtl/>
        </w:rPr>
        <w:t>, כמפורט להלן;</w:t>
      </w:r>
    </w:p>
    <w:p w14:paraId="7392EDA8" w14:textId="77777777" w:rsidR="00A42183" w:rsidRPr="00C213D6" w:rsidRDefault="00A42183" w:rsidP="00A42183">
      <w:pPr>
        <w:spacing w:line="360" w:lineRule="auto"/>
        <w:ind w:left="720" w:hanging="720"/>
        <w:jc w:val="both"/>
        <w:rPr>
          <w:rtl/>
        </w:rPr>
      </w:pPr>
      <w:r w:rsidRPr="00C213D6">
        <w:rPr>
          <w:rtl/>
        </w:rPr>
        <w:lastRenderedPageBreak/>
        <w:tab/>
      </w:r>
      <w:r w:rsidRPr="00C213D6">
        <w:rPr>
          <w:rFonts w:hint="cs"/>
          <w:rtl/>
        </w:rPr>
        <w:t>במסגרת האישום הראשון נטען כי במהלך שנת 2015 קשר הנאשם קשר עם אחיינו למצוא מקום שבו יוכלו השניים לגדל, לייצר ולהפיק סם מסוכן מסוג קנ</w:t>
      </w:r>
      <w:r>
        <w:rPr>
          <w:rFonts w:hint="cs"/>
          <w:rtl/>
        </w:rPr>
        <w:t>א</w:t>
      </w:r>
      <w:r w:rsidRPr="00C213D6">
        <w:rPr>
          <w:rFonts w:hint="cs"/>
          <w:rtl/>
        </w:rPr>
        <w:t>ביס. לצורך מימוש</w:t>
      </w:r>
      <w:r>
        <w:rPr>
          <w:rFonts w:hint="cs"/>
          <w:rtl/>
        </w:rPr>
        <w:t xml:space="preserve"> הקשר שכרו השניים, ביום 28.5.15, </w:t>
      </w:r>
      <w:r w:rsidRPr="00C213D6">
        <w:rPr>
          <w:rFonts w:hint="cs"/>
          <w:rtl/>
        </w:rPr>
        <w:t>דירה וכן רכשו ציוד לרבות מנורות חשמל, חוטי קשירה, ציוד לאוורור וחומרי השרשה. בהמשך לאמור השניים שתלו בדירה מאות שתילים של קנ</w:t>
      </w:r>
      <w:r>
        <w:rPr>
          <w:rFonts w:hint="cs"/>
          <w:rtl/>
        </w:rPr>
        <w:t>א</w:t>
      </w:r>
      <w:r w:rsidRPr="00C213D6">
        <w:rPr>
          <w:rFonts w:hint="cs"/>
          <w:rtl/>
        </w:rPr>
        <w:t>ביס וגידלו אותם במשך מספר חודשים. השתילים הוצאו מהדירה על-ידי הנאשם בנסיבות שאינן ידועות במדויק למאשימה. ביום 21.3.16 פשטה המשטרה על הדירה ותפסה בה סם מסוכן מסוג ק</w:t>
      </w:r>
      <w:r>
        <w:rPr>
          <w:rFonts w:hint="cs"/>
          <w:rtl/>
        </w:rPr>
        <w:t>נא</w:t>
      </w:r>
      <w:r w:rsidRPr="00C213D6">
        <w:rPr>
          <w:rFonts w:hint="cs"/>
          <w:rtl/>
        </w:rPr>
        <w:t xml:space="preserve">ביס במשקל כולל של 16.8 גרם. </w:t>
      </w:r>
    </w:p>
    <w:p w14:paraId="66B447F4" w14:textId="77777777" w:rsidR="00A42183" w:rsidRDefault="00A42183" w:rsidP="00A42183">
      <w:pPr>
        <w:spacing w:line="360" w:lineRule="auto"/>
        <w:ind w:left="720" w:hanging="720"/>
        <w:jc w:val="both"/>
        <w:rPr>
          <w:rtl/>
        </w:rPr>
      </w:pPr>
      <w:r w:rsidRPr="00C213D6">
        <w:rPr>
          <w:rtl/>
        </w:rPr>
        <w:tab/>
      </w:r>
      <w:r w:rsidRPr="00C213D6">
        <w:rPr>
          <w:rFonts w:hint="cs"/>
          <w:rtl/>
        </w:rPr>
        <w:t>במסגרת האישום השני (שבכתב האישום המקורי הופיע כאישום השלישי)</w:t>
      </w:r>
      <w:r>
        <w:rPr>
          <w:rFonts w:hint="cs"/>
          <w:rtl/>
        </w:rPr>
        <w:t>,</w:t>
      </w:r>
      <w:r w:rsidRPr="00C213D6">
        <w:rPr>
          <w:rFonts w:hint="cs"/>
          <w:rtl/>
        </w:rPr>
        <w:t xml:space="preserve"> נטען כי בתחילת שנת 2016 פנה אחיינו של הנאשם אל הנאשם והציע לו לחדש את הקשר העברייני ב</w:t>
      </w:r>
      <w:r>
        <w:rPr>
          <w:rFonts w:hint="cs"/>
          <w:rtl/>
        </w:rPr>
        <w:t>י</w:t>
      </w:r>
      <w:r w:rsidRPr="00C213D6">
        <w:rPr>
          <w:rFonts w:hint="cs"/>
          <w:rtl/>
        </w:rPr>
        <w:t>ניהם ולגדל, לייצר ולהפיק שוב סם מסוכן מסוג ק</w:t>
      </w:r>
      <w:r>
        <w:rPr>
          <w:rFonts w:hint="cs"/>
          <w:rtl/>
        </w:rPr>
        <w:t>נא</w:t>
      </w:r>
      <w:r w:rsidRPr="00C213D6">
        <w:rPr>
          <w:rFonts w:hint="cs"/>
          <w:rtl/>
        </w:rPr>
        <w:t>ביס. הנאשם הסכים להצעה ולצורך מימוש הקשר שכר הנאשם יחידת דיור הצמודה לביתו. ביום 2.2.16 העביר הנאשם לדירה את הציוד שרכש בתקופה הרלוונטית לאישום הראשון</w:t>
      </w:r>
      <w:r>
        <w:rPr>
          <w:rFonts w:hint="cs"/>
          <w:rtl/>
        </w:rPr>
        <w:t>,</w:t>
      </w:r>
      <w:r w:rsidRPr="00C213D6">
        <w:rPr>
          <w:rFonts w:hint="cs"/>
          <w:rtl/>
        </w:rPr>
        <w:t xml:space="preserve"> ויחד </w:t>
      </w:r>
      <w:r>
        <w:rPr>
          <w:rFonts w:hint="cs"/>
          <w:rtl/>
        </w:rPr>
        <w:t xml:space="preserve">עם </w:t>
      </w:r>
      <w:r w:rsidRPr="00C213D6">
        <w:rPr>
          <w:rFonts w:hint="cs"/>
          <w:rtl/>
        </w:rPr>
        <w:t xml:space="preserve">אחיינו שתלו השניים לפחות 201 שתילים של </w:t>
      </w:r>
      <w:r>
        <w:rPr>
          <w:rFonts w:hint="cs"/>
          <w:rtl/>
        </w:rPr>
        <w:t>קנא</w:t>
      </w:r>
      <w:r w:rsidRPr="00C213D6">
        <w:rPr>
          <w:rFonts w:hint="cs"/>
          <w:rtl/>
        </w:rPr>
        <w:t>ביס וגידלו אותם עד שהמשטרה פשטה על הדירה ביום 21.3.16. בזמן פשיטת המשטרה נערך חיפוש בביתו של הנאשם</w:t>
      </w:r>
      <w:r>
        <w:rPr>
          <w:rFonts w:hint="cs"/>
          <w:rtl/>
        </w:rPr>
        <w:t xml:space="preserve">, </w:t>
      </w:r>
      <w:r w:rsidRPr="00C213D6">
        <w:rPr>
          <w:rFonts w:hint="cs"/>
          <w:rtl/>
        </w:rPr>
        <w:t>במהלכו נתפס בבית הנאשם סם מסוכן מסוג ק</w:t>
      </w:r>
      <w:r>
        <w:rPr>
          <w:rFonts w:hint="cs"/>
          <w:rtl/>
        </w:rPr>
        <w:t>נא</w:t>
      </w:r>
      <w:r w:rsidRPr="00C213D6">
        <w:rPr>
          <w:rFonts w:hint="cs"/>
          <w:rtl/>
        </w:rPr>
        <w:t>ביס במשקל כולל של 34.28 גרם</w:t>
      </w:r>
      <w:r>
        <w:rPr>
          <w:rFonts w:hint="cs"/>
          <w:rtl/>
        </w:rPr>
        <w:t>,</w:t>
      </w:r>
      <w:r w:rsidRPr="00C213D6">
        <w:rPr>
          <w:rFonts w:hint="cs"/>
          <w:rtl/>
        </w:rPr>
        <w:t xml:space="preserve"> וכן משקלים אלקטרוניים.</w:t>
      </w:r>
    </w:p>
    <w:p w14:paraId="2D395AA5" w14:textId="77777777" w:rsidR="00A42183" w:rsidRPr="00C213D6" w:rsidRDefault="00A42183" w:rsidP="00A42183">
      <w:pPr>
        <w:spacing w:line="360" w:lineRule="auto"/>
        <w:ind w:left="720" w:hanging="720"/>
        <w:jc w:val="both"/>
        <w:rPr>
          <w:rtl/>
        </w:rPr>
      </w:pPr>
      <w:r w:rsidRPr="00C213D6">
        <w:rPr>
          <w:rFonts w:hint="cs"/>
          <w:rtl/>
        </w:rPr>
        <w:t xml:space="preserve"> </w:t>
      </w:r>
    </w:p>
    <w:p w14:paraId="0C574137" w14:textId="77777777" w:rsidR="00A42183" w:rsidRDefault="00A42183" w:rsidP="00A42183">
      <w:pPr>
        <w:spacing w:line="360" w:lineRule="auto"/>
        <w:ind w:left="720" w:hanging="720"/>
        <w:jc w:val="both"/>
        <w:rPr>
          <w:rtl/>
        </w:rPr>
      </w:pPr>
      <w:r>
        <w:rPr>
          <w:rFonts w:hint="cs"/>
          <w:rtl/>
        </w:rPr>
        <w:t>3.</w:t>
      </w:r>
      <w:r>
        <w:rPr>
          <w:rFonts w:hint="cs"/>
          <w:rtl/>
        </w:rPr>
        <w:tab/>
      </w:r>
      <w:r w:rsidRPr="00596032">
        <w:rPr>
          <w:rFonts w:hint="cs"/>
          <w:b/>
          <w:bCs/>
          <w:u w:val="single"/>
          <w:rtl/>
        </w:rPr>
        <w:t>הסדר הטיעון</w:t>
      </w:r>
    </w:p>
    <w:p w14:paraId="0A6D8338" w14:textId="77777777" w:rsidR="00A42183" w:rsidRPr="00C213D6" w:rsidRDefault="00A42183" w:rsidP="00A42183">
      <w:pPr>
        <w:spacing w:line="360" w:lineRule="auto"/>
        <w:ind w:left="720"/>
        <w:jc w:val="both"/>
        <w:rPr>
          <w:rtl/>
        </w:rPr>
      </w:pPr>
      <w:r w:rsidRPr="00C213D6">
        <w:rPr>
          <w:rFonts w:hint="cs"/>
          <w:rtl/>
        </w:rPr>
        <w:t>כאמור</w:t>
      </w:r>
      <w:r>
        <w:rPr>
          <w:rFonts w:hint="cs"/>
          <w:rtl/>
        </w:rPr>
        <w:t>,</w:t>
      </w:r>
      <w:r w:rsidRPr="00C213D6">
        <w:rPr>
          <w:rFonts w:hint="cs"/>
          <w:rtl/>
        </w:rPr>
        <w:t xml:space="preserve"> הנאשם הודה בעובדות כתב האישום המתוקן והורשע בעבירות הנ"ל. במסגרת הסדר הטיעון הוסכם כי המאשימה תבקש מבית המשפט להטיל על הנאשם עונש של 12 חודשי מאסר, מאסר על תנאי וקנס</w:t>
      </w:r>
      <w:r>
        <w:rPr>
          <w:rFonts w:hint="cs"/>
          <w:rtl/>
        </w:rPr>
        <w:t>,</w:t>
      </w:r>
      <w:r w:rsidRPr="00C213D6">
        <w:rPr>
          <w:rFonts w:hint="cs"/>
          <w:rtl/>
        </w:rPr>
        <w:t xml:space="preserve"> וכי הנאשם יהיה חופשי בטיעוניו לעונש. כמו כן הוסכם</w:t>
      </w:r>
      <w:r>
        <w:rPr>
          <w:rFonts w:hint="cs"/>
          <w:rtl/>
        </w:rPr>
        <w:t>,</w:t>
      </w:r>
      <w:r w:rsidRPr="00C213D6">
        <w:rPr>
          <w:rFonts w:hint="cs"/>
          <w:rtl/>
        </w:rPr>
        <w:t xml:space="preserve"> כי המאשימה תבקש מבית המשפט לקבוע כי הנאשם הוא סוחר סמים</w:t>
      </w:r>
      <w:r>
        <w:rPr>
          <w:rFonts w:hint="cs"/>
          <w:rtl/>
        </w:rPr>
        <w:t>,</w:t>
      </w:r>
      <w:r w:rsidRPr="00C213D6">
        <w:rPr>
          <w:rFonts w:hint="cs"/>
          <w:rtl/>
        </w:rPr>
        <w:t xml:space="preserve"> ו</w:t>
      </w:r>
      <w:r>
        <w:rPr>
          <w:rFonts w:hint="cs"/>
          <w:rtl/>
        </w:rPr>
        <w:t>עוד</w:t>
      </w:r>
      <w:r w:rsidRPr="00C213D6">
        <w:rPr>
          <w:rFonts w:hint="cs"/>
          <w:rtl/>
        </w:rPr>
        <w:t xml:space="preserve"> הוסכם שיחולט סך של 10,000 ₪ </w:t>
      </w:r>
      <w:r>
        <w:rPr>
          <w:rFonts w:hint="cs"/>
          <w:rtl/>
        </w:rPr>
        <w:t>א</w:t>
      </w:r>
      <w:r w:rsidRPr="00C213D6">
        <w:rPr>
          <w:rFonts w:hint="cs"/>
          <w:rtl/>
        </w:rPr>
        <w:t>ש</w:t>
      </w:r>
      <w:r>
        <w:rPr>
          <w:rFonts w:hint="cs"/>
          <w:rtl/>
        </w:rPr>
        <w:t xml:space="preserve">ר </w:t>
      </w:r>
      <w:r w:rsidRPr="00C213D6">
        <w:rPr>
          <w:rFonts w:hint="cs"/>
          <w:rtl/>
        </w:rPr>
        <w:t>הפקיד הנאשם בקופת בית המשפט במסגרת ההליכים המקדמיים בתיק</w:t>
      </w:r>
      <w:r>
        <w:rPr>
          <w:rFonts w:hint="cs"/>
          <w:rtl/>
        </w:rPr>
        <w:t>.</w:t>
      </w:r>
      <w:r w:rsidRPr="00C213D6">
        <w:rPr>
          <w:rFonts w:hint="cs"/>
          <w:rtl/>
        </w:rPr>
        <w:t xml:space="preserve"> ולבסוף הוסכם</w:t>
      </w:r>
      <w:r>
        <w:rPr>
          <w:rFonts w:hint="cs"/>
          <w:rtl/>
        </w:rPr>
        <w:t>,</w:t>
      </w:r>
      <w:r w:rsidRPr="00C213D6">
        <w:rPr>
          <w:rFonts w:hint="cs"/>
          <w:rtl/>
        </w:rPr>
        <w:t xml:space="preserve"> כי הצדדים לא יחרגו בטיעוניהם מהעובדות שבכתב האישום המתוקן. </w:t>
      </w:r>
    </w:p>
    <w:p w14:paraId="264FC394" w14:textId="77777777" w:rsidR="00A42183" w:rsidRPr="00C213D6" w:rsidRDefault="00A42183" w:rsidP="00A42183">
      <w:pPr>
        <w:spacing w:line="360" w:lineRule="auto"/>
        <w:ind w:left="720" w:hanging="720"/>
        <w:jc w:val="both"/>
        <w:rPr>
          <w:rtl/>
        </w:rPr>
      </w:pPr>
    </w:p>
    <w:p w14:paraId="5D0EBC23" w14:textId="77777777" w:rsidR="00A42183" w:rsidRPr="00C213D6" w:rsidRDefault="00A42183" w:rsidP="00A42183">
      <w:pPr>
        <w:spacing w:line="360" w:lineRule="auto"/>
        <w:ind w:left="720" w:hanging="720"/>
        <w:jc w:val="both"/>
        <w:rPr>
          <w:b/>
          <w:bCs/>
          <w:u w:val="single"/>
          <w:rtl/>
        </w:rPr>
      </w:pPr>
      <w:r>
        <w:rPr>
          <w:rFonts w:hint="cs"/>
          <w:rtl/>
        </w:rPr>
        <w:t>4</w:t>
      </w:r>
      <w:r w:rsidRPr="00C213D6">
        <w:rPr>
          <w:rFonts w:hint="cs"/>
          <w:rtl/>
        </w:rPr>
        <w:t>.</w:t>
      </w:r>
      <w:r w:rsidRPr="00C213D6">
        <w:rPr>
          <w:rFonts w:hint="cs"/>
          <w:rtl/>
        </w:rPr>
        <w:tab/>
      </w:r>
      <w:r w:rsidRPr="00C213D6">
        <w:rPr>
          <w:rFonts w:hint="cs"/>
          <w:b/>
          <w:bCs/>
          <w:u w:val="single"/>
          <w:rtl/>
        </w:rPr>
        <w:t>תסקיר שירות המבחן</w:t>
      </w:r>
    </w:p>
    <w:p w14:paraId="19546D79" w14:textId="77777777" w:rsidR="00A42183" w:rsidRDefault="00A42183" w:rsidP="00A42183">
      <w:pPr>
        <w:spacing w:line="360" w:lineRule="auto"/>
        <w:ind w:left="720"/>
        <w:jc w:val="both"/>
        <w:rPr>
          <w:rtl/>
        </w:rPr>
      </w:pPr>
      <w:r w:rsidRPr="00C213D6">
        <w:rPr>
          <w:rFonts w:hint="cs"/>
          <w:rtl/>
        </w:rPr>
        <w:t xml:space="preserve">לבקשת הנאשם ובהעדר התנגדות מטעם המאשימה </w:t>
      </w:r>
      <w:r>
        <w:rPr>
          <w:rFonts w:hint="cs"/>
          <w:rtl/>
        </w:rPr>
        <w:t>התבקש שירות המבחן לערוך תסקיר בעניינו של הנאשם.</w:t>
      </w:r>
    </w:p>
    <w:p w14:paraId="56F87DDE" w14:textId="77777777" w:rsidR="00A42183" w:rsidRPr="00C213D6" w:rsidRDefault="00A42183" w:rsidP="00A42183">
      <w:pPr>
        <w:spacing w:line="360" w:lineRule="auto"/>
        <w:ind w:left="720"/>
        <w:jc w:val="both"/>
        <w:rPr>
          <w:rtl/>
        </w:rPr>
      </w:pPr>
      <w:r w:rsidRPr="00C213D6">
        <w:rPr>
          <w:rFonts w:hint="cs"/>
          <w:rtl/>
        </w:rPr>
        <w:t>בתסקיר מיום 5.2.18 מציין שירות המבחן כי עד גיל 30 ניהל הנאשם אורח חיים נורמטיבי לרבות סיום של 12 שנות לימוד ושירות צבאי מלא. בגיל 30 החל הנאשם להשתמש בסמים ועד מה</w:t>
      </w:r>
      <w:r>
        <w:rPr>
          <w:rFonts w:hint="cs"/>
          <w:rtl/>
        </w:rPr>
        <w:t>י</w:t>
      </w:r>
      <w:r w:rsidRPr="00C213D6">
        <w:rPr>
          <w:rFonts w:hint="cs"/>
          <w:rtl/>
        </w:rPr>
        <w:t>רה הפך השימוש ליום יומי. במהלך מעצר הבית שבו היה נתון הנאשם</w:t>
      </w:r>
      <w:r>
        <w:rPr>
          <w:rFonts w:hint="cs"/>
          <w:rtl/>
        </w:rPr>
        <w:t xml:space="preserve"> במסגרת ההליך הנוכחי</w:t>
      </w:r>
      <w:r w:rsidRPr="00C213D6">
        <w:rPr>
          <w:rFonts w:hint="cs"/>
          <w:rtl/>
        </w:rPr>
        <w:t xml:space="preserve"> הוא יצר קשר עם יחידת של"מ וביקש לקבל טיפול </w:t>
      </w:r>
      <w:r>
        <w:rPr>
          <w:rFonts w:hint="cs"/>
          <w:rtl/>
        </w:rPr>
        <w:t>גמילה</w:t>
      </w:r>
      <w:r w:rsidRPr="00C213D6">
        <w:rPr>
          <w:rFonts w:hint="cs"/>
          <w:rtl/>
        </w:rPr>
        <w:t>. הנאשם נמצא בטיפול מאז חודש נובמבר 2016 ולדברי שירות המבחן כל הבדיקות שנערכו לו לצורך איתור שרידי סמים העידו על ניקיון מסמים. שירות המבחן מציין כי הנאשם השתתף בטיפול קבוצתי ופרטני</w:t>
      </w:r>
      <w:r>
        <w:rPr>
          <w:rFonts w:hint="cs"/>
          <w:rtl/>
        </w:rPr>
        <w:t>,</w:t>
      </w:r>
      <w:r w:rsidRPr="00C213D6">
        <w:rPr>
          <w:rFonts w:hint="cs"/>
          <w:rtl/>
        </w:rPr>
        <w:t xml:space="preserve"> וכי השתלבותו בטיפול זה הייתה חיובית תוך שהנאשם מגלה מוטיבציה </w:t>
      </w:r>
      <w:r w:rsidRPr="00C213D6">
        <w:rPr>
          <w:rFonts w:hint="cs"/>
          <w:rtl/>
        </w:rPr>
        <w:lastRenderedPageBreak/>
        <w:t xml:space="preserve">מתוך </w:t>
      </w:r>
      <w:r>
        <w:rPr>
          <w:rFonts w:hint="cs"/>
          <w:rtl/>
        </w:rPr>
        <w:t>הבנה של הנאשם</w:t>
      </w:r>
      <w:r w:rsidRPr="00C213D6">
        <w:rPr>
          <w:rFonts w:hint="cs"/>
          <w:rtl/>
        </w:rPr>
        <w:t xml:space="preserve"> </w:t>
      </w:r>
      <w:r>
        <w:rPr>
          <w:rFonts w:hint="cs"/>
          <w:rtl/>
        </w:rPr>
        <w:t>כי</w:t>
      </w:r>
      <w:r w:rsidRPr="00C213D6">
        <w:rPr>
          <w:rFonts w:hint="cs"/>
          <w:rtl/>
        </w:rPr>
        <w:t xml:space="preserve"> ההליך הטיפולי </w:t>
      </w:r>
      <w:r>
        <w:rPr>
          <w:rFonts w:hint="cs"/>
          <w:rtl/>
        </w:rPr>
        <w:t xml:space="preserve">הוא </w:t>
      </w:r>
      <w:r w:rsidRPr="00C213D6">
        <w:rPr>
          <w:rFonts w:hint="cs"/>
          <w:rtl/>
        </w:rPr>
        <w:t>גורם שיכול לתרום לו ולסייע לו לערוך שינוי בחייו. שירות המבחן התרשם כי הנאשם מבין את חומרת מעשיו ומצטער עליהם</w:t>
      </w:r>
      <w:r>
        <w:rPr>
          <w:rFonts w:hint="cs"/>
          <w:rtl/>
        </w:rPr>
        <w:t>,</w:t>
      </w:r>
      <w:r w:rsidRPr="00C213D6">
        <w:rPr>
          <w:rFonts w:hint="cs"/>
          <w:rtl/>
        </w:rPr>
        <w:t xml:space="preserve"> וכי במסגרת ההליך הטיפולי למד הנאשם להכיר את הצדדים הפחות מתפקדים בחייו ולערוך בהם שינוי. </w:t>
      </w:r>
    </w:p>
    <w:p w14:paraId="16018F5C" w14:textId="77777777" w:rsidR="00A42183" w:rsidRDefault="00A42183" w:rsidP="00A42183">
      <w:pPr>
        <w:spacing w:line="360" w:lineRule="auto"/>
        <w:ind w:left="720" w:hanging="720"/>
        <w:jc w:val="both"/>
        <w:rPr>
          <w:rtl/>
        </w:rPr>
      </w:pPr>
      <w:r w:rsidRPr="00C213D6">
        <w:rPr>
          <w:rtl/>
        </w:rPr>
        <w:tab/>
      </w:r>
      <w:r w:rsidRPr="00C213D6">
        <w:rPr>
          <w:rFonts w:hint="cs"/>
          <w:rtl/>
        </w:rPr>
        <w:t>לעניין הערכת הסיכון מציין שירות המבחן כגורם סיכון את העובדה שהנאשם צרך סמים באופן יום יומי במשך 30 שנה</w:t>
      </w:r>
      <w:r>
        <w:rPr>
          <w:rFonts w:hint="cs"/>
          <w:rtl/>
        </w:rPr>
        <w:t>.</w:t>
      </w:r>
      <w:r w:rsidRPr="00C213D6">
        <w:rPr>
          <w:rFonts w:hint="cs"/>
          <w:rtl/>
        </w:rPr>
        <w:t xml:space="preserve"> </w:t>
      </w:r>
      <w:r>
        <w:rPr>
          <w:rFonts w:hint="cs"/>
          <w:rtl/>
        </w:rPr>
        <w:t>מנגד</w:t>
      </w:r>
      <w:r w:rsidRPr="00C213D6">
        <w:rPr>
          <w:rFonts w:hint="cs"/>
          <w:rtl/>
        </w:rPr>
        <w:t xml:space="preserve"> שירות המבחן מציין כגורמים מצמצמי סיכון את העובדה שהנאשם הצליח לאורך השנים ל</w:t>
      </w:r>
      <w:r>
        <w:rPr>
          <w:rFonts w:hint="cs"/>
          <w:rtl/>
        </w:rPr>
        <w:t>הפעיל</w:t>
      </w:r>
      <w:r w:rsidRPr="00C213D6">
        <w:rPr>
          <w:rFonts w:hint="cs"/>
          <w:rtl/>
        </w:rPr>
        <w:t xml:space="preserve"> עסק עצמאי ולנהל חיי משפחה תקינים. כמו כן</w:t>
      </w:r>
      <w:r>
        <w:rPr>
          <w:rFonts w:hint="cs"/>
          <w:rtl/>
        </w:rPr>
        <w:t>,</w:t>
      </w:r>
      <w:r w:rsidRPr="00C213D6">
        <w:rPr>
          <w:rFonts w:hint="cs"/>
          <w:rtl/>
        </w:rPr>
        <w:t xml:space="preserve"> מציין שירות המבחן כגורם מצמצם סיכון את ההליך הטיפולי המשמעותי שעבר הנאשם </w:t>
      </w:r>
      <w:r>
        <w:rPr>
          <w:rFonts w:hint="cs"/>
          <w:rtl/>
        </w:rPr>
        <w:t>עד כה ושבו הוא עתיד להמשיך אף</w:t>
      </w:r>
      <w:r w:rsidRPr="00C213D6">
        <w:rPr>
          <w:rFonts w:hint="cs"/>
          <w:rtl/>
        </w:rPr>
        <w:t xml:space="preserve"> לאחר מתן גזר הדין. שירות המבחן התרשם כי ההליך המשפטי, שהוא ההליך ה</w:t>
      </w:r>
      <w:r>
        <w:rPr>
          <w:rFonts w:hint="cs"/>
          <w:rtl/>
        </w:rPr>
        <w:t>פלילי</w:t>
      </w:r>
      <w:r w:rsidRPr="00C213D6">
        <w:rPr>
          <w:rFonts w:hint="cs"/>
          <w:rtl/>
        </w:rPr>
        <w:t xml:space="preserve"> הראשון בחייו של הנאשם, מהווה גורם הרתעתי עבורו. </w:t>
      </w:r>
    </w:p>
    <w:p w14:paraId="54E56A80" w14:textId="77777777" w:rsidR="00A42183" w:rsidRPr="00C213D6" w:rsidRDefault="00A42183" w:rsidP="00A42183">
      <w:pPr>
        <w:spacing w:line="360" w:lineRule="auto"/>
        <w:ind w:left="720"/>
        <w:jc w:val="both"/>
        <w:rPr>
          <w:rtl/>
        </w:rPr>
      </w:pPr>
      <w:r w:rsidRPr="00C213D6">
        <w:rPr>
          <w:rFonts w:hint="cs"/>
          <w:rtl/>
        </w:rPr>
        <w:t>אשר על כן</w:t>
      </w:r>
      <w:r>
        <w:rPr>
          <w:rFonts w:hint="cs"/>
          <w:rtl/>
        </w:rPr>
        <w:t>,</w:t>
      </w:r>
      <w:r w:rsidRPr="00C213D6">
        <w:rPr>
          <w:rFonts w:hint="cs"/>
          <w:rtl/>
        </w:rPr>
        <w:t xml:space="preserve"> </w:t>
      </w:r>
      <w:r>
        <w:rPr>
          <w:rFonts w:hint="cs"/>
          <w:rtl/>
        </w:rPr>
        <w:t xml:space="preserve">ממליץ שירות המבחן </w:t>
      </w:r>
      <w:r w:rsidRPr="00C213D6">
        <w:rPr>
          <w:rFonts w:hint="cs"/>
          <w:rtl/>
        </w:rPr>
        <w:t xml:space="preserve">שלא להטיל על הנאשם עונש של מאסר, </w:t>
      </w:r>
      <w:r>
        <w:rPr>
          <w:rFonts w:hint="cs"/>
          <w:rtl/>
        </w:rPr>
        <w:t>אשר עלול לחבל בשיקומו.</w:t>
      </w:r>
      <w:r w:rsidRPr="00C213D6">
        <w:rPr>
          <w:rFonts w:hint="cs"/>
          <w:rtl/>
        </w:rPr>
        <w:t xml:space="preserve"> שירות המבחן ממליץ להטיל על הנאשם עונש מאסר לריצוי בעבודות שירות לצד עונש מאסר מותנה וקנס. כמו כן</w:t>
      </w:r>
      <w:r>
        <w:rPr>
          <w:rFonts w:hint="cs"/>
          <w:rtl/>
        </w:rPr>
        <w:t>,</w:t>
      </w:r>
      <w:r w:rsidRPr="00C213D6">
        <w:rPr>
          <w:rFonts w:hint="cs"/>
          <w:rtl/>
        </w:rPr>
        <w:t xml:space="preserve"> ממליץ שירות המבחן להטיל על הנאשם צו מבחן למשך שנה כדי להבטיח שימשיך את הטיפול ביחידת של"מ. </w:t>
      </w:r>
    </w:p>
    <w:p w14:paraId="0033A58B"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שירות המבחן הגיש תסקיר משלים ביום 3.6.</w:t>
      </w:r>
      <w:r>
        <w:rPr>
          <w:rFonts w:hint="cs"/>
          <w:rtl/>
        </w:rPr>
        <w:t xml:space="preserve">18, </w:t>
      </w:r>
      <w:r w:rsidRPr="00C213D6">
        <w:rPr>
          <w:rFonts w:hint="cs"/>
          <w:rtl/>
        </w:rPr>
        <w:t xml:space="preserve">בו </w:t>
      </w:r>
      <w:r>
        <w:rPr>
          <w:rFonts w:hint="cs"/>
          <w:rtl/>
        </w:rPr>
        <w:t xml:space="preserve">הוא </w:t>
      </w:r>
      <w:r w:rsidRPr="00C213D6">
        <w:rPr>
          <w:rFonts w:hint="cs"/>
          <w:rtl/>
        </w:rPr>
        <w:t xml:space="preserve">שב על המלצתו להטלת עונש של מאסר </w:t>
      </w:r>
      <w:r>
        <w:rPr>
          <w:rFonts w:hint="cs"/>
          <w:rtl/>
        </w:rPr>
        <w:t>ל</w:t>
      </w:r>
      <w:r w:rsidRPr="00C213D6">
        <w:rPr>
          <w:rFonts w:hint="cs"/>
          <w:rtl/>
        </w:rPr>
        <w:t xml:space="preserve">ריצוי בעבודות שירות, </w:t>
      </w:r>
      <w:r>
        <w:rPr>
          <w:rFonts w:hint="cs"/>
          <w:rtl/>
        </w:rPr>
        <w:t>ו</w:t>
      </w:r>
      <w:r w:rsidRPr="00C213D6">
        <w:rPr>
          <w:rFonts w:hint="cs"/>
          <w:rtl/>
        </w:rPr>
        <w:t xml:space="preserve">כמו כן התקבלה חוות דעת של הממונה על עבודות השירות, מיום 28.6.18, </w:t>
      </w:r>
      <w:r>
        <w:rPr>
          <w:rFonts w:hint="cs"/>
          <w:rtl/>
        </w:rPr>
        <w:t>לפיה הממונה מצא את</w:t>
      </w:r>
      <w:r w:rsidRPr="00C213D6">
        <w:rPr>
          <w:rFonts w:hint="cs"/>
          <w:rtl/>
        </w:rPr>
        <w:t xml:space="preserve"> הנאשם מתאים לביצוע עבודות שירות. </w:t>
      </w:r>
    </w:p>
    <w:p w14:paraId="58626E55" w14:textId="77777777" w:rsidR="00A42183" w:rsidRPr="00C213D6" w:rsidRDefault="00A42183" w:rsidP="00A42183">
      <w:pPr>
        <w:spacing w:line="360" w:lineRule="auto"/>
        <w:ind w:left="720" w:hanging="720"/>
        <w:jc w:val="both"/>
        <w:rPr>
          <w:rtl/>
        </w:rPr>
      </w:pPr>
    </w:p>
    <w:p w14:paraId="532F8C7E" w14:textId="77777777" w:rsidR="00A42183" w:rsidRPr="00C213D6" w:rsidRDefault="00A42183" w:rsidP="00A42183">
      <w:pPr>
        <w:spacing w:line="360" w:lineRule="auto"/>
        <w:ind w:left="720" w:hanging="720"/>
        <w:jc w:val="both"/>
        <w:rPr>
          <w:b/>
          <w:bCs/>
          <w:u w:val="single"/>
          <w:rtl/>
        </w:rPr>
      </w:pPr>
      <w:r>
        <w:rPr>
          <w:rFonts w:hint="cs"/>
          <w:rtl/>
        </w:rPr>
        <w:t>5</w:t>
      </w:r>
      <w:r w:rsidRPr="00C213D6">
        <w:rPr>
          <w:rFonts w:hint="cs"/>
          <w:rtl/>
        </w:rPr>
        <w:t>.</w:t>
      </w:r>
      <w:r w:rsidRPr="00C213D6">
        <w:rPr>
          <w:rFonts w:hint="cs"/>
          <w:rtl/>
        </w:rPr>
        <w:tab/>
      </w:r>
      <w:r w:rsidRPr="00C213D6">
        <w:rPr>
          <w:rFonts w:hint="cs"/>
          <w:b/>
          <w:bCs/>
          <w:u w:val="single"/>
          <w:rtl/>
        </w:rPr>
        <w:t>טענות המאשימה לעונש</w:t>
      </w:r>
    </w:p>
    <w:p w14:paraId="622DAF4A"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ב"כ המאשימה הדגיש בטיעונו את החומרה הרבה הגלומה בעבירות הסמים, ו</w:t>
      </w:r>
      <w:r>
        <w:rPr>
          <w:rFonts w:hint="cs"/>
          <w:rtl/>
        </w:rPr>
        <w:t xml:space="preserve">הפנה </w:t>
      </w:r>
      <w:r w:rsidRPr="00C213D6">
        <w:rPr>
          <w:rFonts w:hint="cs"/>
          <w:rtl/>
        </w:rPr>
        <w:t xml:space="preserve"> </w:t>
      </w:r>
      <w:r>
        <w:rPr>
          <w:rFonts w:hint="cs"/>
          <w:rtl/>
        </w:rPr>
        <w:t>ל</w:t>
      </w:r>
      <w:r w:rsidRPr="00C213D6">
        <w:rPr>
          <w:rFonts w:hint="cs"/>
          <w:rtl/>
        </w:rPr>
        <w:t>פסיקה הקובעת שעל בית המשפט להטיל עונשים משמעותיים על המעורבים בעבירות מסוג זה. ב"כ המאשימה ציין כי העבירות בוצעו לאחר תכנון קפדני ובמשך תקופה של חודשים</w:t>
      </w:r>
      <w:r>
        <w:rPr>
          <w:rFonts w:hint="cs"/>
          <w:rtl/>
        </w:rPr>
        <w:t>,</w:t>
      </w:r>
      <w:r w:rsidRPr="00C213D6">
        <w:rPr>
          <w:rFonts w:hint="cs"/>
          <w:rtl/>
        </w:rPr>
        <w:t xml:space="preserve"> כך שלא מדובר בעבירה שבוצעה מתוך דחף רגעי. ב"כ המאשימה הפנה לכך שמדובר בסם מסוג ק</w:t>
      </w:r>
      <w:r>
        <w:rPr>
          <w:rFonts w:hint="cs"/>
          <w:rtl/>
        </w:rPr>
        <w:t>נא</w:t>
      </w:r>
      <w:r w:rsidRPr="00C213D6">
        <w:rPr>
          <w:rFonts w:hint="cs"/>
          <w:rtl/>
        </w:rPr>
        <w:t>ביס בכמויות נכבדות של מאות שתילים</w:t>
      </w:r>
      <w:r>
        <w:rPr>
          <w:rFonts w:hint="cs"/>
          <w:rtl/>
        </w:rPr>
        <w:t>,</w:t>
      </w:r>
      <w:r w:rsidRPr="00C213D6">
        <w:rPr>
          <w:rFonts w:hint="cs"/>
          <w:rtl/>
        </w:rPr>
        <w:t xml:space="preserve"> כאשר לא ידוע מה נעשה בשתילים הנזכרים במסגרת האישום הראשון.</w:t>
      </w:r>
      <w:r>
        <w:rPr>
          <w:rFonts w:hint="cs"/>
          <w:rtl/>
        </w:rPr>
        <w:t xml:space="preserve"> ב"כ המאשימה הדגיש כי</w:t>
      </w:r>
      <w:r w:rsidRPr="00C213D6">
        <w:rPr>
          <w:rFonts w:hint="cs"/>
          <w:rtl/>
        </w:rPr>
        <w:t xml:space="preserve"> העבירות בוצעו מתוך מניע כלכלי כאשר </w:t>
      </w:r>
      <w:r>
        <w:rPr>
          <w:rFonts w:hint="cs"/>
          <w:rtl/>
        </w:rPr>
        <w:t>ל</w:t>
      </w:r>
      <w:r w:rsidRPr="00C213D6">
        <w:rPr>
          <w:rFonts w:hint="cs"/>
          <w:rtl/>
        </w:rPr>
        <w:t xml:space="preserve">נאשם היה תפקיד מרכזי בביצוען. </w:t>
      </w:r>
    </w:p>
    <w:p w14:paraId="0DAA8AD8"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 xml:space="preserve">לגבי הפסיקה הנוהגת הציג ב"כ המאשימה פסיקה בגדרה נקבע מתחם ענישה של שנה עד שש שנות מאסר. לאור זאת טען ב"כ המאשימה כי יש להעמיד את מתחם העונש ההולם בעניינו של הנאשם על 12 </w:t>
      </w:r>
      <w:r w:rsidRPr="00C213D6">
        <w:rPr>
          <w:rtl/>
        </w:rPr>
        <w:t>–</w:t>
      </w:r>
      <w:r w:rsidRPr="00C213D6">
        <w:rPr>
          <w:rFonts w:hint="cs"/>
          <w:rtl/>
        </w:rPr>
        <w:t xml:space="preserve"> 30 חודשי מאסר. </w:t>
      </w:r>
    </w:p>
    <w:p w14:paraId="629D3597"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ב"כ המאשימה מסכים כי מיקומו של העונש בתוך המתחם צריך להיות בתחתית המתחם זאת לנוכח הודאתו של הנאשם, לנוכח העדר</w:t>
      </w:r>
      <w:r>
        <w:rPr>
          <w:rFonts w:hint="cs"/>
          <w:rtl/>
        </w:rPr>
        <w:t xml:space="preserve">ו של </w:t>
      </w:r>
      <w:r w:rsidRPr="00C213D6">
        <w:rPr>
          <w:rFonts w:hint="cs"/>
          <w:rtl/>
        </w:rPr>
        <w:t>עבר פלילי, ולנוכח התסקיר</w:t>
      </w:r>
      <w:r>
        <w:rPr>
          <w:rFonts w:hint="cs"/>
          <w:rtl/>
        </w:rPr>
        <w:t xml:space="preserve"> החיובי</w:t>
      </w:r>
      <w:r w:rsidRPr="00C213D6">
        <w:rPr>
          <w:rFonts w:hint="cs"/>
          <w:rtl/>
        </w:rPr>
        <w:t>. ב"כ המאשימה מתנגד לחריגה מהמתחם כלפי מטה מטעמי שיקום</w:t>
      </w:r>
      <w:r>
        <w:rPr>
          <w:rFonts w:hint="cs"/>
          <w:rtl/>
        </w:rPr>
        <w:t>. לטענתו, מאחר</w:t>
      </w:r>
      <w:r w:rsidRPr="00C213D6">
        <w:rPr>
          <w:rFonts w:hint="cs"/>
          <w:rtl/>
        </w:rPr>
        <w:t xml:space="preserve"> </w:t>
      </w:r>
      <w:r>
        <w:rPr>
          <w:rFonts w:hint="cs"/>
          <w:rtl/>
        </w:rPr>
        <w:t>ש</w:t>
      </w:r>
      <w:r w:rsidRPr="00C213D6">
        <w:rPr>
          <w:rFonts w:hint="cs"/>
          <w:rtl/>
        </w:rPr>
        <w:t>מדובר במי שניהל אורח חיים תקין ובמקביל הקים מעבדה לגידול סמים</w:t>
      </w:r>
      <w:r>
        <w:rPr>
          <w:rFonts w:hint="cs"/>
          <w:rtl/>
        </w:rPr>
        <w:t>,</w:t>
      </w:r>
      <w:r w:rsidRPr="00C213D6">
        <w:rPr>
          <w:rFonts w:hint="cs"/>
          <w:rtl/>
        </w:rPr>
        <w:t xml:space="preserve"> </w:t>
      </w:r>
      <w:r>
        <w:rPr>
          <w:rFonts w:hint="cs"/>
          <w:rtl/>
        </w:rPr>
        <w:t>הרי</w:t>
      </w:r>
      <w:r w:rsidRPr="00C213D6">
        <w:rPr>
          <w:rFonts w:hint="cs"/>
          <w:rtl/>
        </w:rPr>
        <w:t xml:space="preserve"> </w:t>
      </w:r>
      <w:r>
        <w:rPr>
          <w:rFonts w:hint="cs"/>
          <w:rtl/>
        </w:rPr>
        <w:t xml:space="preserve"> ש</w:t>
      </w:r>
      <w:r w:rsidRPr="00C213D6">
        <w:rPr>
          <w:rFonts w:hint="cs"/>
          <w:rtl/>
        </w:rPr>
        <w:t xml:space="preserve">לא ברור </w:t>
      </w:r>
      <w:r>
        <w:rPr>
          <w:rFonts w:hint="cs"/>
          <w:rtl/>
        </w:rPr>
        <w:t xml:space="preserve">מהו </w:t>
      </w:r>
      <w:r w:rsidRPr="00C213D6">
        <w:rPr>
          <w:rFonts w:hint="cs"/>
          <w:rtl/>
        </w:rPr>
        <w:t>ההליך השיקומי הנדרש</w:t>
      </w:r>
      <w:r>
        <w:rPr>
          <w:rFonts w:hint="cs"/>
          <w:rtl/>
        </w:rPr>
        <w:t xml:space="preserve"> בעניינו של הנאשם</w:t>
      </w:r>
      <w:r w:rsidRPr="00C213D6">
        <w:rPr>
          <w:rFonts w:hint="cs"/>
          <w:rtl/>
        </w:rPr>
        <w:t xml:space="preserve">. </w:t>
      </w:r>
    </w:p>
    <w:p w14:paraId="441DD9BE"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לסיכום, עתר ב"כ המאשימה להטלת עונש של 12 חודשי מאסר, מאסר על תנאי, וקנס משמעותי. בנוסף</w:t>
      </w:r>
      <w:r>
        <w:rPr>
          <w:rFonts w:hint="cs"/>
          <w:rtl/>
        </w:rPr>
        <w:t>,</w:t>
      </w:r>
      <w:r w:rsidRPr="00C213D6">
        <w:rPr>
          <w:rFonts w:hint="cs"/>
          <w:rtl/>
        </w:rPr>
        <w:t xml:space="preserve"> ביקש ב"כ המאשימה כי בית המשפט יורה על חילוט הפיקדון</w:t>
      </w:r>
      <w:r>
        <w:rPr>
          <w:rFonts w:hint="cs"/>
          <w:rtl/>
        </w:rPr>
        <w:t xml:space="preserve"> שהפקיד הנאשם</w:t>
      </w:r>
      <w:r w:rsidRPr="00C213D6">
        <w:rPr>
          <w:rFonts w:hint="cs"/>
          <w:rtl/>
        </w:rPr>
        <w:t xml:space="preserve"> בסך 10,000 ₪</w:t>
      </w:r>
      <w:r>
        <w:rPr>
          <w:rFonts w:hint="cs"/>
          <w:rtl/>
        </w:rPr>
        <w:t>,</w:t>
      </w:r>
      <w:r w:rsidRPr="00C213D6">
        <w:rPr>
          <w:rFonts w:hint="cs"/>
          <w:rtl/>
        </w:rPr>
        <w:t xml:space="preserve"> וכי בית המשפט יכריז על הנאשם כסוחר סמים. </w:t>
      </w:r>
    </w:p>
    <w:p w14:paraId="4837197A" w14:textId="77777777" w:rsidR="00A42183" w:rsidRPr="00C213D6" w:rsidRDefault="00A42183" w:rsidP="00A42183">
      <w:pPr>
        <w:spacing w:line="360" w:lineRule="auto"/>
        <w:ind w:left="720" w:hanging="720"/>
        <w:jc w:val="both"/>
        <w:rPr>
          <w:rtl/>
        </w:rPr>
      </w:pPr>
    </w:p>
    <w:p w14:paraId="04D933CB" w14:textId="77777777" w:rsidR="00A42183" w:rsidRPr="00C213D6" w:rsidRDefault="00A42183" w:rsidP="00A42183">
      <w:pPr>
        <w:spacing w:line="360" w:lineRule="auto"/>
        <w:ind w:left="720" w:hanging="720"/>
        <w:jc w:val="both"/>
        <w:rPr>
          <w:b/>
          <w:bCs/>
          <w:u w:val="single"/>
          <w:rtl/>
        </w:rPr>
      </w:pPr>
      <w:r>
        <w:rPr>
          <w:rFonts w:hint="cs"/>
          <w:rtl/>
        </w:rPr>
        <w:t>6</w:t>
      </w:r>
      <w:r w:rsidRPr="00C213D6">
        <w:rPr>
          <w:rFonts w:hint="cs"/>
          <w:rtl/>
        </w:rPr>
        <w:t>.</w:t>
      </w:r>
      <w:r w:rsidRPr="00C213D6">
        <w:rPr>
          <w:rFonts w:hint="cs"/>
          <w:rtl/>
        </w:rPr>
        <w:tab/>
      </w:r>
      <w:r w:rsidRPr="00C213D6">
        <w:rPr>
          <w:rFonts w:hint="cs"/>
          <w:b/>
          <w:bCs/>
          <w:u w:val="single"/>
          <w:rtl/>
        </w:rPr>
        <w:t>טענות הנאשם לעונש</w:t>
      </w:r>
    </w:p>
    <w:p w14:paraId="1BA49763"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ב"כ הנאשם טען שאין זה ראוי כי ב"כ המאשימה יטען למתחם</w:t>
      </w:r>
      <w:r>
        <w:rPr>
          <w:rFonts w:hint="cs"/>
          <w:rtl/>
        </w:rPr>
        <w:t xml:space="preserve"> ענישה</w:t>
      </w:r>
      <w:r w:rsidRPr="00C213D6">
        <w:rPr>
          <w:rFonts w:hint="cs"/>
          <w:rtl/>
        </w:rPr>
        <w:t xml:space="preserve"> המתחיל ב-12 חודשי מאסר כאשר הוסכם שהצדדים יטענו לעונש שינוע בין מאסר בעבודות שירות ל-12 חודשי מאסר. </w:t>
      </w:r>
      <w:r>
        <w:rPr>
          <w:rFonts w:hint="cs"/>
          <w:rtl/>
        </w:rPr>
        <w:t xml:space="preserve">ייאמר כבר עתה, כי </w:t>
      </w:r>
      <w:r w:rsidRPr="00C213D6">
        <w:rPr>
          <w:rFonts w:hint="cs"/>
          <w:rtl/>
        </w:rPr>
        <w:t>טענה זו אין בידי לקבל</w:t>
      </w:r>
      <w:r>
        <w:rPr>
          <w:rFonts w:hint="cs"/>
          <w:rtl/>
        </w:rPr>
        <w:t>,</w:t>
      </w:r>
      <w:r w:rsidRPr="00C213D6">
        <w:rPr>
          <w:rFonts w:hint="cs"/>
          <w:rtl/>
        </w:rPr>
        <w:t xml:space="preserve"> כיוון שעיון בהסדר הטיעון מלמד כי הוסכם שהנאשם יהיה חופשי בטיעוניו לעונש ולא הוסכם </w:t>
      </w:r>
      <w:r>
        <w:rPr>
          <w:rFonts w:hint="cs"/>
          <w:rtl/>
        </w:rPr>
        <w:t xml:space="preserve">כי המאשימה תהיה מוגבלת בטיעוניה לגבי </w:t>
      </w:r>
      <w:r w:rsidRPr="00C213D6">
        <w:rPr>
          <w:rFonts w:hint="cs"/>
          <w:rtl/>
        </w:rPr>
        <w:t xml:space="preserve">תחתית המתחם. </w:t>
      </w:r>
    </w:p>
    <w:p w14:paraId="145083FD"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 xml:space="preserve">ב"כ הנאשם ביקש כי בית המשפט יאמץ את המלצת שירות המבחן. לטענתו שיקולי השיקום המפורטים בתסקיר מצדיקים חריגה מהמתחם כלפי מטה. ב"כ הנאשם אף הציג גזרי דין שבהם נהגו בתי המשפט לקולא בנאשמים אשר הורשעו בעבירות חמורות ועברו תהליך טיפולי מוצלח. </w:t>
      </w:r>
    </w:p>
    <w:p w14:paraId="6FE43E46"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כמו כן</w:t>
      </w:r>
      <w:r>
        <w:rPr>
          <w:rFonts w:hint="cs"/>
          <w:rtl/>
        </w:rPr>
        <w:t>,</w:t>
      </w:r>
      <w:r w:rsidRPr="00C213D6">
        <w:rPr>
          <w:rFonts w:hint="cs"/>
          <w:rtl/>
        </w:rPr>
        <w:t xml:space="preserve"> הפנה ב"כ הנאשם לעובדה ש</w:t>
      </w:r>
      <w:r>
        <w:rPr>
          <w:rFonts w:hint="cs"/>
          <w:rtl/>
        </w:rPr>
        <w:t xml:space="preserve">על </w:t>
      </w:r>
      <w:r w:rsidRPr="00C213D6">
        <w:rPr>
          <w:rFonts w:hint="cs"/>
          <w:rtl/>
        </w:rPr>
        <w:t>אחי</w:t>
      </w:r>
      <w:r>
        <w:rPr>
          <w:rFonts w:hint="cs"/>
          <w:rtl/>
        </w:rPr>
        <w:t>ינו של הנאשם, שביצע יחד א</w:t>
      </w:r>
      <w:r w:rsidRPr="00C213D6">
        <w:rPr>
          <w:rFonts w:hint="cs"/>
          <w:rtl/>
        </w:rPr>
        <w:t xml:space="preserve">תו את העבירות </w:t>
      </w:r>
      <w:r>
        <w:rPr>
          <w:rFonts w:hint="cs"/>
          <w:rtl/>
        </w:rPr>
        <w:t>ו</w:t>
      </w:r>
      <w:r w:rsidRPr="00C213D6">
        <w:rPr>
          <w:rFonts w:hint="cs"/>
          <w:rtl/>
        </w:rPr>
        <w:t>הורשע במסגרת הסדר טיעון סגור</w:t>
      </w:r>
      <w:r>
        <w:rPr>
          <w:rFonts w:hint="cs"/>
          <w:rtl/>
        </w:rPr>
        <w:t>,</w:t>
      </w:r>
      <w:r w:rsidRPr="00C213D6">
        <w:rPr>
          <w:rFonts w:hint="cs"/>
          <w:rtl/>
        </w:rPr>
        <w:t xml:space="preserve"> הוטל עונש של 9 חודשי מאסר בפועל למרות שבעברו שתי הרשעות </w:t>
      </w:r>
      <w:r>
        <w:rPr>
          <w:rFonts w:hint="cs"/>
          <w:rtl/>
        </w:rPr>
        <w:t xml:space="preserve">קודמות </w:t>
      </w:r>
      <w:r w:rsidRPr="00C213D6">
        <w:rPr>
          <w:rFonts w:hint="cs"/>
          <w:rtl/>
        </w:rPr>
        <w:t>בעבירות סמים.</w:t>
      </w:r>
    </w:p>
    <w:p w14:paraId="2235FA91" w14:textId="77777777" w:rsidR="00A42183" w:rsidRPr="00C213D6" w:rsidRDefault="00A42183" w:rsidP="00A42183">
      <w:pPr>
        <w:spacing w:line="360" w:lineRule="auto"/>
        <w:ind w:left="720" w:hanging="720"/>
        <w:jc w:val="both"/>
        <w:rPr>
          <w:rtl/>
        </w:rPr>
      </w:pPr>
      <w:r w:rsidRPr="00C213D6">
        <w:rPr>
          <w:rtl/>
        </w:rPr>
        <w:t xml:space="preserve"> </w:t>
      </w:r>
    </w:p>
    <w:p w14:paraId="0BDA5F53" w14:textId="77777777" w:rsidR="00A42183" w:rsidRPr="00C213D6" w:rsidRDefault="00A42183" w:rsidP="00A42183">
      <w:pPr>
        <w:spacing w:line="360" w:lineRule="auto"/>
        <w:ind w:left="720" w:hanging="720"/>
        <w:jc w:val="both"/>
        <w:rPr>
          <w:b/>
          <w:bCs/>
          <w:u w:val="single"/>
          <w:rtl/>
        </w:rPr>
      </w:pPr>
      <w:r>
        <w:rPr>
          <w:rFonts w:hint="cs"/>
          <w:rtl/>
        </w:rPr>
        <w:t>7</w:t>
      </w:r>
      <w:r w:rsidRPr="00C213D6">
        <w:rPr>
          <w:rFonts w:hint="cs"/>
          <w:rtl/>
        </w:rPr>
        <w:t>.</w:t>
      </w:r>
      <w:r w:rsidRPr="00C213D6">
        <w:rPr>
          <w:rFonts w:hint="cs"/>
          <w:rtl/>
        </w:rPr>
        <w:tab/>
      </w:r>
      <w:r w:rsidRPr="00C213D6">
        <w:rPr>
          <w:rFonts w:hint="cs"/>
          <w:b/>
          <w:bCs/>
          <w:u w:val="single"/>
          <w:rtl/>
        </w:rPr>
        <w:t>דברי הנאשם</w:t>
      </w:r>
    </w:p>
    <w:p w14:paraId="5387B40A"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 xml:space="preserve">בסיום הטיעון לעונש מסר הנאשם את דבריו. הנאשם ציין כי הוא מתנצל ומבקש סליחה על הטעות שעשה. הנאשם ציין כי הוא נמצא בשיקום מזה שלוש שנים וכי הוא נקי מסמים ומתפקד בצורה טובה בעסק ובבית. לדברי הנאשם היום הוא איש חדש עם מוטיבציה לפתוח דף חדש בחייו. הנאשם הבטיח שזו תהיה הסתבכותו האחרונה עם החוק. </w:t>
      </w:r>
    </w:p>
    <w:p w14:paraId="1812C903"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בנוסף לנאשם השמיעה דברים גם רעייתו</w:t>
      </w:r>
      <w:r>
        <w:rPr>
          <w:rFonts w:hint="cs"/>
          <w:rtl/>
        </w:rPr>
        <w:t>,</w:t>
      </w:r>
      <w:r w:rsidRPr="00C213D6">
        <w:rPr>
          <w:rFonts w:hint="cs"/>
          <w:rtl/>
        </w:rPr>
        <w:t xml:space="preserve"> אשר ביקשה כי בית המשפט ינהג בנאשם במידת הרחמים לאחר שהנאשם שיקם את עצמו. </w:t>
      </w:r>
    </w:p>
    <w:p w14:paraId="23B648B7" w14:textId="77777777" w:rsidR="00A42183" w:rsidRPr="00C213D6" w:rsidRDefault="00A42183" w:rsidP="00A42183">
      <w:pPr>
        <w:spacing w:line="360" w:lineRule="auto"/>
        <w:ind w:left="720" w:hanging="720"/>
        <w:jc w:val="both"/>
        <w:rPr>
          <w:rtl/>
        </w:rPr>
      </w:pPr>
    </w:p>
    <w:p w14:paraId="2310590B" w14:textId="77777777" w:rsidR="00A42183" w:rsidRDefault="00A42183" w:rsidP="00A42183">
      <w:pPr>
        <w:spacing w:line="360" w:lineRule="auto"/>
        <w:ind w:left="720" w:hanging="720"/>
        <w:jc w:val="both"/>
        <w:rPr>
          <w:b/>
          <w:bCs/>
          <w:u w:val="single"/>
          <w:rtl/>
        </w:rPr>
      </w:pPr>
      <w:r w:rsidRPr="00C213D6">
        <w:rPr>
          <w:rFonts w:hint="cs"/>
          <w:rtl/>
        </w:rPr>
        <w:tab/>
      </w:r>
      <w:r w:rsidRPr="00C213D6">
        <w:rPr>
          <w:rFonts w:hint="cs"/>
          <w:b/>
          <w:bCs/>
          <w:u w:val="single"/>
          <w:rtl/>
        </w:rPr>
        <w:t>דיון והכרעה</w:t>
      </w:r>
    </w:p>
    <w:p w14:paraId="4534B631" w14:textId="77777777" w:rsidR="00A42183" w:rsidRPr="00C213D6" w:rsidRDefault="00A42183" w:rsidP="00A42183">
      <w:pPr>
        <w:spacing w:line="360" w:lineRule="auto"/>
        <w:ind w:left="720" w:hanging="720"/>
        <w:jc w:val="both"/>
        <w:rPr>
          <w:b/>
          <w:bCs/>
          <w:u w:val="single"/>
          <w:rtl/>
        </w:rPr>
      </w:pPr>
    </w:p>
    <w:p w14:paraId="123E3C50" w14:textId="77777777" w:rsidR="00A42183" w:rsidRDefault="00A42183" w:rsidP="00A42183">
      <w:pPr>
        <w:spacing w:line="360" w:lineRule="auto"/>
        <w:ind w:left="720" w:hanging="720"/>
        <w:jc w:val="both"/>
        <w:rPr>
          <w:rtl/>
        </w:rPr>
      </w:pPr>
      <w:r>
        <w:rPr>
          <w:rFonts w:hint="cs"/>
          <w:rtl/>
        </w:rPr>
        <w:t>8.</w:t>
      </w:r>
      <w:r>
        <w:rPr>
          <w:rFonts w:hint="cs"/>
          <w:rtl/>
        </w:rPr>
        <w:tab/>
      </w:r>
      <w:r w:rsidRPr="00C213D6">
        <w:rPr>
          <w:rFonts w:hint="cs"/>
          <w:rtl/>
        </w:rPr>
        <w:t xml:space="preserve">הערך החברתי המוגן על-ידי עבירות הסמים הוא בריאות הציבור. על חומרתן של עבירות הסמים אין צורך להרחיב את הדיבור. הפסיקה עמדה לא פעם על הנזקים הנגרמים כתוצאה מביצוע עבירות סמים, נזקים ישירים ועקיפים כאחד. ביצוע עבירות הסמים פוגע קשות בערך המוגן ומחייב ענישה מרתיעה. </w:t>
      </w:r>
      <w:r>
        <w:rPr>
          <w:rFonts w:hint="cs"/>
          <w:rtl/>
        </w:rPr>
        <w:t>על עקרונות אלו עמד בית המשפט לא פעם, בין היתר ב</w:t>
      </w:r>
      <w:hyperlink r:id="rId20" w:history="1">
        <w:r w:rsidR="00896B1B" w:rsidRPr="00896B1B">
          <w:rPr>
            <w:color w:val="0000FF"/>
            <w:u w:val="single"/>
            <w:rtl/>
          </w:rPr>
          <w:t>ע"פ 211/09</w:t>
        </w:r>
      </w:hyperlink>
      <w:r>
        <w:rPr>
          <w:rFonts w:hint="cs"/>
          <w:rtl/>
        </w:rPr>
        <w:t xml:space="preserve"> </w:t>
      </w:r>
      <w:r w:rsidRPr="003151BD">
        <w:rPr>
          <w:rFonts w:hint="cs"/>
          <w:b/>
          <w:bCs/>
          <w:rtl/>
        </w:rPr>
        <w:t>אזולאי</w:t>
      </w:r>
      <w:r>
        <w:rPr>
          <w:rFonts w:hint="cs"/>
          <w:rtl/>
        </w:rPr>
        <w:t xml:space="preserve"> נ' </w:t>
      </w:r>
      <w:r w:rsidRPr="003151BD">
        <w:rPr>
          <w:rFonts w:hint="cs"/>
          <w:b/>
          <w:bCs/>
          <w:rtl/>
        </w:rPr>
        <w:t>מדינת ישראל</w:t>
      </w:r>
      <w:r>
        <w:rPr>
          <w:rFonts w:hint="cs"/>
          <w:rtl/>
        </w:rPr>
        <w:t xml:space="preserve"> [פורסם בנבו] (22.6.10), שם נאמרו הדברים הבאים בהקשר של עבירת החזקת סם שלא לצריכה עצמית:</w:t>
      </w:r>
    </w:p>
    <w:p w14:paraId="789C799D" w14:textId="77777777" w:rsidR="00A42183" w:rsidRDefault="00A42183" w:rsidP="00A42183">
      <w:pPr>
        <w:spacing w:line="360" w:lineRule="auto"/>
        <w:ind w:left="720" w:hanging="720"/>
        <w:jc w:val="both"/>
        <w:rPr>
          <w:rtl/>
        </w:rPr>
      </w:pPr>
    </w:p>
    <w:p w14:paraId="25F270DA" w14:textId="77777777" w:rsidR="00A42183" w:rsidRDefault="00A42183" w:rsidP="00A42183">
      <w:pPr>
        <w:spacing w:line="360" w:lineRule="auto"/>
        <w:ind w:left="1417" w:right="851" w:hanging="12"/>
        <w:jc w:val="both"/>
        <w:rPr>
          <w:b/>
          <w:bCs/>
          <w:rtl/>
        </w:rPr>
      </w:pPr>
      <w:r>
        <w:rPr>
          <w:rFonts w:hint="cs"/>
          <w:b/>
          <w:bCs/>
          <w:rtl/>
        </w:rPr>
        <w:t>"</w:t>
      </w:r>
      <w:r w:rsidRPr="003151BD">
        <w:rPr>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hint="cs"/>
          <w:b/>
          <w:bCs/>
          <w:rtl/>
        </w:rPr>
        <w:t>"</w:t>
      </w:r>
    </w:p>
    <w:p w14:paraId="60E01590" w14:textId="77777777" w:rsidR="00A42183" w:rsidRPr="003151BD" w:rsidRDefault="00A42183" w:rsidP="00A42183">
      <w:pPr>
        <w:spacing w:line="360" w:lineRule="auto"/>
        <w:ind w:left="1417" w:right="851" w:hanging="12"/>
        <w:jc w:val="both"/>
        <w:rPr>
          <w:b/>
          <w:bCs/>
          <w:rtl/>
        </w:rPr>
      </w:pPr>
      <w:r>
        <w:rPr>
          <w:rFonts w:hint="cs"/>
          <w:rtl/>
        </w:rPr>
        <w:t xml:space="preserve">(וכן ראו </w:t>
      </w:r>
      <w:r>
        <w:rPr>
          <w:rtl/>
        </w:rPr>
        <w:t>–</w:t>
      </w:r>
      <w:r>
        <w:rPr>
          <w:rFonts w:hint="cs"/>
          <w:rtl/>
        </w:rPr>
        <w:t xml:space="preserve"> </w:t>
      </w:r>
      <w:hyperlink r:id="rId21" w:history="1">
        <w:r w:rsidR="00896B1B" w:rsidRPr="00896B1B">
          <w:rPr>
            <w:color w:val="0000FF"/>
            <w:u w:val="single"/>
            <w:rtl/>
          </w:rPr>
          <w:t>ע"פ 1932/15</w:t>
        </w:r>
      </w:hyperlink>
      <w:r>
        <w:rPr>
          <w:rFonts w:hint="cs"/>
          <w:rtl/>
        </w:rPr>
        <w:t xml:space="preserve"> </w:t>
      </w:r>
      <w:r w:rsidRPr="004F39E6">
        <w:rPr>
          <w:rFonts w:hint="cs"/>
          <w:b/>
          <w:bCs/>
          <w:rtl/>
        </w:rPr>
        <w:t>בן סעדון</w:t>
      </w:r>
      <w:r>
        <w:rPr>
          <w:rFonts w:hint="cs"/>
          <w:rtl/>
        </w:rPr>
        <w:t xml:space="preserve"> נ' </w:t>
      </w:r>
      <w:r w:rsidRPr="004F39E6">
        <w:rPr>
          <w:rFonts w:hint="cs"/>
          <w:b/>
          <w:bCs/>
          <w:rtl/>
        </w:rPr>
        <w:t>מדינת ישראל</w:t>
      </w:r>
      <w:r>
        <w:rPr>
          <w:rFonts w:hint="cs"/>
          <w:rtl/>
        </w:rPr>
        <w:t xml:space="preserve"> [פורסם בנבו] (17.4.16)).</w:t>
      </w:r>
    </w:p>
    <w:p w14:paraId="0FA82243" w14:textId="77777777" w:rsidR="00A42183" w:rsidRPr="00C213D6" w:rsidRDefault="00A42183" w:rsidP="00A42183">
      <w:pPr>
        <w:spacing w:line="360" w:lineRule="auto"/>
        <w:ind w:left="720" w:hanging="720"/>
        <w:jc w:val="both"/>
        <w:rPr>
          <w:rtl/>
        </w:rPr>
      </w:pPr>
    </w:p>
    <w:p w14:paraId="40371BDD" w14:textId="77777777" w:rsidR="00A42183" w:rsidRPr="00C213D6" w:rsidRDefault="00A42183" w:rsidP="00A42183">
      <w:pPr>
        <w:spacing w:line="360" w:lineRule="auto"/>
        <w:ind w:left="720" w:hanging="720"/>
        <w:jc w:val="both"/>
        <w:rPr>
          <w:rtl/>
        </w:rPr>
      </w:pPr>
      <w:r>
        <w:rPr>
          <w:rFonts w:hint="cs"/>
          <w:rtl/>
        </w:rPr>
        <w:t>9</w:t>
      </w:r>
      <w:r w:rsidRPr="00C213D6">
        <w:rPr>
          <w:rFonts w:hint="cs"/>
          <w:rtl/>
        </w:rPr>
        <w:t>.</w:t>
      </w:r>
      <w:r w:rsidRPr="00C213D6">
        <w:rPr>
          <w:rFonts w:hint="cs"/>
          <w:rtl/>
        </w:rPr>
        <w:tab/>
        <w:t>נסיבות ביצוע העבירה מלמדות על חומרה שאין לזלזל בה. מדובר בגידול סמים בהיקף לא קטן של מאות שתילים בכל פעם. יש להביא בחשבון כי השתילים שגודלו כמתואר באישום הראשון לא נתפסו עד היום</w:t>
      </w:r>
      <w:r>
        <w:rPr>
          <w:rFonts w:hint="cs"/>
          <w:rtl/>
        </w:rPr>
        <w:t>,</w:t>
      </w:r>
      <w:r w:rsidRPr="00C213D6">
        <w:rPr>
          <w:rFonts w:hint="cs"/>
          <w:rtl/>
        </w:rPr>
        <w:t xml:space="preserve"> כך שיש בהחלט חשש שהם הופצו והגיעו לשימושם של אחרים, על כל הנזק הכרוך בכך לאותם אחרים ולחברה בכללותה. מדובר בעבירות </w:t>
      </w:r>
      <w:r>
        <w:rPr>
          <w:rFonts w:hint="cs"/>
          <w:rtl/>
        </w:rPr>
        <w:t>שבוצעו לאחר תכנון קפדני, כאשר ל</w:t>
      </w:r>
      <w:r w:rsidRPr="00C213D6">
        <w:rPr>
          <w:rFonts w:hint="cs"/>
          <w:rtl/>
        </w:rPr>
        <w:t>צורך ביצוע העבירות שכר הנאשם דירות ורכש ציוד</w:t>
      </w:r>
      <w:r>
        <w:rPr>
          <w:rFonts w:hint="cs"/>
          <w:rtl/>
        </w:rPr>
        <w:t xml:space="preserve"> שנועד לגידול הסמים</w:t>
      </w:r>
      <w:r w:rsidRPr="00C213D6">
        <w:rPr>
          <w:rFonts w:hint="cs"/>
          <w:rtl/>
        </w:rPr>
        <w:t>. העבירות בוצעו במהלך חודשים ארוכים שבהם הייתה לנאשם הזדמנות לחזור בו ממעשיו</w:t>
      </w:r>
      <w:r>
        <w:rPr>
          <w:rFonts w:hint="cs"/>
          <w:rtl/>
        </w:rPr>
        <w:t>,</w:t>
      </w:r>
      <w:r w:rsidRPr="00C213D6">
        <w:rPr>
          <w:rFonts w:hint="cs"/>
          <w:rtl/>
        </w:rPr>
        <w:t xml:space="preserve"> אך הוא לא עשה כן. העבירות בוצעו בשתי הזדמנויות שונות, כמתואר בשני האישומים</w:t>
      </w:r>
      <w:r>
        <w:rPr>
          <w:rFonts w:hint="cs"/>
          <w:rtl/>
        </w:rPr>
        <w:t>,</w:t>
      </w:r>
      <w:r w:rsidRPr="00C213D6">
        <w:rPr>
          <w:rFonts w:hint="cs"/>
          <w:rtl/>
        </w:rPr>
        <w:t xml:space="preserve"> כך שהייתה לנאשם הזדמנות להתחרט</w:t>
      </w:r>
      <w:r>
        <w:rPr>
          <w:rFonts w:hint="cs"/>
          <w:rtl/>
        </w:rPr>
        <w:t xml:space="preserve"> על מעשיו</w:t>
      </w:r>
      <w:r w:rsidRPr="00C213D6">
        <w:rPr>
          <w:rFonts w:hint="cs"/>
          <w:rtl/>
        </w:rPr>
        <w:t xml:space="preserve"> ולא לבצע את העבירה המתוארת באישום השני. חלקו של הנאשם בעבירות שבוצעו מהותי. הנאשם היה שותף מלא לביצוע העבירות מתחילתן ועד לסופן. העבירות בוצעו מתוך מניע כלכלי גרידא</w:t>
      </w:r>
      <w:r>
        <w:rPr>
          <w:rFonts w:hint="cs"/>
          <w:rtl/>
        </w:rPr>
        <w:t>,</w:t>
      </w:r>
      <w:r w:rsidRPr="00C213D6">
        <w:rPr>
          <w:rFonts w:hint="cs"/>
          <w:rtl/>
        </w:rPr>
        <w:t xml:space="preserve"> ולא מתוך מצוקה כלשהי. הנאשם יליד 1965 כך שבעת ביצוע העבירות הוא היה בן 50 לערך.</w:t>
      </w:r>
      <w:r>
        <w:rPr>
          <w:rFonts w:hint="cs"/>
          <w:rtl/>
        </w:rPr>
        <w:t xml:space="preserve"> מדובר בנאשם</w:t>
      </w:r>
      <w:r w:rsidRPr="00C213D6">
        <w:rPr>
          <w:rFonts w:hint="cs"/>
          <w:rtl/>
        </w:rPr>
        <w:t xml:space="preserve"> מנוסה שסיים את לימודיו, שירת בצבא וניהל עסק</w:t>
      </w:r>
      <w:r>
        <w:rPr>
          <w:rFonts w:hint="cs"/>
          <w:rtl/>
        </w:rPr>
        <w:t xml:space="preserve">. </w:t>
      </w:r>
      <w:r w:rsidRPr="00C213D6">
        <w:rPr>
          <w:rFonts w:hint="cs"/>
          <w:rtl/>
        </w:rPr>
        <w:t>אין ספק</w:t>
      </w:r>
      <w:r>
        <w:rPr>
          <w:rFonts w:hint="cs"/>
          <w:rtl/>
        </w:rPr>
        <w:t>, אם כן,</w:t>
      </w:r>
      <w:r w:rsidRPr="00C213D6">
        <w:rPr>
          <w:rFonts w:hint="cs"/>
          <w:rtl/>
        </w:rPr>
        <w:t xml:space="preserve"> כי מתוקף גילו וניסיונו הבין הנאשם היטב את משמעות מעשיו ואת הפסול שב</w:t>
      </w:r>
      <w:r>
        <w:rPr>
          <w:rFonts w:hint="cs"/>
          <w:rtl/>
        </w:rPr>
        <w:t>הם</w:t>
      </w:r>
      <w:r w:rsidRPr="00C213D6">
        <w:rPr>
          <w:rFonts w:hint="cs"/>
          <w:rtl/>
        </w:rPr>
        <w:t xml:space="preserve">. </w:t>
      </w:r>
    </w:p>
    <w:p w14:paraId="1D34B79E" w14:textId="77777777" w:rsidR="00A42183" w:rsidRPr="00C213D6" w:rsidRDefault="00A42183" w:rsidP="00A42183">
      <w:pPr>
        <w:spacing w:line="360" w:lineRule="auto"/>
        <w:ind w:left="720" w:hanging="720"/>
        <w:jc w:val="both"/>
        <w:rPr>
          <w:rtl/>
        </w:rPr>
      </w:pPr>
    </w:p>
    <w:p w14:paraId="0A74E312" w14:textId="77777777" w:rsidR="00A42183" w:rsidRDefault="00A42183" w:rsidP="00A42183">
      <w:pPr>
        <w:spacing w:line="360" w:lineRule="auto"/>
        <w:ind w:left="720" w:hanging="720"/>
        <w:jc w:val="both"/>
        <w:rPr>
          <w:rtl/>
        </w:rPr>
      </w:pPr>
      <w:r>
        <w:rPr>
          <w:rFonts w:hint="cs"/>
          <w:rtl/>
        </w:rPr>
        <w:t>10</w:t>
      </w:r>
      <w:r w:rsidRPr="00C213D6">
        <w:rPr>
          <w:rFonts w:hint="cs"/>
          <w:rtl/>
        </w:rPr>
        <w:t>.</w:t>
      </w:r>
      <w:r w:rsidRPr="00C213D6">
        <w:rPr>
          <w:rFonts w:hint="cs"/>
          <w:rtl/>
        </w:rPr>
        <w:tab/>
        <w:t>אשר למדיניות הענישה הנוהגת</w:t>
      </w:r>
      <w:r>
        <w:rPr>
          <w:rFonts w:hint="cs"/>
          <w:rtl/>
        </w:rPr>
        <w:t>;</w:t>
      </w:r>
    </w:p>
    <w:p w14:paraId="4137E5A2" w14:textId="77777777" w:rsidR="00A42183" w:rsidRDefault="00A42183" w:rsidP="00A42183">
      <w:pPr>
        <w:spacing w:line="360" w:lineRule="auto"/>
        <w:ind w:left="720"/>
        <w:jc w:val="both"/>
        <w:rPr>
          <w:rtl/>
        </w:rPr>
      </w:pPr>
      <w:r w:rsidRPr="00C213D6">
        <w:rPr>
          <w:rFonts w:hint="cs"/>
          <w:rtl/>
        </w:rPr>
        <w:t xml:space="preserve">ב"כ המאשימה הגיש מספר גזרי דין שבהם הוטלו על נאשמים עונשים של 12 </w:t>
      </w:r>
      <w:r w:rsidRPr="00C213D6">
        <w:rPr>
          <w:rtl/>
        </w:rPr>
        <w:t>–</w:t>
      </w:r>
      <w:r w:rsidRPr="00C213D6">
        <w:rPr>
          <w:rFonts w:hint="cs"/>
          <w:rtl/>
        </w:rPr>
        <w:t xml:space="preserve"> 36 חודשי מאסר בפועל.</w:t>
      </w:r>
    </w:p>
    <w:p w14:paraId="18714541" w14:textId="77777777" w:rsidR="00A42183" w:rsidRDefault="00A42183" w:rsidP="00A42183">
      <w:pPr>
        <w:spacing w:line="360" w:lineRule="auto"/>
        <w:ind w:left="720"/>
        <w:jc w:val="both"/>
        <w:rPr>
          <w:rtl/>
        </w:rPr>
      </w:pPr>
      <w:r w:rsidRPr="00C213D6">
        <w:rPr>
          <w:rFonts w:hint="cs"/>
          <w:rtl/>
        </w:rPr>
        <w:t>כך, ב</w:t>
      </w:r>
      <w:hyperlink r:id="rId22" w:history="1">
        <w:r w:rsidR="00896B1B" w:rsidRPr="00896B1B">
          <w:rPr>
            <w:color w:val="0000FF"/>
            <w:u w:val="single"/>
            <w:rtl/>
          </w:rPr>
          <w:t>ת"פ (מחוזי חיפה) 16958-01-14</w:t>
        </w:r>
      </w:hyperlink>
      <w:r w:rsidRPr="00C213D6">
        <w:rPr>
          <w:rFonts w:hint="cs"/>
          <w:rtl/>
        </w:rPr>
        <w:t xml:space="preserve"> </w:t>
      </w:r>
      <w:r w:rsidRPr="00C213D6">
        <w:rPr>
          <w:rFonts w:hint="cs"/>
          <w:b/>
          <w:bCs/>
          <w:rtl/>
        </w:rPr>
        <w:t>מדינת ישראל נ' חייק</w:t>
      </w:r>
      <w:r w:rsidRPr="00C213D6">
        <w:rPr>
          <w:rFonts w:hint="cs"/>
          <w:rtl/>
        </w:rPr>
        <w:t xml:space="preserve"> [פורסם בנבו] (30.4.14)</w:t>
      </w:r>
      <w:r>
        <w:rPr>
          <w:rFonts w:hint="cs"/>
          <w:rtl/>
        </w:rPr>
        <w:t>,</w:t>
      </w:r>
      <w:r w:rsidRPr="00C213D6">
        <w:rPr>
          <w:rFonts w:hint="cs"/>
          <w:rtl/>
        </w:rPr>
        <w:t xml:space="preserve"> נגזר על נאשם שגידל והחזיק שתילים של סם מסוג ק</w:t>
      </w:r>
      <w:r>
        <w:rPr>
          <w:rFonts w:hint="cs"/>
          <w:rtl/>
        </w:rPr>
        <w:t>נא</w:t>
      </w:r>
      <w:r w:rsidRPr="00C213D6">
        <w:rPr>
          <w:rFonts w:hint="cs"/>
          <w:rtl/>
        </w:rPr>
        <w:t>ביס במשקל של 60 קילוגרם</w:t>
      </w:r>
      <w:r>
        <w:rPr>
          <w:rFonts w:hint="cs"/>
          <w:rtl/>
        </w:rPr>
        <w:t>,</w:t>
      </w:r>
      <w:r w:rsidRPr="00C213D6">
        <w:rPr>
          <w:rFonts w:hint="cs"/>
          <w:rtl/>
        </w:rPr>
        <w:t xml:space="preserve"> עונש של 18 חודשי מאסר בפועל.</w:t>
      </w:r>
    </w:p>
    <w:p w14:paraId="4C7A9A71" w14:textId="77777777" w:rsidR="00A42183" w:rsidRDefault="00A42183" w:rsidP="00A42183">
      <w:pPr>
        <w:spacing w:line="360" w:lineRule="auto"/>
        <w:ind w:left="720"/>
        <w:jc w:val="both"/>
        <w:rPr>
          <w:rtl/>
        </w:rPr>
      </w:pPr>
      <w:r w:rsidRPr="00C213D6">
        <w:rPr>
          <w:rFonts w:hint="cs"/>
          <w:rtl/>
        </w:rPr>
        <w:t>ב</w:t>
      </w:r>
      <w:hyperlink r:id="rId23" w:history="1">
        <w:r w:rsidR="00896B1B" w:rsidRPr="00896B1B">
          <w:rPr>
            <w:color w:val="0000FF"/>
            <w:u w:val="single"/>
            <w:rtl/>
          </w:rPr>
          <w:t>ת"פ (מחוזי מרכז) 30278-05-12</w:t>
        </w:r>
      </w:hyperlink>
      <w:r w:rsidRPr="00C213D6">
        <w:rPr>
          <w:rFonts w:hint="cs"/>
          <w:rtl/>
        </w:rPr>
        <w:t xml:space="preserve"> </w:t>
      </w:r>
      <w:r w:rsidRPr="00C213D6">
        <w:rPr>
          <w:rFonts w:hint="cs"/>
          <w:b/>
          <w:bCs/>
          <w:rtl/>
        </w:rPr>
        <w:t xml:space="preserve">מדינת ישראל נ' בן שמעון </w:t>
      </w:r>
      <w:r w:rsidRPr="00C213D6">
        <w:rPr>
          <w:rFonts w:hint="cs"/>
          <w:rtl/>
        </w:rPr>
        <w:t>[פורסם בנבו] (20.2.14)</w:t>
      </w:r>
      <w:r>
        <w:rPr>
          <w:rFonts w:hint="cs"/>
          <w:rtl/>
        </w:rPr>
        <w:t>,</w:t>
      </w:r>
      <w:r w:rsidRPr="00C213D6">
        <w:rPr>
          <w:rFonts w:hint="cs"/>
          <w:rtl/>
        </w:rPr>
        <w:t xml:space="preserve"> נגזר על נאשם שגידל סם מסוכן מסוג ק</w:t>
      </w:r>
      <w:r>
        <w:rPr>
          <w:rFonts w:hint="cs"/>
          <w:rtl/>
        </w:rPr>
        <w:t>נא</w:t>
      </w:r>
      <w:r w:rsidRPr="00C213D6">
        <w:rPr>
          <w:rFonts w:hint="cs"/>
          <w:rtl/>
        </w:rPr>
        <w:t>ביס במשקל כולל של 33.5 קילוגרם</w:t>
      </w:r>
      <w:r>
        <w:rPr>
          <w:rFonts w:hint="cs"/>
          <w:rtl/>
        </w:rPr>
        <w:t>,</w:t>
      </w:r>
      <w:r w:rsidRPr="00C213D6">
        <w:rPr>
          <w:rFonts w:hint="cs"/>
          <w:rtl/>
        </w:rPr>
        <w:t xml:space="preserve"> וכן החזיק כלים אסורים המשמשים להכנת הסם</w:t>
      </w:r>
      <w:r>
        <w:rPr>
          <w:rFonts w:hint="cs"/>
          <w:rtl/>
        </w:rPr>
        <w:t>,</w:t>
      </w:r>
      <w:r w:rsidRPr="00C213D6">
        <w:rPr>
          <w:rFonts w:hint="cs"/>
          <w:rtl/>
        </w:rPr>
        <w:t xml:space="preserve"> עונש של 23 חודשי מאסר בפועל.</w:t>
      </w:r>
    </w:p>
    <w:p w14:paraId="1683B400" w14:textId="77777777" w:rsidR="00A42183" w:rsidRDefault="00A42183" w:rsidP="00A42183">
      <w:pPr>
        <w:spacing w:line="360" w:lineRule="auto"/>
        <w:ind w:left="720"/>
        <w:jc w:val="both"/>
        <w:rPr>
          <w:rtl/>
        </w:rPr>
      </w:pPr>
      <w:r w:rsidRPr="00C213D6">
        <w:rPr>
          <w:rFonts w:hint="cs"/>
          <w:rtl/>
        </w:rPr>
        <w:t>ב</w:t>
      </w:r>
      <w:hyperlink r:id="rId24" w:history="1">
        <w:r w:rsidR="00896B1B" w:rsidRPr="00896B1B">
          <w:rPr>
            <w:color w:val="0000FF"/>
            <w:u w:val="single"/>
            <w:rtl/>
          </w:rPr>
          <w:t>ת"פ (מחוזי נצרת) 47406-05-12</w:t>
        </w:r>
      </w:hyperlink>
      <w:r w:rsidRPr="00C213D6">
        <w:rPr>
          <w:rFonts w:hint="cs"/>
          <w:rtl/>
        </w:rPr>
        <w:t xml:space="preserve">  </w:t>
      </w:r>
      <w:r w:rsidRPr="00C213D6">
        <w:rPr>
          <w:rFonts w:hint="cs"/>
          <w:b/>
          <w:bCs/>
          <w:rtl/>
        </w:rPr>
        <w:t>מדינת ישראל נ' קלופ</w:t>
      </w:r>
      <w:r w:rsidRPr="00C213D6">
        <w:rPr>
          <w:rFonts w:hint="cs"/>
          <w:rtl/>
        </w:rPr>
        <w:t xml:space="preserve"> [פורסם בנבו] (29.11.12)</w:t>
      </w:r>
      <w:r>
        <w:rPr>
          <w:rFonts w:hint="cs"/>
          <w:rtl/>
        </w:rPr>
        <w:t>,</w:t>
      </w:r>
      <w:r w:rsidRPr="00C213D6">
        <w:rPr>
          <w:rFonts w:hint="cs"/>
          <w:rtl/>
        </w:rPr>
        <w:t xml:space="preserve"> נגזר על נאשם שגידל 258 שתילי סם מסוג ק</w:t>
      </w:r>
      <w:r>
        <w:rPr>
          <w:rFonts w:hint="cs"/>
          <w:rtl/>
        </w:rPr>
        <w:t>נא</w:t>
      </w:r>
      <w:r w:rsidRPr="00C213D6">
        <w:rPr>
          <w:rFonts w:hint="cs"/>
          <w:rtl/>
        </w:rPr>
        <w:t>ביס והחזיק בביתו ק</w:t>
      </w:r>
      <w:r>
        <w:rPr>
          <w:rFonts w:hint="cs"/>
          <w:rtl/>
        </w:rPr>
        <w:t>נא</w:t>
      </w:r>
      <w:r w:rsidRPr="00C213D6">
        <w:rPr>
          <w:rFonts w:hint="cs"/>
          <w:rtl/>
        </w:rPr>
        <w:t>ביס במשקל של 40 גרם וכלים המשמשים להכנת סם מסוכן, עונש של 30 חודשי מאסר בפועל.</w:t>
      </w:r>
    </w:p>
    <w:p w14:paraId="559D1A66" w14:textId="77777777" w:rsidR="00A42183" w:rsidRPr="00C213D6" w:rsidRDefault="00A42183" w:rsidP="00A42183">
      <w:pPr>
        <w:spacing w:line="360" w:lineRule="auto"/>
        <w:ind w:left="720"/>
        <w:jc w:val="both"/>
        <w:rPr>
          <w:rtl/>
        </w:rPr>
      </w:pPr>
      <w:r w:rsidRPr="00C213D6">
        <w:rPr>
          <w:rFonts w:hint="cs"/>
          <w:rtl/>
        </w:rPr>
        <w:t xml:space="preserve">במסגרת </w:t>
      </w:r>
      <w:hyperlink r:id="rId25" w:history="1">
        <w:r w:rsidR="00896B1B" w:rsidRPr="00896B1B">
          <w:rPr>
            <w:color w:val="0000FF"/>
            <w:u w:val="single"/>
            <w:rtl/>
          </w:rPr>
          <w:t>רע"פ 6987/13</w:t>
        </w:r>
      </w:hyperlink>
      <w:r w:rsidRPr="00C213D6">
        <w:rPr>
          <w:rFonts w:hint="cs"/>
          <w:rtl/>
        </w:rPr>
        <w:t xml:space="preserve"> </w:t>
      </w:r>
      <w:r w:rsidRPr="00C213D6">
        <w:rPr>
          <w:rFonts w:hint="cs"/>
          <w:b/>
          <w:bCs/>
          <w:rtl/>
        </w:rPr>
        <w:t>אברמוב נ' מדינת ישראל</w:t>
      </w:r>
      <w:r w:rsidRPr="00C213D6">
        <w:rPr>
          <w:rFonts w:hint="cs"/>
          <w:rtl/>
        </w:rPr>
        <w:t xml:space="preserve"> </w:t>
      </w:r>
      <w:r>
        <w:rPr>
          <w:rFonts w:hint="cs"/>
          <w:rtl/>
        </w:rPr>
        <w:t xml:space="preserve">{פורסם בנבו] (21.10.13), </w:t>
      </w:r>
      <w:r w:rsidRPr="00C213D6">
        <w:rPr>
          <w:rFonts w:hint="cs"/>
          <w:rtl/>
        </w:rPr>
        <w:t xml:space="preserve">נדחתה בקשת רשות ערעור על פסק דינו של בית משפט המחוזי אשר דחה ערעור שהגיש נאשם שנדון ל-12 חודשי מאסר בגין גידול סמים מסוג קאנביס במשקל של כ-10 קילוגרם והחזקת ציוד לגידול סמים. </w:t>
      </w:r>
    </w:p>
    <w:p w14:paraId="070A8FF4" w14:textId="77777777" w:rsidR="00A42183" w:rsidRDefault="00A42183" w:rsidP="00A42183">
      <w:pPr>
        <w:spacing w:line="360" w:lineRule="auto"/>
        <w:ind w:left="720" w:hanging="720"/>
        <w:jc w:val="both"/>
        <w:rPr>
          <w:rtl/>
        </w:rPr>
      </w:pPr>
      <w:r w:rsidRPr="00C213D6">
        <w:rPr>
          <w:rtl/>
        </w:rPr>
        <w:tab/>
      </w:r>
      <w:r w:rsidRPr="00C213D6">
        <w:rPr>
          <w:rFonts w:hint="cs"/>
          <w:rtl/>
        </w:rPr>
        <w:t xml:space="preserve">ב"כ הנאשם הגיש </w:t>
      </w:r>
      <w:r>
        <w:rPr>
          <w:rFonts w:hint="cs"/>
          <w:rtl/>
        </w:rPr>
        <w:t>טבלת פסיקה</w:t>
      </w:r>
      <w:r w:rsidRPr="00C213D6">
        <w:rPr>
          <w:rFonts w:hint="cs"/>
          <w:rtl/>
        </w:rPr>
        <w:t xml:space="preserve"> המלמדת על כך שבמקרים בהם נאשמים עברו הליך שיקומי מוצלח גזרו עליהם בתי המשפט עונשים של עבודות שירות, זאת גם במקרים של עבירות חמורות ולמרות קיומו של עבר פלילי.</w:t>
      </w:r>
    </w:p>
    <w:p w14:paraId="3B412F66" w14:textId="77777777" w:rsidR="00A42183" w:rsidRPr="00C213D6" w:rsidRDefault="00A42183" w:rsidP="00A42183">
      <w:pPr>
        <w:spacing w:line="360" w:lineRule="auto"/>
        <w:ind w:left="720" w:hanging="720"/>
        <w:jc w:val="both"/>
        <w:rPr>
          <w:rtl/>
        </w:rPr>
      </w:pPr>
      <w:r>
        <w:rPr>
          <w:rtl/>
        </w:rPr>
        <w:tab/>
      </w:r>
      <w:r w:rsidRPr="00C213D6">
        <w:rPr>
          <w:rFonts w:hint="cs"/>
          <w:rtl/>
        </w:rPr>
        <w:t xml:space="preserve"> </w:t>
      </w:r>
    </w:p>
    <w:p w14:paraId="4EC438E4" w14:textId="77777777" w:rsidR="00A42183" w:rsidRPr="00C213D6" w:rsidRDefault="00A42183" w:rsidP="00A42183">
      <w:pPr>
        <w:spacing w:line="360" w:lineRule="auto"/>
        <w:ind w:left="720" w:hanging="720"/>
        <w:jc w:val="both"/>
        <w:rPr>
          <w:rtl/>
        </w:rPr>
      </w:pPr>
      <w:r>
        <w:rPr>
          <w:rFonts w:hint="cs"/>
          <w:rtl/>
        </w:rPr>
        <w:t>11.</w:t>
      </w:r>
      <w:r>
        <w:rPr>
          <w:rFonts w:hint="cs"/>
          <w:rtl/>
        </w:rPr>
        <w:tab/>
      </w:r>
      <w:r w:rsidRPr="00C213D6">
        <w:rPr>
          <w:rFonts w:hint="cs"/>
          <w:rtl/>
        </w:rPr>
        <w:t xml:space="preserve">לאור כל האמור אני סבור כי מתחם העונש ההולם עומד על 8 </w:t>
      </w:r>
      <w:r w:rsidRPr="00C213D6">
        <w:rPr>
          <w:rtl/>
        </w:rPr>
        <w:t>–</w:t>
      </w:r>
      <w:r w:rsidRPr="00C213D6">
        <w:rPr>
          <w:rFonts w:hint="cs"/>
          <w:rtl/>
        </w:rPr>
        <w:t xml:space="preserve"> 30 חודשי מאסר בפועל.  </w:t>
      </w:r>
    </w:p>
    <w:p w14:paraId="58C75EB0" w14:textId="77777777" w:rsidR="00A42183" w:rsidRPr="00C213D6" w:rsidRDefault="00A42183" w:rsidP="00A42183">
      <w:pPr>
        <w:spacing w:line="360" w:lineRule="auto"/>
        <w:ind w:left="720" w:hanging="720"/>
        <w:jc w:val="both"/>
        <w:rPr>
          <w:rtl/>
        </w:rPr>
      </w:pPr>
    </w:p>
    <w:p w14:paraId="73887A4C" w14:textId="77777777" w:rsidR="00A42183" w:rsidRDefault="00A42183" w:rsidP="00A42183">
      <w:pPr>
        <w:spacing w:line="360" w:lineRule="auto"/>
        <w:ind w:left="720" w:hanging="720"/>
        <w:jc w:val="both"/>
        <w:rPr>
          <w:rtl/>
        </w:rPr>
      </w:pPr>
      <w:r>
        <w:rPr>
          <w:rFonts w:hint="cs"/>
          <w:rtl/>
        </w:rPr>
        <w:t>12</w:t>
      </w:r>
      <w:r w:rsidRPr="00C213D6">
        <w:rPr>
          <w:rFonts w:hint="cs"/>
          <w:rtl/>
        </w:rPr>
        <w:t>.</w:t>
      </w:r>
      <w:r w:rsidRPr="00C213D6">
        <w:rPr>
          <w:rFonts w:hint="cs"/>
          <w:rtl/>
        </w:rPr>
        <w:tab/>
        <w:t xml:space="preserve">אשר לעונש המתאים, בעניין זה </w:t>
      </w:r>
      <w:r>
        <w:rPr>
          <w:rFonts w:hint="cs"/>
          <w:rtl/>
        </w:rPr>
        <w:t>מצווה בית המשפט</w:t>
      </w:r>
      <w:r w:rsidRPr="00C213D6">
        <w:rPr>
          <w:rFonts w:hint="cs"/>
          <w:rtl/>
        </w:rPr>
        <w:t xml:space="preserve"> להביא בחשבון את הנסיבות שאינן קשורות בביצוע העבירה.</w:t>
      </w:r>
    </w:p>
    <w:p w14:paraId="55C8B92F" w14:textId="77777777" w:rsidR="00A42183" w:rsidRDefault="00A42183" w:rsidP="00A42183">
      <w:pPr>
        <w:spacing w:line="360" w:lineRule="auto"/>
        <w:ind w:left="720"/>
        <w:jc w:val="both"/>
        <w:rPr>
          <w:rtl/>
        </w:rPr>
      </w:pPr>
      <w:r w:rsidRPr="00C213D6">
        <w:rPr>
          <w:rFonts w:hint="cs"/>
          <w:rtl/>
        </w:rPr>
        <w:t>כאמור בתסקיר שירות המבחן</w:t>
      </w:r>
      <w:r>
        <w:rPr>
          <w:rFonts w:hint="cs"/>
          <w:rtl/>
        </w:rPr>
        <w:t>,</w:t>
      </w:r>
      <w:r w:rsidRPr="00C213D6">
        <w:rPr>
          <w:rFonts w:hint="cs"/>
          <w:rtl/>
        </w:rPr>
        <w:t xml:space="preserve"> הנאשם עבר תהליך שיקומי</w:t>
      </w:r>
      <w:r>
        <w:rPr>
          <w:rFonts w:hint="cs"/>
          <w:rtl/>
        </w:rPr>
        <w:t xml:space="preserve"> שעד כה הוכתר בהצלחה</w:t>
      </w:r>
      <w:r w:rsidRPr="00C213D6">
        <w:rPr>
          <w:rFonts w:hint="cs"/>
          <w:rtl/>
        </w:rPr>
        <w:t xml:space="preserve">. אין ספק כי שליחתו של הנאשם למאסר עלולה להוריד לטמיון את </w:t>
      </w:r>
      <w:r>
        <w:rPr>
          <w:rFonts w:hint="cs"/>
          <w:rtl/>
        </w:rPr>
        <w:t xml:space="preserve">הישגי </w:t>
      </w:r>
      <w:r w:rsidRPr="00C213D6">
        <w:rPr>
          <w:rFonts w:hint="cs"/>
          <w:rtl/>
        </w:rPr>
        <w:t>ההליך השיקומי</w:t>
      </w:r>
      <w:r>
        <w:rPr>
          <w:rFonts w:hint="cs"/>
          <w:rtl/>
        </w:rPr>
        <w:t>,</w:t>
      </w:r>
      <w:r w:rsidRPr="00C213D6">
        <w:rPr>
          <w:rFonts w:hint="cs"/>
          <w:rtl/>
        </w:rPr>
        <w:t xml:space="preserve"> דבר שיפגע בנאשם ובמשפחתו</w:t>
      </w:r>
      <w:r>
        <w:rPr>
          <w:rFonts w:hint="cs"/>
          <w:rtl/>
        </w:rPr>
        <w:t>, ואף בחברה כולה.</w:t>
      </w:r>
      <w:r w:rsidRPr="00C213D6">
        <w:rPr>
          <w:rFonts w:hint="cs"/>
          <w:rtl/>
        </w:rPr>
        <w:t xml:space="preserve"> הנאשם נטל אחריות על מעשיו ובמסגרת הליכי השיקום הוא עשה מאמצים, מוצלחים עד כה, לחזור למוטב. בהודאתו חסך הנאשם מזמנה של התביעה ומזמנו של בית המשפט. לנאשם אין עבר פלילי כלשהו</w:t>
      </w:r>
      <w:r>
        <w:rPr>
          <w:rFonts w:hint="cs"/>
          <w:rtl/>
        </w:rPr>
        <w:t xml:space="preserve">, זאת חרף העובדה </w:t>
      </w:r>
      <w:r w:rsidRPr="00C213D6">
        <w:rPr>
          <w:rFonts w:hint="cs"/>
          <w:rtl/>
        </w:rPr>
        <w:t>שהשתמש בסמים במשך שנים ארוכות. יש לציין כי הנאשם היה עצור במשך כחודש ולאחר מכן במשך כשנה הוא היה משוחרר באיזוק אלקטרוני.</w:t>
      </w:r>
      <w:r>
        <w:rPr>
          <w:rFonts w:hint="cs"/>
          <w:rtl/>
        </w:rPr>
        <w:t xml:space="preserve"> אכן, עובדה זו איננה מצדיקה ניכוי אוטומטי מעונש המאסר, ברם ניתן להתחשב בה במסגרת גזירת הדין (</w:t>
      </w:r>
      <w:hyperlink r:id="rId26" w:history="1">
        <w:r w:rsidR="00896B1B" w:rsidRPr="00896B1B">
          <w:rPr>
            <w:color w:val="0000FF"/>
            <w:u w:val="single"/>
            <w:rtl/>
          </w:rPr>
          <w:t>ע"פ 8547/15</w:t>
        </w:r>
      </w:hyperlink>
      <w:r>
        <w:rPr>
          <w:rFonts w:hint="cs"/>
          <w:rtl/>
        </w:rPr>
        <w:t xml:space="preserve"> </w:t>
      </w:r>
      <w:r w:rsidRPr="007B2E5A">
        <w:rPr>
          <w:rFonts w:hint="cs"/>
          <w:b/>
          <w:bCs/>
          <w:rtl/>
        </w:rPr>
        <w:t>מדינת ישראל</w:t>
      </w:r>
      <w:r>
        <w:rPr>
          <w:rFonts w:hint="cs"/>
          <w:rtl/>
        </w:rPr>
        <w:t xml:space="preserve"> נ' </w:t>
      </w:r>
      <w:r w:rsidRPr="007B2E5A">
        <w:rPr>
          <w:rFonts w:hint="cs"/>
          <w:b/>
          <w:bCs/>
          <w:rtl/>
        </w:rPr>
        <w:t>מחאג'נה</w:t>
      </w:r>
      <w:r>
        <w:rPr>
          <w:rFonts w:hint="cs"/>
          <w:rtl/>
        </w:rPr>
        <w:t xml:space="preserve"> [פורסם בנבו]  (5.6.16); </w:t>
      </w:r>
      <w:hyperlink r:id="rId27" w:history="1">
        <w:r w:rsidR="00896B1B" w:rsidRPr="00896B1B">
          <w:rPr>
            <w:color w:val="0000FF"/>
            <w:u w:val="single"/>
            <w:rtl/>
          </w:rPr>
          <w:t>ע"פ 7768/15</w:t>
        </w:r>
      </w:hyperlink>
      <w:r>
        <w:rPr>
          <w:rFonts w:hint="cs"/>
          <w:rtl/>
        </w:rPr>
        <w:t xml:space="preserve"> </w:t>
      </w:r>
      <w:r w:rsidRPr="007B2E5A">
        <w:rPr>
          <w:rFonts w:hint="cs"/>
          <w:b/>
          <w:bCs/>
          <w:rtl/>
        </w:rPr>
        <w:t>פלוני</w:t>
      </w:r>
      <w:r>
        <w:rPr>
          <w:rFonts w:hint="cs"/>
          <w:rtl/>
        </w:rPr>
        <w:t xml:space="preserve"> נ' </w:t>
      </w:r>
      <w:r w:rsidRPr="007B2E5A">
        <w:rPr>
          <w:rFonts w:hint="cs"/>
          <w:b/>
          <w:bCs/>
          <w:rtl/>
        </w:rPr>
        <w:t>מדינת ישראל</w:t>
      </w:r>
      <w:r>
        <w:rPr>
          <w:rFonts w:hint="cs"/>
          <w:rtl/>
        </w:rPr>
        <w:t xml:space="preserve"> [פורסם בנבו] (20.4.16)).</w:t>
      </w:r>
      <w:r w:rsidRPr="00C213D6">
        <w:rPr>
          <w:rFonts w:hint="cs"/>
          <w:rtl/>
        </w:rPr>
        <w:t xml:space="preserve"> כל הנסיבות הללו מובילות אל המסקנה שהעונש המתאים לנאשם צריך להימצא </w:t>
      </w:r>
      <w:r>
        <w:rPr>
          <w:rFonts w:hint="cs"/>
          <w:rtl/>
        </w:rPr>
        <w:t xml:space="preserve">בתחתית </w:t>
      </w:r>
      <w:r w:rsidRPr="00C213D6">
        <w:rPr>
          <w:rFonts w:hint="cs"/>
          <w:rtl/>
        </w:rPr>
        <w:t>תחתיתו של מתחם העונש ההולם.</w:t>
      </w:r>
    </w:p>
    <w:p w14:paraId="1075186B" w14:textId="77777777" w:rsidR="00A42183" w:rsidRPr="00C213D6" w:rsidRDefault="00A42183" w:rsidP="00A42183">
      <w:pPr>
        <w:spacing w:line="360" w:lineRule="auto"/>
        <w:ind w:left="720"/>
        <w:jc w:val="both"/>
        <w:rPr>
          <w:rtl/>
        </w:rPr>
      </w:pPr>
      <w:r w:rsidRPr="006916D4">
        <w:rPr>
          <w:rFonts w:hint="cs"/>
          <w:rtl/>
        </w:rPr>
        <w:t xml:space="preserve">לעניין </w:t>
      </w:r>
      <w:r>
        <w:rPr>
          <w:rFonts w:hint="cs"/>
          <w:rtl/>
        </w:rPr>
        <w:t>העונש המתאים</w:t>
      </w:r>
      <w:r w:rsidRPr="006916D4">
        <w:rPr>
          <w:rFonts w:hint="cs"/>
          <w:rtl/>
        </w:rPr>
        <w:t xml:space="preserve"> יש להביא בחשבון גם את העובדה כי במסגרת הסדר טיעון סגור נגזר על שותפו של הנאשם בביצוע העבירות עונש של 9 חודשי מאסר בפועל, זאת למרות שבאמתחתו של השותף שתי הרשעות בעבירות סמים. אכן, שותפו של הנאשם צעיר ממנו, אך כאמור הוא הורשע בשתי הזדמנויות קודמות בעבירות סמים, ולמרות שחלקו בביצוע העבירות דומה לחלקו של הנאשם נגזר עליו עונש של 9 חודשי מאסר בלבד.</w:t>
      </w:r>
    </w:p>
    <w:p w14:paraId="77367A43" w14:textId="77777777" w:rsidR="00A42183" w:rsidRPr="00C213D6" w:rsidRDefault="00A42183" w:rsidP="00A42183">
      <w:pPr>
        <w:spacing w:line="360" w:lineRule="auto"/>
        <w:ind w:left="720" w:hanging="720"/>
        <w:jc w:val="both"/>
        <w:rPr>
          <w:rtl/>
        </w:rPr>
      </w:pPr>
    </w:p>
    <w:p w14:paraId="7FFD61C9" w14:textId="77777777" w:rsidR="00A42183" w:rsidRPr="00C213D6" w:rsidRDefault="00A42183" w:rsidP="00A42183">
      <w:pPr>
        <w:spacing w:line="360" w:lineRule="auto"/>
        <w:ind w:left="720" w:hanging="720"/>
        <w:jc w:val="both"/>
        <w:rPr>
          <w:rtl/>
        </w:rPr>
      </w:pPr>
      <w:r>
        <w:rPr>
          <w:rFonts w:hint="cs"/>
          <w:rtl/>
        </w:rPr>
        <w:t>13</w:t>
      </w:r>
      <w:r w:rsidRPr="00C213D6">
        <w:rPr>
          <w:rFonts w:hint="cs"/>
          <w:rtl/>
        </w:rPr>
        <w:t>.</w:t>
      </w:r>
      <w:r w:rsidRPr="00C213D6">
        <w:rPr>
          <w:rFonts w:hint="cs"/>
          <w:rtl/>
        </w:rPr>
        <w:tab/>
        <w:t xml:space="preserve">על-פי הוראת </w:t>
      </w:r>
      <w:hyperlink r:id="rId28" w:history="1">
        <w:r w:rsidR="00085B67" w:rsidRPr="00085B67">
          <w:rPr>
            <w:color w:val="0000FF"/>
            <w:u w:val="single"/>
            <w:rtl/>
          </w:rPr>
          <w:t>סעיף 40ד</w:t>
        </w:r>
      </w:hyperlink>
      <w:r w:rsidRPr="00C213D6">
        <w:rPr>
          <w:rFonts w:hint="cs"/>
          <w:rtl/>
        </w:rPr>
        <w:t xml:space="preserve"> ל</w:t>
      </w:r>
      <w:hyperlink r:id="rId29" w:history="1">
        <w:r w:rsidR="00896B1B" w:rsidRPr="00896B1B">
          <w:rPr>
            <w:color w:val="0000FF"/>
            <w:u w:val="single"/>
            <w:rtl/>
          </w:rPr>
          <w:t>חוק העונשין</w:t>
        </w:r>
      </w:hyperlink>
      <w:r w:rsidRPr="00C213D6">
        <w:rPr>
          <w:rFonts w:hint="cs"/>
          <w:rtl/>
        </w:rPr>
        <w:t>, תשל"ז -</w:t>
      </w:r>
      <w:r>
        <w:rPr>
          <w:rFonts w:hint="cs"/>
          <w:rtl/>
        </w:rPr>
        <w:t>,</w:t>
      </w:r>
      <w:r w:rsidRPr="00C213D6">
        <w:rPr>
          <w:rFonts w:hint="cs"/>
          <w:rtl/>
        </w:rPr>
        <w:t xml:space="preserve">1977 רשאי בית המשפט לחרוג ממתחם העונש ההולם אם מצא שהנאשם השתקם או שיש סיכוי של ממש שהנאשם ישתקם. בה במידה שהפסיקה עמדה על החומרה הרבה הגלומה בעבירות סמים כך </w:t>
      </w:r>
      <w:r>
        <w:rPr>
          <w:rFonts w:hint="cs"/>
          <w:rtl/>
        </w:rPr>
        <w:t xml:space="preserve">יש להדגיש </w:t>
      </w:r>
      <w:r w:rsidRPr="00C213D6">
        <w:rPr>
          <w:rFonts w:hint="cs"/>
          <w:rtl/>
        </w:rPr>
        <w:t>כי במקרים מתאימים של שיקום מוצלח מוצדק לגזור על הנאשם עונש שאינו כולל מאסר בפועל</w:t>
      </w:r>
      <w:r>
        <w:rPr>
          <w:rFonts w:hint="cs"/>
          <w:rtl/>
        </w:rPr>
        <w:t xml:space="preserve">, </w:t>
      </w:r>
      <w:r w:rsidRPr="00C213D6">
        <w:rPr>
          <w:rFonts w:hint="cs"/>
          <w:rtl/>
        </w:rPr>
        <w:t>זאת כדי להימנע מפגיעה ב</w:t>
      </w:r>
      <w:r>
        <w:rPr>
          <w:rFonts w:hint="cs"/>
          <w:rtl/>
        </w:rPr>
        <w:t>הישגי</w:t>
      </w:r>
      <w:r w:rsidRPr="00C213D6">
        <w:rPr>
          <w:rFonts w:hint="cs"/>
          <w:rtl/>
        </w:rPr>
        <w:t xml:space="preserve"> </w:t>
      </w:r>
      <w:r>
        <w:rPr>
          <w:rFonts w:hint="cs"/>
          <w:rtl/>
        </w:rPr>
        <w:t>ה</w:t>
      </w:r>
      <w:r w:rsidRPr="00C213D6">
        <w:rPr>
          <w:rFonts w:hint="cs"/>
          <w:rtl/>
        </w:rPr>
        <w:t>שיקום</w:t>
      </w:r>
      <w:r>
        <w:rPr>
          <w:rFonts w:hint="cs"/>
          <w:rtl/>
        </w:rPr>
        <w:t xml:space="preserve"> המוצלח שעבר הנאשם. </w:t>
      </w:r>
      <w:r w:rsidRPr="00C213D6">
        <w:rPr>
          <w:rFonts w:hint="cs"/>
          <w:rtl/>
        </w:rPr>
        <w:t>הטלת עונש קל יחסית על נאשמים שעברו תהליך שיקומי מוצלח, משרתת לא רק את הנאשם אלא גם את הציבור כולו</w:t>
      </w:r>
      <w:r>
        <w:rPr>
          <w:rFonts w:hint="cs"/>
          <w:rtl/>
        </w:rPr>
        <w:t>,</w:t>
      </w:r>
      <w:r w:rsidRPr="00C213D6">
        <w:rPr>
          <w:rFonts w:hint="cs"/>
          <w:rtl/>
        </w:rPr>
        <w:t xml:space="preserve"> כיוון שההליך השיקומי המוצלח מעלה את הסיכוי שהנאשם לא ימשיך לבצע עבירות ולהזיק לחברה. </w:t>
      </w:r>
    </w:p>
    <w:p w14:paraId="369D4931" w14:textId="77777777" w:rsidR="00A42183" w:rsidRPr="00C213D6" w:rsidRDefault="00A42183" w:rsidP="00A42183">
      <w:pPr>
        <w:spacing w:line="360" w:lineRule="auto"/>
        <w:ind w:left="720" w:hanging="720"/>
        <w:jc w:val="both"/>
        <w:rPr>
          <w:rtl/>
        </w:rPr>
      </w:pPr>
      <w:r w:rsidRPr="00C213D6">
        <w:rPr>
          <w:rtl/>
        </w:rPr>
        <w:tab/>
      </w:r>
      <w:r w:rsidRPr="00C213D6">
        <w:rPr>
          <w:rFonts w:hint="cs"/>
          <w:rtl/>
        </w:rPr>
        <w:t xml:space="preserve">מעיון </w:t>
      </w:r>
      <w:r>
        <w:rPr>
          <w:rFonts w:hint="cs"/>
          <w:rtl/>
        </w:rPr>
        <w:t>ב</w:t>
      </w:r>
      <w:r w:rsidRPr="00C213D6">
        <w:rPr>
          <w:rFonts w:hint="cs"/>
          <w:rtl/>
        </w:rPr>
        <w:t>תסקיר שירות המבחן עולה כי הנאשם שלפניי עבר תהליך שיקומי מרשים ומוצלח. מדובר בנאשם שבמשך שנים ארוכות השתמש יום יום בסמים. ההליך הפלילי נתן ככל הנראה את אותותיו בנאשם</w:t>
      </w:r>
      <w:r>
        <w:rPr>
          <w:rFonts w:hint="cs"/>
          <w:rtl/>
        </w:rPr>
        <w:t>,</w:t>
      </w:r>
      <w:r w:rsidRPr="00C213D6">
        <w:rPr>
          <w:rFonts w:hint="cs"/>
          <w:rtl/>
        </w:rPr>
        <w:t xml:space="preserve"> אשר החליט לשנות את אורחות חייו ולהיגמל מסמים. כאמור בתסקיר</w:t>
      </w:r>
      <w:r>
        <w:rPr>
          <w:rFonts w:hint="cs"/>
          <w:rtl/>
        </w:rPr>
        <w:t>,</w:t>
      </w:r>
      <w:r w:rsidRPr="00C213D6">
        <w:rPr>
          <w:rFonts w:hint="cs"/>
          <w:rtl/>
        </w:rPr>
        <w:t xml:space="preserve"> הנאשם נקי מסמים כבר תקופה ארוכה</w:t>
      </w:r>
      <w:r>
        <w:rPr>
          <w:rFonts w:hint="cs"/>
          <w:rtl/>
        </w:rPr>
        <w:t xml:space="preserve"> יחסית</w:t>
      </w:r>
      <w:r w:rsidRPr="00C213D6">
        <w:rPr>
          <w:rFonts w:hint="cs"/>
          <w:rtl/>
        </w:rPr>
        <w:t>. אני סבור שיש לתת את המשקל הראוי לה</w:t>
      </w:r>
      <w:r>
        <w:rPr>
          <w:rFonts w:hint="cs"/>
          <w:rtl/>
        </w:rPr>
        <w:t>מלצת</w:t>
      </w:r>
      <w:r w:rsidRPr="00C213D6">
        <w:rPr>
          <w:rFonts w:hint="cs"/>
          <w:rtl/>
        </w:rPr>
        <w:t xml:space="preserve"> שירות המבחן</w:t>
      </w:r>
      <w:r>
        <w:rPr>
          <w:rFonts w:hint="cs"/>
          <w:rtl/>
        </w:rPr>
        <w:t>,</w:t>
      </w:r>
      <w:r w:rsidRPr="00C213D6">
        <w:rPr>
          <w:rFonts w:hint="cs"/>
          <w:rtl/>
        </w:rPr>
        <w:t xml:space="preserve"> בין היתר על רקע עברו הנקי של הנאשם ועל רקע </w:t>
      </w:r>
      <w:r>
        <w:rPr>
          <w:rFonts w:hint="cs"/>
          <w:rtl/>
        </w:rPr>
        <w:t>השינוי שעשה בחייו ב</w:t>
      </w:r>
      <w:r w:rsidRPr="00C213D6">
        <w:rPr>
          <w:rFonts w:hint="cs"/>
          <w:rtl/>
        </w:rPr>
        <w:t>גילו הלא צעיר</w:t>
      </w:r>
      <w:r>
        <w:rPr>
          <w:rFonts w:hint="cs"/>
          <w:rtl/>
        </w:rPr>
        <w:t>. על כן ראוי במקרה שלפניי לחרוג ממתחם העונש ההולם</w:t>
      </w:r>
      <w:r w:rsidRPr="00C213D6">
        <w:rPr>
          <w:rFonts w:hint="cs"/>
          <w:rtl/>
        </w:rPr>
        <w:t xml:space="preserve">. </w:t>
      </w:r>
    </w:p>
    <w:p w14:paraId="4B0DA94D" w14:textId="77777777" w:rsidR="00A42183" w:rsidRPr="00C213D6" w:rsidRDefault="00A42183" w:rsidP="00A42183">
      <w:pPr>
        <w:spacing w:line="360" w:lineRule="auto"/>
        <w:ind w:left="720" w:hanging="720"/>
        <w:jc w:val="both"/>
        <w:rPr>
          <w:rtl/>
        </w:rPr>
      </w:pPr>
    </w:p>
    <w:p w14:paraId="6624DA45" w14:textId="77777777" w:rsidR="00A42183" w:rsidRPr="00C213D6" w:rsidRDefault="00A42183" w:rsidP="00A42183">
      <w:pPr>
        <w:spacing w:line="360" w:lineRule="auto"/>
        <w:ind w:left="720" w:hanging="720"/>
        <w:jc w:val="both"/>
        <w:rPr>
          <w:rtl/>
        </w:rPr>
      </w:pPr>
      <w:r>
        <w:rPr>
          <w:rFonts w:hint="cs"/>
          <w:rtl/>
        </w:rPr>
        <w:t>14</w:t>
      </w:r>
      <w:r w:rsidRPr="00C213D6">
        <w:rPr>
          <w:rFonts w:hint="cs"/>
          <w:rtl/>
        </w:rPr>
        <w:t>.</w:t>
      </w:r>
      <w:r w:rsidRPr="00C213D6">
        <w:rPr>
          <w:rtl/>
        </w:rPr>
        <w:tab/>
      </w:r>
      <w:r w:rsidRPr="00C213D6">
        <w:rPr>
          <w:rFonts w:hint="cs"/>
          <w:rtl/>
        </w:rPr>
        <w:t xml:space="preserve">לאור כל האמור לעיל אני גוזר על הנאשם את העונשים שלהלן: </w:t>
      </w:r>
    </w:p>
    <w:p w14:paraId="2ED6671A" w14:textId="77777777" w:rsidR="00A42183" w:rsidRPr="00C213D6" w:rsidRDefault="00A42183" w:rsidP="00A42183">
      <w:pPr>
        <w:spacing w:line="360" w:lineRule="auto"/>
        <w:ind w:left="720" w:hanging="720"/>
        <w:jc w:val="both"/>
        <w:rPr>
          <w:rtl/>
        </w:rPr>
      </w:pPr>
    </w:p>
    <w:p w14:paraId="723E28B5" w14:textId="77777777" w:rsidR="00A42183" w:rsidRPr="00C213D6" w:rsidRDefault="00A42183" w:rsidP="00A42183">
      <w:pPr>
        <w:spacing w:line="360" w:lineRule="auto"/>
        <w:ind w:left="1440" w:hanging="720"/>
        <w:jc w:val="both"/>
        <w:rPr>
          <w:rtl/>
        </w:rPr>
      </w:pPr>
      <w:r w:rsidRPr="00C213D6">
        <w:rPr>
          <w:rFonts w:hint="cs"/>
          <w:rtl/>
        </w:rPr>
        <w:t>א.</w:t>
      </w:r>
      <w:r w:rsidRPr="00C213D6">
        <w:rPr>
          <w:rFonts w:hint="cs"/>
          <w:rtl/>
        </w:rPr>
        <w:tab/>
        <w:t>שישה חודשי מאסר אותם ירצה הנאשם בעבודות שירות בכרמי העיר ברח' אגריפס 72, ירושלים. הנאשם יועסק במשך חמישה ימים בשבוע</w:t>
      </w:r>
      <w:r>
        <w:rPr>
          <w:rFonts w:hint="cs"/>
          <w:sz w:val="28"/>
          <w:szCs w:val="28"/>
          <w:rtl/>
        </w:rPr>
        <w:t xml:space="preserve"> </w:t>
      </w:r>
      <w:r w:rsidRPr="00C213D6">
        <w:rPr>
          <w:rFonts w:hint="cs"/>
          <w:rtl/>
        </w:rPr>
        <w:t>במשך 6.5 שעות ביום, הכ</w:t>
      </w:r>
      <w:r>
        <w:rPr>
          <w:rFonts w:hint="cs"/>
          <w:rtl/>
        </w:rPr>
        <w:t>ו</w:t>
      </w:r>
      <w:r w:rsidRPr="00C213D6">
        <w:rPr>
          <w:rFonts w:hint="cs"/>
          <w:rtl/>
        </w:rPr>
        <w:t>ל כאמור בחוות דעת הממונה</w:t>
      </w:r>
      <w:r>
        <w:rPr>
          <w:rFonts w:hint="cs"/>
          <w:rtl/>
        </w:rPr>
        <w:t xml:space="preserve"> על עבודות השירות</w:t>
      </w:r>
      <w:r w:rsidRPr="00C213D6">
        <w:rPr>
          <w:rFonts w:hint="cs"/>
          <w:rtl/>
        </w:rPr>
        <w:t xml:space="preserve">. על הנאשם להתייצב לתחילת עבודות השירות ביום 21.8.18 במשרדי הממונה על עבודות השירות ביחידת עבודות השירות מפקדת מחוז דרום של שב"ס ת.ד. 741, באר שבע, 84000 (אוטובוס אגד מספר 46 מהתחנה המרכזית באר שבע).   </w:t>
      </w:r>
    </w:p>
    <w:p w14:paraId="55ACA6E8" w14:textId="77777777" w:rsidR="00A42183" w:rsidRPr="00C213D6" w:rsidRDefault="00A42183" w:rsidP="00A42183">
      <w:pPr>
        <w:spacing w:line="360" w:lineRule="auto"/>
        <w:ind w:left="1440" w:hanging="720"/>
        <w:jc w:val="both"/>
        <w:rPr>
          <w:rtl/>
        </w:rPr>
      </w:pPr>
    </w:p>
    <w:p w14:paraId="5B8BF58F" w14:textId="77777777" w:rsidR="00A42183" w:rsidRPr="00C213D6" w:rsidRDefault="00A42183" w:rsidP="00A42183">
      <w:pPr>
        <w:spacing w:line="360" w:lineRule="auto"/>
        <w:ind w:left="1440" w:hanging="720"/>
        <w:jc w:val="both"/>
        <w:rPr>
          <w:rtl/>
        </w:rPr>
      </w:pPr>
      <w:r w:rsidRPr="00C213D6">
        <w:rPr>
          <w:rFonts w:hint="cs"/>
          <w:rtl/>
        </w:rPr>
        <w:t xml:space="preserve">ב. </w:t>
      </w:r>
      <w:r w:rsidRPr="00C213D6">
        <w:rPr>
          <w:rFonts w:hint="cs"/>
          <w:rtl/>
        </w:rPr>
        <w:tab/>
        <w:t xml:space="preserve">שישה חודשי מאסר על תנאי אותם ירצה הנאשם בפועל אם בתוך שלוש שנים מהיום יעבור על אחת מהעבירות בהן הורשע לפניי. </w:t>
      </w:r>
    </w:p>
    <w:p w14:paraId="235862A4" w14:textId="77777777" w:rsidR="00A42183" w:rsidRPr="00C213D6" w:rsidRDefault="00A42183" w:rsidP="00A42183">
      <w:pPr>
        <w:spacing w:line="360" w:lineRule="auto"/>
        <w:ind w:left="1440" w:hanging="720"/>
        <w:jc w:val="both"/>
        <w:rPr>
          <w:rtl/>
        </w:rPr>
      </w:pPr>
    </w:p>
    <w:p w14:paraId="10CCF271" w14:textId="77777777" w:rsidR="00A42183" w:rsidRDefault="00A42183" w:rsidP="00A42183">
      <w:pPr>
        <w:spacing w:line="360" w:lineRule="auto"/>
        <w:ind w:left="1440" w:hanging="720"/>
        <w:jc w:val="both"/>
        <w:rPr>
          <w:rtl/>
        </w:rPr>
      </w:pPr>
      <w:r w:rsidRPr="00C213D6">
        <w:rPr>
          <w:rFonts w:hint="cs"/>
          <w:rtl/>
        </w:rPr>
        <w:t>ג.</w:t>
      </w:r>
      <w:r w:rsidRPr="00C213D6">
        <w:rPr>
          <w:rFonts w:hint="cs"/>
          <w:rtl/>
        </w:rPr>
        <w:tab/>
        <w:t>קנס בסך של 20,000 ₪ או 20 ימי מאסר תמורתו. הקנס ישולם ב-20 תשלומים חודשיים, שווים ורצופים. התשלום הראשון יבוצע עד ליום 1.4.19 ויתר התשלומים יבוצעו עד לראשון בכל חודש בחודשים שלאחר מכן.</w:t>
      </w:r>
    </w:p>
    <w:p w14:paraId="217D89C2" w14:textId="77777777" w:rsidR="00A42183" w:rsidRDefault="00A42183" w:rsidP="00A42183">
      <w:pPr>
        <w:spacing w:line="360" w:lineRule="auto"/>
        <w:ind w:left="1440" w:hanging="720"/>
        <w:jc w:val="both"/>
        <w:rPr>
          <w:rtl/>
        </w:rPr>
      </w:pPr>
    </w:p>
    <w:p w14:paraId="681A8D7F" w14:textId="77777777" w:rsidR="00A42183" w:rsidRPr="00C213D6" w:rsidRDefault="00A42183" w:rsidP="00A42183">
      <w:pPr>
        <w:spacing w:line="360" w:lineRule="auto"/>
        <w:ind w:left="1440" w:hanging="720"/>
        <w:jc w:val="both"/>
        <w:rPr>
          <w:rtl/>
        </w:rPr>
      </w:pPr>
      <w:r>
        <w:rPr>
          <w:rFonts w:hint="cs"/>
          <w:rtl/>
        </w:rPr>
        <w:t>ד.</w:t>
      </w:r>
      <w:r>
        <w:rPr>
          <w:rtl/>
        </w:rPr>
        <w:tab/>
      </w:r>
      <w:r>
        <w:rPr>
          <w:rFonts w:hint="cs"/>
          <w:rtl/>
        </w:rPr>
        <w:t>צו מבחן</w:t>
      </w:r>
      <w:r w:rsidRPr="00C213D6">
        <w:rPr>
          <w:rFonts w:hint="cs"/>
          <w:rtl/>
        </w:rPr>
        <w:t xml:space="preserve"> </w:t>
      </w:r>
      <w:r>
        <w:rPr>
          <w:rFonts w:hint="cs"/>
          <w:rtl/>
        </w:rPr>
        <w:t xml:space="preserve">למשך שנה מהיום. </w:t>
      </w:r>
    </w:p>
    <w:p w14:paraId="5DB33FEA" w14:textId="77777777" w:rsidR="00A42183" w:rsidRPr="00C213D6" w:rsidRDefault="00A42183" w:rsidP="00A42183">
      <w:pPr>
        <w:spacing w:line="360" w:lineRule="auto"/>
        <w:ind w:left="1440" w:hanging="720"/>
        <w:jc w:val="both"/>
        <w:rPr>
          <w:rtl/>
        </w:rPr>
      </w:pPr>
    </w:p>
    <w:p w14:paraId="40A7DABC" w14:textId="77777777" w:rsidR="00A42183" w:rsidRPr="00C213D6" w:rsidRDefault="00A42183" w:rsidP="00A42183">
      <w:pPr>
        <w:spacing w:line="360" w:lineRule="auto"/>
        <w:ind w:left="1440" w:hanging="720"/>
        <w:jc w:val="both"/>
        <w:rPr>
          <w:rtl/>
        </w:rPr>
      </w:pPr>
      <w:r>
        <w:rPr>
          <w:rFonts w:hint="cs"/>
          <w:rtl/>
        </w:rPr>
        <w:t>ה</w:t>
      </w:r>
      <w:r w:rsidRPr="00C213D6">
        <w:rPr>
          <w:rFonts w:hint="cs"/>
          <w:rtl/>
        </w:rPr>
        <w:t>.</w:t>
      </w:r>
      <w:r w:rsidRPr="00C213D6">
        <w:rPr>
          <w:rFonts w:hint="cs"/>
          <w:rtl/>
        </w:rPr>
        <w:tab/>
        <w:t xml:space="preserve">אני מורה על חילוט פיקדון בסך 10,000 ₪ אשר הופקד בקופת בית המשפט על-ידי הנאשם. </w:t>
      </w:r>
    </w:p>
    <w:p w14:paraId="027F3944" w14:textId="77777777" w:rsidR="00A42183" w:rsidRPr="00C213D6" w:rsidRDefault="00A42183" w:rsidP="00A42183">
      <w:pPr>
        <w:spacing w:line="360" w:lineRule="auto"/>
        <w:ind w:left="1440" w:hanging="720"/>
        <w:jc w:val="both"/>
        <w:rPr>
          <w:rtl/>
        </w:rPr>
      </w:pPr>
    </w:p>
    <w:p w14:paraId="65C48672" w14:textId="77777777" w:rsidR="00A42183" w:rsidRPr="00C213D6" w:rsidRDefault="00A42183" w:rsidP="00A42183">
      <w:pPr>
        <w:spacing w:line="360" w:lineRule="auto"/>
        <w:ind w:left="1440" w:hanging="720"/>
        <w:jc w:val="both"/>
        <w:rPr>
          <w:rtl/>
        </w:rPr>
      </w:pPr>
      <w:r>
        <w:rPr>
          <w:rFonts w:hint="cs"/>
          <w:rtl/>
        </w:rPr>
        <w:t>ו</w:t>
      </w:r>
      <w:r w:rsidRPr="00C213D6">
        <w:rPr>
          <w:rFonts w:hint="cs"/>
          <w:rtl/>
        </w:rPr>
        <w:t>.</w:t>
      </w:r>
      <w:r w:rsidRPr="00C213D6">
        <w:rPr>
          <w:rFonts w:hint="cs"/>
          <w:rtl/>
        </w:rPr>
        <w:tab/>
        <w:t xml:space="preserve">בהתאם לסמכותי לפי </w:t>
      </w:r>
      <w:hyperlink r:id="rId30" w:history="1">
        <w:r w:rsidR="00085B67" w:rsidRPr="00085B67">
          <w:rPr>
            <w:color w:val="0000FF"/>
            <w:u w:val="single"/>
            <w:rtl/>
          </w:rPr>
          <w:t>סעיף 36א(ב)</w:t>
        </w:r>
      </w:hyperlink>
      <w:r w:rsidRPr="00C213D6">
        <w:rPr>
          <w:rFonts w:hint="cs"/>
          <w:rtl/>
        </w:rPr>
        <w:t xml:space="preserve"> ל</w:t>
      </w:r>
      <w:hyperlink r:id="rId31" w:history="1">
        <w:r w:rsidR="00896B1B" w:rsidRPr="00896B1B">
          <w:rPr>
            <w:color w:val="0000FF"/>
            <w:u w:val="single"/>
            <w:rtl/>
          </w:rPr>
          <w:t>פקודת הסמים המסוכנים</w:t>
        </w:r>
      </w:hyperlink>
      <w:r w:rsidRPr="00C213D6">
        <w:rPr>
          <w:rFonts w:hint="cs"/>
          <w:rtl/>
        </w:rPr>
        <w:t xml:space="preserve"> אני קובע כי הנאשם הוא סוחר סמים. </w:t>
      </w:r>
    </w:p>
    <w:p w14:paraId="3F66ABB8" w14:textId="77777777" w:rsidR="00A42183" w:rsidRPr="00C213D6" w:rsidRDefault="00A42183" w:rsidP="00A42183">
      <w:pPr>
        <w:spacing w:line="360" w:lineRule="auto"/>
        <w:ind w:left="1440" w:hanging="720"/>
        <w:jc w:val="both"/>
        <w:rPr>
          <w:rtl/>
        </w:rPr>
      </w:pPr>
    </w:p>
    <w:p w14:paraId="60D67654" w14:textId="77777777" w:rsidR="00A42183" w:rsidRPr="00C213D6" w:rsidRDefault="00A42183" w:rsidP="00A42183">
      <w:pPr>
        <w:spacing w:line="360" w:lineRule="auto"/>
        <w:ind w:left="1440" w:hanging="720"/>
        <w:jc w:val="both"/>
        <w:rPr>
          <w:rtl/>
        </w:rPr>
      </w:pPr>
      <w:r w:rsidRPr="00C213D6">
        <w:rPr>
          <w:rFonts w:hint="cs"/>
          <w:rtl/>
        </w:rPr>
        <w:t xml:space="preserve">הודע לנאשם על זכותו לערער לבית משפט העליון בתוך 45 יום מהיום. </w:t>
      </w:r>
    </w:p>
    <w:p w14:paraId="1E864F1B" w14:textId="77777777" w:rsidR="00A42183" w:rsidRPr="00C213D6" w:rsidRDefault="00A42183" w:rsidP="00A42183">
      <w:pPr>
        <w:spacing w:line="360" w:lineRule="auto"/>
        <w:ind w:left="1440" w:hanging="720"/>
        <w:jc w:val="both"/>
        <w:rPr>
          <w:rtl/>
        </w:rPr>
      </w:pPr>
    </w:p>
    <w:p w14:paraId="21958970" w14:textId="77777777" w:rsidR="00A42183" w:rsidRPr="00C213D6" w:rsidRDefault="00A42183" w:rsidP="00A42183">
      <w:pPr>
        <w:rPr>
          <w:b/>
          <w:bCs/>
          <w:rtl/>
        </w:rPr>
      </w:pPr>
    </w:p>
    <w:p w14:paraId="00C6643C" w14:textId="77777777" w:rsidR="00A42183" w:rsidRPr="00896B1B" w:rsidRDefault="00896B1B" w:rsidP="00A42183">
      <w:pPr>
        <w:rPr>
          <w:b/>
          <w:bCs/>
          <w:color w:val="FFFFFF"/>
          <w:sz w:val="2"/>
          <w:szCs w:val="2"/>
          <w:rtl/>
        </w:rPr>
      </w:pPr>
      <w:r w:rsidRPr="00896B1B">
        <w:rPr>
          <w:b/>
          <w:bCs/>
          <w:color w:val="FFFFFF"/>
          <w:sz w:val="2"/>
          <w:szCs w:val="2"/>
          <w:rtl/>
        </w:rPr>
        <w:t>5129371</w:t>
      </w:r>
    </w:p>
    <w:p w14:paraId="55FFFD67" w14:textId="77777777" w:rsidR="00A42183" w:rsidRPr="00C213D6" w:rsidRDefault="00896B1B" w:rsidP="00A42183">
      <w:pPr>
        <w:rPr>
          <w:b/>
          <w:bCs/>
          <w:rtl/>
        </w:rPr>
      </w:pPr>
      <w:r w:rsidRPr="00896B1B">
        <w:rPr>
          <w:rFonts w:ascii="Arial" w:hAnsi="Arial"/>
          <w:b/>
          <w:bCs/>
          <w:color w:val="FFFFFF"/>
          <w:sz w:val="2"/>
          <w:szCs w:val="2"/>
          <w:rtl/>
        </w:rPr>
        <w:t>54678313</w:t>
      </w:r>
      <w:r>
        <w:rPr>
          <w:rFonts w:ascii="Arial" w:hAnsi="Arial"/>
          <w:b/>
          <w:bCs/>
          <w:rtl/>
        </w:rPr>
        <w:t xml:space="preserve">ניתן היום,  א' אלול תשע"ח, 12 אוגוסט 2018, במעמד הצדדים. </w:t>
      </w:r>
    </w:p>
    <w:p w14:paraId="58A94DAE" w14:textId="77777777" w:rsidR="00A42183" w:rsidRPr="00C213D6" w:rsidRDefault="00A42183" w:rsidP="00A42183">
      <w:pPr>
        <w:jc w:val="center"/>
      </w:pPr>
      <w:r w:rsidRPr="00C213D6">
        <w:rPr>
          <w:rFonts w:hint="cs"/>
          <w:b/>
          <w:bCs/>
          <w:rtl/>
        </w:rPr>
        <w:t xml:space="preserve">   </w:t>
      </w:r>
      <w:r w:rsidRPr="00C213D6">
        <w:rPr>
          <w:rFonts w:hint="cs"/>
          <w:b/>
          <w:bCs/>
          <w:rtl/>
        </w:rPr>
        <w:tab/>
      </w:r>
      <w:r w:rsidRPr="00C213D6">
        <w:rPr>
          <w:rFonts w:hint="cs"/>
          <w:b/>
          <w:bCs/>
          <w:rtl/>
        </w:rPr>
        <w:tab/>
      </w:r>
      <w:r w:rsidRPr="00C213D6">
        <w:rPr>
          <w:rFonts w:hint="cs"/>
          <w:b/>
          <w:bCs/>
          <w:rtl/>
        </w:rPr>
        <w:tab/>
      </w:r>
      <w:r w:rsidRPr="00C213D6">
        <w:rPr>
          <w:rFonts w:hint="cs"/>
          <w:b/>
          <w:bCs/>
          <w:rtl/>
        </w:rPr>
        <w:tab/>
      </w:r>
      <w:r w:rsidRPr="00C213D6">
        <w:rPr>
          <w:rFonts w:hint="cs"/>
          <w:b/>
          <w:bCs/>
          <w:rtl/>
        </w:rPr>
        <w:tab/>
      </w:r>
      <w:r>
        <w:rPr>
          <w:rtl/>
        </w:rPr>
        <w:t xml:space="preserve">     </w:t>
      </w:r>
    </w:p>
    <w:p w14:paraId="7215FBC7" w14:textId="77777777" w:rsidR="00A42183" w:rsidRPr="00C213D6" w:rsidRDefault="00A42183" w:rsidP="00A42183">
      <w:pPr>
        <w:jc w:val="center"/>
        <w:rPr>
          <w:rFonts w:ascii="Arial" w:hAnsi="Arial"/>
          <w:b/>
          <w:bCs/>
          <w:rtl/>
        </w:rPr>
      </w:pPr>
    </w:p>
    <w:p w14:paraId="5068ECE4" w14:textId="77777777" w:rsidR="00896B1B" w:rsidRDefault="00896B1B" w:rsidP="00896B1B">
      <w:pPr>
        <w:rPr>
          <w:rtl/>
        </w:rPr>
      </w:pPr>
    </w:p>
    <w:p w14:paraId="6454BA5F" w14:textId="77777777" w:rsidR="00896B1B" w:rsidRDefault="00896B1B" w:rsidP="00896B1B">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17EBCA9" w14:textId="77777777" w:rsidR="00085B67" w:rsidRPr="00085B67" w:rsidRDefault="00085B67" w:rsidP="00085B67">
      <w:pPr>
        <w:keepNext/>
        <w:rPr>
          <w:rFonts w:ascii="David" w:hAnsi="David"/>
          <w:color w:val="000000"/>
          <w:sz w:val="22"/>
          <w:szCs w:val="22"/>
          <w:rtl/>
        </w:rPr>
      </w:pPr>
    </w:p>
    <w:p w14:paraId="16185353" w14:textId="77777777" w:rsidR="00085B67" w:rsidRPr="00085B67" w:rsidRDefault="00085B67" w:rsidP="00085B67">
      <w:pPr>
        <w:keepNext/>
        <w:rPr>
          <w:rFonts w:ascii="David" w:hAnsi="David"/>
          <w:color w:val="000000"/>
          <w:sz w:val="22"/>
          <w:szCs w:val="22"/>
          <w:rtl/>
        </w:rPr>
      </w:pPr>
      <w:r w:rsidRPr="00085B67">
        <w:rPr>
          <w:rFonts w:ascii="David" w:hAnsi="David"/>
          <w:color w:val="000000"/>
          <w:sz w:val="22"/>
          <w:szCs w:val="22"/>
          <w:rtl/>
        </w:rPr>
        <w:t>אברהם רובין 54678313-/</w:t>
      </w:r>
    </w:p>
    <w:p w14:paraId="3E4145E8" w14:textId="77777777" w:rsidR="00896B1B" w:rsidRPr="00896B1B" w:rsidRDefault="00085B67" w:rsidP="00085B67">
      <w:pPr>
        <w:rPr>
          <w:color w:val="0000FF"/>
          <w:u w:val="single"/>
        </w:rPr>
      </w:pPr>
      <w:r w:rsidRPr="00085B67">
        <w:rPr>
          <w:color w:val="000000"/>
          <w:u w:val="single"/>
          <w:rtl/>
        </w:rPr>
        <w:t>נוסח מסמך זה כפוף לשינויי ניסוח ועריכה</w:t>
      </w:r>
    </w:p>
    <w:sectPr w:rsidR="00896B1B" w:rsidRPr="00896B1B" w:rsidSect="00085B6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FD83E" w14:textId="77777777" w:rsidR="00B957CD" w:rsidRDefault="00B957CD" w:rsidP="009C4BFB">
      <w:r>
        <w:separator/>
      </w:r>
    </w:p>
  </w:endnote>
  <w:endnote w:type="continuationSeparator" w:id="0">
    <w:p w14:paraId="1E2EFE6B" w14:textId="77777777" w:rsidR="00B957CD" w:rsidRDefault="00B957CD" w:rsidP="009C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BDA2C" w14:textId="77777777" w:rsidR="00D61DFF" w:rsidRDefault="00D61DFF" w:rsidP="00085B6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DDA579" w14:textId="77777777" w:rsidR="00D61DFF" w:rsidRPr="00085B67" w:rsidRDefault="00D61DFF" w:rsidP="00085B67">
    <w:pPr>
      <w:pStyle w:val="a5"/>
      <w:pBdr>
        <w:top w:val="single" w:sz="4" w:space="1" w:color="auto"/>
        <w:between w:val="single" w:sz="4" w:space="0" w:color="auto"/>
      </w:pBdr>
      <w:spacing w:after="60"/>
      <w:jc w:val="center"/>
      <w:rPr>
        <w:rFonts w:ascii="FrankRuehl" w:hAnsi="FrankRuehl" w:cs="FrankRuehl"/>
        <w:color w:val="000000"/>
      </w:rPr>
    </w:pPr>
    <w:r w:rsidRPr="00085B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70E22" w14:textId="77777777" w:rsidR="00D61DFF" w:rsidRDefault="00D61DFF" w:rsidP="00085B6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03E7">
      <w:rPr>
        <w:rFonts w:ascii="FrankRuehl" w:hAnsi="FrankRuehl" w:cs="FrankRuehl"/>
        <w:noProof/>
        <w:rtl/>
      </w:rPr>
      <w:t>1</w:t>
    </w:r>
    <w:r>
      <w:rPr>
        <w:rFonts w:ascii="FrankRuehl" w:hAnsi="FrankRuehl" w:cs="FrankRuehl"/>
        <w:rtl/>
      </w:rPr>
      <w:fldChar w:fldCharType="end"/>
    </w:r>
  </w:p>
  <w:p w14:paraId="41F62B42" w14:textId="77777777" w:rsidR="00D61DFF" w:rsidRPr="00085B67" w:rsidRDefault="00D61DFF" w:rsidP="00085B67">
    <w:pPr>
      <w:pStyle w:val="a5"/>
      <w:pBdr>
        <w:top w:val="single" w:sz="4" w:space="1" w:color="auto"/>
        <w:between w:val="single" w:sz="4" w:space="0" w:color="auto"/>
      </w:pBdr>
      <w:spacing w:after="60"/>
      <w:jc w:val="center"/>
      <w:rPr>
        <w:rFonts w:ascii="FrankRuehl" w:hAnsi="FrankRuehl" w:cs="FrankRuehl"/>
        <w:color w:val="000000"/>
      </w:rPr>
    </w:pPr>
    <w:r w:rsidRPr="00085B67">
      <w:rPr>
        <w:rFonts w:ascii="FrankRuehl" w:hAnsi="FrankRuehl" w:cs="FrankRuehl"/>
        <w:color w:val="000000"/>
      </w:rPr>
      <w:pict w14:anchorId="588DB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BF32D" w14:textId="77777777" w:rsidR="00B957CD" w:rsidRDefault="00B957CD" w:rsidP="009C4BFB">
      <w:r>
        <w:separator/>
      </w:r>
    </w:p>
  </w:footnote>
  <w:footnote w:type="continuationSeparator" w:id="0">
    <w:p w14:paraId="53B402E4" w14:textId="77777777" w:rsidR="00B957CD" w:rsidRDefault="00B957CD" w:rsidP="009C4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6D27D" w14:textId="77777777" w:rsidR="00D61DFF" w:rsidRPr="00085B67" w:rsidRDefault="00D61DFF" w:rsidP="00085B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1870-04-16</w:t>
    </w:r>
    <w:r>
      <w:rPr>
        <w:rFonts w:ascii="David" w:hAnsi="David"/>
        <w:color w:val="000000"/>
        <w:sz w:val="22"/>
        <w:szCs w:val="22"/>
        <w:rtl/>
      </w:rPr>
      <w:tab/>
      <w:t xml:space="preserve"> מדינת ישראל נ' עופר אגם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67AC" w14:textId="77777777" w:rsidR="00D61DFF" w:rsidRPr="00085B67" w:rsidRDefault="00D61DFF" w:rsidP="00085B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1870-04-16</w:t>
    </w:r>
    <w:r>
      <w:rPr>
        <w:rFonts w:ascii="David" w:hAnsi="David"/>
        <w:color w:val="000000"/>
        <w:sz w:val="22"/>
        <w:szCs w:val="22"/>
        <w:rtl/>
      </w:rPr>
      <w:tab/>
      <w:t xml:space="preserve"> מדינת ישראל נ' עופר אגם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2183"/>
    <w:rsid w:val="00085B67"/>
    <w:rsid w:val="00550605"/>
    <w:rsid w:val="006A548B"/>
    <w:rsid w:val="006B5074"/>
    <w:rsid w:val="00896B1B"/>
    <w:rsid w:val="0096177A"/>
    <w:rsid w:val="009870D7"/>
    <w:rsid w:val="009C4BFB"/>
    <w:rsid w:val="00A42183"/>
    <w:rsid w:val="00B957CD"/>
    <w:rsid w:val="00D61DFF"/>
    <w:rsid w:val="00E70ED1"/>
    <w:rsid w:val="00F603E7"/>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0098DD3"/>
  <w15:chartTrackingRefBased/>
  <w15:docId w15:val="{E8B243F8-9C75-4B67-ACFE-6BD9D03E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21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2183"/>
    <w:pPr>
      <w:tabs>
        <w:tab w:val="center" w:pos="4153"/>
        <w:tab w:val="right" w:pos="8306"/>
      </w:tabs>
    </w:pPr>
  </w:style>
  <w:style w:type="character" w:customStyle="1" w:styleId="a4">
    <w:name w:val="כותרת עליונה תו"/>
    <w:link w:val="a3"/>
    <w:rsid w:val="00A42183"/>
    <w:rPr>
      <w:rFonts w:ascii="Times New Roman" w:eastAsia="Times New Roman" w:hAnsi="Times New Roman" w:cs="David"/>
      <w:sz w:val="24"/>
      <w:szCs w:val="24"/>
    </w:rPr>
  </w:style>
  <w:style w:type="paragraph" w:styleId="a5">
    <w:name w:val="footer"/>
    <w:basedOn w:val="a"/>
    <w:link w:val="a6"/>
    <w:rsid w:val="00A42183"/>
    <w:pPr>
      <w:tabs>
        <w:tab w:val="center" w:pos="4153"/>
        <w:tab w:val="right" w:pos="8306"/>
      </w:tabs>
    </w:pPr>
  </w:style>
  <w:style w:type="character" w:customStyle="1" w:styleId="a6">
    <w:name w:val="כותרת תחתונה תו"/>
    <w:link w:val="a5"/>
    <w:rsid w:val="00A42183"/>
    <w:rPr>
      <w:rFonts w:ascii="Times New Roman" w:eastAsia="Times New Roman" w:hAnsi="Times New Roman" w:cs="David"/>
      <w:sz w:val="24"/>
      <w:szCs w:val="24"/>
    </w:rPr>
  </w:style>
  <w:style w:type="table" w:styleId="a7">
    <w:name w:val="Table Grid"/>
    <w:basedOn w:val="a1"/>
    <w:rsid w:val="00A421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2183"/>
  </w:style>
  <w:style w:type="character" w:styleId="Hyperlink">
    <w:name w:val="Hyperlink"/>
    <w:rsid w:val="00896B1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0791756" TargetMode="External"/><Relationship Id="rId21" Type="http://schemas.openxmlformats.org/officeDocument/2006/relationships/hyperlink" Target="http://www.nevo.co.il/case/20118363" TargetMode="External"/><Relationship Id="rId34" Type="http://schemas.openxmlformats.org/officeDocument/2006/relationships/header" Target="header2.xml"/><Relationship Id="rId7" Type="http://schemas.openxmlformats.org/officeDocument/2006/relationships/hyperlink" Target="http://www.nevo.co.il/law/4216/6" TargetMode="External"/><Relationship Id="rId12" Type="http://schemas.openxmlformats.org/officeDocument/2006/relationships/hyperlink" Target="http://www.nevo.co.il/law/4216/36a.b" TargetMode="External"/><Relationship Id="rId17" Type="http://schemas.openxmlformats.org/officeDocument/2006/relationships/hyperlink" Target="http://www.nevo.co.il/law/4216/9.a" TargetMode="External"/><Relationship Id="rId25" Type="http://schemas.openxmlformats.org/officeDocument/2006/relationships/hyperlink" Target="http://www.nevo.co.il/case/829166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5698919"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461668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4249952" TargetMode="External"/><Relationship Id="rId28" Type="http://schemas.openxmlformats.org/officeDocument/2006/relationships/hyperlink" Target="http://www.nevo.co.il/law/70301/40d" TargetMode="External"/><Relationship Id="rId36" Type="http://schemas.openxmlformats.org/officeDocument/2006/relationships/footer" Target="footer2.xml"/><Relationship Id="rId10" Type="http://schemas.openxmlformats.org/officeDocument/2006/relationships/hyperlink" Target="http://www.nevo.co.il/law/4216/9.a" TargetMode="External"/><Relationship Id="rId19" Type="http://schemas.openxmlformats.org/officeDocument/2006/relationships/hyperlink" Target="http://www.nevo.co.il/law/4216/10"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11237056" TargetMode="External"/><Relationship Id="rId27" Type="http://schemas.openxmlformats.org/officeDocument/2006/relationships/hyperlink" Target="http://www.nevo.co.il/case/20832660" TargetMode="External"/><Relationship Id="rId30" Type="http://schemas.openxmlformats.org/officeDocument/2006/relationships/hyperlink" Target="http://www.nevo.co.il/law/4216/36a.b"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12541</Characters>
  <Application>Microsoft Office Word</Application>
  <DocSecurity>0</DocSecurity>
  <Lines>104</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15019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5111890</vt:i4>
      </vt:variant>
      <vt:variant>
        <vt:i4>72</vt:i4>
      </vt:variant>
      <vt:variant>
        <vt:i4>0</vt:i4>
      </vt:variant>
      <vt:variant>
        <vt:i4>5</vt:i4>
      </vt:variant>
      <vt:variant>
        <vt:lpwstr>http://www.nevo.co.il/law/4216/36a.b</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4063345</vt:i4>
      </vt:variant>
      <vt:variant>
        <vt:i4>63</vt:i4>
      </vt:variant>
      <vt:variant>
        <vt:i4>0</vt:i4>
      </vt:variant>
      <vt:variant>
        <vt:i4>5</vt:i4>
      </vt:variant>
      <vt:variant>
        <vt:lpwstr>http://www.nevo.co.il/case/20832660</vt:lpwstr>
      </vt:variant>
      <vt:variant>
        <vt:lpwstr/>
      </vt:variant>
      <vt:variant>
        <vt:i4>3211386</vt:i4>
      </vt:variant>
      <vt:variant>
        <vt:i4>60</vt:i4>
      </vt:variant>
      <vt:variant>
        <vt:i4>0</vt:i4>
      </vt:variant>
      <vt:variant>
        <vt:i4>5</vt:i4>
      </vt:variant>
      <vt:variant>
        <vt:lpwstr>http://www.nevo.co.il/case/20791756</vt:lpwstr>
      </vt:variant>
      <vt:variant>
        <vt:lpwstr/>
      </vt:variant>
      <vt:variant>
        <vt:i4>3539057</vt:i4>
      </vt:variant>
      <vt:variant>
        <vt:i4>57</vt:i4>
      </vt:variant>
      <vt:variant>
        <vt:i4>0</vt:i4>
      </vt:variant>
      <vt:variant>
        <vt:i4>5</vt:i4>
      </vt:variant>
      <vt:variant>
        <vt:lpwstr>http://www.nevo.co.il/case/8291661</vt:lpwstr>
      </vt:variant>
      <vt:variant>
        <vt:lpwstr/>
      </vt:variant>
      <vt:variant>
        <vt:i4>3211388</vt:i4>
      </vt:variant>
      <vt:variant>
        <vt:i4>54</vt:i4>
      </vt:variant>
      <vt:variant>
        <vt:i4>0</vt:i4>
      </vt:variant>
      <vt:variant>
        <vt:i4>5</vt:i4>
      </vt:variant>
      <vt:variant>
        <vt:lpwstr>http://www.nevo.co.il/case/4616682</vt:lpwstr>
      </vt:variant>
      <vt:variant>
        <vt:lpwstr/>
      </vt:variant>
      <vt:variant>
        <vt:i4>3866746</vt:i4>
      </vt:variant>
      <vt:variant>
        <vt:i4>51</vt:i4>
      </vt:variant>
      <vt:variant>
        <vt:i4>0</vt:i4>
      </vt:variant>
      <vt:variant>
        <vt:i4>5</vt:i4>
      </vt:variant>
      <vt:variant>
        <vt:lpwstr>http://www.nevo.co.il/case/4249952</vt:lpwstr>
      </vt:variant>
      <vt:variant>
        <vt:lpwstr/>
      </vt:variant>
      <vt:variant>
        <vt:i4>3211382</vt:i4>
      </vt:variant>
      <vt:variant>
        <vt:i4>48</vt:i4>
      </vt:variant>
      <vt:variant>
        <vt:i4>0</vt:i4>
      </vt:variant>
      <vt:variant>
        <vt:i4>5</vt:i4>
      </vt:variant>
      <vt:variant>
        <vt:lpwstr>http://www.nevo.co.il/case/11237056</vt:lpwstr>
      </vt:variant>
      <vt:variant>
        <vt:lpwstr/>
      </vt:variant>
      <vt:variant>
        <vt:i4>3997814</vt:i4>
      </vt:variant>
      <vt:variant>
        <vt:i4>45</vt:i4>
      </vt:variant>
      <vt:variant>
        <vt:i4>0</vt:i4>
      </vt:variant>
      <vt:variant>
        <vt:i4>5</vt:i4>
      </vt:variant>
      <vt:variant>
        <vt:lpwstr>http://www.nevo.co.il/case/20118363</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5177418</vt:i4>
      </vt:variant>
      <vt:variant>
        <vt:i4>39</vt:i4>
      </vt:variant>
      <vt:variant>
        <vt:i4>0</vt:i4>
      </vt:variant>
      <vt:variant>
        <vt:i4>5</vt:i4>
      </vt:variant>
      <vt:variant>
        <vt:lpwstr>http://www.nevo.co.il/law/4216/10</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2490468</vt:i4>
      </vt:variant>
      <vt:variant>
        <vt:i4>33</vt:i4>
      </vt:variant>
      <vt:variant>
        <vt:i4>0</vt:i4>
      </vt:variant>
      <vt:variant>
        <vt:i4>5</vt:i4>
      </vt:variant>
      <vt:variant>
        <vt:lpwstr>http://www.nevo.co.il/law/4216/9.a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2025-04-22T20:44:00Z</dcterms:created>
  <dcterms:modified xsi:type="dcterms:W3CDTF">2025-04-22T20:44:00Z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1870</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עופר אגם</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20180812</vt:lpwstr>
  </property>
  <property fmtid="{D5CDD505-2E9C-101B-9397-08002B2CF9AE}" pid="13" name="TYPE_N_DATE">
    <vt:lpwstr>39020180812</vt:lpwstr>
  </property>
  <property fmtid="{D5CDD505-2E9C-101B-9397-08002B2CF9AE}" pid="14" name="WORDNUMPAGES">
    <vt:lpwstr>8</vt:lpwstr>
  </property>
  <property fmtid="{D5CDD505-2E9C-101B-9397-08002B2CF9AE}" pid="15" name="TYPE_ABS_DATE">
    <vt:lpwstr>390020180812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5698919;20118363;11237056;4249952;4616682;8291661;20791756;20832660</vt:lpwstr>
  </property>
  <property fmtid="{D5CDD505-2E9C-101B-9397-08002B2CF9AE}" pid="36" name="LAWLISTTMP1">
    <vt:lpwstr>4216/006;009.a;007.a;007.c;010;036a.b</vt:lpwstr>
  </property>
  <property fmtid="{D5CDD505-2E9C-101B-9397-08002B2CF9AE}" pid="37" name="LAWLISTTMP2">
    <vt:lpwstr>70301/040d</vt:lpwstr>
  </property>
</Properties>
</file>