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5B6145" w:rsidRPr="00B53C1F" w14:paraId="4C10DF2B" w14:textId="77777777" w:rsidTr="001D39E0">
        <w:trPr>
          <w:trHeight w:hRule="exact" w:val="418"/>
          <w:jc w:val="center"/>
        </w:trPr>
        <w:tc>
          <w:tcPr>
            <w:tcW w:w="8721" w:type="dxa"/>
            <w:gridSpan w:val="2"/>
          </w:tcPr>
          <w:p w14:paraId="62C8CA97" w14:textId="77777777" w:rsidR="005B6145" w:rsidRPr="00B53C1F" w:rsidRDefault="005B6145" w:rsidP="00B53C1F">
            <w:pPr>
              <w:pStyle w:val="a3"/>
              <w:jc w:val="center"/>
              <w:rPr>
                <w:rFonts w:ascii="Tahoma" w:hAnsi="Tahoma" w:cs="Tahoma"/>
                <w:color w:val="000080"/>
                <w:rtl/>
              </w:rPr>
            </w:pPr>
            <w:bookmarkStart w:id="0" w:name="LastJudge"/>
            <w:r w:rsidRPr="00B53C1F">
              <w:rPr>
                <w:rFonts w:ascii="Tahoma" w:hAnsi="Tahoma" w:cs="Tahoma"/>
                <w:b/>
                <w:bCs/>
                <w:color w:val="000080"/>
                <w:rtl/>
              </w:rPr>
              <w:t>בית המשפט המחוזי בבאר שבע</w:t>
            </w:r>
          </w:p>
        </w:tc>
      </w:tr>
      <w:tr w:rsidR="005B6145" w:rsidRPr="00B53C1F" w14:paraId="7CDFDD31" w14:textId="77777777" w:rsidTr="001D39E0">
        <w:trPr>
          <w:trHeight w:val="337"/>
          <w:jc w:val="center"/>
        </w:trPr>
        <w:tc>
          <w:tcPr>
            <w:tcW w:w="5060" w:type="dxa"/>
          </w:tcPr>
          <w:p w14:paraId="3E4E4612" w14:textId="77777777" w:rsidR="005B6145" w:rsidRPr="00B53C1F" w:rsidRDefault="005B6145" w:rsidP="00B53C1F">
            <w:pPr>
              <w:rPr>
                <w:rFonts w:cs="FrankRuehl"/>
                <w:sz w:val="28"/>
                <w:szCs w:val="28"/>
                <w:rtl/>
              </w:rPr>
            </w:pPr>
            <w:r w:rsidRPr="00B53C1F">
              <w:rPr>
                <w:rFonts w:cs="FrankRuehl"/>
                <w:sz w:val="28"/>
                <w:szCs w:val="28"/>
                <w:rtl/>
              </w:rPr>
              <w:t>ת"פ</w:t>
            </w:r>
            <w:r w:rsidRPr="00B53C1F">
              <w:rPr>
                <w:rFonts w:cs="FrankRuehl" w:hint="cs"/>
                <w:sz w:val="28"/>
                <w:szCs w:val="28"/>
                <w:rtl/>
              </w:rPr>
              <w:t xml:space="preserve"> </w:t>
            </w:r>
            <w:r w:rsidRPr="00B53C1F">
              <w:rPr>
                <w:rFonts w:cs="FrankRuehl"/>
                <w:sz w:val="28"/>
                <w:szCs w:val="28"/>
                <w:rtl/>
              </w:rPr>
              <w:t>24253-04-16</w:t>
            </w:r>
            <w:r w:rsidRPr="00B53C1F">
              <w:rPr>
                <w:rFonts w:cs="FrankRuehl" w:hint="cs"/>
                <w:sz w:val="28"/>
                <w:szCs w:val="28"/>
                <w:rtl/>
              </w:rPr>
              <w:t xml:space="preserve"> </w:t>
            </w:r>
            <w:r w:rsidRPr="00B53C1F">
              <w:rPr>
                <w:rFonts w:cs="FrankRuehl"/>
                <w:sz w:val="28"/>
                <w:szCs w:val="28"/>
                <w:rtl/>
              </w:rPr>
              <w:t>מדינת ישראל נ' אלסאנע(עציר)</w:t>
            </w:r>
          </w:p>
          <w:p w14:paraId="5BE2E506" w14:textId="77777777" w:rsidR="005B6145" w:rsidRPr="00B53C1F" w:rsidRDefault="005B6145" w:rsidP="00B53C1F">
            <w:pPr>
              <w:pStyle w:val="a3"/>
              <w:rPr>
                <w:rFonts w:cs="FrankRuehl"/>
                <w:sz w:val="28"/>
                <w:szCs w:val="28"/>
                <w:rtl/>
              </w:rPr>
            </w:pPr>
          </w:p>
        </w:tc>
        <w:tc>
          <w:tcPr>
            <w:tcW w:w="3661" w:type="dxa"/>
          </w:tcPr>
          <w:p w14:paraId="2A78F1C5" w14:textId="77777777" w:rsidR="005B6145" w:rsidRPr="00B53C1F" w:rsidRDefault="005B6145" w:rsidP="00B53C1F">
            <w:pPr>
              <w:pStyle w:val="a3"/>
              <w:jc w:val="right"/>
              <w:rPr>
                <w:rFonts w:cs="FrankRuehl"/>
                <w:sz w:val="28"/>
                <w:szCs w:val="28"/>
                <w:rtl/>
              </w:rPr>
            </w:pPr>
          </w:p>
        </w:tc>
      </w:tr>
    </w:tbl>
    <w:p w14:paraId="33359DB5" w14:textId="77777777" w:rsidR="005B6145" w:rsidRPr="00B53C1F" w:rsidRDefault="005B6145" w:rsidP="005B6145">
      <w:pPr>
        <w:pStyle w:val="a3"/>
        <w:rPr>
          <w:rtl/>
        </w:rPr>
      </w:pPr>
      <w:r w:rsidRPr="00B53C1F">
        <w:rPr>
          <w:rFonts w:hint="cs"/>
          <w:rtl/>
        </w:rPr>
        <w:t xml:space="preserve"> </w:t>
      </w:r>
    </w:p>
    <w:p w14:paraId="2AEFFACD" w14:textId="77777777" w:rsidR="005B6145" w:rsidRPr="00B53C1F" w:rsidRDefault="005B6145" w:rsidP="005B6145">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53"/>
        <w:gridCol w:w="3621"/>
      </w:tblGrid>
      <w:tr w:rsidR="005B6145" w:rsidRPr="00B53C1F" w14:paraId="1B2B737C" w14:textId="77777777" w:rsidTr="00FC2B50">
        <w:trPr>
          <w:trHeight w:val="295"/>
          <w:jc w:val="center"/>
        </w:trPr>
        <w:tc>
          <w:tcPr>
            <w:tcW w:w="1246" w:type="dxa"/>
            <w:tcBorders>
              <w:top w:val="nil"/>
              <w:left w:val="nil"/>
              <w:bottom w:val="nil"/>
              <w:right w:val="nil"/>
            </w:tcBorders>
            <w:shd w:val="clear" w:color="auto" w:fill="auto"/>
          </w:tcPr>
          <w:p w14:paraId="53756057" w14:textId="77777777" w:rsidR="005B6145" w:rsidRPr="00B53C1F" w:rsidRDefault="005B6145" w:rsidP="00B53C1F">
            <w:pPr>
              <w:spacing w:line="360" w:lineRule="auto"/>
              <w:jc w:val="both"/>
              <w:rPr>
                <w:rFonts w:ascii="Arial" w:hAnsi="Arial"/>
                <w:b/>
                <w:bCs/>
              </w:rPr>
            </w:pPr>
            <w:r w:rsidRPr="00B53C1F">
              <w:rPr>
                <w:rFonts w:ascii="Arial" w:hAnsi="Arial" w:hint="cs"/>
                <w:b/>
                <w:bCs/>
                <w:rtl/>
              </w:rPr>
              <w:t>ב</w:t>
            </w:r>
            <w:r w:rsidRPr="00B53C1F">
              <w:rPr>
                <w:rFonts w:ascii="Arial" w:hAnsi="Arial"/>
                <w:b/>
                <w:bCs/>
                <w:rtl/>
              </w:rPr>
              <w:t>פני</w:t>
            </w:r>
            <w:r w:rsidRPr="00B53C1F">
              <w:rPr>
                <w:rFonts w:ascii="Arial" w:hAnsi="Arial" w:hint="cs"/>
                <w:b/>
                <w:bCs/>
                <w:rtl/>
              </w:rPr>
              <w:t>:</w:t>
            </w:r>
          </w:p>
        </w:tc>
        <w:tc>
          <w:tcPr>
            <w:tcW w:w="7574" w:type="dxa"/>
            <w:gridSpan w:val="2"/>
            <w:tcBorders>
              <w:top w:val="nil"/>
              <w:left w:val="nil"/>
              <w:bottom w:val="nil"/>
              <w:right w:val="nil"/>
            </w:tcBorders>
            <w:shd w:val="clear" w:color="auto" w:fill="auto"/>
          </w:tcPr>
          <w:p w14:paraId="58FDC996" w14:textId="77777777" w:rsidR="005B6145" w:rsidRPr="00B53C1F" w:rsidRDefault="005B6145" w:rsidP="00B53C1F">
            <w:pPr>
              <w:spacing w:line="360" w:lineRule="auto"/>
              <w:jc w:val="both"/>
              <w:rPr>
                <w:rFonts w:ascii="Arial" w:hAnsi="Arial"/>
                <w:b/>
                <w:bCs/>
              </w:rPr>
            </w:pPr>
            <w:r w:rsidRPr="00B53C1F">
              <w:rPr>
                <w:rFonts w:ascii="Arial" w:hAnsi="Arial" w:hint="cs"/>
                <w:b/>
                <w:bCs/>
                <w:rtl/>
              </w:rPr>
              <w:t>כבוד ה</w:t>
            </w:r>
            <w:r w:rsidRPr="00B53C1F">
              <w:rPr>
                <w:rFonts w:hint="cs"/>
                <w:b/>
                <w:bCs/>
                <w:rtl/>
              </w:rPr>
              <w:t>שופט</w:t>
            </w:r>
            <w:r w:rsidRPr="00B53C1F">
              <w:rPr>
                <w:rFonts w:ascii="Arial" w:hAnsi="Arial" w:hint="cs"/>
                <w:b/>
                <w:bCs/>
                <w:rtl/>
              </w:rPr>
              <w:t xml:space="preserve">  </w:t>
            </w:r>
            <w:r w:rsidRPr="00B53C1F">
              <w:rPr>
                <w:rFonts w:hint="cs"/>
                <w:b/>
                <w:bCs/>
                <w:rtl/>
              </w:rPr>
              <w:t>אליהו ביתן</w:t>
            </w:r>
          </w:p>
        </w:tc>
      </w:tr>
      <w:tr w:rsidR="005B6145" w:rsidRPr="00B53C1F" w14:paraId="1614CB9E" w14:textId="77777777" w:rsidTr="00FC2B50">
        <w:trPr>
          <w:trHeight w:val="355"/>
          <w:jc w:val="center"/>
        </w:trPr>
        <w:tc>
          <w:tcPr>
            <w:tcW w:w="1246" w:type="dxa"/>
            <w:tcBorders>
              <w:top w:val="nil"/>
              <w:left w:val="nil"/>
              <w:bottom w:val="nil"/>
              <w:right w:val="nil"/>
            </w:tcBorders>
            <w:shd w:val="clear" w:color="auto" w:fill="auto"/>
          </w:tcPr>
          <w:p w14:paraId="6CFA166A" w14:textId="77777777" w:rsidR="005B6145" w:rsidRPr="00B53C1F" w:rsidRDefault="005B6145" w:rsidP="00B53C1F">
            <w:pPr>
              <w:spacing w:line="360" w:lineRule="auto"/>
              <w:jc w:val="both"/>
              <w:rPr>
                <w:rFonts w:ascii="Arial" w:hAnsi="Arial"/>
                <w:b/>
                <w:bCs/>
              </w:rPr>
            </w:pPr>
            <w:r w:rsidRPr="00B53C1F">
              <w:rPr>
                <w:rFonts w:ascii="Arial" w:hAnsi="Arial" w:hint="cs"/>
                <w:b/>
                <w:bCs/>
                <w:rtl/>
              </w:rPr>
              <w:t>בעניין:</w:t>
            </w:r>
          </w:p>
        </w:tc>
        <w:tc>
          <w:tcPr>
            <w:tcW w:w="3953" w:type="dxa"/>
            <w:tcBorders>
              <w:top w:val="nil"/>
              <w:left w:val="nil"/>
              <w:bottom w:val="nil"/>
              <w:right w:val="nil"/>
            </w:tcBorders>
            <w:shd w:val="clear" w:color="auto" w:fill="auto"/>
          </w:tcPr>
          <w:p w14:paraId="513ACD74" w14:textId="77777777" w:rsidR="005B6145" w:rsidRPr="00B53C1F" w:rsidRDefault="005B6145" w:rsidP="00B53C1F">
            <w:pPr>
              <w:spacing w:line="360" w:lineRule="auto"/>
              <w:jc w:val="both"/>
              <w:rPr>
                <w:b/>
                <w:bCs/>
              </w:rPr>
            </w:pPr>
            <w:r w:rsidRPr="00B53C1F">
              <w:rPr>
                <w:b/>
                <w:bCs/>
                <w:rtl/>
              </w:rPr>
              <w:t xml:space="preserve">     </w:t>
            </w:r>
          </w:p>
        </w:tc>
        <w:tc>
          <w:tcPr>
            <w:tcW w:w="3621" w:type="dxa"/>
            <w:tcBorders>
              <w:top w:val="nil"/>
              <w:left w:val="nil"/>
              <w:bottom w:val="nil"/>
              <w:right w:val="nil"/>
            </w:tcBorders>
            <w:shd w:val="clear" w:color="auto" w:fill="auto"/>
          </w:tcPr>
          <w:p w14:paraId="57E8B92D" w14:textId="77777777" w:rsidR="005B6145" w:rsidRPr="00B53C1F" w:rsidRDefault="005B6145" w:rsidP="00B53C1F">
            <w:pPr>
              <w:spacing w:line="360" w:lineRule="auto"/>
              <w:jc w:val="both"/>
              <w:rPr>
                <w:rFonts w:ascii="Arial" w:hAnsi="Arial"/>
              </w:rPr>
            </w:pPr>
          </w:p>
        </w:tc>
      </w:tr>
      <w:tr w:rsidR="005B6145" w:rsidRPr="00B53C1F" w14:paraId="38AC7824" w14:textId="77777777" w:rsidTr="00FC2B50">
        <w:trPr>
          <w:trHeight w:val="355"/>
          <w:jc w:val="center"/>
        </w:trPr>
        <w:tc>
          <w:tcPr>
            <w:tcW w:w="1246" w:type="dxa"/>
            <w:tcBorders>
              <w:top w:val="nil"/>
              <w:left w:val="nil"/>
              <w:bottom w:val="nil"/>
              <w:right w:val="nil"/>
            </w:tcBorders>
            <w:shd w:val="clear" w:color="auto" w:fill="auto"/>
          </w:tcPr>
          <w:p w14:paraId="36D41ED3" w14:textId="77777777" w:rsidR="005B6145" w:rsidRPr="00B53C1F" w:rsidRDefault="005B6145" w:rsidP="00B53C1F">
            <w:pPr>
              <w:spacing w:line="360" w:lineRule="auto"/>
              <w:jc w:val="both"/>
              <w:rPr>
                <w:rFonts w:ascii="Arial" w:hAnsi="Arial"/>
                <w:b/>
                <w:bCs/>
                <w:rtl/>
              </w:rPr>
            </w:pPr>
            <w:bookmarkStart w:id="1" w:name="FirstAppellant"/>
            <w:r w:rsidRPr="00B53C1F">
              <w:rPr>
                <w:rFonts w:ascii="Arial" w:hAnsi="Arial" w:hint="cs"/>
                <w:b/>
                <w:bCs/>
                <w:rtl/>
              </w:rPr>
              <w:t>המאשימה:</w:t>
            </w:r>
          </w:p>
        </w:tc>
        <w:tc>
          <w:tcPr>
            <w:tcW w:w="3953" w:type="dxa"/>
            <w:tcBorders>
              <w:top w:val="nil"/>
              <w:left w:val="nil"/>
              <w:bottom w:val="nil"/>
              <w:right w:val="nil"/>
            </w:tcBorders>
            <w:shd w:val="clear" w:color="auto" w:fill="auto"/>
          </w:tcPr>
          <w:p w14:paraId="02AF67DD" w14:textId="77777777" w:rsidR="005B6145" w:rsidRPr="00B53C1F" w:rsidRDefault="005B6145" w:rsidP="00B53C1F">
            <w:pPr>
              <w:spacing w:line="360" w:lineRule="auto"/>
              <w:jc w:val="both"/>
              <w:rPr>
                <w:b/>
                <w:bCs/>
                <w:rtl/>
              </w:rPr>
            </w:pPr>
            <w:r w:rsidRPr="00B53C1F">
              <w:rPr>
                <w:rFonts w:hint="cs"/>
                <w:b/>
                <w:bCs/>
                <w:rtl/>
              </w:rPr>
              <w:t xml:space="preserve">מדינת ישראל </w:t>
            </w:r>
          </w:p>
        </w:tc>
        <w:tc>
          <w:tcPr>
            <w:tcW w:w="3621" w:type="dxa"/>
            <w:tcBorders>
              <w:top w:val="nil"/>
              <w:left w:val="nil"/>
              <w:bottom w:val="nil"/>
              <w:right w:val="nil"/>
            </w:tcBorders>
            <w:shd w:val="clear" w:color="auto" w:fill="auto"/>
          </w:tcPr>
          <w:p w14:paraId="1E302948" w14:textId="77777777" w:rsidR="005B6145" w:rsidRPr="00B53C1F" w:rsidRDefault="005B6145" w:rsidP="00B53C1F">
            <w:pPr>
              <w:spacing w:line="360" w:lineRule="auto"/>
              <w:jc w:val="both"/>
              <w:rPr>
                <w:rFonts w:ascii="Arial" w:hAnsi="Arial"/>
                <w:rtl/>
              </w:rPr>
            </w:pPr>
          </w:p>
        </w:tc>
      </w:tr>
      <w:bookmarkEnd w:id="1"/>
      <w:tr w:rsidR="005B6145" w:rsidRPr="00B53C1F" w14:paraId="731E9F64" w14:textId="77777777" w:rsidTr="00FC2B50">
        <w:trPr>
          <w:trHeight w:val="355"/>
          <w:jc w:val="center"/>
        </w:trPr>
        <w:tc>
          <w:tcPr>
            <w:tcW w:w="1246" w:type="dxa"/>
            <w:tcBorders>
              <w:top w:val="nil"/>
              <w:left w:val="nil"/>
              <w:bottom w:val="nil"/>
              <w:right w:val="nil"/>
            </w:tcBorders>
            <w:shd w:val="clear" w:color="auto" w:fill="auto"/>
          </w:tcPr>
          <w:p w14:paraId="4B89C469" w14:textId="77777777" w:rsidR="005B6145" w:rsidRPr="00B53C1F" w:rsidRDefault="005B6145" w:rsidP="00B53C1F">
            <w:pPr>
              <w:spacing w:line="360" w:lineRule="auto"/>
              <w:jc w:val="both"/>
              <w:rPr>
                <w:rFonts w:ascii="Arial" w:hAnsi="Arial"/>
                <w:b/>
                <w:bCs/>
                <w:rtl/>
              </w:rPr>
            </w:pPr>
          </w:p>
        </w:tc>
        <w:tc>
          <w:tcPr>
            <w:tcW w:w="7574" w:type="dxa"/>
            <w:gridSpan w:val="2"/>
            <w:tcBorders>
              <w:top w:val="nil"/>
              <w:left w:val="nil"/>
              <w:bottom w:val="nil"/>
              <w:right w:val="nil"/>
            </w:tcBorders>
            <w:shd w:val="clear" w:color="auto" w:fill="auto"/>
          </w:tcPr>
          <w:p w14:paraId="7F40C6FC" w14:textId="77777777" w:rsidR="005B6145" w:rsidRPr="00B53C1F" w:rsidRDefault="005B6145" w:rsidP="00B53C1F">
            <w:pPr>
              <w:spacing w:line="360" w:lineRule="auto"/>
              <w:jc w:val="center"/>
              <w:rPr>
                <w:rFonts w:ascii="Arial" w:hAnsi="Arial"/>
                <w:b/>
                <w:bCs/>
                <w:sz w:val="28"/>
                <w:szCs w:val="28"/>
              </w:rPr>
            </w:pPr>
            <w:r w:rsidRPr="00B53C1F">
              <w:rPr>
                <w:rFonts w:ascii="Arial" w:hAnsi="Arial"/>
                <w:b/>
                <w:bCs/>
                <w:sz w:val="28"/>
                <w:szCs w:val="28"/>
                <w:rtl/>
              </w:rPr>
              <w:t>נגד</w:t>
            </w:r>
          </w:p>
        </w:tc>
      </w:tr>
      <w:tr w:rsidR="005B6145" w:rsidRPr="00B53C1F" w14:paraId="2ADB7936" w14:textId="77777777" w:rsidTr="00FC2B50">
        <w:trPr>
          <w:trHeight w:val="355"/>
          <w:jc w:val="center"/>
        </w:trPr>
        <w:tc>
          <w:tcPr>
            <w:tcW w:w="1246" w:type="dxa"/>
            <w:tcBorders>
              <w:top w:val="nil"/>
              <w:left w:val="nil"/>
              <w:bottom w:val="nil"/>
              <w:right w:val="nil"/>
            </w:tcBorders>
            <w:shd w:val="clear" w:color="auto" w:fill="auto"/>
          </w:tcPr>
          <w:p w14:paraId="78D5A441" w14:textId="77777777" w:rsidR="005B6145" w:rsidRPr="00B53C1F" w:rsidRDefault="005B6145" w:rsidP="00B53C1F">
            <w:pPr>
              <w:spacing w:line="360" w:lineRule="auto"/>
              <w:jc w:val="both"/>
              <w:rPr>
                <w:rFonts w:ascii="Arial" w:hAnsi="Arial"/>
                <w:b/>
                <w:bCs/>
                <w:rtl/>
              </w:rPr>
            </w:pPr>
            <w:r w:rsidRPr="00B53C1F">
              <w:rPr>
                <w:rFonts w:ascii="Arial" w:hAnsi="Arial" w:hint="cs"/>
                <w:b/>
                <w:bCs/>
                <w:rtl/>
              </w:rPr>
              <w:t>הנאשם:</w:t>
            </w:r>
          </w:p>
        </w:tc>
        <w:tc>
          <w:tcPr>
            <w:tcW w:w="3953" w:type="dxa"/>
            <w:tcBorders>
              <w:top w:val="nil"/>
              <w:left w:val="nil"/>
              <w:bottom w:val="nil"/>
              <w:right w:val="nil"/>
            </w:tcBorders>
            <w:shd w:val="clear" w:color="auto" w:fill="auto"/>
          </w:tcPr>
          <w:p w14:paraId="370B453A" w14:textId="77777777" w:rsidR="005B6145" w:rsidRPr="00B53C1F" w:rsidRDefault="005B6145" w:rsidP="00B53C1F">
            <w:pPr>
              <w:spacing w:line="360" w:lineRule="auto"/>
              <w:jc w:val="both"/>
              <w:rPr>
                <w:b/>
                <w:bCs/>
                <w:rtl/>
              </w:rPr>
            </w:pPr>
            <w:r w:rsidRPr="00B53C1F">
              <w:rPr>
                <w:rFonts w:hint="cs"/>
                <w:b/>
                <w:bCs/>
                <w:rtl/>
              </w:rPr>
              <w:t xml:space="preserve">חאלד אלסאנע </w:t>
            </w:r>
          </w:p>
        </w:tc>
        <w:tc>
          <w:tcPr>
            <w:tcW w:w="3621" w:type="dxa"/>
            <w:tcBorders>
              <w:top w:val="nil"/>
              <w:left w:val="nil"/>
              <w:bottom w:val="nil"/>
              <w:right w:val="nil"/>
            </w:tcBorders>
            <w:shd w:val="clear" w:color="auto" w:fill="auto"/>
          </w:tcPr>
          <w:p w14:paraId="466BA666" w14:textId="77777777" w:rsidR="005B6145" w:rsidRPr="00B53C1F" w:rsidRDefault="005B6145" w:rsidP="00B53C1F">
            <w:pPr>
              <w:spacing w:line="360" w:lineRule="auto"/>
              <w:jc w:val="both"/>
              <w:rPr>
                <w:rFonts w:ascii="Arial" w:hAnsi="Arial"/>
              </w:rPr>
            </w:pPr>
          </w:p>
        </w:tc>
      </w:tr>
      <w:tr w:rsidR="005B6145" w:rsidRPr="00EC1D78" w14:paraId="4CFDDBAA" w14:textId="77777777" w:rsidTr="00B53C1F">
        <w:trPr>
          <w:trHeight w:val="355"/>
          <w:jc w:val="center"/>
        </w:trPr>
        <w:tc>
          <w:tcPr>
            <w:tcW w:w="8820" w:type="dxa"/>
            <w:gridSpan w:val="3"/>
            <w:tcBorders>
              <w:top w:val="nil"/>
              <w:left w:val="nil"/>
              <w:bottom w:val="nil"/>
              <w:right w:val="nil"/>
            </w:tcBorders>
            <w:shd w:val="clear" w:color="auto" w:fill="auto"/>
          </w:tcPr>
          <w:p w14:paraId="40C5E482" w14:textId="77777777" w:rsidR="00FC2B50" w:rsidRDefault="00FC2B50" w:rsidP="00B53C1F">
            <w:pPr>
              <w:spacing w:line="360" w:lineRule="auto"/>
              <w:jc w:val="center"/>
              <w:rPr>
                <w:rFonts w:ascii="Arial" w:hAnsi="Arial"/>
                <w:sz w:val="28"/>
                <w:szCs w:val="28"/>
                <w:rtl/>
              </w:rPr>
            </w:pPr>
            <w:bookmarkStart w:id="2" w:name="PsakDin" w:colFirst="0" w:colLast="0"/>
            <w:bookmarkStart w:id="3" w:name="LawTable"/>
            <w:bookmarkEnd w:id="0"/>
            <w:bookmarkEnd w:id="3"/>
          </w:p>
          <w:p w14:paraId="02DC2B8B" w14:textId="77777777" w:rsidR="00FC2B50" w:rsidRPr="00FC2B50" w:rsidRDefault="00FC2B50" w:rsidP="00FC2B50">
            <w:pPr>
              <w:spacing w:after="120" w:line="240" w:lineRule="exact"/>
              <w:ind w:left="283" w:hanging="283"/>
              <w:jc w:val="both"/>
              <w:rPr>
                <w:rFonts w:ascii="FrankRuehl" w:hAnsi="FrankRuehl" w:cs="FrankRuehl"/>
                <w:rtl/>
              </w:rPr>
            </w:pPr>
          </w:p>
          <w:p w14:paraId="537F1E94" w14:textId="77777777" w:rsidR="00FC2B50" w:rsidRPr="00FC2B50" w:rsidRDefault="00FC2B50" w:rsidP="00FC2B50">
            <w:pPr>
              <w:spacing w:after="120" w:line="240" w:lineRule="exact"/>
              <w:ind w:left="283" w:hanging="283"/>
              <w:jc w:val="both"/>
              <w:rPr>
                <w:rFonts w:ascii="FrankRuehl" w:hAnsi="FrankRuehl" w:cs="FrankRuehl"/>
                <w:rtl/>
              </w:rPr>
            </w:pPr>
            <w:r w:rsidRPr="00FC2B50">
              <w:rPr>
                <w:rFonts w:ascii="FrankRuehl" w:hAnsi="FrankRuehl" w:cs="FrankRuehl"/>
                <w:rtl/>
              </w:rPr>
              <w:t xml:space="preserve">חקיקה שאוזכרה: </w:t>
            </w:r>
          </w:p>
          <w:p w14:paraId="4EC4FE9D" w14:textId="77777777" w:rsidR="00FC2B50" w:rsidRPr="00FC2B50" w:rsidRDefault="00FC2B50" w:rsidP="00FC2B50">
            <w:pPr>
              <w:spacing w:after="120" w:line="240" w:lineRule="exact"/>
              <w:ind w:left="283" w:hanging="283"/>
              <w:jc w:val="both"/>
              <w:rPr>
                <w:rFonts w:ascii="FrankRuehl" w:hAnsi="FrankRuehl" w:cs="FrankRuehl"/>
                <w:rtl/>
              </w:rPr>
            </w:pPr>
            <w:hyperlink r:id="rId6" w:history="1">
              <w:r w:rsidRPr="00FC2B50">
                <w:rPr>
                  <w:rFonts w:ascii="FrankRuehl" w:hAnsi="FrankRuehl" w:cs="FrankRuehl"/>
                  <w:color w:val="0000FF"/>
                  <w:u w:val="single"/>
                  <w:rtl/>
                </w:rPr>
                <w:t>פקודת הסמים המסוכנים [נוסח חדש], תשל"ג-1973</w:t>
              </w:r>
            </w:hyperlink>
            <w:r w:rsidRPr="00FC2B50">
              <w:rPr>
                <w:rFonts w:ascii="FrankRuehl" w:hAnsi="FrankRuehl" w:cs="FrankRuehl"/>
                <w:rtl/>
              </w:rPr>
              <w:t xml:space="preserve">: סע'  </w:t>
            </w:r>
            <w:hyperlink r:id="rId7" w:history="1">
              <w:r w:rsidRPr="00FC2B50">
                <w:rPr>
                  <w:rFonts w:ascii="FrankRuehl" w:hAnsi="FrankRuehl" w:cs="FrankRuehl"/>
                  <w:color w:val="0000FF"/>
                  <w:u w:val="single"/>
                  <w:rtl/>
                </w:rPr>
                <w:t>והתוספת השניה</w:t>
              </w:r>
            </w:hyperlink>
            <w:r w:rsidRPr="00FC2B50">
              <w:rPr>
                <w:rFonts w:ascii="FrankRuehl" w:hAnsi="FrankRuehl" w:cs="FrankRuehl"/>
                <w:rtl/>
              </w:rPr>
              <w:t xml:space="preserve">, </w:t>
            </w:r>
            <w:hyperlink r:id="rId8" w:history="1">
              <w:r w:rsidRPr="00FC2B50">
                <w:rPr>
                  <w:rFonts w:ascii="FrankRuehl" w:hAnsi="FrankRuehl" w:cs="FrankRuehl"/>
                  <w:color w:val="0000FF"/>
                  <w:u w:val="single"/>
                  <w:rtl/>
                </w:rPr>
                <w:t>7.א.</w:t>
              </w:r>
            </w:hyperlink>
            <w:r w:rsidRPr="00FC2B50">
              <w:rPr>
                <w:rFonts w:ascii="FrankRuehl" w:hAnsi="FrankRuehl" w:cs="FrankRuehl"/>
                <w:rtl/>
              </w:rPr>
              <w:t xml:space="preserve">, </w:t>
            </w:r>
            <w:hyperlink r:id="rId9" w:history="1">
              <w:r w:rsidRPr="00FC2B50">
                <w:rPr>
                  <w:rFonts w:ascii="FrankRuehl" w:hAnsi="FrankRuehl" w:cs="FrankRuehl"/>
                  <w:color w:val="0000FF"/>
                  <w:u w:val="single"/>
                  <w:rtl/>
                </w:rPr>
                <w:t>7.ג</w:t>
              </w:r>
            </w:hyperlink>
            <w:r w:rsidRPr="00FC2B50">
              <w:rPr>
                <w:rFonts w:ascii="FrankRuehl" w:hAnsi="FrankRuehl" w:cs="FrankRuehl"/>
                <w:rtl/>
              </w:rPr>
              <w:t xml:space="preserve">, </w:t>
            </w:r>
            <w:hyperlink r:id="rId10" w:history="1">
              <w:r w:rsidRPr="00FC2B50">
                <w:rPr>
                  <w:rFonts w:ascii="FrankRuehl" w:hAnsi="FrankRuehl" w:cs="FrankRuehl"/>
                  <w:color w:val="0000FF"/>
                  <w:u w:val="single"/>
                  <w:rtl/>
                </w:rPr>
                <w:t>31(3)</w:t>
              </w:r>
            </w:hyperlink>
          </w:p>
          <w:p w14:paraId="7668BEA0" w14:textId="77777777" w:rsidR="00FC2B50" w:rsidRPr="00FC2B50" w:rsidRDefault="00FC2B50" w:rsidP="00FC2B50">
            <w:pPr>
              <w:spacing w:after="120" w:line="240" w:lineRule="exact"/>
              <w:ind w:left="283" w:hanging="283"/>
              <w:jc w:val="both"/>
              <w:rPr>
                <w:rFonts w:ascii="FrankRuehl" w:hAnsi="FrankRuehl" w:cs="FrankRuehl"/>
                <w:rtl/>
              </w:rPr>
            </w:pPr>
            <w:hyperlink r:id="rId11" w:history="1">
              <w:r w:rsidRPr="00FC2B50">
                <w:rPr>
                  <w:rFonts w:ascii="FrankRuehl" w:hAnsi="FrankRuehl" w:cs="FrankRuehl"/>
                  <w:color w:val="0000FF"/>
                  <w:u w:val="single"/>
                  <w:rtl/>
                </w:rPr>
                <w:t>חוק העונשין, תשל"ז-1977</w:t>
              </w:r>
            </w:hyperlink>
            <w:r w:rsidRPr="00FC2B50">
              <w:rPr>
                <w:rFonts w:ascii="FrankRuehl" w:hAnsi="FrankRuehl" w:cs="FrankRuehl"/>
                <w:rtl/>
              </w:rPr>
              <w:t xml:space="preserve">: סע'  </w:t>
            </w:r>
            <w:hyperlink r:id="rId12" w:history="1">
              <w:r w:rsidRPr="00FC2B50">
                <w:rPr>
                  <w:rFonts w:ascii="FrankRuehl" w:hAnsi="FrankRuehl" w:cs="FrankRuehl"/>
                  <w:color w:val="0000FF"/>
                  <w:u w:val="single"/>
                  <w:rtl/>
                </w:rPr>
                <w:t>25</w:t>
              </w:r>
            </w:hyperlink>
            <w:r w:rsidRPr="00FC2B50">
              <w:rPr>
                <w:rFonts w:ascii="FrankRuehl" w:hAnsi="FrankRuehl" w:cs="FrankRuehl"/>
                <w:rtl/>
              </w:rPr>
              <w:t xml:space="preserve">, </w:t>
            </w:r>
            <w:hyperlink r:id="rId13" w:history="1">
              <w:r w:rsidRPr="00FC2B50">
                <w:rPr>
                  <w:rFonts w:ascii="FrankRuehl" w:hAnsi="FrankRuehl" w:cs="FrankRuehl"/>
                  <w:color w:val="0000FF"/>
                  <w:u w:val="single"/>
                  <w:rtl/>
                </w:rPr>
                <w:t>40י'</w:t>
              </w:r>
            </w:hyperlink>
          </w:p>
          <w:p w14:paraId="2B65E80D" w14:textId="77777777" w:rsidR="00FC2B50" w:rsidRPr="00FC2B50" w:rsidRDefault="00FC2B50" w:rsidP="00FC2B50">
            <w:pPr>
              <w:spacing w:after="120" w:line="240" w:lineRule="exact"/>
              <w:ind w:left="283" w:hanging="283"/>
              <w:jc w:val="both"/>
              <w:rPr>
                <w:rFonts w:ascii="FrankRuehl" w:hAnsi="FrankRuehl" w:cs="FrankRuehl"/>
                <w:rtl/>
              </w:rPr>
            </w:pPr>
          </w:p>
          <w:p w14:paraId="7F841229" w14:textId="77777777" w:rsidR="00FC2B50" w:rsidRPr="00FC2B50" w:rsidRDefault="00FC2B50" w:rsidP="00B53C1F">
            <w:pPr>
              <w:spacing w:line="360" w:lineRule="auto"/>
              <w:jc w:val="center"/>
              <w:rPr>
                <w:rFonts w:ascii="Arial" w:hAnsi="Arial"/>
                <w:sz w:val="28"/>
                <w:szCs w:val="28"/>
                <w:rtl/>
              </w:rPr>
            </w:pPr>
            <w:bookmarkStart w:id="4" w:name="LawTable_End"/>
            <w:bookmarkEnd w:id="4"/>
          </w:p>
          <w:p w14:paraId="08B9AE20" w14:textId="77777777" w:rsidR="00B53C1F" w:rsidRPr="00B53C1F" w:rsidRDefault="00B53C1F" w:rsidP="00B53C1F">
            <w:pPr>
              <w:spacing w:line="360" w:lineRule="auto"/>
              <w:jc w:val="center"/>
              <w:rPr>
                <w:rFonts w:ascii="Arial" w:hAnsi="Arial"/>
                <w:b/>
                <w:bCs/>
                <w:sz w:val="28"/>
                <w:szCs w:val="28"/>
                <w:u w:val="single"/>
                <w:rtl/>
              </w:rPr>
            </w:pPr>
            <w:r w:rsidRPr="00B53C1F">
              <w:rPr>
                <w:rFonts w:ascii="Arial" w:hAnsi="Arial"/>
                <w:b/>
                <w:bCs/>
                <w:sz w:val="28"/>
                <w:szCs w:val="28"/>
                <w:u w:val="single"/>
                <w:rtl/>
              </w:rPr>
              <w:t>גזר דין</w:t>
            </w:r>
          </w:p>
          <w:p w14:paraId="5659C595" w14:textId="77777777" w:rsidR="005B6145" w:rsidRPr="00B53C1F" w:rsidRDefault="005B6145" w:rsidP="00B53C1F">
            <w:pPr>
              <w:spacing w:line="360" w:lineRule="auto"/>
              <w:jc w:val="center"/>
              <w:rPr>
                <w:rFonts w:ascii="Arial" w:hAnsi="Arial"/>
                <w:bCs/>
                <w:sz w:val="28"/>
                <w:szCs w:val="28"/>
                <w:u w:val="single"/>
                <w:rtl/>
              </w:rPr>
            </w:pPr>
          </w:p>
        </w:tc>
      </w:tr>
      <w:bookmarkEnd w:id="2"/>
    </w:tbl>
    <w:p w14:paraId="41E0F03C" w14:textId="77777777" w:rsidR="005B6145" w:rsidRPr="00896EAF" w:rsidRDefault="005B6145" w:rsidP="005B6145">
      <w:pPr>
        <w:rPr>
          <w:rtl/>
        </w:rPr>
      </w:pPr>
    </w:p>
    <w:p w14:paraId="6D6D01B7" w14:textId="77777777" w:rsidR="005B6145" w:rsidRPr="00EC1D78" w:rsidRDefault="005B6145" w:rsidP="005B6145">
      <w:pPr>
        <w:pStyle w:val="1"/>
        <w:spacing w:line="360" w:lineRule="auto"/>
        <w:jc w:val="both"/>
        <w:rPr>
          <w:rFonts w:cs="David"/>
          <w:sz w:val="24"/>
          <w:szCs w:val="24"/>
          <w:u w:val="single"/>
          <w:rtl/>
        </w:rPr>
      </w:pPr>
      <w:r w:rsidRPr="00EC1D78">
        <w:rPr>
          <w:rFonts w:cs="David"/>
          <w:sz w:val="24"/>
          <w:szCs w:val="24"/>
          <w:u w:val="single"/>
          <w:rtl/>
        </w:rPr>
        <w:t>כללי</w:t>
      </w:r>
    </w:p>
    <w:p w14:paraId="09E7B41B" w14:textId="77777777" w:rsidR="005B6145" w:rsidRPr="00EC1D78" w:rsidRDefault="005B6145" w:rsidP="005B6145">
      <w:pPr>
        <w:spacing w:line="360" w:lineRule="auto"/>
        <w:ind w:left="720" w:hanging="720"/>
        <w:jc w:val="both"/>
        <w:rPr>
          <w:rtl/>
        </w:rPr>
      </w:pPr>
      <w:r w:rsidRPr="00EC1D78">
        <w:rPr>
          <w:rtl/>
        </w:rPr>
        <w:t>1.</w:t>
      </w:r>
      <w:r w:rsidRPr="00EC1D78">
        <w:rPr>
          <w:rtl/>
        </w:rPr>
        <w:tab/>
        <w:t xml:space="preserve">לאחר שמיעת חמישה עדי תביעה, הגיעו הצדדים להסדר טיעון במסגרתו הוגש נגד הנאשם כתב אישום מתוקן והנאשם הודה בעובדותיו, שאלה עיקריהן: </w:t>
      </w:r>
    </w:p>
    <w:p w14:paraId="18F53592" w14:textId="77777777" w:rsidR="005B6145" w:rsidRPr="00EC1D78" w:rsidRDefault="005B6145" w:rsidP="005B6145">
      <w:pPr>
        <w:spacing w:line="360" w:lineRule="auto"/>
        <w:ind w:left="720" w:hanging="720"/>
        <w:jc w:val="both"/>
        <w:rPr>
          <w:rtl/>
        </w:rPr>
      </w:pPr>
    </w:p>
    <w:p w14:paraId="1214D9A4" w14:textId="77777777" w:rsidR="005B6145" w:rsidRPr="00EC1D78" w:rsidRDefault="005B6145" w:rsidP="005B6145">
      <w:pPr>
        <w:spacing w:line="360" w:lineRule="auto"/>
        <w:ind w:left="720" w:hanging="720"/>
        <w:jc w:val="both"/>
        <w:rPr>
          <w:rtl/>
        </w:rPr>
      </w:pPr>
      <w:r w:rsidRPr="00EC1D78">
        <w:rPr>
          <w:rtl/>
        </w:rPr>
        <w:tab/>
      </w:r>
      <w:bookmarkStart w:id="5" w:name="ABSTRACT_START"/>
      <w:bookmarkEnd w:id="5"/>
      <w:r w:rsidRPr="00EC1D78">
        <w:rPr>
          <w:rtl/>
        </w:rPr>
        <w:t>ביום 05.04.16 בסמוך לשעה 17:30, הגיע הנאשם ברכבו מסוג "יונדאי גטס" מ.ר.</w:t>
      </w:r>
    </w:p>
    <w:p w14:paraId="44EE1383" w14:textId="77777777" w:rsidR="005B6145" w:rsidRPr="00EC1D78" w:rsidRDefault="005B6145" w:rsidP="005B6145">
      <w:pPr>
        <w:spacing w:line="360" w:lineRule="auto"/>
        <w:ind w:left="720"/>
        <w:jc w:val="both"/>
        <w:rPr>
          <w:rtl/>
        </w:rPr>
      </w:pPr>
      <w:r w:rsidRPr="00EC1D78">
        <w:rPr>
          <w:rtl/>
        </w:rPr>
        <w:t xml:space="preserve"> 65-492-50 (להלן: "הרכב"), למקום מסוים בעיר אשקלון, על מנת לקבל לחזקתו סם מסוכן מסוג הרואין במשקל כולל של 98.63 גרם נטו, ארוז בחבילה עטופה בניילון נצמד בצבע כחול (להלן: "חבילת הסם"), שלא לצריכתו העצמית.</w:t>
      </w:r>
    </w:p>
    <w:p w14:paraId="7C6F657F" w14:textId="77777777" w:rsidR="005B6145" w:rsidRPr="00EC1D78" w:rsidRDefault="005B6145" w:rsidP="005B6145">
      <w:pPr>
        <w:spacing w:line="360" w:lineRule="auto"/>
        <w:ind w:left="720"/>
        <w:jc w:val="both"/>
        <w:rPr>
          <w:rtl/>
        </w:rPr>
      </w:pPr>
      <w:bookmarkStart w:id="6" w:name="ABSTRACT_END"/>
      <w:bookmarkEnd w:id="6"/>
      <w:r w:rsidRPr="00EC1D78">
        <w:rPr>
          <w:rtl/>
        </w:rPr>
        <w:t>שוטר הגיע למקום בעקבות מידע שהתקבל במשטרה לפיו הנאשם מחזיק בסמים. הוא פנה אל הנאשם שעמד מחוץ לרכב וביקש ממנו להציג לו תעודת זהות. בהמשך, הגיעו למקום שוטרים, שביצעו, בהסכמת הנאשם, חיפוש על גופו וברכבו. תוך כדי כך, אחד השוטרים הבחין בחבילת הסם מונחת באופן גלוי על הכביש בסמוך לשפת המדרכה. הוא הרים אותה ועדכן בדבר שוטר אחר, אשר הודיע לנאשם כי הוא עצור בחשד להחזקת סם מסוכן. הנאשם הובל לתחנת משטרת אשקלון, מבלי לדעת כי חבילת הסם נתפסה.</w:t>
      </w:r>
    </w:p>
    <w:p w14:paraId="5895C254" w14:textId="77777777" w:rsidR="005B6145" w:rsidRPr="00EC1D78" w:rsidRDefault="005B6145" w:rsidP="005B6145">
      <w:pPr>
        <w:spacing w:line="360" w:lineRule="auto"/>
        <w:ind w:left="720"/>
        <w:jc w:val="both"/>
        <w:rPr>
          <w:rtl/>
        </w:rPr>
      </w:pPr>
    </w:p>
    <w:p w14:paraId="044D00D6" w14:textId="77777777" w:rsidR="005B6145" w:rsidRPr="00EC1D78" w:rsidRDefault="005B6145" w:rsidP="005B6145">
      <w:pPr>
        <w:spacing w:line="360" w:lineRule="auto"/>
        <w:ind w:left="720"/>
        <w:jc w:val="both"/>
        <w:rPr>
          <w:rtl/>
        </w:rPr>
      </w:pPr>
      <w:r w:rsidRPr="00EC1D78">
        <w:rPr>
          <w:rtl/>
        </w:rPr>
        <w:t>חבילת הסם נבדקה במשטרה ונמצא כי היא מכילה הרואין במשקל 98.63 גרם נטו. אחד מבלשי המשטרה הכין חבילה דומה לחבילת הסם, אליה הכניס אבנים (להלן: "חבילת הדמה"), והניח אותה במקום בו נמצאה חבילת הסם.</w:t>
      </w:r>
    </w:p>
    <w:p w14:paraId="1925CFEF" w14:textId="77777777" w:rsidR="005B6145" w:rsidRPr="00EC1D78" w:rsidRDefault="005B6145" w:rsidP="005B6145">
      <w:pPr>
        <w:spacing w:line="360" w:lineRule="auto"/>
        <w:ind w:left="720"/>
        <w:jc w:val="both"/>
        <w:rPr>
          <w:rtl/>
        </w:rPr>
      </w:pPr>
    </w:p>
    <w:p w14:paraId="5AA6D485" w14:textId="77777777" w:rsidR="005B6145" w:rsidRPr="00EC1D78" w:rsidRDefault="005B6145" w:rsidP="005B6145">
      <w:pPr>
        <w:spacing w:line="360" w:lineRule="auto"/>
        <w:ind w:left="720"/>
        <w:jc w:val="both"/>
        <w:rPr>
          <w:rtl/>
        </w:rPr>
      </w:pPr>
      <w:r w:rsidRPr="00EC1D78">
        <w:rPr>
          <w:rtl/>
        </w:rPr>
        <w:t>בהמשך, בסמוך לשעה 19:00, הנאשם שוחרר מתחנת משטרת אשקלון ונסע משם ישירות אל המקום בו התרחש האירוע המתואר. כשהגיע, הוא עצר את רכבו, יצא ממנו, ניגש אל חבילת הדמה והרים אותה בידו.</w:t>
      </w:r>
    </w:p>
    <w:p w14:paraId="4D33E435" w14:textId="77777777" w:rsidR="005B6145" w:rsidRPr="00EC1D78" w:rsidRDefault="005B6145" w:rsidP="005B6145">
      <w:pPr>
        <w:spacing w:line="360" w:lineRule="auto"/>
        <w:ind w:left="720"/>
        <w:jc w:val="both"/>
        <w:rPr>
          <w:rtl/>
        </w:rPr>
      </w:pPr>
      <w:r w:rsidRPr="00EC1D78">
        <w:rPr>
          <w:rtl/>
        </w:rPr>
        <w:t xml:space="preserve">שוטרים שתצפתו על מעשיו, צעקו לו לעצור. הנאשם הבחין בשוטרים והחל לברוח בריצה, תוך שהוא קורע חתיכות מעטיפת הניילון של חבילת הדמה וזורק את תכולתה. </w:t>
      </w:r>
    </w:p>
    <w:p w14:paraId="5AC6A2B0" w14:textId="77777777" w:rsidR="005B6145" w:rsidRPr="00EC1D78" w:rsidRDefault="005B6145" w:rsidP="005B6145">
      <w:pPr>
        <w:spacing w:line="360" w:lineRule="auto"/>
        <w:ind w:left="720"/>
        <w:jc w:val="both"/>
        <w:rPr>
          <w:rtl/>
        </w:rPr>
      </w:pPr>
    </w:p>
    <w:p w14:paraId="115C2730" w14:textId="77777777" w:rsidR="005B6145" w:rsidRPr="00EC1D78" w:rsidRDefault="005B6145" w:rsidP="005B6145">
      <w:pPr>
        <w:spacing w:line="360" w:lineRule="auto"/>
        <w:ind w:left="720"/>
        <w:jc w:val="both"/>
        <w:rPr>
          <w:rtl/>
        </w:rPr>
      </w:pPr>
      <w:r w:rsidRPr="00EC1D78">
        <w:rPr>
          <w:rtl/>
        </w:rPr>
        <w:t>הנאשם הצליח להימלט מהשוטרים, ולאחר חיפוש הוא נמצא מסתתר בתוך שיחים ובקרבתו שרידי חבילת הדמה.</w:t>
      </w:r>
      <w:r w:rsidRPr="00EC1D78">
        <w:t xml:space="preserve"> </w:t>
      </w:r>
    </w:p>
    <w:p w14:paraId="17580979" w14:textId="77777777" w:rsidR="005B6145" w:rsidRPr="00EC1D78" w:rsidRDefault="005B6145" w:rsidP="005B6145">
      <w:pPr>
        <w:spacing w:line="360" w:lineRule="auto"/>
        <w:ind w:left="720" w:hanging="720"/>
        <w:jc w:val="both"/>
        <w:rPr>
          <w:rtl/>
        </w:rPr>
      </w:pPr>
    </w:p>
    <w:p w14:paraId="277020CE" w14:textId="77777777" w:rsidR="005B6145" w:rsidRPr="00EC1D78" w:rsidRDefault="005B6145" w:rsidP="005B6145">
      <w:pPr>
        <w:spacing w:line="360" w:lineRule="auto"/>
        <w:ind w:left="720" w:hanging="720"/>
        <w:jc w:val="both"/>
        <w:rPr>
          <w:rtl/>
        </w:rPr>
      </w:pPr>
      <w:r w:rsidRPr="00EC1D78">
        <w:rPr>
          <w:rtl/>
        </w:rPr>
        <w:t>2.</w:t>
      </w:r>
      <w:r w:rsidRPr="00EC1D78">
        <w:rPr>
          <w:rtl/>
        </w:rPr>
        <w:tab/>
        <w:t xml:space="preserve">על יסוד הודאת הנאשם בעובדות כתב האישום המתוקן כאמור, הורשע הנאשם בעבירה של ניסיון החזקת סמים שלא לצריכה עצמית, לפי סעיף  </w:t>
      </w:r>
      <w:hyperlink r:id="rId14" w:history="1">
        <w:r w:rsidR="001D39E0" w:rsidRPr="001D39E0">
          <w:rPr>
            <w:color w:val="0000FF"/>
            <w:u w:val="single"/>
            <w:rtl/>
          </w:rPr>
          <w:t>7 (א) ו- (ג)</w:t>
        </w:r>
      </w:hyperlink>
      <w:r w:rsidRPr="00EC1D78">
        <w:rPr>
          <w:rtl/>
        </w:rPr>
        <w:t xml:space="preserve"> רישא ל</w:t>
      </w:r>
      <w:hyperlink r:id="rId15" w:history="1">
        <w:r w:rsidR="00B53C1F" w:rsidRPr="00B53C1F">
          <w:rPr>
            <w:rStyle w:val="Hyperlink"/>
            <w:rFonts w:cs="David"/>
            <w:rtl/>
          </w:rPr>
          <w:t>פקודת הסמים המסוכנים</w:t>
        </w:r>
      </w:hyperlink>
      <w:r w:rsidRPr="00EC1D78">
        <w:rPr>
          <w:rtl/>
        </w:rPr>
        <w:t xml:space="preserve"> [נוסח חדש] התשל"ג-1973 </w:t>
      </w:r>
      <w:hyperlink r:id="rId16" w:history="1">
        <w:r w:rsidR="001D39E0" w:rsidRPr="001D39E0">
          <w:rPr>
            <w:color w:val="0000FF"/>
            <w:u w:val="single"/>
            <w:rtl/>
          </w:rPr>
          <w:t>וסעיף 25</w:t>
        </w:r>
      </w:hyperlink>
      <w:r w:rsidRPr="00EC1D78">
        <w:rPr>
          <w:rtl/>
        </w:rPr>
        <w:t xml:space="preserve"> ל</w:t>
      </w:r>
      <w:hyperlink r:id="rId17" w:history="1">
        <w:r w:rsidR="00B53C1F" w:rsidRPr="00B53C1F">
          <w:rPr>
            <w:rStyle w:val="Hyperlink"/>
            <w:rFonts w:cs="David"/>
            <w:rtl/>
          </w:rPr>
          <w:t>חוק העונשין</w:t>
        </w:r>
      </w:hyperlink>
      <w:r w:rsidRPr="00EC1D78">
        <w:rPr>
          <w:rtl/>
        </w:rPr>
        <w:t xml:space="preserve"> התשל"ז-1977.</w:t>
      </w:r>
    </w:p>
    <w:p w14:paraId="13A73B02" w14:textId="77777777" w:rsidR="005B6145" w:rsidRPr="00EC1D78" w:rsidRDefault="005B6145" w:rsidP="005B6145">
      <w:pPr>
        <w:spacing w:line="360" w:lineRule="auto"/>
        <w:jc w:val="both"/>
        <w:rPr>
          <w:rtl/>
        </w:rPr>
      </w:pPr>
    </w:p>
    <w:p w14:paraId="118F69BC" w14:textId="77777777" w:rsidR="005B6145" w:rsidRPr="00EC1D78" w:rsidRDefault="005B6145" w:rsidP="005B6145">
      <w:pPr>
        <w:spacing w:line="360" w:lineRule="auto"/>
        <w:ind w:left="720" w:hanging="720"/>
        <w:jc w:val="both"/>
        <w:rPr>
          <w:rtl/>
        </w:rPr>
      </w:pPr>
      <w:r w:rsidRPr="00EC1D78">
        <w:rPr>
          <w:rtl/>
        </w:rPr>
        <w:t>3.</w:t>
      </w:r>
      <w:r w:rsidRPr="00EC1D78">
        <w:rPr>
          <w:rtl/>
        </w:rPr>
        <w:tab/>
        <w:t>הסדר הטיעון לא כלל הסכמה לעניין העונש. הוסכם כי רכב הנאשם, שנתפס במהלך החקירה, יוחזר לו כנגד הפקדת הסך של 2,100 ₪ אשר יחולט לטובת המדינה.</w:t>
      </w:r>
    </w:p>
    <w:p w14:paraId="45D81901" w14:textId="77777777" w:rsidR="005B6145" w:rsidRPr="00EC1D78" w:rsidRDefault="005B6145" w:rsidP="005B6145">
      <w:pPr>
        <w:spacing w:line="360" w:lineRule="auto"/>
        <w:ind w:left="720" w:hanging="720"/>
        <w:jc w:val="both"/>
        <w:rPr>
          <w:rtl/>
        </w:rPr>
      </w:pPr>
    </w:p>
    <w:p w14:paraId="0E440EB0" w14:textId="77777777" w:rsidR="005B6145" w:rsidRPr="00EC1D78" w:rsidRDefault="005B6145" w:rsidP="005B6145">
      <w:pPr>
        <w:spacing w:line="360" w:lineRule="auto"/>
        <w:ind w:left="720" w:hanging="720"/>
        <w:jc w:val="both"/>
        <w:rPr>
          <w:rtl/>
        </w:rPr>
      </w:pPr>
      <w:r w:rsidRPr="00EC1D78">
        <w:rPr>
          <w:rtl/>
        </w:rPr>
        <w:t>4.</w:t>
      </w:r>
      <w:r w:rsidRPr="00EC1D78">
        <w:rPr>
          <w:rtl/>
        </w:rPr>
        <w:tab/>
        <w:t>לבקשת ב"כ הנאשם ובהסכמת התביעה, התבקש שירות המבחן להכין תסקיר על הנאשם.</w:t>
      </w:r>
    </w:p>
    <w:p w14:paraId="63F428D0" w14:textId="77777777" w:rsidR="005B6145" w:rsidRPr="00EC1D78" w:rsidRDefault="005B6145" w:rsidP="005B6145">
      <w:pPr>
        <w:spacing w:line="360" w:lineRule="auto"/>
        <w:ind w:left="720" w:hanging="720"/>
        <w:jc w:val="both"/>
        <w:rPr>
          <w:rtl/>
        </w:rPr>
      </w:pPr>
    </w:p>
    <w:p w14:paraId="28CE9A37" w14:textId="77777777" w:rsidR="005B6145" w:rsidRPr="00EC1D78" w:rsidRDefault="005B6145" w:rsidP="005B6145">
      <w:pPr>
        <w:spacing w:line="360" w:lineRule="auto"/>
        <w:ind w:left="720" w:hanging="720"/>
        <w:jc w:val="both"/>
        <w:rPr>
          <w:b/>
          <w:bCs/>
          <w:u w:val="single"/>
          <w:rtl/>
        </w:rPr>
      </w:pPr>
      <w:r w:rsidRPr="00EC1D78">
        <w:rPr>
          <w:b/>
          <w:bCs/>
          <w:u w:val="single"/>
          <w:rtl/>
        </w:rPr>
        <w:t>תסקיר שירות המבחן</w:t>
      </w:r>
    </w:p>
    <w:p w14:paraId="18FF03FA" w14:textId="77777777" w:rsidR="005B6145" w:rsidRPr="00EC1D78" w:rsidRDefault="005B6145" w:rsidP="005B6145">
      <w:pPr>
        <w:spacing w:line="360" w:lineRule="auto"/>
        <w:ind w:left="720" w:hanging="720"/>
        <w:jc w:val="both"/>
        <w:rPr>
          <w:rtl/>
        </w:rPr>
      </w:pPr>
      <w:r w:rsidRPr="00EC1D78">
        <w:rPr>
          <w:rtl/>
        </w:rPr>
        <w:tab/>
        <w:t xml:space="preserve">בתסקיר שירות המבחן על הנאשם צוינו בין היתר הדברים הבאים – </w:t>
      </w:r>
    </w:p>
    <w:p w14:paraId="0A48590D" w14:textId="77777777" w:rsidR="005B6145" w:rsidRPr="00EC1D78" w:rsidRDefault="005B6145" w:rsidP="005B6145">
      <w:pPr>
        <w:spacing w:line="360" w:lineRule="auto"/>
        <w:ind w:left="720"/>
        <w:jc w:val="both"/>
        <w:rPr>
          <w:rtl/>
        </w:rPr>
      </w:pPr>
      <w:r w:rsidRPr="00EC1D78">
        <w:rPr>
          <w:rtl/>
        </w:rPr>
        <w:t xml:space="preserve">הנאשם בן 23, רווק. מתגורר עם בני משפחתו בישוב לקייה. סיים 8 שנות לימוד. פרש באמצע כיתה ט' על מנת לסייע בפרנסת המשפחה. שלל שימוש בחומרים משני תודעה. טרם מעצרו עבד לדבריו כשנתיים בחברת בנייה. משפחת מוצאו מונה אב הנשוי ל- 4 נשים, ולו 21 ילדים. אמו של הנאשם היא האישה הראשונה של אביו, וממנה יש לנאשם 7 אחים. אביו בעל חברה לעבודות בנייה ואמו עקרת בית. תיאר יחסים משפחתיים טובים בין כל הנשים והאחים, אך תיאר את אביו כנוכח - נפקד בחייו, ושיתף כי לנוכח היעדרות אביו, נטל על עצמו, יחד עם אחיו הבכור, אחריות לפרנסת המשפחה. </w:t>
      </w:r>
    </w:p>
    <w:p w14:paraId="148D094A" w14:textId="77777777" w:rsidR="005B6145" w:rsidRPr="00EC1D78" w:rsidRDefault="005B6145" w:rsidP="005B6145">
      <w:pPr>
        <w:spacing w:line="360" w:lineRule="auto"/>
        <w:ind w:left="720" w:hanging="720"/>
        <w:jc w:val="both"/>
        <w:rPr>
          <w:rtl/>
        </w:rPr>
      </w:pPr>
    </w:p>
    <w:p w14:paraId="01AA0CE4" w14:textId="77777777" w:rsidR="005B6145" w:rsidRPr="00EC1D78" w:rsidRDefault="005B6145" w:rsidP="005B6145">
      <w:pPr>
        <w:spacing w:line="360" w:lineRule="auto"/>
        <w:ind w:left="720" w:hanging="720"/>
        <w:jc w:val="both"/>
        <w:rPr>
          <w:rtl/>
        </w:rPr>
      </w:pPr>
      <w:r w:rsidRPr="00EC1D78">
        <w:rPr>
          <w:rtl/>
        </w:rPr>
        <w:tab/>
        <w:t xml:space="preserve">אשר לעבירה, סיפר, כי בזמן ביצועה שהה בחופשה מעבודתו בשל אירוע משפחתי. בן משפחתו הציע לו לנצל את ימי חופשתו ולהרוויח 600 ₪ תמורת העברת חבילת סמים </w:t>
      </w:r>
      <w:r w:rsidRPr="00EC1D78">
        <w:rPr>
          <w:rtl/>
        </w:rPr>
        <w:lastRenderedPageBreak/>
        <w:t>לגורם שלישי בעיר אשקלון. הנאשם הביע צער וחרטה על מעשיו, תוך לקיחת אחריות מלאה עליהם.</w:t>
      </w:r>
    </w:p>
    <w:p w14:paraId="73BD325C" w14:textId="77777777" w:rsidR="005B6145" w:rsidRPr="00EC1D78" w:rsidRDefault="005B6145" w:rsidP="005B6145">
      <w:pPr>
        <w:spacing w:line="360" w:lineRule="auto"/>
        <w:ind w:left="720" w:hanging="720"/>
        <w:jc w:val="both"/>
        <w:rPr>
          <w:rtl/>
        </w:rPr>
      </w:pPr>
    </w:p>
    <w:p w14:paraId="3C41E1B8" w14:textId="77777777" w:rsidR="005B6145" w:rsidRPr="00EC1D78" w:rsidRDefault="005B6145" w:rsidP="005B6145">
      <w:pPr>
        <w:spacing w:line="360" w:lineRule="auto"/>
        <w:ind w:left="720" w:hanging="720"/>
        <w:jc w:val="both"/>
        <w:rPr>
          <w:rtl/>
        </w:rPr>
      </w:pPr>
      <w:r w:rsidRPr="00EC1D78">
        <w:rPr>
          <w:rtl/>
        </w:rPr>
        <w:tab/>
        <w:t xml:space="preserve">שירות המבחן התרשם כי הנאשם ביצע את העבירה על רקע מצוקתו הכלכלית, כאשר באותה העת חשב רק על הרווח הכלכלי המהיר, מבלי לבחון את השלכות מעשיו עליו ועל משפחתו. שירות המבחן התרשם כי הנאשם התקשה לבחון מעשיו בביקורתיות ולראות אלטרנטיבות אחרות להתנהגותו, והעריך כי הבנותיו בנוגע להתנהגותו באירוע העבירה נובעות ממעצרו הממושך כעת ולא מתוך הבנה עמוקה של מעשיו. </w:t>
      </w:r>
    </w:p>
    <w:p w14:paraId="467D1D3F" w14:textId="77777777" w:rsidR="005B6145" w:rsidRPr="00EC1D78" w:rsidRDefault="005B6145" w:rsidP="005B6145">
      <w:pPr>
        <w:spacing w:line="360" w:lineRule="auto"/>
        <w:ind w:left="720" w:hanging="720"/>
        <w:jc w:val="both"/>
        <w:rPr>
          <w:rtl/>
        </w:rPr>
      </w:pPr>
    </w:p>
    <w:p w14:paraId="48D7C5B7" w14:textId="77777777" w:rsidR="005B6145" w:rsidRPr="00EC1D78" w:rsidRDefault="005B6145" w:rsidP="005B6145">
      <w:pPr>
        <w:spacing w:line="360" w:lineRule="auto"/>
        <w:ind w:left="720" w:hanging="720"/>
        <w:jc w:val="both"/>
        <w:rPr>
          <w:rtl/>
        </w:rPr>
      </w:pPr>
      <w:r w:rsidRPr="00EC1D78">
        <w:rPr>
          <w:rtl/>
        </w:rPr>
        <w:tab/>
        <w:t xml:space="preserve">שירות המבחן התרשם כי הנאשם מתייחס לעבירה באופן מצמצם, אשר בא לידי ביטוי בעיקר בהבעת צער על ביצועה, ללא מוכנות לערוך התבוננות פנימית אודות חלקיו המכשילים שהובילו אותו לבצעה, והעריך כי הנאשם נעדר בשלות טיפולית בשלב זה של חייו. עוד צוין, כי למעצרו הממושך של הנאשם לראשונה בחייו יש השפעה מרתיעה עליו, אך קיים חשש שבחלוף הזמן אלמנט ההרתעה יפחת והסיכון להישנות התנהגות פורצת חוק יגבר. </w:t>
      </w:r>
    </w:p>
    <w:p w14:paraId="18C8D06E" w14:textId="77777777" w:rsidR="005B6145" w:rsidRPr="00EC1D78" w:rsidRDefault="005B6145" w:rsidP="005B6145">
      <w:pPr>
        <w:spacing w:line="360" w:lineRule="auto"/>
        <w:ind w:left="720" w:hanging="720"/>
        <w:jc w:val="both"/>
        <w:rPr>
          <w:rtl/>
        </w:rPr>
      </w:pPr>
    </w:p>
    <w:p w14:paraId="6AF0C25B" w14:textId="77777777" w:rsidR="005B6145" w:rsidRPr="00EC1D78" w:rsidRDefault="005B6145" w:rsidP="005B6145">
      <w:pPr>
        <w:spacing w:line="360" w:lineRule="auto"/>
        <w:ind w:left="720" w:hanging="720"/>
        <w:jc w:val="both"/>
        <w:rPr>
          <w:rtl/>
        </w:rPr>
      </w:pPr>
      <w:r w:rsidRPr="00EC1D78">
        <w:rPr>
          <w:rtl/>
        </w:rPr>
        <w:tab/>
        <w:t xml:space="preserve">לאור כל האמור, המליץ שירות המבחן להטיל על הנאשם עונש מוחשי ומאסר על תנאי. </w:t>
      </w:r>
    </w:p>
    <w:p w14:paraId="315D1851" w14:textId="77777777" w:rsidR="005B6145" w:rsidRPr="00EC1D78" w:rsidRDefault="005B6145" w:rsidP="005B6145">
      <w:pPr>
        <w:spacing w:line="360" w:lineRule="auto"/>
        <w:jc w:val="both"/>
        <w:rPr>
          <w:b/>
          <w:bCs/>
          <w:u w:val="single"/>
          <w:rtl/>
        </w:rPr>
      </w:pPr>
    </w:p>
    <w:p w14:paraId="5B7AAD9F" w14:textId="77777777" w:rsidR="005B6145" w:rsidRPr="00EC1D78" w:rsidRDefault="005B6145" w:rsidP="005B6145">
      <w:pPr>
        <w:spacing w:line="360" w:lineRule="auto"/>
        <w:jc w:val="both"/>
        <w:rPr>
          <w:b/>
          <w:bCs/>
          <w:u w:val="single"/>
          <w:rtl/>
        </w:rPr>
      </w:pPr>
    </w:p>
    <w:p w14:paraId="0C639092" w14:textId="77777777" w:rsidR="005B6145" w:rsidRPr="00EC1D78" w:rsidRDefault="005B6145" w:rsidP="005B6145">
      <w:pPr>
        <w:spacing w:line="360" w:lineRule="auto"/>
        <w:jc w:val="both"/>
        <w:rPr>
          <w:b/>
          <w:bCs/>
          <w:u w:val="single"/>
          <w:rtl/>
        </w:rPr>
      </w:pPr>
      <w:r w:rsidRPr="00EC1D78">
        <w:rPr>
          <w:b/>
          <w:bCs/>
          <w:u w:val="single"/>
          <w:rtl/>
        </w:rPr>
        <w:t>טענות הצדדים</w:t>
      </w:r>
    </w:p>
    <w:p w14:paraId="62ADE26A" w14:textId="77777777" w:rsidR="005B6145" w:rsidRPr="00EC1D78" w:rsidRDefault="005B6145" w:rsidP="005B6145">
      <w:pPr>
        <w:pStyle w:val="a6"/>
        <w:jc w:val="both"/>
        <w:rPr>
          <w:rFonts w:cs="David"/>
          <w:szCs w:val="24"/>
          <w:rtl/>
        </w:rPr>
      </w:pPr>
      <w:r w:rsidRPr="00EC1D78">
        <w:rPr>
          <w:rFonts w:cs="David"/>
          <w:szCs w:val="24"/>
          <w:rtl/>
        </w:rPr>
        <w:t>1.</w:t>
      </w:r>
      <w:r w:rsidRPr="00EC1D78">
        <w:rPr>
          <w:rFonts w:cs="David"/>
          <w:szCs w:val="24"/>
          <w:rtl/>
        </w:rPr>
        <w:tab/>
        <w:t>ב"כ המאשימה עמדה על הערכים החברתיים שנפגעו מביצוע העבירה ועל עוצמת הפגיעה בהם; על מדיניות הענישה הנוהגת; ועל נסיבות ביצוע העבירה; ועתרה לקבוע כי מתחם העונש ההולם למעשה הנאשם נע בין 4 ל- 7 שנות מאסר. אשר לעונש הראוי לנאשם בתוך מתחם העונש האמור, עתרה להטיל על הנאשם מאסר במרכז המתחם, ובנוסף, מאסר על תנאי ארוך ומשמעותי וקנס גבוה. הגישה פסיקה.</w:t>
      </w:r>
    </w:p>
    <w:p w14:paraId="43D3F13F" w14:textId="77777777" w:rsidR="005B6145" w:rsidRPr="00EC1D78" w:rsidRDefault="005B6145" w:rsidP="005B6145">
      <w:pPr>
        <w:pStyle w:val="a6"/>
        <w:jc w:val="both"/>
        <w:rPr>
          <w:rFonts w:cs="David"/>
          <w:szCs w:val="24"/>
          <w:rtl/>
        </w:rPr>
      </w:pPr>
    </w:p>
    <w:p w14:paraId="34DAD794" w14:textId="77777777" w:rsidR="005B6145" w:rsidRPr="00EC1D78" w:rsidRDefault="005B6145" w:rsidP="005B6145">
      <w:pPr>
        <w:pStyle w:val="a6"/>
        <w:jc w:val="both"/>
        <w:rPr>
          <w:rFonts w:cs="David"/>
          <w:szCs w:val="24"/>
          <w:rtl/>
        </w:rPr>
      </w:pPr>
      <w:r w:rsidRPr="00EC1D78">
        <w:rPr>
          <w:rFonts w:cs="David"/>
          <w:szCs w:val="24"/>
          <w:rtl/>
        </w:rPr>
        <w:t>2.</w:t>
      </w:r>
      <w:r w:rsidRPr="00EC1D78">
        <w:rPr>
          <w:rFonts w:cs="David"/>
          <w:szCs w:val="24"/>
          <w:rtl/>
        </w:rPr>
        <w:tab/>
        <w:t xml:space="preserve">ב"כ הנאשם טען, כי הנאשם צעיר בן 23, נעדר עבר פלילי. מתגורר עם בני משפחתו בישוב לקייה. עובד מגיל 15. מצבו המשפחתי מורכב. אביו נשוי ל- 4 נשים ומתגורר ברמלה ולנאשם 21 אחים ואחיות. נוכח היעדרותו של האב, הנאשם לקח על עצמו את נטל פרנסת המשפחה. בתקופה הרלוונטית לכתב האישום, הנאשם נקלע למצב כלכלי קשה מאד, והסכים לשמש כבלדר בעבור 600 ₪. טען, כי הנאשם נוצל על ידי קרוב משפחה. הוא לקח אחריות על מעשיו והביע צער וחרטה. הוא שואף לנהל אורח חיים תקין. התנהגותו בכלא טובה, ללא בעיות משמעת והתנהגות. הוא אינו צורך סמים. </w:t>
      </w:r>
    </w:p>
    <w:p w14:paraId="4A8D0C80" w14:textId="77777777" w:rsidR="005B6145" w:rsidRPr="00EC1D78" w:rsidRDefault="005B6145" w:rsidP="005B6145">
      <w:pPr>
        <w:pStyle w:val="a6"/>
        <w:ind w:firstLine="0"/>
        <w:jc w:val="both"/>
        <w:rPr>
          <w:rFonts w:cs="David"/>
          <w:szCs w:val="24"/>
          <w:rtl/>
        </w:rPr>
      </w:pPr>
      <w:r w:rsidRPr="00EC1D78">
        <w:rPr>
          <w:rFonts w:cs="David"/>
          <w:szCs w:val="24"/>
          <w:rtl/>
        </w:rPr>
        <w:t xml:space="preserve">עתר לקבוע מתחם עונש הנע בין 6 חודשי מאסר בעבודת שירות ועד שנתיים מאסר. ציין, כי הנאשם עצור כ- 10 חודשים וטען כי ניתן להשית עליו שישה חודשי מאסר נוספים. אשר לקנס, ביקש שלא להטיל על הנאשם קנס או להטיל עליו לכל היותר קנס בסך 5,000 ₪. טען, כי מבחינת האינטרס הציבורי יש להעדיף את האלמנט השיקומי ולצמצם את החיכוך של הנאשם עם עבריינים. </w:t>
      </w:r>
    </w:p>
    <w:p w14:paraId="20256C22" w14:textId="77777777" w:rsidR="005B6145" w:rsidRPr="00EC1D78" w:rsidRDefault="005B6145" w:rsidP="005B6145">
      <w:pPr>
        <w:pStyle w:val="a6"/>
        <w:jc w:val="both"/>
        <w:rPr>
          <w:rFonts w:cs="David"/>
          <w:szCs w:val="24"/>
          <w:rtl/>
        </w:rPr>
      </w:pPr>
    </w:p>
    <w:p w14:paraId="56B221D4" w14:textId="77777777" w:rsidR="005B6145" w:rsidRPr="00EC1D78" w:rsidRDefault="005B6145" w:rsidP="005B6145">
      <w:pPr>
        <w:spacing w:line="360" w:lineRule="auto"/>
        <w:ind w:left="720" w:hanging="720"/>
        <w:jc w:val="both"/>
        <w:rPr>
          <w:rtl/>
        </w:rPr>
      </w:pPr>
      <w:r w:rsidRPr="00EC1D78">
        <w:rPr>
          <w:rtl/>
        </w:rPr>
        <w:t>3.</w:t>
      </w:r>
      <w:r w:rsidRPr="00EC1D78">
        <w:rPr>
          <w:rtl/>
        </w:rPr>
        <w:tab/>
        <w:t xml:space="preserve">הנאשם הביע צער על מעשיו וביקש את התחשבות בית המשפט. </w:t>
      </w:r>
    </w:p>
    <w:p w14:paraId="0AC894D1" w14:textId="77777777" w:rsidR="005B6145" w:rsidRPr="00EC1D78" w:rsidRDefault="005B6145" w:rsidP="005B6145">
      <w:pPr>
        <w:spacing w:line="360" w:lineRule="auto"/>
        <w:ind w:left="720" w:hanging="720"/>
        <w:jc w:val="both"/>
        <w:rPr>
          <w:rtl/>
        </w:rPr>
      </w:pPr>
      <w:r w:rsidRPr="00EC1D78">
        <w:rPr>
          <w:rtl/>
        </w:rPr>
        <w:t xml:space="preserve"> </w:t>
      </w:r>
    </w:p>
    <w:p w14:paraId="4C01BE63" w14:textId="77777777" w:rsidR="005B6145" w:rsidRDefault="005B6145" w:rsidP="005B6145">
      <w:pPr>
        <w:pStyle w:val="3"/>
        <w:spacing w:line="360" w:lineRule="auto"/>
        <w:jc w:val="both"/>
        <w:rPr>
          <w:rFonts w:cs="David"/>
          <w:b/>
          <w:bCs/>
          <w:color w:val="auto"/>
          <w:u w:val="single"/>
          <w:rtl/>
        </w:rPr>
      </w:pPr>
      <w:r w:rsidRPr="00D2315F">
        <w:rPr>
          <w:rFonts w:cs="David"/>
          <w:b/>
          <w:bCs/>
          <w:color w:val="auto"/>
          <w:u w:val="single"/>
          <w:rtl/>
        </w:rPr>
        <w:t>דיון והכרעה</w:t>
      </w:r>
    </w:p>
    <w:p w14:paraId="79F1B919" w14:textId="77777777" w:rsidR="005B6145" w:rsidRPr="00EC1D78" w:rsidRDefault="005B6145" w:rsidP="005B6145">
      <w:pPr>
        <w:spacing w:line="360" w:lineRule="auto"/>
        <w:ind w:left="720" w:hanging="720"/>
        <w:jc w:val="both"/>
        <w:rPr>
          <w:rtl/>
        </w:rPr>
      </w:pPr>
      <w:r w:rsidRPr="00EC1D78">
        <w:rPr>
          <w:rtl/>
        </w:rPr>
        <w:t>1.</w:t>
      </w:r>
      <w:r w:rsidRPr="00EC1D78">
        <w:rPr>
          <w:rtl/>
        </w:rPr>
        <w:tab/>
        <w:t xml:space="preserve">השימוש בסמים גורם לפגיעות מגוונות, במספר מעגלים. בראש וראשונה הוא פוגע במשתמש, בבריאותו – הפיזית והנפשית – ובתפקודו, כאדם וכפרט במעגלי חייו השונים. הוא פוגע בסביבתו הקרובה של המשתמש, הסובלת מתפקודו הלקוי והעומסת על גבה את הצורך לטפל בו. והוא פוגע בחברה בכללה, חושף אותה לעבירות רכוש ואלימות המתבצעות על ידי התלויים בסם, הזקוקים לכסף לצורך מימון רכישתו, חושף פרטים בחברה לסכנת ההצטרפות למעגל המשתמשים בסם ולמעגל התלויים בו, ומחייב את החברה לטפל במי שבעקבות השימוש בסם הופך לחולה או לנזקק.  </w:t>
      </w:r>
    </w:p>
    <w:p w14:paraId="4956EBD1" w14:textId="77777777" w:rsidR="005B6145" w:rsidRPr="00EC1D78" w:rsidRDefault="005B6145" w:rsidP="005B6145">
      <w:pPr>
        <w:spacing w:line="360" w:lineRule="auto"/>
        <w:ind w:left="720"/>
        <w:jc w:val="both"/>
      </w:pPr>
      <w:r w:rsidRPr="00EC1D78">
        <w:rPr>
          <w:rtl/>
        </w:rPr>
        <w:t xml:space="preserve">ממילא, מי שמחזיק סמים לשם הפצתם, תורם ליצירתן ולהתגברותן של הפגיעות המתוארות. </w:t>
      </w:r>
    </w:p>
    <w:p w14:paraId="26A194F5" w14:textId="77777777" w:rsidR="005B6145" w:rsidRPr="00EC1D78" w:rsidRDefault="005B6145" w:rsidP="005B6145">
      <w:pPr>
        <w:spacing w:line="360" w:lineRule="auto"/>
        <w:ind w:left="720" w:hanging="720"/>
        <w:jc w:val="both"/>
        <w:rPr>
          <w:rtl/>
        </w:rPr>
      </w:pPr>
    </w:p>
    <w:p w14:paraId="1FDC414A" w14:textId="77777777" w:rsidR="005B6145" w:rsidRPr="00EC1D78" w:rsidRDefault="005B6145" w:rsidP="005B6145">
      <w:pPr>
        <w:spacing w:line="360" w:lineRule="auto"/>
        <w:ind w:left="720" w:hanging="720"/>
        <w:jc w:val="both"/>
        <w:rPr>
          <w:rtl/>
        </w:rPr>
      </w:pPr>
      <w:r w:rsidRPr="00EC1D78">
        <w:rPr>
          <w:rtl/>
        </w:rPr>
        <w:t>2.</w:t>
      </w:r>
      <w:r w:rsidRPr="00EC1D78">
        <w:rPr>
          <w:rtl/>
        </w:rPr>
        <w:tab/>
        <w:t xml:space="preserve">הערכים המוגנים בעבירות הסמים החמורות הם בין היתר, בריאות הפרט, שלום הציבור ובטחונו, והחוסן החברתי. </w:t>
      </w:r>
    </w:p>
    <w:p w14:paraId="5FC175E5" w14:textId="77777777" w:rsidR="005B6145" w:rsidRPr="00EC1D78" w:rsidRDefault="005B6145" w:rsidP="005B6145">
      <w:pPr>
        <w:spacing w:line="360" w:lineRule="auto"/>
        <w:ind w:left="720" w:hanging="720"/>
        <w:jc w:val="both"/>
        <w:rPr>
          <w:rtl/>
        </w:rPr>
      </w:pPr>
    </w:p>
    <w:p w14:paraId="1BD4AD02" w14:textId="77777777" w:rsidR="005B6145" w:rsidRPr="00EC1D78" w:rsidRDefault="005B6145" w:rsidP="005B6145">
      <w:pPr>
        <w:spacing w:line="360" w:lineRule="auto"/>
        <w:ind w:left="720" w:hanging="720"/>
        <w:jc w:val="both"/>
        <w:rPr>
          <w:rFonts w:ascii="Calibri" w:hAnsi="Calibri"/>
          <w:rtl/>
        </w:rPr>
      </w:pPr>
      <w:r w:rsidRPr="00EC1D78">
        <w:rPr>
          <w:rtl/>
        </w:rPr>
        <w:tab/>
        <w:t xml:space="preserve">ככל שהסם קשה יותר וכמותו רבה יותר, כך גדלים נזקיו וסכנתו. כאן, המדובר בכ- </w:t>
      </w:r>
      <w:r w:rsidRPr="00EC1D78">
        <w:rPr>
          <w:b/>
          <w:bCs/>
          <w:rtl/>
        </w:rPr>
        <w:t>98.63 גרם</w:t>
      </w:r>
      <w:r w:rsidRPr="00EC1D78">
        <w:rPr>
          <w:rtl/>
        </w:rPr>
        <w:t xml:space="preserve"> </w:t>
      </w:r>
      <w:r w:rsidRPr="00EC1D78">
        <w:rPr>
          <w:b/>
          <w:bCs/>
          <w:rtl/>
        </w:rPr>
        <w:t>הרואין</w:t>
      </w:r>
      <w:r w:rsidRPr="00EC1D78">
        <w:rPr>
          <w:rtl/>
        </w:rPr>
        <w:t xml:space="preserve">. על מנת לסבר את האוזן יוזכר, כי החוק קובע חזקה שהחזקת הרואין במשקל העולה על 0.3 גרם, נועדה שלא לצריכתו העצמית של המחזיק. </w:t>
      </w:r>
      <w:r w:rsidRPr="00EC1D78">
        <w:rPr>
          <w:rFonts w:ascii="Calibri" w:hAnsi="Calibri"/>
          <w:rtl/>
        </w:rPr>
        <w:t>(</w:t>
      </w:r>
      <w:r w:rsidRPr="00EC1D78">
        <w:rPr>
          <w:rFonts w:ascii="Calibri" w:hAnsi="Calibri" w:hint="eastAsia"/>
          <w:rtl/>
        </w:rPr>
        <w:t>ראה</w:t>
      </w:r>
      <w:r w:rsidRPr="00EC1D78">
        <w:rPr>
          <w:rFonts w:ascii="Calibri" w:hAnsi="Calibri"/>
          <w:rtl/>
        </w:rPr>
        <w:t xml:space="preserve"> </w:t>
      </w:r>
      <w:hyperlink r:id="rId18" w:history="1">
        <w:r w:rsidR="001D39E0" w:rsidRPr="001D39E0">
          <w:rPr>
            <w:rFonts w:ascii="Calibri" w:hAnsi="Calibri" w:hint="eastAsia"/>
            <w:color w:val="0000FF"/>
            <w:u w:val="single"/>
            <w:rtl/>
          </w:rPr>
          <w:t>סעיף</w:t>
        </w:r>
        <w:r w:rsidR="001D39E0" w:rsidRPr="001D39E0">
          <w:rPr>
            <w:rFonts w:ascii="Calibri" w:hAnsi="Calibri"/>
            <w:color w:val="0000FF"/>
            <w:u w:val="single"/>
            <w:rtl/>
          </w:rPr>
          <w:t xml:space="preserve"> 31(3)</w:t>
        </w:r>
      </w:hyperlink>
      <w:r w:rsidRPr="00EC1D78">
        <w:rPr>
          <w:rFonts w:ascii="Calibri" w:hAnsi="Calibri"/>
          <w:rtl/>
        </w:rPr>
        <w:t xml:space="preserve"> </w:t>
      </w:r>
      <w:r w:rsidRPr="00EC1D78">
        <w:rPr>
          <w:rFonts w:ascii="Calibri" w:hAnsi="Calibri" w:hint="eastAsia"/>
          <w:rtl/>
        </w:rPr>
        <w:t>ל</w:t>
      </w:r>
      <w:hyperlink r:id="rId19" w:history="1">
        <w:r w:rsidR="00B53C1F" w:rsidRPr="00B53C1F">
          <w:rPr>
            <w:rStyle w:val="Hyperlink"/>
            <w:rFonts w:ascii="Calibri" w:hAnsi="Calibri" w:cs="David" w:hint="eastAsia"/>
            <w:rtl/>
          </w:rPr>
          <w:t>פקודת</w:t>
        </w:r>
        <w:r w:rsidR="00B53C1F" w:rsidRPr="00B53C1F">
          <w:rPr>
            <w:rStyle w:val="Hyperlink"/>
            <w:rFonts w:ascii="Calibri" w:hAnsi="Calibri" w:cs="David"/>
            <w:rtl/>
          </w:rPr>
          <w:t xml:space="preserve"> </w:t>
        </w:r>
        <w:r w:rsidR="00B53C1F" w:rsidRPr="00B53C1F">
          <w:rPr>
            <w:rStyle w:val="Hyperlink"/>
            <w:rFonts w:ascii="Calibri" w:hAnsi="Calibri" w:cs="David" w:hint="eastAsia"/>
            <w:rtl/>
          </w:rPr>
          <w:t>הסמים</w:t>
        </w:r>
        <w:r w:rsidR="00B53C1F" w:rsidRPr="00B53C1F">
          <w:rPr>
            <w:rStyle w:val="Hyperlink"/>
            <w:rFonts w:ascii="Calibri" w:hAnsi="Calibri" w:cs="David"/>
            <w:rtl/>
          </w:rPr>
          <w:t xml:space="preserve"> </w:t>
        </w:r>
        <w:r w:rsidR="00B53C1F" w:rsidRPr="00B53C1F">
          <w:rPr>
            <w:rStyle w:val="Hyperlink"/>
            <w:rFonts w:ascii="Calibri" w:hAnsi="Calibri" w:cs="David" w:hint="eastAsia"/>
            <w:rtl/>
          </w:rPr>
          <w:t>המסוכנים</w:t>
        </w:r>
      </w:hyperlink>
      <w:r w:rsidRPr="00EC1D78">
        <w:rPr>
          <w:rFonts w:ascii="Calibri" w:hAnsi="Calibri"/>
          <w:rtl/>
        </w:rPr>
        <w:t xml:space="preserve"> [</w:t>
      </w:r>
      <w:r w:rsidRPr="00EC1D78">
        <w:rPr>
          <w:rFonts w:ascii="Calibri" w:hAnsi="Calibri" w:hint="eastAsia"/>
          <w:rtl/>
        </w:rPr>
        <w:t>נוסח</w:t>
      </w:r>
      <w:r w:rsidRPr="00EC1D78">
        <w:rPr>
          <w:rFonts w:ascii="Calibri" w:hAnsi="Calibri"/>
          <w:rtl/>
        </w:rPr>
        <w:t xml:space="preserve"> </w:t>
      </w:r>
      <w:r w:rsidRPr="00EC1D78">
        <w:rPr>
          <w:rFonts w:ascii="Calibri" w:hAnsi="Calibri" w:hint="eastAsia"/>
          <w:rtl/>
        </w:rPr>
        <w:t>חדש</w:t>
      </w:r>
      <w:r w:rsidRPr="00EC1D78">
        <w:rPr>
          <w:rFonts w:ascii="Calibri" w:hAnsi="Calibri"/>
          <w:rtl/>
        </w:rPr>
        <w:t xml:space="preserve">], </w:t>
      </w:r>
      <w:r w:rsidRPr="00EC1D78">
        <w:rPr>
          <w:rFonts w:ascii="Calibri" w:hAnsi="Calibri" w:hint="eastAsia"/>
          <w:rtl/>
        </w:rPr>
        <w:t>התשל</w:t>
      </w:r>
      <w:r w:rsidRPr="00EC1D78">
        <w:rPr>
          <w:rFonts w:ascii="Calibri" w:hAnsi="Calibri"/>
          <w:rtl/>
        </w:rPr>
        <w:t>"</w:t>
      </w:r>
      <w:r w:rsidRPr="00EC1D78">
        <w:rPr>
          <w:rFonts w:ascii="Calibri" w:hAnsi="Calibri" w:hint="eastAsia"/>
          <w:rtl/>
        </w:rPr>
        <w:t>ג</w:t>
      </w:r>
      <w:r w:rsidRPr="00EC1D78">
        <w:rPr>
          <w:rFonts w:ascii="Calibri" w:hAnsi="Calibri"/>
          <w:rtl/>
        </w:rPr>
        <w:t xml:space="preserve">-1973) </w:t>
      </w:r>
      <w:hyperlink r:id="rId20" w:history="1">
        <w:r w:rsidR="001D39E0" w:rsidRPr="001D39E0">
          <w:rPr>
            <w:rFonts w:ascii="Calibri" w:hAnsi="Calibri" w:hint="eastAsia"/>
            <w:color w:val="0000FF"/>
            <w:u w:val="single"/>
            <w:rtl/>
          </w:rPr>
          <w:t>והתוספת</w:t>
        </w:r>
        <w:r w:rsidR="001D39E0" w:rsidRPr="001D39E0">
          <w:rPr>
            <w:rFonts w:ascii="Calibri" w:hAnsi="Calibri"/>
            <w:color w:val="0000FF"/>
            <w:u w:val="single"/>
            <w:rtl/>
          </w:rPr>
          <w:t xml:space="preserve"> </w:t>
        </w:r>
        <w:r w:rsidR="001D39E0" w:rsidRPr="001D39E0">
          <w:rPr>
            <w:rFonts w:ascii="Calibri" w:hAnsi="Calibri" w:hint="eastAsia"/>
            <w:color w:val="0000FF"/>
            <w:u w:val="single"/>
            <w:rtl/>
          </w:rPr>
          <w:t>השניה</w:t>
        </w:r>
      </w:hyperlink>
      <w:r w:rsidRPr="00EC1D78">
        <w:rPr>
          <w:rFonts w:ascii="Calibri" w:hAnsi="Calibri"/>
          <w:rtl/>
        </w:rPr>
        <w:t xml:space="preserve"> </w:t>
      </w:r>
      <w:r w:rsidRPr="00EC1D78">
        <w:rPr>
          <w:rFonts w:ascii="Calibri" w:hAnsi="Calibri" w:hint="eastAsia"/>
          <w:rtl/>
        </w:rPr>
        <w:t>לפקודת</w:t>
      </w:r>
      <w:r w:rsidRPr="00EC1D78">
        <w:rPr>
          <w:rFonts w:ascii="Calibri" w:hAnsi="Calibri"/>
          <w:rtl/>
        </w:rPr>
        <w:t xml:space="preserve"> </w:t>
      </w:r>
      <w:r w:rsidRPr="00EC1D78">
        <w:rPr>
          <w:rFonts w:ascii="Calibri" w:hAnsi="Calibri" w:hint="eastAsia"/>
          <w:rtl/>
        </w:rPr>
        <w:t>הסמים</w:t>
      </w:r>
      <w:r w:rsidRPr="00EC1D78">
        <w:rPr>
          <w:rFonts w:ascii="Calibri" w:hAnsi="Calibri"/>
          <w:rtl/>
        </w:rPr>
        <w:t xml:space="preserve">. </w:t>
      </w:r>
    </w:p>
    <w:p w14:paraId="48FDDEE6" w14:textId="77777777" w:rsidR="005B6145" w:rsidRPr="00EC1D78" w:rsidRDefault="005B6145" w:rsidP="005B6145">
      <w:pPr>
        <w:spacing w:line="360" w:lineRule="auto"/>
        <w:ind w:left="720" w:hanging="720"/>
        <w:jc w:val="both"/>
        <w:rPr>
          <w:rFonts w:ascii="Calibri" w:hAnsi="Calibri"/>
          <w:rtl/>
        </w:rPr>
      </w:pPr>
      <w:r w:rsidRPr="00EC1D78">
        <w:rPr>
          <w:rFonts w:ascii="Calibri" w:hAnsi="Calibri"/>
          <w:rtl/>
        </w:rPr>
        <w:t xml:space="preserve"> </w:t>
      </w:r>
    </w:p>
    <w:p w14:paraId="4E5CE7BC" w14:textId="77777777" w:rsidR="005B6145" w:rsidRPr="00EC1D78" w:rsidRDefault="005B6145" w:rsidP="005B6145">
      <w:pPr>
        <w:spacing w:line="360" w:lineRule="auto"/>
        <w:ind w:left="720"/>
        <w:jc w:val="both"/>
        <w:rPr>
          <w:rtl/>
        </w:rPr>
      </w:pPr>
      <w:r w:rsidRPr="00EC1D78">
        <w:rPr>
          <w:rFonts w:ascii="Calibri" w:hAnsi="Calibri" w:hint="eastAsia"/>
          <w:rtl/>
        </w:rPr>
        <w:t>סם</w:t>
      </w:r>
      <w:r w:rsidRPr="00EC1D78">
        <w:rPr>
          <w:rFonts w:ascii="Calibri" w:hAnsi="Calibri"/>
          <w:rtl/>
        </w:rPr>
        <w:t xml:space="preserve"> </w:t>
      </w:r>
      <w:r w:rsidRPr="00EC1D78">
        <w:rPr>
          <w:rFonts w:ascii="Calibri" w:hAnsi="Calibri" w:hint="eastAsia"/>
          <w:rtl/>
        </w:rPr>
        <w:t>ההרואין</w:t>
      </w:r>
      <w:r w:rsidRPr="00EC1D78">
        <w:rPr>
          <w:rFonts w:ascii="Calibri" w:hAnsi="Calibri"/>
          <w:rtl/>
        </w:rPr>
        <w:t xml:space="preserve"> </w:t>
      </w:r>
      <w:r w:rsidRPr="00EC1D78">
        <w:rPr>
          <w:rtl/>
        </w:rPr>
        <w:t xml:space="preserve"> שייך לקבוצת האופיאטים, המשתייכת לקבוצת הסמים המדכאים את מערכת העצבים המרכזית. התמכרות להרואין פועלת במנגנונים של סבילות</w:t>
      </w:r>
      <w:r w:rsidRPr="00EC1D78">
        <w:t xml:space="preserve"> (tolerance) </w:t>
      </w:r>
      <w:r w:rsidRPr="00EC1D78">
        <w:rPr>
          <w:rtl/>
        </w:rPr>
        <w:t>ותלות</w:t>
      </w:r>
      <w:r w:rsidRPr="00EC1D78">
        <w:t xml:space="preserve"> (dependence) </w:t>
      </w:r>
      <w:r w:rsidRPr="00EC1D78">
        <w:rPr>
          <w:rtl/>
        </w:rPr>
        <w:t>ביחס</w:t>
      </w:r>
      <w:r w:rsidRPr="00EC1D78">
        <w:t xml:space="preserve"> </w:t>
      </w:r>
      <w:r w:rsidRPr="00EC1D78">
        <w:rPr>
          <w:rtl/>
        </w:rPr>
        <w:t>לצריכת החומר, כלומר, אותו חומר באותה כמות ישפיע על המשתמש בו פחות ופחות בשימוש</w:t>
      </w:r>
      <w:r w:rsidRPr="00EC1D78">
        <w:t xml:space="preserve"> </w:t>
      </w:r>
      <w:r w:rsidRPr="00EC1D78">
        <w:rPr>
          <w:rtl/>
        </w:rPr>
        <w:t>חוזר. אופיאטים גורמים לצרכני הסם סבילות חסרת גבולות, וכך ייתכן שמשתמשים יצרכו</w:t>
      </w:r>
      <w:r w:rsidRPr="00EC1D78">
        <w:t xml:space="preserve"> </w:t>
      </w:r>
      <w:r w:rsidRPr="00EC1D78">
        <w:rPr>
          <w:rtl/>
        </w:rPr>
        <w:t>מינון הגבוה פי 10 מהמנה הראשונה שצרכו, בתוך חודש בלבד מתחילת השימוש הקבוע</w:t>
      </w:r>
      <w:r w:rsidRPr="00EC1D78">
        <w:t>.</w:t>
      </w:r>
      <w:r w:rsidRPr="00EC1D78">
        <w:rPr>
          <w:rtl/>
        </w:rPr>
        <w:t xml:space="preserve"> כך, המכורים לאופיאטים צורכים הרואין תחילה לשם ההנאה, ובהמשך, לאחר ההתמכרות</w:t>
      </w:r>
      <w:r w:rsidRPr="00EC1D78">
        <w:t xml:space="preserve"> </w:t>
      </w:r>
      <w:r w:rsidRPr="00EC1D78">
        <w:rPr>
          <w:rtl/>
        </w:rPr>
        <w:t xml:space="preserve">והיעדר תחושת הנאה, בעיקר כדי להקל על הכאב הגופני והנפשי שבתסמונת הגמילה. אחת הסכנות החמורות בשימוש בסם ההרואין </w:t>
      </w:r>
      <w:r w:rsidRPr="00EC1D78">
        <w:rPr>
          <w:rFonts w:ascii="Arial" w:hAnsi="Arial"/>
          <w:rtl/>
        </w:rPr>
        <w:t>היא צריכת מנת יתר. מנת יתר של הרואין יוצרת שיבושים חמורים במנגנוני הפיקוח של המוח, עד כדי קריסה מוחלטת של מערכת העצבים. בהיעדר טיפול חירום, אדם שצרך מנת יתר ימות עד מהרה, לרוב עקב בצקת ריאות. בנוסף, בקרב המשתמשים בהרואין בהזרקה, נשקפת סכנה גדולה להידבקות במחלות זיהומיות, שהחמורות ביותר הן דלקת כבד נגיפית לסוגיה ואיידס. שיעור הלוקים בצהבת לסוגיה בקרב מכורים להרואין גבוה בעשרות אחוזים בהשוואה לשיעורם בכלל האוכלוסייה</w:t>
      </w:r>
      <w:r w:rsidRPr="00EC1D78">
        <w:rPr>
          <w:rtl/>
        </w:rPr>
        <w:t xml:space="preserve">  (מתוך אתר הרשות למלחמה בסמים).</w:t>
      </w:r>
    </w:p>
    <w:p w14:paraId="5D32EA64" w14:textId="77777777" w:rsidR="005B6145" w:rsidRPr="00EC1D78" w:rsidRDefault="005B6145" w:rsidP="005B6145">
      <w:pPr>
        <w:spacing w:line="360" w:lineRule="auto"/>
        <w:ind w:left="720" w:hanging="720"/>
        <w:jc w:val="both"/>
        <w:rPr>
          <w:rFonts w:ascii="Calibri" w:hAnsi="Calibri"/>
          <w:rtl/>
        </w:rPr>
      </w:pPr>
    </w:p>
    <w:p w14:paraId="0556E908" w14:textId="77777777" w:rsidR="005B6145" w:rsidRPr="00EC1D78" w:rsidRDefault="005B6145" w:rsidP="005B6145">
      <w:pPr>
        <w:spacing w:line="360" w:lineRule="auto"/>
        <w:ind w:left="720" w:hanging="720"/>
        <w:jc w:val="both"/>
        <w:rPr>
          <w:rtl/>
        </w:rPr>
      </w:pPr>
      <w:r w:rsidRPr="00EC1D78">
        <w:rPr>
          <w:rtl/>
        </w:rPr>
        <w:t>3.</w:t>
      </w:r>
      <w:r w:rsidRPr="00EC1D78">
        <w:rPr>
          <w:rtl/>
        </w:rPr>
        <w:tab/>
        <w:t xml:space="preserve">האינטרס הנגדי העיקרי העומד אל מול שלל הרעות החולות הנגרמות מצריכת הסמים, הוא תאוות הבצע של המעורבים בשרשרת הפצת הסמים, המעוניינים להרחיב ככל הניתן את מעגל צרכני הסמים ולהגדיל את כמויות הסם הנצרכות, על מנת להגדיל את רווחיהם. </w:t>
      </w:r>
    </w:p>
    <w:p w14:paraId="72367E31" w14:textId="77777777" w:rsidR="005B6145" w:rsidRPr="00EC1D78" w:rsidRDefault="005B6145" w:rsidP="005B6145">
      <w:pPr>
        <w:spacing w:line="360" w:lineRule="auto"/>
        <w:ind w:left="720" w:hanging="720"/>
        <w:jc w:val="both"/>
        <w:rPr>
          <w:rtl/>
        </w:rPr>
      </w:pPr>
    </w:p>
    <w:p w14:paraId="2F941709" w14:textId="77777777" w:rsidR="005B6145" w:rsidRPr="00EC1D78" w:rsidRDefault="005B6145" w:rsidP="005B6145">
      <w:pPr>
        <w:pStyle w:val="a8"/>
        <w:spacing w:line="360" w:lineRule="auto"/>
        <w:ind w:left="1440" w:firstLine="0"/>
        <w:rPr>
          <w:rFonts w:cs="David"/>
          <w:sz w:val="24"/>
          <w:rtl/>
        </w:rPr>
      </w:pPr>
      <w:r w:rsidRPr="00EC1D78">
        <w:rPr>
          <w:rFonts w:cs="David"/>
          <w:sz w:val="24"/>
          <w:rtl/>
        </w:rPr>
        <w:t>"לעולם נזכור עבירת סמים מה היא, ומה הם ערכי</w:t>
      </w:r>
      <w:r w:rsidRPr="00EC1D78">
        <w:rPr>
          <w:rFonts w:cs="David"/>
          <w:position w:val="4"/>
          <w:sz w:val="24"/>
          <w:rtl/>
        </w:rPr>
        <w:t>-</w:t>
      </w:r>
      <w:r w:rsidRPr="00EC1D78">
        <w:rPr>
          <w:rFonts w:cs="David"/>
          <w:sz w:val="24"/>
          <w:rtl/>
        </w:rPr>
        <w:t>החברה שאנו נדרשים להגן עליהם. מעבר מזה עומדים המערערים – הם ואחרים שכמותם – אנשים שעיניהם אל בצע</w:t>
      </w:r>
      <w:r w:rsidRPr="00EC1D78">
        <w:rPr>
          <w:rFonts w:cs="David"/>
          <w:position w:val="4"/>
          <w:sz w:val="24"/>
          <w:rtl/>
        </w:rPr>
        <w:t>-</w:t>
      </w:r>
      <w:r w:rsidRPr="00EC1D78">
        <w:rPr>
          <w:rFonts w:cs="David"/>
          <w:sz w:val="24"/>
          <w:rtl/>
        </w:rPr>
        <w:t>כסף, ומעבר מזה עומדים צרכני הסם, אנשים אומללים שגופם ונפשם מכורים לסם. אותם עלובים תלו עצמם בסם, ואנשים רעים כמערערים מנצלים תלות זו עד</w:t>
      </w:r>
      <w:r w:rsidRPr="00EC1D78">
        <w:rPr>
          <w:rFonts w:cs="David"/>
          <w:position w:val="4"/>
          <w:sz w:val="24"/>
          <w:rtl/>
        </w:rPr>
        <w:t>-</w:t>
      </w:r>
      <w:r w:rsidRPr="00EC1D78">
        <w:rPr>
          <w:rFonts w:cs="David"/>
          <w:sz w:val="24"/>
          <w:rtl/>
        </w:rPr>
        <w:t>תום לגריפת כסף</w:t>
      </w:r>
      <w:r w:rsidRPr="00EC1D78">
        <w:rPr>
          <w:rFonts w:cs="David"/>
          <w:position w:val="4"/>
          <w:sz w:val="24"/>
          <w:rtl/>
        </w:rPr>
        <w:t>-</w:t>
      </w:r>
      <w:r w:rsidRPr="00EC1D78">
        <w:rPr>
          <w:rFonts w:cs="David"/>
          <w:sz w:val="24"/>
          <w:rtl/>
        </w:rPr>
        <w:t>רע לכיסיהם. המערערים מוכרים סם</w:t>
      </w:r>
      <w:r w:rsidRPr="00EC1D78">
        <w:rPr>
          <w:rFonts w:cs="David"/>
          <w:position w:val="4"/>
          <w:sz w:val="24"/>
          <w:rtl/>
        </w:rPr>
        <w:t>-</w:t>
      </w:r>
      <w:r w:rsidRPr="00EC1D78">
        <w:rPr>
          <w:rFonts w:cs="David"/>
          <w:sz w:val="24"/>
          <w:rtl/>
        </w:rPr>
        <w:t>מוות למי שמכרו את גופם לסם, ועל עיסקאות</w:t>
      </w:r>
      <w:r w:rsidRPr="00EC1D78">
        <w:rPr>
          <w:rFonts w:cs="David"/>
          <w:position w:val="4"/>
          <w:sz w:val="24"/>
          <w:rtl/>
        </w:rPr>
        <w:t>-</w:t>
      </w:r>
      <w:r w:rsidRPr="00EC1D78">
        <w:rPr>
          <w:rFonts w:cs="David"/>
          <w:sz w:val="24"/>
          <w:rtl/>
        </w:rPr>
        <w:t>מכר אלו זוכים הם בתמורה כספית. למותר להזכיר את שרשרת העבירות הנדרשת מעיסקאות הסם: צרכנים שאין הפרוטה מצויה בכיסם פושטים על אחרים, שודדים אותם, פורצים לבתיהם, תוקפים אותם, והכל כדי להשיג מימון לרכישתו של הסם. המערערים אינם חבים, כמובן, מבחינה משפטית בעבירות שעוברים אחרים, אך לעת גזירת העונש נביא כל אלה במניין." – השופט חשין ב</w:t>
      </w:r>
      <w:hyperlink r:id="rId21" w:history="1">
        <w:r w:rsidR="00B53C1F" w:rsidRPr="00B53C1F">
          <w:rPr>
            <w:rStyle w:val="Hyperlink"/>
            <w:rFonts w:cs="David"/>
            <w:sz w:val="24"/>
            <w:rtl/>
          </w:rPr>
          <w:t>ע"פ 4998/95 מדינת ישראל נ' גומז קרדוסו- פ"ד נ"א</w:t>
        </w:r>
      </w:hyperlink>
      <w:r w:rsidRPr="00EC1D78">
        <w:rPr>
          <w:rFonts w:cs="David"/>
          <w:sz w:val="24"/>
          <w:rtl/>
        </w:rPr>
        <w:t xml:space="preserve"> (3) 769, 787.</w:t>
      </w:r>
    </w:p>
    <w:p w14:paraId="5F448A36" w14:textId="77777777" w:rsidR="005B6145" w:rsidRPr="00EC1D78" w:rsidRDefault="005B6145" w:rsidP="005B6145">
      <w:pPr>
        <w:spacing w:line="360" w:lineRule="auto"/>
        <w:ind w:left="720" w:hanging="720"/>
        <w:jc w:val="both"/>
        <w:rPr>
          <w:rtl/>
        </w:rPr>
      </w:pPr>
      <w:r w:rsidRPr="00EC1D78">
        <w:rPr>
          <w:rtl/>
        </w:rPr>
        <w:t>4.</w:t>
      </w:r>
      <w:r w:rsidRPr="00EC1D78">
        <w:rPr>
          <w:rtl/>
        </w:rPr>
        <w:tab/>
        <w:t xml:space="preserve">בהתחשב בסוג הסם, בכמותו, ובנזקי השימוש בו, הרי שמידת הפגיעה בערכים החברתיים המוזכרים, משמעותית מאוד. </w:t>
      </w:r>
    </w:p>
    <w:p w14:paraId="63772091" w14:textId="77777777" w:rsidR="005B6145" w:rsidRPr="00EC1D78" w:rsidRDefault="005B6145" w:rsidP="005B6145">
      <w:pPr>
        <w:pStyle w:val="ListParagraph"/>
        <w:spacing w:line="360" w:lineRule="auto"/>
        <w:jc w:val="both"/>
        <w:rPr>
          <w:rFonts w:ascii="Calibri" w:hAnsi="Calibri" w:cs="David"/>
          <w:szCs w:val="24"/>
          <w:rtl/>
        </w:rPr>
      </w:pPr>
    </w:p>
    <w:p w14:paraId="6C294A8B" w14:textId="77777777" w:rsidR="005B6145" w:rsidRPr="00EC1D78" w:rsidRDefault="005B6145" w:rsidP="005B6145">
      <w:pPr>
        <w:pStyle w:val="ListParagraph"/>
        <w:spacing w:line="360" w:lineRule="auto"/>
        <w:ind w:hanging="778"/>
        <w:jc w:val="both"/>
        <w:rPr>
          <w:rFonts w:ascii="Calibri" w:hAnsi="Calibri" w:cs="David"/>
          <w:szCs w:val="24"/>
          <w:rtl/>
        </w:rPr>
      </w:pPr>
      <w:r w:rsidRPr="00EC1D78">
        <w:rPr>
          <w:rFonts w:ascii="Calibri" w:hAnsi="Calibri" w:cs="David"/>
          <w:szCs w:val="24"/>
          <w:rtl/>
        </w:rPr>
        <w:t>5.</w:t>
      </w:r>
      <w:r w:rsidRPr="00EC1D78">
        <w:rPr>
          <w:rFonts w:ascii="Calibri" w:hAnsi="Calibri" w:cs="David"/>
          <w:szCs w:val="24"/>
          <w:rtl/>
        </w:rPr>
        <w:tab/>
      </w:r>
      <w:r w:rsidRPr="00EC1D78">
        <w:rPr>
          <w:rFonts w:ascii="Calibri" w:hAnsi="Calibri" w:cs="David" w:hint="eastAsia"/>
          <w:szCs w:val="24"/>
          <w:rtl/>
        </w:rPr>
        <w:t>מדיניות</w:t>
      </w:r>
      <w:r w:rsidRPr="00EC1D78">
        <w:rPr>
          <w:rFonts w:ascii="Calibri" w:hAnsi="Calibri" w:cs="David"/>
          <w:szCs w:val="24"/>
          <w:rtl/>
        </w:rPr>
        <w:t xml:space="preserve"> </w:t>
      </w:r>
      <w:r w:rsidRPr="00EC1D78">
        <w:rPr>
          <w:rFonts w:ascii="Calibri" w:hAnsi="Calibri" w:cs="David" w:hint="eastAsia"/>
          <w:szCs w:val="24"/>
          <w:rtl/>
        </w:rPr>
        <w:t>הענישה</w:t>
      </w:r>
      <w:r w:rsidRPr="00EC1D78">
        <w:rPr>
          <w:rFonts w:ascii="Calibri" w:hAnsi="Calibri" w:cs="David"/>
          <w:szCs w:val="24"/>
          <w:rtl/>
        </w:rPr>
        <w:t xml:space="preserve"> </w:t>
      </w:r>
      <w:r w:rsidRPr="00EC1D78">
        <w:rPr>
          <w:rFonts w:ascii="Calibri" w:hAnsi="Calibri" w:cs="David" w:hint="eastAsia"/>
          <w:szCs w:val="24"/>
          <w:rtl/>
        </w:rPr>
        <w:t>הנוהגת</w:t>
      </w:r>
      <w:r w:rsidRPr="00EC1D78">
        <w:rPr>
          <w:rFonts w:ascii="Calibri" w:hAnsi="Calibri" w:cs="David"/>
          <w:szCs w:val="24"/>
          <w:rtl/>
        </w:rPr>
        <w:t xml:space="preserve"> </w:t>
      </w:r>
      <w:r w:rsidRPr="00EC1D78">
        <w:rPr>
          <w:rFonts w:ascii="Calibri" w:hAnsi="Calibri" w:cs="David" w:hint="eastAsia"/>
          <w:szCs w:val="24"/>
          <w:rtl/>
        </w:rPr>
        <w:t>מאז</w:t>
      </w:r>
      <w:r w:rsidRPr="00EC1D78">
        <w:rPr>
          <w:rFonts w:ascii="Calibri" w:hAnsi="Calibri" w:cs="David"/>
          <w:szCs w:val="24"/>
          <w:rtl/>
        </w:rPr>
        <w:t xml:space="preserve"> </w:t>
      </w:r>
      <w:r w:rsidRPr="00EC1D78">
        <w:rPr>
          <w:rFonts w:ascii="Calibri" w:hAnsi="Calibri" w:cs="David" w:hint="eastAsia"/>
          <w:szCs w:val="24"/>
          <w:rtl/>
        </w:rPr>
        <w:t>ומתמיד</w:t>
      </w:r>
      <w:r w:rsidRPr="00EC1D78">
        <w:rPr>
          <w:rFonts w:ascii="Calibri" w:hAnsi="Calibri" w:cs="David"/>
          <w:szCs w:val="24"/>
          <w:rtl/>
        </w:rPr>
        <w:t xml:space="preserve"> </w:t>
      </w:r>
      <w:r w:rsidRPr="00EC1D78">
        <w:rPr>
          <w:rFonts w:ascii="Calibri" w:hAnsi="Calibri" w:cs="David" w:hint="eastAsia"/>
          <w:szCs w:val="24"/>
          <w:rtl/>
        </w:rPr>
        <w:t>בעבירות</w:t>
      </w:r>
      <w:r w:rsidRPr="00EC1D78">
        <w:rPr>
          <w:rFonts w:ascii="Calibri" w:hAnsi="Calibri" w:cs="David"/>
          <w:szCs w:val="24"/>
          <w:rtl/>
        </w:rPr>
        <w:t xml:space="preserve"> </w:t>
      </w:r>
      <w:r w:rsidRPr="00EC1D78">
        <w:rPr>
          <w:rFonts w:ascii="Calibri" w:hAnsi="Calibri" w:cs="David" w:hint="eastAsia"/>
          <w:szCs w:val="24"/>
          <w:rtl/>
        </w:rPr>
        <w:t>הסמים</w:t>
      </w:r>
      <w:r w:rsidRPr="00EC1D78">
        <w:rPr>
          <w:rFonts w:ascii="Calibri" w:hAnsi="Calibri" w:cs="David"/>
          <w:szCs w:val="24"/>
          <w:rtl/>
        </w:rPr>
        <w:t xml:space="preserve"> </w:t>
      </w:r>
      <w:r w:rsidRPr="00EC1D78">
        <w:rPr>
          <w:rFonts w:ascii="Calibri" w:hAnsi="Calibri" w:cs="David" w:hint="eastAsia"/>
          <w:szCs w:val="24"/>
          <w:rtl/>
        </w:rPr>
        <w:t>החמורות</w:t>
      </w:r>
      <w:r w:rsidRPr="00EC1D78">
        <w:rPr>
          <w:rFonts w:ascii="Calibri" w:hAnsi="Calibri" w:cs="David"/>
          <w:szCs w:val="24"/>
          <w:rtl/>
        </w:rPr>
        <w:t xml:space="preserve">, </w:t>
      </w:r>
      <w:r w:rsidRPr="00EC1D78">
        <w:rPr>
          <w:rFonts w:ascii="Calibri" w:hAnsi="Calibri" w:cs="David" w:hint="eastAsia"/>
          <w:szCs w:val="24"/>
          <w:rtl/>
        </w:rPr>
        <w:t>כמו</w:t>
      </w:r>
      <w:r w:rsidRPr="00EC1D78">
        <w:rPr>
          <w:rFonts w:ascii="Calibri" w:hAnsi="Calibri" w:cs="David"/>
          <w:szCs w:val="24"/>
          <w:rtl/>
        </w:rPr>
        <w:t xml:space="preserve"> </w:t>
      </w:r>
      <w:r w:rsidRPr="00EC1D78">
        <w:rPr>
          <w:rFonts w:ascii="Calibri" w:hAnsi="Calibri" w:cs="David" w:hint="eastAsia"/>
          <w:szCs w:val="24"/>
          <w:rtl/>
        </w:rPr>
        <w:t>עבירת</w:t>
      </w:r>
      <w:r w:rsidRPr="00EC1D78">
        <w:rPr>
          <w:rFonts w:ascii="Calibri" w:hAnsi="Calibri" w:cs="David"/>
          <w:szCs w:val="24"/>
          <w:rtl/>
        </w:rPr>
        <w:t xml:space="preserve"> </w:t>
      </w:r>
      <w:r w:rsidRPr="00EC1D78">
        <w:rPr>
          <w:rFonts w:ascii="Calibri" w:hAnsi="Calibri" w:cs="David" w:hint="eastAsia"/>
          <w:szCs w:val="24"/>
          <w:rtl/>
        </w:rPr>
        <w:t>החזקת</w:t>
      </w:r>
      <w:r w:rsidRPr="00EC1D78">
        <w:rPr>
          <w:rFonts w:ascii="Calibri" w:hAnsi="Calibri" w:cs="David"/>
          <w:szCs w:val="24"/>
          <w:rtl/>
        </w:rPr>
        <w:t xml:space="preserve"> </w:t>
      </w:r>
      <w:r w:rsidRPr="00EC1D78">
        <w:rPr>
          <w:rFonts w:ascii="Calibri" w:hAnsi="Calibri" w:cs="David" w:hint="eastAsia"/>
          <w:szCs w:val="24"/>
          <w:rtl/>
        </w:rPr>
        <w:t>סם</w:t>
      </w:r>
      <w:r w:rsidRPr="00EC1D78">
        <w:rPr>
          <w:rFonts w:ascii="Calibri" w:hAnsi="Calibri" w:cs="David"/>
          <w:szCs w:val="24"/>
          <w:rtl/>
        </w:rPr>
        <w:t xml:space="preserve"> </w:t>
      </w:r>
      <w:r w:rsidRPr="00EC1D78">
        <w:rPr>
          <w:rFonts w:ascii="Calibri" w:hAnsi="Calibri" w:cs="David" w:hint="eastAsia"/>
          <w:szCs w:val="24"/>
          <w:rtl/>
        </w:rPr>
        <w:t>שלא</w:t>
      </w:r>
      <w:r w:rsidRPr="00EC1D78">
        <w:rPr>
          <w:rFonts w:ascii="Calibri" w:hAnsi="Calibri" w:cs="David"/>
          <w:szCs w:val="24"/>
          <w:rtl/>
        </w:rPr>
        <w:t xml:space="preserve"> </w:t>
      </w:r>
      <w:r w:rsidRPr="00EC1D78">
        <w:rPr>
          <w:rFonts w:ascii="Calibri" w:hAnsi="Calibri" w:cs="David" w:hint="eastAsia"/>
          <w:szCs w:val="24"/>
          <w:rtl/>
        </w:rPr>
        <w:t>לצריכה</w:t>
      </w:r>
      <w:r w:rsidRPr="00EC1D78">
        <w:rPr>
          <w:rFonts w:ascii="Calibri" w:hAnsi="Calibri" w:cs="David"/>
          <w:szCs w:val="24"/>
          <w:rtl/>
        </w:rPr>
        <w:t xml:space="preserve"> </w:t>
      </w:r>
      <w:r w:rsidRPr="00EC1D78">
        <w:rPr>
          <w:rFonts w:ascii="Calibri" w:hAnsi="Calibri" w:cs="David" w:hint="eastAsia"/>
          <w:szCs w:val="24"/>
          <w:rtl/>
        </w:rPr>
        <w:t>עצמית</w:t>
      </w:r>
      <w:r w:rsidRPr="00EC1D78">
        <w:rPr>
          <w:rFonts w:ascii="Calibri" w:hAnsi="Calibri" w:cs="David"/>
          <w:szCs w:val="24"/>
          <w:rtl/>
        </w:rPr>
        <w:t xml:space="preserve">, </w:t>
      </w:r>
      <w:r w:rsidRPr="00EC1D78">
        <w:rPr>
          <w:rFonts w:ascii="Calibri" w:hAnsi="Calibri" w:cs="David" w:hint="eastAsia"/>
          <w:szCs w:val="24"/>
          <w:rtl/>
        </w:rPr>
        <w:t>הינה</w:t>
      </w:r>
      <w:r w:rsidRPr="00EC1D78">
        <w:rPr>
          <w:rFonts w:ascii="Calibri" w:hAnsi="Calibri" w:cs="David"/>
          <w:szCs w:val="24"/>
          <w:rtl/>
        </w:rPr>
        <w:t xml:space="preserve"> </w:t>
      </w:r>
      <w:r w:rsidRPr="00EC1D78">
        <w:rPr>
          <w:rFonts w:ascii="Calibri" w:hAnsi="Calibri" w:cs="David" w:hint="eastAsia"/>
          <w:szCs w:val="24"/>
          <w:rtl/>
        </w:rPr>
        <w:t>של</w:t>
      </w:r>
      <w:r w:rsidRPr="00EC1D78">
        <w:rPr>
          <w:rFonts w:ascii="Calibri" w:hAnsi="Calibri" w:cs="David"/>
          <w:szCs w:val="24"/>
          <w:rtl/>
        </w:rPr>
        <w:t xml:space="preserve"> </w:t>
      </w:r>
      <w:r w:rsidRPr="00EC1D78">
        <w:rPr>
          <w:rFonts w:ascii="Calibri" w:hAnsi="Calibri" w:cs="David" w:hint="eastAsia"/>
          <w:szCs w:val="24"/>
          <w:rtl/>
        </w:rPr>
        <w:t>החמרה</w:t>
      </w:r>
      <w:r w:rsidRPr="00EC1D78">
        <w:rPr>
          <w:rFonts w:ascii="Calibri" w:hAnsi="Calibri" w:cs="David"/>
          <w:szCs w:val="24"/>
          <w:rtl/>
        </w:rPr>
        <w:t xml:space="preserve">. </w:t>
      </w:r>
    </w:p>
    <w:p w14:paraId="071D979B" w14:textId="77777777" w:rsidR="005B6145" w:rsidRPr="00EC1D78" w:rsidRDefault="005B6145" w:rsidP="005B6145">
      <w:pPr>
        <w:spacing w:line="360" w:lineRule="auto"/>
        <w:ind w:left="720" w:right="561" w:hanging="720"/>
        <w:jc w:val="both"/>
        <w:rPr>
          <w:rFonts w:ascii="Calibri" w:hAnsi="Calibri"/>
          <w:rtl/>
        </w:rPr>
      </w:pPr>
      <w:r w:rsidRPr="00EC1D78">
        <w:rPr>
          <w:rFonts w:ascii="Calibri" w:hAnsi="Calibri"/>
          <w:rtl/>
        </w:rPr>
        <w:t xml:space="preserve"> </w:t>
      </w:r>
    </w:p>
    <w:p w14:paraId="154DD85F" w14:textId="77777777" w:rsidR="005B6145" w:rsidRPr="00EC1D78" w:rsidRDefault="005B6145" w:rsidP="005B6145">
      <w:pPr>
        <w:spacing w:line="360" w:lineRule="auto"/>
        <w:ind w:left="1440" w:right="561"/>
        <w:jc w:val="both"/>
        <w:rPr>
          <w:rFonts w:ascii="Calibri" w:hAnsi="Calibri"/>
          <w:rtl/>
        </w:rPr>
      </w:pPr>
      <w:r w:rsidRPr="00EC1D78">
        <w:rPr>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r w:rsidRPr="00EC1D78">
        <w:rPr>
          <w:rFonts w:ascii="Calibri" w:hAnsi="Calibri"/>
          <w:rtl/>
        </w:rPr>
        <w:t>-</w:t>
      </w:r>
      <w:r w:rsidRPr="00EC1D78">
        <w:rPr>
          <w:rtl/>
        </w:rPr>
        <w:t xml:space="preserve"> </w:t>
      </w:r>
      <w:hyperlink r:id="rId22" w:history="1">
        <w:r w:rsidR="00B53C1F" w:rsidRPr="00B53C1F">
          <w:rPr>
            <w:rStyle w:val="Hyperlink"/>
            <w:rFonts w:cs="David"/>
            <w:rtl/>
          </w:rPr>
          <w:t>ע"פ 211/09</w:t>
        </w:r>
      </w:hyperlink>
      <w:r w:rsidRPr="00EC1D78">
        <w:rPr>
          <w:rtl/>
        </w:rPr>
        <w:t xml:space="preserve"> </w:t>
      </w:r>
      <w:r w:rsidRPr="00EC1D78">
        <w:rPr>
          <w:b/>
          <w:bCs/>
          <w:rtl/>
        </w:rPr>
        <w:t>אזולאי</w:t>
      </w:r>
      <w:r w:rsidRPr="00EC1D78">
        <w:rPr>
          <w:rtl/>
        </w:rPr>
        <w:t xml:space="preserve"> נ' </w:t>
      </w:r>
      <w:r w:rsidRPr="00EC1D78">
        <w:rPr>
          <w:b/>
          <w:bCs/>
          <w:rtl/>
        </w:rPr>
        <w:t>מדינת ישראל</w:t>
      </w:r>
      <w:r w:rsidRPr="00EC1D78">
        <w:rPr>
          <w:rtl/>
        </w:rPr>
        <w:t xml:space="preserve"> (פורסם בנבו, 22.06.2010)</w:t>
      </w:r>
    </w:p>
    <w:p w14:paraId="66727DCA" w14:textId="77777777" w:rsidR="005B6145" w:rsidRPr="00EC1D78" w:rsidRDefault="005B6145" w:rsidP="005B6145">
      <w:pPr>
        <w:spacing w:line="360" w:lineRule="auto"/>
        <w:ind w:left="2160"/>
        <w:jc w:val="both"/>
        <w:rPr>
          <w:rFonts w:ascii="FrankRuehl" w:hAnsi="FrankRuehl"/>
          <w:rtl/>
        </w:rPr>
      </w:pPr>
    </w:p>
    <w:p w14:paraId="5150A0F3" w14:textId="77777777" w:rsidR="005B6145" w:rsidRPr="00EC1D78" w:rsidRDefault="005B6145" w:rsidP="005B6145">
      <w:pPr>
        <w:spacing w:line="360" w:lineRule="auto"/>
        <w:ind w:left="720" w:hanging="720"/>
        <w:jc w:val="both"/>
        <w:rPr>
          <w:rtl/>
        </w:rPr>
      </w:pPr>
      <w:r w:rsidRPr="00EC1D78">
        <w:rPr>
          <w:rtl/>
        </w:rPr>
        <w:t>6.</w:t>
      </w:r>
      <w:r w:rsidRPr="00EC1D78">
        <w:rPr>
          <w:rtl/>
        </w:rPr>
        <w:tab/>
        <w:t xml:space="preserve">אמנם, הנאשם כאן הורשע בעבירה של ניסיון החזקת סם ולא בעבירה של החזקת סם, אולם, העונש הקבוע לשתי העבירות הוא אותו עונש, וכאן, בהתחשב בנסיבות המעשה אין הבדל מהותי בין מעשה הנאשם למעשה של החזקת סם. </w:t>
      </w:r>
    </w:p>
    <w:p w14:paraId="1D3B59B4" w14:textId="77777777" w:rsidR="005B6145" w:rsidRPr="00EC1D78" w:rsidRDefault="005B6145" w:rsidP="005B6145">
      <w:pPr>
        <w:spacing w:line="360" w:lineRule="auto"/>
        <w:ind w:left="720" w:hanging="720"/>
        <w:jc w:val="both"/>
        <w:rPr>
          <w:rtl/>
        </w:rPr>
      </w:pPr>
    </w:p>
    <w:p w14:paraId="08ED168D" w14:textId="77777777" w:rsidR="005B6145" w:rsidRPr="00EC1D78" w:rsidRDefault="005B6145" w:rsidP="005B6145">
      <w:pPr>
        <w:spacing w:line="360" w:lineRule="auto"/>
        <w:ind w:left="720" w:hanging="720"/>
        <w:jc w:val="both"/>
        <w:rPr>
          <w:rtl/>
        </w:rPr>
      </w:pPr>
      <w:r w:rsidRPr="00EC1D78">
        <w:rPr>
          <w:rtl/>
        </w:rPr>
        <w:t xml:space="preserve">7. </w:t>
      </w:r>
      <w:r w:rsidRPr="00EC1D78">
        <w:rPr>
          <w:rtl/>
        </w:rPr>
        <w:tab/>
        <w:t xml:space="preserve">הלכה למעשה, עונשי המאסר בפועל המוטלים על החזקת עשרות גרמים של הרואין, נעים בטווח שבין שלוש לחמש שנים. </w:t>
      </w:r>
    </w:p>
    <w:p w14:paraId="0A86CFA1" w14:textId="77777777" w:rsidR="005B6145" w:rsidRPr="00EC1D78" w:rsidRDefault="005B6145" w:rsidP="005B6145">
      <w:pPr>
        <w:spacing w:line="360" w:lineRule="auto"/>
        <w:ind w:left="720" w:hanging="720"/>
        <w:jc w:val="both"/>
        <w:rPr>
          <w:rtl/>
        </w:rPr>
      </w:pPr>
    </w:p>
    <w:p w14:paraId="70D81400" w14:textId="77777777" w:rsidR="005B6145" w:rsidRPr="00EC1D78" w:rsidRDefault="005B6145" w:rsidP="00FC2B50">
      <w:pPr>
        <w:spacing w:line="360" w:lineRule="auto"/>
        <w:ind w:left="1440"/>
        <w:jc w:val="both"/>
      </w:pPr>
      <w:r w:rsidRPr="00EC1D78">
        <w:rPr>
          <w:rtl/>
        </w:rPr>
        <w:t>"</w:t>
      </w:r>
      <w:r w:rsidRPr="00EC1D78">
        <w:rPr>
          <w:b/>
          <w:bCs/>
          <w:rtl/>
        </w:rPr>
        <w:t xml:space="preserve">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 </w:t>
      </w:r>
      <w:r w:rsidRPr="00EC1D78">
        <w:rPr>
          <w:rtl/>
        </w:rPr>
        <w:t xml:space="preserve">"- </w:t>
      </w:r>
      <w:hyperlink r:id="rId23" w:history="1">
        <w:r w:rsidR="00FC2B50" w:rsidRPr="00FC2B50">
          <w:rPr>
            <w:color w:val="0000FF"/>
            <w:u w:val="single"/>
            <w:rtl/>
          </w:rPr>
          <w:t xml:space="preserve">ע"פ 4592/15 </w:t>
        </w:r>
      </w:hyperlink>
      <w:r w:rsidRPr="00B53C1F">
        <w:rPr>
          <w:color w:val="000000"/>
          <w:rtl/>
        </w:rPr>
        <w:t xml:space="preserve"> </w:t>
      </w:r>
      <w:r w:rsidRPr="00B53C1F">
        <w:rPr>
          <w:b/>
          <w:bCs/>
          <w:color w:val="000000"/>
          <w:rtl/>
        </w:rPr>
        <w:t xml:space="preserve">אשר מסעוד פדידה </w:t>
      </w:r>
      <w:r w:rsidRPr="00B53C1F">
        <w:rPr>
          <w:color w:val="000000"/>
          <w:rtl/>
        </w:rPr>
        <w:t xml:space="preserve">נ' </w:t>
      </w:r>
      <w:r w:rsidRPr="00B53C1F">
        <w:rPr>
          <w:b/>
          <w:bCs/>
          <w:color w:val="000000"/>
          <w:rtl/>
        </w:rPr>
        <w:t>מדינת ישראל</w:t>
      </w:r>
      <w:r w:rsidRPr="00B53C1F">
        <w:rPr>
          <w:color w:val="000000"/>
          <w:rtl/>
        </w:rPr>
        <w:t xml:space="preserve"> (פורסם בנבו, 2016.02.08)</w:t>
      </w:r>
    </w:p>
    <w:p w14:paraId="2C842CE7" w14:textId="77777777" w:rsidR="005B6145" w:rsidRPr="00EC1D78" w:rsidRDefault="005B6145" w:rsidP="005B6145">
      <w:pPr>
        <w:spacing w:line="360" w:lineRule="auto"/>
        <w:ind w:left="720"/>
        <w:jc w:val="both"/>
        <w:textAlignment w:val="top"/>
        <w:rPr>
          <w:rtl/>
        </w:rPr>
      </w:pPr>
    </w:p>
    <w:p w14:paraId="65BB58C8" w14:textId="77777777" w:rsidR="005B6145" w:rsidRPr="00EC1D78" w:rsidRDefault="005B6145" w:rsidP="005B6145">
      <w:pPr>
        <w:spacing w:line="360" w:lineRule="auto"/>
        <w:ind w:left="720"/>
        <w:jc w:val="both"/>
        <w:rPr>
          <w:rtl/>
        </w:rPr>
      </w:pPr>
      <w:r w:rsidRPr="00EC1D78">
        <w:rPr>
          <w:rtl/>
        </w:rPr>
        <w:t>ב</w:t>
      </w:r>
      <w:hyperlink r:id="rId24" w:history="1">
        <w:r w:rsidR="00B53C1F" w:rsidRPr="00B53C1F">
          <w:rPr>
            <w:rStyle w:val="Hyperlink"/>
            <w:rFonts w:cs="David"/>
            <w:rtl/>
          </w:rPr>
          <w:t>ע"פ 5065/15</w:t>
        </w:r>
      </w:hyperlink>
      <w:r w:rsidRPr="00EC1D78">
        <w:rPr>
          <w:rtl/>
        </w:rPr>
        <w:t xml:space="preserve"> </w:t>
      </w:r>
      <w:r w:rsidRPr="00EC1D78">
        <w:rPr>
          <w:b/>
          <w:bCs/>
          <w:rtl/>
        </w:rPr>
        <w:t>אליף עבד אל קאדר</w:t>
      </w:r>
      <w:r w:rsidRPr="00EC1D78">
        <w:rPr>
          <w:rtl/>
        </w:rPr>
        <w:t xml:space="preserve"> נ' </w:t>
      </w:r>
      <w:r w:rsidRPr="00EC1D78">
        <w:rPr>
          <w:b/>
          <w:bCs/>
          <w:rtl/>
        </w:rPr>
        <w:t>מדינת ישראל</w:t>
      </w:r>
      <w:r w:rsidRPr="00EC1D78">
        <w:rPr>
          <w:rtl/>
        </w:rPr>
        <w:t xml:space="preserve"> (פורסם בנבו, 20.04.2016) המערער פנה לאחר כדי שירכוש עבורו רכב ממגרש גרוטאות שבאמצעותו תכנן להעביר סמים מסוכנים למרכז הארץ. ביום מסוים רכש האחר רכב ובאותו יום הועמס הרכב על משאית גרר אותה הזמין המערער וזו הובילה את הרכב לאזור מסוים, שם הורד. כעבור זמן קצר הסליק המערער בתא המנוע של הרכב </w:t>
      </w:r>
      <w:r w:rsidRPr="00EC1D78">
        <w:rPr>
          <w:b/>
          <w:bCs/>
          <w:rtl/>
        </w:rPr>
        <w:t>סם מסוכן מסוג הרואין במשקל כולל של 955 גרם</w:t>
      </w:r>
      <w:r w:rsidRPr="00EC1D78">
        <w:rPr>
          <w:rtl/>
        </w:rPr>
        <w:t xml:space="preserve"> (להלן: הסם). כדי להסוות את מעורבותו בביצוע העבירות, הזמין המערער למקום משאית גרר נוספת על מנת להעביר באמצעותה את הרכב והסם לאזור טייבה. משאית הגרר הנוספת הגיעה למקום והרכב (ובו הסם) הועמס על המשאית שיצאה לכיוון טייבה. המשאית נעצרה על ידי המשטרה. המערער הורשע, על פי הודאתו, בהחזקת סם שלא לצריכה עצמית ובית המשפט המחוזי גזר עליו </w:t>
      </w:r>
      <w:r w:rsidRPr="00EC1D78">
        <w:rPr>
          <w:b/>
          <w:bCs/>
          <w:rtl/>
        </w:rPr>
        <w:t>50 חודשי מאסר בפועל</w:t>
      </w:r>
      <w:r w:rsidRPr="00EC1D78">
        <w:rPr>
          <w:rtl/>
        </w:rPr>
        <w:t xml:space="preserve"> בניכוי ימי מעצרו, 14 חודשי מאסר על תנאי למשך שלוש שנים, קנס בסך 25,000 ש"ח או שישה חודשי מאסר תמורתו ופסילה מלקבל או להחזיק ברישיון נהיגה למשך שלוש שנים החל מיום שחרורו.</w:t>
      </w:r>
    </w:p>
    <w:p w14:paraId="5F49D9B4" w14:textId="77777777" w:rsidR="005B6145" w:rsidRPr="00EC1D78" w:rsidRDefault="005B6145" w:rsidP="005B6145">
      <w:pPr>
        <w:spacing w:line="360" w:lineRule="auto"/>
        <w:ind w:left="720"/>
        <w:jc w:val="both"/>
      </w:pPr>
      <w:r w:rsidRPr="00EC1D78">
        <w:rPr>
          <w:rtl/>
        </w:rPr>
        <w:t>בית המשפט העליון דחה את הערעור וקבע-</w:t>
      </w:r>
    </w:p>
    <w:p w14:paraId="2F31C18F" w14:textId="77777777" w:rsidR="005B6145" w:rsidRPr="00EC1D78" w:rsidRDefault="005B6145" w:rsidP="005B6145">
      <w:pPr>
        <w:spacing w:line="360" w:lineRule="auto"/>
        <w:ind w:left="1440"/>
        <w:jc w:val="both"/>
      </w:pPr>
      <w:r w:rsidRPr="00EC1D78">
        <w:rPr>
          <w:rtl/>
        </w:rPr>
        <w:t xml:space="preserve">"לא אחת עמד בית משפט זה על החומרה היתרה הטמונה בעבירות סמים גם כאשר הנאשם משמש כבלדר, שכן </w:t>
      </w:r>
      <w:r w:rsidRPr="00EC1D78">
        <w:rPr>
          <w:b/>
          <w:bCs/>
          <w:rtl/>
        </w:rPr>
        <w:t>לשם מיגור נגע הסמים יש לנתק את שרשרת הפצת הסם ולטפל ביד קשה גם בבלדרים, אשר באמצעותם מועבר הסם אל הציבור, המהווים חוליה הכרחית במערכת הפצת הסמים ומשום כך יש לראות גם בהם גורם מהותי באותה מערכת המסבה נזק רב לחברה</w:t>
      </w:r>
      <w:r w:rsidRPr="00EC1D78">
        <w:rPr>
          <w:rtl/>
        </w:rPr>
        <w:t xml:space="preserve"> (</w:t>
      </w:r>
      <w:hyperlink r:id="rId25" w:history="1">
        <w:r w:rsidR="00B53C1F" w:rsidRPr="00B53C1F">
          <w:rPr>
            <w:rStyle w:val="Hyperlink"/>
            <w:rFonts w:cs="David"/>
            <w:rtl/>
          </w:rPr>
          <w:t>ע"פ 3820/09</w:t>
        </w:r>
      </w:hyperlink>
      <w:r w:rsidRPr="00EC1D78">
        <w:rPr>
          <w:rtl/>
        </w:rPr>
        <w:t xml:space="preserve"> מדינת ישראל נ' אוחיון, [פורסם בנבו] בפסקאות 17-16 (6.9.2009); </w:t>
      </w:r>
      <w:hyperlink r:id="rId26" w:history="1">
        <w:r w:rsidR="00B53C1F" w:rsidRPr="00B53C1F">
          <w:rPr>
            <w:rStyle w:val="Hyperlink"/>
            <w:rFonts w:cs="David"/>
            <w:rtl/>
          </w:rPr>
          <w:t>ע"פ 1674/96 קנטו נ' מדינת ישראל, פ"ד נ</w:t>
        </w:r>
      </w:hyperlink>
      <w:r w:rsidRPr="00EC1D78">
        <w:rPr>
          <w:rtl/>
        </w:rPr>
        <w:t xml:space="preserve">(3), 722, 725 (9.9.1996)). כך בכלל וכך </w:t>
      </w:r>
      <w:r w:rsidRPr="00EC1D78">
        <w:rPr>
          <w:b/>
          <w:bCs/>
          <w:rtl/>
        </w:rPr>
        <w:t>בפרט כאשר מדובר בסמים המוגדרים כסמים "קשים" דוגמת הרואין, שפגיעתם רבה ולגביהם גובר עוד יותר הצורך בהטלת עונשים מרתיעים</w:t>
      </w:r>
      <w:r w:rsidRPr="00EC1D78">
        <w:rPr>
          <w:rtl/>
        </w:rPr>
        <w:t>... סיכומו של דבר – העונשים שנגזרו על המערער אינם חורגים מן המקובל והראוי בנסיבות דומות"</w:t>
      </w:r>
    </w:p>
    <w:p w14:paraId="22DB4565" w14:textId="77777777" w:rsidR="005B6145" w:rsidRPr="00EC1D78" w:rsidRDefault="005B6145" w:rsidP="005B6145">
      <w:pPr>
        <w:spacing w:line="360" w:lineRule="auto"/>
        <w:jc w:val="both"/>
      </w:pPr>
    </w:p>
    <w:p w14:paraId="5102013E" w14:textId="77777777" w:rsidR="005B6145" w:rsidRPr="00EC1D78" w:rsidRDefault="005B6145" w:rsidP="005B6145">
      <w:pPr>
        <w:spacing w:line="360" w:lineRule="auto"/>
        <w:ind w:left="720"/>
        <w:jc w:val="both"/>
        <w:textAlignment w:val="top"/>
        <w:rPr>
          <w:rtl/>
        </w:rPr>
      </w:pPr>
    </w:p>
    <w:p w14:paraId="54F68149" w14:textId="77777777" w:rsidR="005B6145" w:rsidRPr="00EC1D78" w:rsidRDefault="005B6145" w:rsidP="005B6145">
      <w:pPr>
        <w:spacing w:line="360" w:lineRule="auto"/>
        <w:ind w:left="720"/>
        <w:jc w:val="both"/>
        <w:rPr>
          <w:rtl/>
        </w:rPr>
      </w:pPr>
      <w:r w:rsidRPr="00EC1D78">
        <w:rPr>
          <w:rtl/>
        </w:rPr>
        <w:t>ב</w:t>
      </w:r>
      <w:hyperlink r:id="rId27" w:history="1">
        <w:r w:rsidR="00B53C1F" w:rsidRPr="00B53C1F">
          <w:rPr>
            <w:rStyle w:val="Hyperlink"/>
            <w:rFonts w:cs="David"/>
            <w:rtl/>
          </w:rPr>
          <w:t>ע"פ 8820/14</w:t>
        </w:r>
      </w:hyperlink>
      <w:r w:rsidRPr="00EC1D78">
        <w:rPr>
          <w:rtl/>
        </w:rPr>
        <w:t xml:space="preserve"> </w:t>
      </w:r>
      <w:r w:rsidRPr="00EC1D78">
        <w:rPr>
          <w:b/>
          <w:bCs/>
          <w:rtl/>
        </w:rPr>
        <w:t>זהר שחר</w:t>
      </w:r>
      <w:r w:rsidRPr="00EC1D78">
        <w:rPr>
          <w:rtl/>
        </w:rPr>
        <w:t xml:space="preserve"> נ' </w:t>
      </w:r>
      <w:r w:rsidRPr="00EC1D78">
        <w:rPr>
          <w:b/>
          <w:bCs/>
          <w:rtl/>
        </w:rPr>
        <w:t>מדינת ישראל</w:t>
      </w:r>
      <w:r w:rsidRPr="00EC1D78">
        <w:rPr>
          <w:rtl/>
        </w:rPr>
        <w:t xml:space="preserve"> (פורסם בנבו, 17.05.2015) במהלך חיפוש משטרתי בביתו של הנאשם נתפסו, חשיש לצריכה עצמית במשקל כולל של 3.74 גרם;  קוקאין במשקל 0.52 גרם; קוקאין במשקל כולל של 108.6 גרם: וקוקאין במשקל כולל של 3.19 גרם. </w:t>
      </w:r>
      <w:r w:rsidRPr="00EC1D78">
        <w:rPr>
          <w:b/>
          <w:bCs/>
          <w:rtl/>
        </w:rPr>
        <w:t>את הקוקאין, במשקל כולל של 112 גרם, החזיק המערער שלא לצריכתו העצמית</w:t>
      </w:r>
      <w:r w:rsidRPr="00EC1D78">
        <w:rPr>
          <w:rtl/>
        </w:rPr>
        <w:t xml:space="preserve">. הצדדים הסכימו ביניהם כי המשיבה תבקש מבית המשפט לגזור על המערער 36 חודשי מאסר לריצוי בפועל, ואילו ההגנה תטען כהבנתה. בית המשפט קבע כי </w:t>
      </w:r>
      <w:r w:rsidRPr="00EC1D78">
        <w:rPr>
          <w:b/>
          <w:bCs/>
          <w:rtl/>
        </w:rPr>
        <w:t>מתחם העונש</w:t>
      </w:r>
      <w:r w:rsidRPr="00EC1D78">
        <w:rPr>
          <w:rtl/>
        </w:rPr>
        <w:t xml:space="preserve"> ההולם את מעשיו של המערער, </w:t>
      </w:r>
      <w:r w:rsidRPr="00EC1D78">
        <w:rPr>
          <w:b/>
          <w:bCs/>
          <w:rtl/>
        </w:rPr>
        <w:t>נע בתחום שבין 3 ל-5 שנות מאסר, וגזר עליו 36 חודשי מאסר לריצוי בפועל</w:t>
      </w:r>
      <w:r w:rsidRPr="00EC1D78">
        <w:rPr>
          <w:rtl/>
        </w:rPr>
        <w:t>, 12 חודשי מאסר על תנאי, וקנס בסך 20,000 ₪.</w:t>
      </w:r>
    </w:p>
    <w:p w14:paraId="0FCABE97" w14:textId="77777777" w:rsidR="005B6145" w:rsidRPr="00EC1D78" w:rsidRDefault="005B6145" w:rsidP="005B6145">
      <w:pPr>
        <w:spacing w:line="360" w:lineRule="auto"/>
        <w:ind w:firstLine="720"/>
        <w:jc w:val="both"/>
        <w:rPr>
          <w:b/>
          <w:bCs/>
          <w:rtl/>
        </w:rPr>
      </w:pPr>
    </w:p>
    <w:p w14:paraId="6FFE5E00" w14:textId="77777777" w:rsidR="005B6145" w:rsidRPr="00EC1D78" w:rsidRDefault="005B6145" w:rsidP="005B6145">
      <w:pPr>
        <w:spacing w:line="360" w:lineRule="auto"/>
        <w:ind w:firstLine="720"/>
        <w:jc w:val="both"/>
        <w:rPr>
          <w:rtl/>
        </w:rPr>
      </w:pPr>
      <w:r w:rsidRPr="00EC1D78">
        <w:rPr>
          <w:rtl/>
        </w:rPr>
        <w:t>בית המשפט העליון דחה את הערעור וקבע-</w:t>
      </w:r>
    </w:p>
    <w:p w14:paraId="0C691A38" w14:textId="77777777" w:rsidR="005B6145" w:rsidRPr="00EC1D78" w:rsidRDefault="005B6145" w:rsidP="005B6145">
      <w:pPr>
        <w:spacing w:line="360" w:lineRule="auto"/>
        <w:ind w:left="1440"/>
        <w:jc w:val="both"/>
      </w:pPr>
      <w:r w:rsidRPr="00EC1D78">
        <w:rPr>
          <w:rtl/>
        </w:rPr>
        <w:t xml:space="preserve">"לאחר שעיינתי בגזר דינו של בית משפט קמא ונתתי דעתי לאמור בהודעת הערעור ולטיעוני הצדדים בפנינו, הגעתי למסקנה כי דין הערעור להידחות. זאת, לנוכח העובדה כי אין בעונש שהושת על המערער כל חריגה מרמת הענישה המקובלת בעבירות דומות, ולפיכך אין בסיס להתערבותנו בעונש כערכאת ערעור.. </w:t>
      </w:r>
      <w:r w:rsidRPr="00EC1D78">
        <w:rPr>
          <w:b/>
          <w:bCs/>
          <w:rtl/>
        </w:rPr>
        <w:t>רמת הענישה שנקבעה בפסקי הדין שאוזכרו לעיל ובפסקי דין אחרים, כשמדובר בהחזקת סם מסוג הירואין או קוקאין, שלא לצריכה עצמית, בכמות של עשרות גרמים, נעה בין 3 ל-5 שנות מאסר,</w:t>
      </w:r>
      <w:r w:rsidRPr="00EC1D78">
        <w:rPr>
          <w:rtl/>
        </w:rPr>
        <w:t xml:space="preserve"> כך שעונשו של המערער אינו סוטה לחומרה מרמת ענישה זו."</w:t>
      </w:r>
    </w:p>
    <w:p w14:paraId="371F7F55" w14:textId="77777777" w:rsidR="005B6145" w:rsidRPr="00EC1D78" w:rsidRDefault="005B6145" w:rsidP="005B6145">
      <w:pPr>
        <w:spacing w:line="360" w:lineRule="auto"/>
        <w:ind w:left="720"/>
        <w:jc w:val="both"/>
        <w:textAlignment w:val="top"/>
        <w:rPr>
          <w:rtl/>
        </w:rPr>
      </w:pPr>
    </w:p>
    <w:p w14:paraId="4E64A111" w14:textId="77777777" w:rsidR="005B6145" w:rsidRPr="00EC1D78" w:rsidRDefault="005B6145" w:rsidP="005B6145">
      <w:pPr>
        <w:spacing w:line="360" w:lineRule="auto"/>
        <w:ind w:left="720"/>
        <w:jc w:val="both"/>
      </w:pPr>
      <w:r w:rsidRPr="00EC1D78">
        <w:rPr>
          <w:rtl/>
        </w:rPr>
        <w:t>ב</w:t>
      </w:r>
      <w:hyperlink r:id="rId28" w:history="1">
        <w:r w:rsidR="00B53C1F" w:rsidRPr="00B53C1F">
          <w:rPr>
            <w:rStyle w:val="Hyperlink"/>
            <w:rFonts w:cs="David"/>
            <w:rtl/>
          </w:rPr>
          <w:t>ע"פ 7507/12</w:t>
        </w:r>
      </w:hyperlink>
      <w:r w:rsidRPr="00EC1D78">
        <w:rPr>
          <w:rtl/>
        </w:rPr>
        <w:t xml:space="preserve"> </w:t>
      </w:r>
      <w:r w:rsidRPr="00EC1D78">
        <w:rPr>
          <w:b/>
          <w:bCs/>
          <w:rtl/>
        </w:rPr>
        <w:t>תרא טאעון</w:t>
      </w:r>
      <w:r w:rsidRPr="00EC1D78">
        <w:rPr>
          <w:rtl/>
        </w:rPr>
        <w:t xml:space="preserve"> נ' </w:t>
      </w:r>
      <w:r w:rsidRPr="00EC1D78">
        <w:rPr>
          <w:b/>
          <w:bCs/>
          <w:rtl/>
        </w:rPr>
        <w:t>מדינת ישראל</w:t>
      </w:r>
      <w:r w:rsidRPr="00EC1D78">
        <w:rPr>
          <w:rtl/>
        </w:rPr>
        <w:t xml:space="preserve"> (פורסם בנבו, 16.10.2013) המערער נראה על ידי סיירי בטחון, מתכופף בסמוך לרכב חונה. הסיירים התקדמו לעברו והוא החזיק בידו שתי כפפות לבנות. המערער פתח בריצה, נתקל בשרשרת ברזל, נפל וכך נפלו הכפפות מידיו. בכפפה אחת היה </w:t>
      </w:r>
      <w:r w:rsidRPr="00EC1D78">
        <w:rPr>
          <w:b/>
          <w:bCs/>
          <w:rtl/>
        </w:rPr>
        <w:t>הרואין במשקל כולל של  47 גרם, בשניה - הרואין במשקל של 46 גרם</w:t>
      </w:r>
      <w:r w:rsidRPr="00EC1D78">
        <w:rPr>
          <w:rtl/>
        </w:rPr>
        <w:t xml:space="preserve">. צוין כי בעברו של המערער עבירות אלימות וסמים. בית המשפט המחוזי גזר על המערער </w:t>
      </w:r>
      <w:r w:rsidRPr="00EC1D78">
        <w:rPr>
          <w:b/>
          <w:bCs/>
          <w:rtl/>
        </w:rPr>
        <w:t>48 חודשי מאסר בפועל</w:t>
      </w:r>
      <w:r w:rsidRPr="00EC1D78">
        <w:rPr>
          <w:rtl/>
        </w:rPr>
        <w:t xml:space="preserve"> והופעל במצטבר מאסר על תנאי של שבעה חודשים, וכן הוטל מאסר על תנאי. </w:t>
      </w:r>
      <w:r w:rsidRPr="00EC1D78">
        <w:rPr>
          <w:b/>
          <w:bCs/>
          <w:rtl/>
        </w:rPr>
        <w:t>הערעור נדחה</w:t>
      </w:r>
      <w:r w:rsidRPr="00EC1D78">
        <w:rPr>
          <w:rtl/>
        </w:rPr>
        <w:t>.</w:t>
      </w:r>
    </w:p>
    <w:p w14:paraId="0583E411" w14:textId="77777777" w:rsidR="005B6145" w:rsidRPr="00EC1D78" w:rsidRDefault="005B6145" w:rsidP="005B6145">
      <w:pPr>
        <w:spacing w:line="360" w:lineRule="auto"/>
        <w:ind w:left="720"/>
        <w:jc w:val="both"/>
        <w:textAlignment w:val="top"/>
        <w:rPr>
          <w:rtl/>
        </w:rPr>
      </w:pPr>
    </w:p>
    <w:p w14:paraId="2FD12051" w14:textId="77777777" w:rsidR="005B6145" w:rsidRPr="00EC1D78" w:rsidRDefault="005B6145" w:rsidP="005B6145">
      <w:pPr>
        <w:spacing w:line="360" w:lineRule="auto"/>
        <w:ind w:left="720"/>
        <w:jc w:val="both"/>
        <w:textAlignment w:val="top"/>
        <w:rPr>
          <w:b/>
          <w:rtl/>
        </w:rPr>
      </w:pPr>
      <w:r w:rsidRPr="00EC1D78">
        <w:rPr>
          <w:rtl/>
        </w:rPr>
        <w:t>ב</w:t>
      </w:r>
      <w:hyperlink r:id="rId29" w:history="1">
        <w:r w:rsidR="00B53C1F" w:rsidRPr="00B53C1F">
          <w:rPr>
            <w:rStyle w:val="Hyperlink"/>
            <w:rFonts w:cs="David"/>
            <w:rtl/>
          </w:rPr>
          <w:t>ע"פ (ב"ש) 7368/06</w:t>
        </w:r>
      </w:hyperlink>
      <w:r w:rsidRPr="00EC1D78">
        <w:rPr>
          <w:rtl/>
        </w:rPr>
        <w:t>,</w:t>
      </w:r>
      <w:r w:rsidRPr="00EC1D78">
        <w:rPr>
          <w:b/>
          <w:bCs/>
          <w:rtl/>
        </w:rPr>
        <w:t xml:space="preserve"> מדינת ישראל </w:t>
      </w:r>
      <w:r w:rsidRPr="00EC1D78">
        <w:rPr>
          <w:rtl/>
        </w:rPr>
        <w:t>נ'</w:t>
      </w:r>
      <w:r w:rsidRPr="00EC1D78">
        <w:rPr>
          <w:b/>
          <w:bCs/>
          <w:rtl/>
        </w:rPr>
        <w:t xml:space="preserve"> אבו רקייק מוס </w:t>
      </w:r>
      <w:r w:rsidRPr="00EC1D78">
        <w:rPr>
          <w:rtl/>
        </w:rPr>
        <w:t xml:space="preserve">(לא פורסם, ניתן ביום 27.12.2008) </w:t>
      </w:r>
      <w:r w:rsidRPr="00EC1D78">
        <w:rPr>
          <w:bCs/>
          <w:rtl/>
        </w:rPr>
        <w:t>קיבל בית המשפט המחוזי את ערעור המדינה על קולת העונש</w:t>
      </w:r>
      <w:r w:rsidRPr="00EC1D78">
        <w:rPr>
          <w:b/>
          <w:rtl/>
        </w:rPr>
        <w:t xml:space="preserve"> שנגזר למשיב - 12 חודשי מאסר בפועל, על החזקת </w:t>
      </w:r>
      <w:r w:rsidRPr="00EC1D78">
        <w:rPr>
          <w:bCs/>
          <w:rtl/>
        </w:rPr>
        <w:t>38.15 גרם הרואין</w:t>
      </w:r>
      <w:r w:rsidRPr="00EC1D78">
        <w:rPr>
          <w:b/>
          <w:rtl/>
        </w:rPr>
        <w:t xml:space="preserve">. וקבע, כי העונש הראוי לעבירה, הוא מספר שנות מאסר. עם זאת, כיוון שדובר בנאשם צעיר, בעל עבר נקי, ובהתחשב בכך שערכאת הערעור אינה נוהגת למצות את חומרת העונש, הוטלו עליו </w:t>
      </w:r>
      <w:r w:rsidRPr="00EC1D78">
        <w:rPr>
          <w:bCs/>
          <w:rtl/>
        </w:rPr>
        <w:t>30 חודשי מאסר</w:t>
      </w:r>
      <w:r w:rsidRPr="00EC1D78">
        <w:rPr>
          <w:b/>
          <w:rtl/>
        </w:rPr>
        <w:t xml:space="preserve"> בפועל.</w:t>
      </w:r>
    </w:p>
    <w:p w14:paraId="04D1897D" w14:textId="77777777" w:rsidR="005B6145" w:rsidRPr="00EC1D78" w:rsidRDefault="005B6145" w:rsidP="005B6145">
      <w:pPr>
        <w:spacing w:line="360" w:lineRule="auto"/>
        <w:ind w:left="720"/>
        <w:jc w:val="both"/>
        <w:textAlignment w:val="top"/>
        <w:rPr>
          <w:b/>
          <w:rtl/>
        </w:rPr>
      </w:pPr>
    </w:p>
    <w:p w14:paraId="75942D84" w14:textId="77777777" w:rsidR="005B6145" w:rsidRPr="00EC1D78" w:rsidRDefault="005B6145" w:rsidP="005B6145">
      <w:pPr>
        <w:spacing w:line="360" w:lineRule="auto"/>
        <w:ind w:left="720"/>
        <w:jc w:val="both"/>
        <w:rPr>
          <w:b/>
          <w:rtl/>
        </w:rPr>
      </w:pPr>
      <w:r w:rsidRPr="00EC1D78">
        <w:rPr>
          <w:b/>
          <w:rtl/>
        </w:rPr>
        <w:t>ב</w:t>
      </w:r>
      <w:hyperlink r:id="rId30" w:history="1">
        <w:r w:rsidR="00B53C1F" w:rsidRPr="00B53C1F">
          <w:rPr>
            <w:rStyle w:val="Hyperlink"/>
            <w:rFonts w:cs="David"/>
            <w:b/>
            <w:rtl/>
          </w:rPr>
          <w:t>ע"פ 4381/05</w:t>
        </w:r>
      </w:hyperlink>
      <w:r w:rsidRPr="00EC1D78">
        <w:rPr>
          <w:b/>
          <w:rtl/>
        </w:rPr>
        <w:t xml:space="preserve">, </w:t>
      </w:r>
      <w:r w:rsidRPr="00EC1D78">
        <w:rPr>
          <w:bCs/>
          <w:rtl/>
        </w:rPr>
        <w:t>פאיז אבו זקיקה</w:t>
      </w:r>
      <w:r w:rsidRPr="00EC1D78">
        <w:rPr>
          <w:b/>
          <w:rtl/>
        </w:rPr>
        <w:t xml:space="preserve"> נ'</w:t>
      </w:r>
      <w:r w:rsidRPr="00EC1D78">
        <w:rPr>
          <w:bCs/>
          <w:rtl/>
        </w:rPr>
        <w:t xml:space="preserve"> מדינת ישראל </w:t>
      </w:r>
      <w:r w:rsidRPr="00EC1D78">
        <w:rPr>
          <w:b/>
          <w:rtl/>
        </w:rPr>
        <w:t xml:space="preserve">(פורסם בנבו, 12.07.06) – </w:t>
      </w:r>
      <w:r w:rsidRPr="00EC1D78">
        <w:rPr>
          <w:bCs/>
          <w:rtl/>
        </w:rPr>
        <w:t>נדחה ערעורו</w:t>
      </w:r>
      <w:r w:rsidRPr="00EC1D78">
        <w:rPr>
          <w:b/>
          <w:rtl/>
        </w:rPr>
        <w:t xml:space="preserve"> של נאשם שהורשע בהחזקת כ-</w:t>
      </w:r>
      <w:r w:rsidRPr="00EC1D78">
        <w:rPr>
          <w:bCs/>
          <w:rtl/>
        </w:rPr>
        <w:t xml:space="preserve"> 100 גרם הירואין</w:t>
      </w:r>
      <w:r w:rsidRPr="00EC1D78">
        <w:rPr>
          <w:b/>
          <w:rtl/>
        </w:rPr>
        <w:t xml:space="preserve"> ונידון ל </w:t>
      </w:r>
      <w:r w:rsidRPr="00EC1D78">
        <w:rPr>
          <w:bCs/>
          <w:rtl/>
        </w:rPr>
        <w:t>4 שנות מאסר</w:t>
      </w:r>
      <w:r w:rsidRPr="00EC1D78">
        <w:rPr>
          <w:b/>
          <w:rtl/>
        </w:rPr>
        <w:t xml:space="preserve"> בפועל, למרות שהיה צעיר, ללא הרשעות קודמות, ושירות המבחן המליץ להטיל עליו עונש מאסר לתקופה קצרה. ובית המשפט העליון ציין כי "..בנוגע לנסיבותיו האישיות של המערער, קשות ככל שיהיו- בעבירות סמים מסוג זה, יש לייחס להן את המשקל השולי ביותר... אשר לעבירות סחר או החזקה מסחרית של סם מסוכן מסוג הרואין כבר נקבע, כי יש למצות את הדין עם עבריינים אלה ובפרט כאשר מדובר בהחזקה של כמות סם כה גדולה.." </w:t>
      </w:r>
    </w:p>
    <w:p w14:paraId="50A30821" w14:textId="77777777" w:rsidR="005B6145" w:rsidRPr="00EC1D78" w:rsidRDefault="005B6145" w:rsidP="005B6145">
      <w:pPr>
        <w:spacing w:line="360" w:lineRule="auto"/>
        <w:ind w:left="720"/>
        <w:jc w:val="both"/>
        <w:textAlignment w:val="top"/>
        <w:rPr>
          <w:b/>
          <w:rtl/>
        </w:rPr>
      </w:pPr>
    </w:p>
    <w:p w14:paraId="197BB87A" w14:textId="77777777" w:rsidR="005B6145" w:rsidRPr="00EC1D78" w:rsidRDefault="005B6145" w:rsidP="005B6145">
      <w:pPr>
        <w:spacing w:line="360" w:lineRule="auto"/>
        <w:ind w:left="720"/>
        <w:jc w:val="both"/>
        <w:textAlignment w:val="top"/>
        <w:rPr>
          <w:b/>
          <w:rtl/>
        </w:rPr>
      </w:pPr>
      <w:r w:rsidRPr="00EC1D78">
        <w:rPr>
          <w:rtl/>
        </w:rPr>
        <w:t>ב</w:t>
      </w:r>
      <w:hyperlink r:id="rId31" w:history="1">
        <w:r w:rsidR="00B53C1F" w:rsidRPr="00B53C1F">
          <w:rPr>
            <w:rStyle w:val="Hyperlink"/>
            <w:rFonts w:cs="David"/>
            <w:rtl/>
          </w:rPr>
          <w:t>ע"פ 4938/00</w:t>
        </w:r>
      </w:hyperlink>
      <w:r w:rsidRPr="00EC1D78">
        <w:rPr>
          <w:rtl/>
        </w:rPr>
        <w:t>,</w:t>
      </w:r>
      <w:r w:rsidRPr="00EC1D78">
        <w:rPr>
          <w:b/>
          <w:bCs/>
          <w:rtl/>
        </w:rPr>
        <w:t xml:space="preserve"> כרים זידאן </w:t>
      </w:r>
      <w:r w:rsidRPr="00EC1D78">
        <w:rPr>
          <w:rtl/>
        </w:rPr>
        <w:t>נ'</w:t>
      </w:r>
      <w:r w:rsidRPr="00EC1D78">
        <w:rPr>
          <w:b/>
          <w:bCs/>
          <w:rtl/>
        </w:rPr>
        <w:t xml:space="preserve"> מדינת ישראל</w:t>
      </w:r>
      <w:r w:rsidRPr="00EC1D78">
        <w:rPr>
          <w:rtl/>
        </w:rPr>
        <w:t xml:space="preserve"> </w:t>
      </w:r>
      <w:r w:rsidRPr="00EC1D78">
        <w:rPr>
          <w:b/>
          <w:rtl/>
        </w:rPr>
        <w:t>(לא פורסם)</w:t>
      </w:r>
      <w:r w:rsidRPr="00EC1D78">
        <w:rPr>
          <w:bCs/>
          <w:rtl/>
        </w:rPr>
        <w:t xml:space="preserve"> דחה</w:t>
      </w:r>
      <w:r w:rsidRPr="00EC1D78">
        <w:rPr>
          <w:b/>
          <w:rtl/>
        </w:rPr>
        <w:t xml:space="preserve"> בית המשפט העליון ערעור על חומרת העונש, של נאשם צעיר, בעל עבר נקי -  </w:t>
      </w:r>
      <w:r w:rsidRPr="00EC1D78">
        <w:rPr>
          <w:bCs/>
          <w:rtl/>
        </w:rPr>
        <w:t>4 שנות מאסר</w:t>
      </w:r>
      <w:r w:rsidRPr="00EC1D78">
        <w:rPr>
          <w:b/>
          <w:rtl/>
        </w:rPr>
        <w:t xml:space="preserve"> בפועל, על החזקת כ </w:t>
      </w:r>
      <w:r w:rsidRPr="00EC1D78">
        <w:rPr>
          <w:bCs/>
          <w:rtl/>
        </w:rPr>
        <w:t>52 גרם הרואין</w:t>
      </w:r>
      <w:r w:rsidRPr="00EC1D78">
        <w:rPr>
          <w:b/>
          <w:rtl/>
        </w:rPr>
        <w:t xml:space="preserve"> ומאזניים אלקטרוניים לשקילת סם. </w:t>
      </w:r>
    </w:p>
    <w:p w14:paraId="3A60D5AC" w14:textId="77777777" w:rsidR="005B6145" w:rsidRPr="00EC1D78" w:rsidRDefault="005B6145" w:rsidP="005B6145">
      <w:pPr>
        <w:spacing w:line="360" w:lineRule="auto"/>
        <w:ind w:left="720"/>
        <w:jc w:val="both"/>
        <w:textAlignment w:val="top"/>
        <w:rPr>
          <w:b/>
          <w:rtl/>
        </w:rPr>
      </w:pPr>
    </w:p>
    <w:p w14:paraId="2FF1E78D" w14:textId="77777777" w:rsidR="005B6145" w:rsidRPr="00EC1D78" w:rsidRDefault="005B6145" w:rsidP="005B6145">
      <w:pPr>
        <w:spacing w:line="360" w:lineRule="auto"/>
        <w:ind w:left="720"/>
        <w:jc w:val="both"/>
        <w:rPr>
          <w:rtl/>
        </w:rPr>
      </w:pPr>
      <w:r w:rsidRPr="00EC1D78">
        <w:rPr>
          <w:rtl/>
        </w:rPr>
        <w:t>ב</w:t>
      </w:r>
      <w:hyperlink r:id="rId32" w:history="1">
        <w:r w:rsidR="00B53C1F" w:rsidRPr="00B53C1F">
          <w:rPr>
            <w:rStyle w:val="Hyperlink"/>
            <w:rFonts w:cs="David"/>
            <w:rtl/>
          </w:rPr>
          <w:t>ע"פ 810/11</w:t>
        </w:r>
      </w:hyperlink>
      <w:r w:rsidRPr="00EC1D78">
        <w:rPr>
          <w:rtl/>
        </w:rPr>
        <w:t xml:space="preserve">, </w:t>
      </w:r>
      <w:r w:rsidRPr="00EC1D78">
        <w:rPr>
          <w:b/>
          <w:bCs/>
          <w:rtl/>
        </w:rPr>
        <w:t>רועי שודגוקר בורגרקר</w:t>
      </w:r>
      <w:r w:rsidRPr="00EC1D78">
        <w:rPr>
          <w:rtl/>
        </w:rPr>
        <w:t xml:space="preserve"> נ' </w:t>
      </w:r>
      <w:r w:rsidRPr="00EC1D78">
        <w:rPr>
          <w:b/>
          <w:bCs/>
          <w:rtl/>
        </w:rPr>
        <w:t>מדינת ישראל</w:t>
      </w:r>
      <w:r w:rsidRPr="00EC1D78">
        <w:rPr>
          <w:rtl/>
        </w:rPr>
        <w:t xml:space="preserve"> (פורסם בנבו, 30.5.2011) </w:t>
      </w:r>
      <w:r w:rsidRPr="00EC1D78">
        <w:rPr>
          <w:b/>
          <w:bCs/>
          <w:rtl/>
        </w:rPr>
        <w:t xml:space="preserve">נדחה ערעורו </w:t>
      </w:r>
      <w:r w:rsidRPr="00EC1D78">
        <w:rPr>
          <w:rtl/>
        </w:rPr>
        <w:t xml:space="preserve">של נאשם שנדון ל- </w:t>
      </w:r>
      <w:r w:rsidRPr="00EC1D78">
        <w:rPr>
          <w:b/>
          <w:bCs/>
          <w:rtl/>
        </w:rPr>
        <w:t>36 חודשי מאסר בפועל</w:t>
      </w:r>
      <w:r w:rsidRPr="00EC1D78">
        <w:rPr>
          <w:rtl/>
        </w:rPr>
        <w:t xml:space="preserve">, לאחר </w:t>
      </w:r>
      <w:r w:rsidRPr="00EC1D78">
        <w:rPr>
          <w:b/>
          <w:bCs/>
          <w:rtl/>
        </w:rPr>
        <w:t>שהורשע על פי הודאתו</w:t>
      </w:r>
      <w:r w:rsidRPr="00EC1D78">
        <w:rPr>
          <w:rtl/>
        </w:rPr>
        <w:t xml:space="preserve"> בהחזקת סם מסוכן מסוג </w:t>
      </w:r>
      <w:r w:rsidRPr="00EC1D78">
        <w:rPr>
          <w:b/>
          <w:bCs/>
          <w:rtl/>
        </w:rPr>
        <w:t>הרואין במשקל של כ 59 גרם</w:t>
      </w:r>
      <w:r w:rsidRPr="00EC1D78">
        <w:rPr>
          <w:rtl/>
        </w:rPr>
        <w:t xml:space="preserve">.  </w:t>
      </w:r>
    </w:p>
    <w:p w14:paraId="6E4CCB4F" w14:textId="77777777" w:rsidR="005B6145" w:rsidRPr="00EC1D78" w:rsidRDefault="005B6145" w:rsidP="005B6145">
      <w:pPr>
        <w:spacing w:line="360" w:lineRule="auto"/>
        <w:jc w:val="both"/>
        <w:textAlignment w:val="top"/>
        <w:rPr>
          <w:rFonts w:ascii="Arial" w:hAnsi="Arial"/>
          <w:b/>
          <w:rtl/>
        </w:rPr>
      </w:pPr>
    </w:p>
    <w:p w14:paraId="132093A8" w14:textId="77777777" w:rsidR="005B6145" w:rsidRPr="00EC1D78" w:rsidRDefault="005B6145" w:rsidP="005B6145">
      <w:pPr>
        <w:spacing w:line="360" w:lineRule="auto"/>
        <w:ind w:left="720"/>
        <w:jc w:val="both"/>
        <w:textAlignment w:val="top"/>
        <w:rPr>
          <w:b/>
          <w:rtl/>
        </w:rPr>
      </w:pPr>
      <w:r w:rsidRPr="00EC1D78">
        <w:rPr>
          <w:rFonts w:ascii="Arial" w:hAnsi="Arial"/>
          <w:b/>
          <w:rtl/>
        </w:rPr>
        <w:t>ב</w:t>
      </w:r>
      <w:hyperlink r:id="rId33" w:history="1">
        <w:r w:rsidR="00B53C1F" w:rsidRPr="00B53C1F">
          <w:rPr>
            <w:rStyle w:val="Hyperlink"/>
            <w:rFonts w:ascii="Arial" w:hAnsi="Arial" w:cs="David"/>
            <w:b/>
            <w:rtl/>
          </w:rPr>
          <w:t>ע"פ 211/09</w:t>
        </w:r>
      </w:hyperlink>
      <w:r w:rsidRPr="00EC1D78">
        <w:rPr>
          <w:rFonts w:ascii="Arial" w:hAnsi="Arial"/>
          <w:bCs/>
          <w:rtl/>
        </w:rPr>
        <w:t xml:space="preserve"> שמעון אזולאי </w:t>
      </w:r>
      <w:r w:rsidRPr="00EC1D78">
        <w:rPr>
          <w:rFonts w:ascii="Arial" w:hAnsi="Arial"/>
          <w:b/>
          <w:rtl/>
        </w:rPr>
        <w:t>נ'</w:t>
      </w:r>
      <w:r w:rsidRPr="00EC1D78">
        <w:rPr>
          <w:rFonts w:ascii="Arial" w:hAnsi="Arial"/>
          <w:bCs/>
          <w:rtl/>
        </w:rPr>
        <w:t xml:space="preserve"> מדינת ישראל</w:t>
      </w:r>
      <w:r w:rsidRPr="00EC1D78">
        <w:rPr>
          <w:rFonts w:ascii="Arial" w:hAnsi="Arial"/>
          <w:b/>
          <w:rtl/>
        </w:rPr>
        <w:t xml:space="preserve"> (פורסם בנבו, 22.06.10), </w:t>
      </w:r>
      <w:r w:rsidRPr="00EC1D78">
        <w:rPr>
          <w:rFonts w:ascii="Arial" w:hAnsi="Arial"/>
          <w:bCs/>
          <w:rtl/>
        </w:rPr>
        <w:t>דחה</w:t>
      </w:r>
      <w:r w:rsidRPr="00EC1D78">
        <w:rPr>
          <w:rFonts w:ascii="Arial" w:hAnsi="Arial"/>
          <w:b/>
          <w:rtl/>
        </w:rPr>
        <w:t xml:space="preserve"> בית המשפט העליון ערעור על חומרת העונש שהושת על המערער- </w:t>
      </w:r>
      <w:r w:rsidRPr="00EC1D78">
        <w:rPr>
          <w:rFonts w:ascii="Arial" w:hAnsi="Arial"/>
          <w:bCs/>
          <w:rtl/>
        </w:rPr>
        <w:t>5 שנות מאסר</w:t>
      </w:r>
      <w:r w:rsidRPr="00EC1D78">
        <w:rPr>
          <w:rFonts w:ascii="Arial" w:hAnsi="Arial"/>
          <w:b/>
          <w:rtl/>
        </w:rPr>
        <w:t xml:space="preserve"> בפועל, על החזקת כ- </w:t>
      </w:r>
      <w:r w:rsidRPr="00EC1D78">
        <w:rPr>
          <w:rFonts w:ascii="Arial" w:hAnsi="Arial"/>
          <w:bCs/>
          <w:rtl/>
        </w:rPr>
        <w:t>176 גרם הרואין</w:t>
      </w:r>
      <w:r w:rsidRPr="00EC1D78">
        <w:rPr>
          <w:rFonts w:ascii="Arial" w:hAnsi="Arial"/>
          <w:b/>
          <w:rtl/>
        </w:rPr>
        <w:t>.</w:t>
      </w:r>
    </w:p>
    <w:p w14:paraId="63CD548B" w14:textId="77777777" w:rsidR="005B6145" w:rsidRPr="00EC1D78" w:rsidRDefault="005B6145" w:rsidP="005B6145">
      <w:pPr>
        <w:spacing w:line="360" w:lineRule="auto"/>
        <w:jc w:val="both"/>
        <w:rPr>
          <w:rFonts w:ascii="Arial" w:hAnsi="Arial"/>
          <w:b/>
          <w:rtl/>
        </w:rPr>
      </w:pPr>
    </w:p>
    <w:p w14:paraId="57314165" w14:textId="77777777" w:rsidR="005B6145" w:rsidRPr="00EC1D78" w:rsidRDefault="005B6145" w:rsidP="005B6145">
      <w:pPr>
        <w:spacing w:line="360" w:lineRule="auto"/>
        <w:ind w:left="720" w:hanging="720"/>
        <w:jc w:val="both"/>
        <w:rPr>
          <w:rFonts w:ascii="Arial" w:hAnsi="Arial"/>
          <w:rtl/>
        </w:rPr>
      </w:pPr>
      <w:r w:rsidRPr="00EC1D78">
        <w:rPr>
          <w:rFonts w:ascii="Calibri" w:hAnsi="Calibri"/>
          <w:rtl/>
        </w:rPr>
        <w:t>8.</w:t>
      </w:r>
      <w:r w:rsidRPr="00EC1D78">
        <w:rPr>
          <w:rFonts w:ascii="Calibri" w:hAnsi="Calibri"/>
          <w:rtl/>
        </w:rPr>
        <w:tab/>
      </w:r>
      <w:r w:rsidRPr="00EC1D78">
        <w:rPr>
          <w:rFonts w:ascii="Arial" w:hAnsi="Arial"/>
          <w:rtl/>
        </w:rPr>
        <w:t xml:space="preserve">באשר לנסיבות ביצוע העבירה – </w:t>
      </w:r>
    </w:p>
    <w:p w14:paraId="17A6A4EC" w14:textId="77777777" w:rsidR="005B6145" w:rsidRPr="00EC1D78" w:rsidRDefault="005B6145" w:rsidP="005B6145">
      <w:pPr>
        <w:spacing w:line="360" w:lineRule="auto"/>
        <w:ind w:left="720"/>
        <w:jc w:val="both"/>
        <w:rPr>
          <w:rFonts w:ascii="Arial" w:hAnsi="Arial"/>
          <w:rtl/>
        </w:rPr>
      </w:pPr>
      <w:r w:rsidRPr="00EC1D78">
        <w:rPr>
          <w:rFonts w:ascii="Arial" w:hAnsi="Arial"/>
          <w:rtl/>
        </w:rPr>
        <w:t>הגעת הנאשם למקום אליו הגיע לצורך קבלת הסם, חייבה תיאום ופעולות מקדימות מכוונות. כך שיש לראות במעשהו כמעשה מתוכנן.</w:t>
      </w:r>
    </w:p>
    <w:p w14:paraId="6F11B46B" w14:textId="77777777" w:rsidR="005B6145" w:rsidRPr="00EC1D78" w:rsidRDefault="005B6145" w:rsidP="005B6145">
      <w:pPr>
        <w:spacing w:line="360" w:lineRule="auto"/>
        <w:ind w:left="720"/>
        <w:jc w:val="both"/>
        <w:rPr>
          <w:rFonts w:ascii="Arial" w:hAnsi="Arial"/>
          <w:rtl/>
        </w:rPr>
      </w:pPr>
      <w:r w:rsidRPr="00EC1D78">
        <w:rPr>
          <w:rFonts w:ascii="Arial" w:hAnsi="Arial"/>
          <w:rtl/>
        </w:rPr>
        <w:t xml:space="preserve"> </w:t>
      </w:r>
    </w:p>
    <w:p w14:paraId="1543600A" w14:textId="77777777" w:rsidR="005B6145" w:rsidRPr="00EC1D78" w:rsidRDefault="005B6145" w:rsidP="005B6145">
      <w:pPr>
        <w:spacing w:line="360" w:lineRule="auto"/>
        <w:ind w:left="720"/>
        <w:jc w:val="both"/>
        <w:rPr>
          <w:rFonts w:ascii="Arial" w:hAnsi="Arial"/>
          <w:rtl/>
        </w:rPr>
      </w:pPr>
      <w:r w:rsidRPr="00EC1D78">
        <w:rPr>
          <w:rFonts w:ascii="Arial" w:hAnsi="Arial"/>
          <w:rtl/>
        </w:rPr>
        <w:t xml:space="preserve">הנאשם היה במקום בו תכנן לקבל את חבילת הסם, לבדו. גם אחר כך, הוא חזר לבדו למקום, הרים בעצמו את חבילת הדמה, שסבר שהיא חבילת הסם, וכשזיהה את השוטרים ברח מהם וניסה להיפטר מהחבילה שהחזיק. הוא לא טען בבית המשפט שאחֵר שלח אותו לבצע את המעשה. רק בפני שירות המבחן טען הנאשם כי היה בשליחות אחר. במסגרת טיעוני ההגנה לעונש הנאשם עצמו לא העיד ולא מסר גרסה הכוללת טענה שאחר שלח אותו לביצוע המעשה. סנגורו טען בשמו כי הוא היה בלדר. </w:t>
      </w:r>
    </w:p>
    <w:p w14:paraId="54C81A27" w14:textId="77777777" w:rsidR="005B6145" w:rsidRPr="00EC1D78" w:rsidRDefault="005B6145" w:rsidP="005B6145">
      <w:pPr>
        <w:spacing w:line="360" w:lineRule="auto"/>
        <w:ind w:left="720"/>
        <w:jc w:val="both"/>
        <w:rPr>
          <w:rFonts w:ascii="Arial" w:hAnsi="Arial"/>
          <w:rtl/>
        </w:rPr>
      </w:pPr>
    </w:p>
    <w:p w14:paraId="1BA01EB1" w14:textId="77777777" w:rsidR="005B6145" w:rsidRPr="00EC1D78" w:rsidRDefault="001D39E0" w:rsidP="005B6145">
      <w:pPr>
        <w:spacing w:line="360" w:lineRule="auto"/>
        <w:ind w:left="720"/>
        <w:jc w:val="both"/>
        <w:rPr>
          <w:rFonts w:ascii="Arial" w:hAnsi="Arial"/>
          <w:rtl/>
        </w:rPr>
      </w:pPr>
      <w:hyperlink r:id="rId34" w:history="1">
        <w:r w:rsidRPr="001D39E0">
          <w:rPr>
            <w:rFonts w:ascii="Arial" w:hAnsi="Arial"/>
            <w:color w:val="0000FF"/>
            <w:u w:val="single"/>
            <w:rtl/>
          </w:rPr>
          <w:t>סעיף 40י'</w:t>
        </w:r>
      </w:hyperlink>
      <w:r w:rsidR="005B6145" w:rsidRPr="00EC1D78">
        <w:rPr>
          <w:rFonts w:ascii="Arial" w:hAnsi="Arial"/>
          <w:rtl/>
        </w:rPr>
        <w:t xml:space="preserve"> ל</w:t>
      </w:r>
      <w:hyperlink r:id="rId35" w:history="1">
        <w:r w:rsidR="00B53C1F" w:rsidRPr="00B53C1F">
          <w:rPr>
            <w:rStyle w:val="Hyperlink"/>
            <w:rFonts w:ascii="Arial" w:hAnsi="Arial" w:cs="David"/>
            <w:rtl/>
          </w:rPr>
          <w:t>חוק העונשין</w:t>
        </w:r>
      </w:hyperlink>
      <w:r w:rsidR="005B6145" w:rsidRPr="00EC1D78">
        <w:rPr>
          <w:rFonts w:ascii="Arial" w:hAnsi="Arial"/>
          <w:rtl/>
        </w:rPr>
        <w:t xml:space="preserve"> מאפשר לבית המשפט לקבוע כי התקיימו נסיבות הקשורות בביצוע העבירה, על בסיס ראיות שהובאו בשלב בירור האשמה, או ראיות שהובאו בשלב הטיעונים לעונש. וקובע, כי בית המשפט יקבע כי התקיימה נסיבה מקילה הקשורה בביצוע העבירה אם היא הוכחה ברמת ההוכחה הנדרשת במשפט אזרחי. כאן, הטענה שהנאשם היה בלדר, לא הוכחה ובעצם ההגנה אף לא טרחה להוכיחה בדרך כלשהיא. ההגנה לא הביאה כל ראיה קבילה בענין זה. </w:t>
      </w:r>
    </w:p>
    <w:p w14:paraId="68C61B94" w14:textId="77777777" w:rsidR="005B6145" w:rsidRPr="00EC1D78" w:rsidRDefault="005B6145" w:rsidP="005B6145">
      <w:pPr>
        <w:spacing w:line="360" w:lineRule="auto"/>
        <w:ind w:left="720"/>
        <w:jc w:val="both"/>
        <w:rPr>
          <w:rFonts w:ascii="Arial" w:hAnsi="Arial"/>
          <w:rtl/>
        </w:rPr>
      </w:pPr>
      <w:r w:rsidRPr="00EC1D78">
        <w:rPr>
          <w:rFonts w:ascii="Arial" w:hAnsi="Arial"/>
          <w:rtl/>
        </w:rPr>
        <w:t xml:space="preserve">  </w:t>
      </w:r>
    </w:p>
    <w:p w14:paraId="131CEE36" w14:textId="77777777" w:rsidR="005B6145" w:rsidRPr="00EC1D78" w:rsidRDefault="005B6145" w:rsidP="005B6145">
      <w:pPr>
        <w:spacing w:line="360" w:lineRule="auto"/>
        <w:ind w:left="720"/>
        <w:jc w:val="both"/>
        <w:rPr>
          <w:rFonts w:ascii="Arial" w:hAnsi="Arial"/>
          <w:rtl/>
        </w:rPr>
      </w:pPr>
      <w:r w:rsidRPr="00EC1D78">
        <w:rPr>
          <w:rFonts w:ascii="Arial" w:hAnsi="Arial"/>
          <w:rtl/>
        </w:rPr>
        <w:t xml:space="preserve">בהתחשב בסוג הסם ובכמותו, הרי שהנזק שהיה צפוי להיגרם ממעשה הנאשם בהתפתחות הרגילה של הדברים, הינו משמעותי. בפועל, הסם נתפס על ידי המשטרה וממילא הוא לא הגיע לשוק הצרכנים. </w:t>
      </w:r>
    </w:p>
    <w:p w14:paraId="57EB413E" w14:textId="77777777" w:rsidR="005B6145" w:rsidRPr="00EC1D78" w:rsidRDefault="005B6145" w:rsidP="005B6145">
      <w:pPr>
        <w:spacing w:line="360" w:lineRule="auto"/>
        <w:ind w:left="720"/>
        <w:jc w:val="both"/>
        <w:rPr>
          <w:rFonts w:ascii="Arial" w:hAnsi="Arial"/>
          <w:rtl/>
        </w:rPr>
      </w:pPr>
    </w:p>
    <w:p w14:paraId="7732C721" w14:textId="77777777" w:rsidR="005B6145" w:rsidRPr="00EC1D78" w:rsidRDefault="005B6145" w:rsidP="005B6145">
      <w:pPr>
        <w:spacing w:line="360" w:lineRule="auto"/>
        <w:ind w:left="720"/>
        <w:jc w:val="both"/>
        <w:rPr>
          <w:rFonts w:ascii="Arial" w:hAnsi="Arial"/>
          <w:rtl/>
        </w:rPr>
      </w:pPr>
      <w:r w:rsidRPr="00EC1D78">
        <w:rPr>
          <w:rFonts w:ascii="Arial" w:hAnsi="Arial"/>
          <w:rtl/>
        </w:rPr>
        <w:t xml:space="preserve">הנאשם ביצע את מעשהו לשם הפקת רווח כספי. </w:t>
      </w:r>
    </w:p>
    <w:p w14:paraId="720E347F" w14:textId="77777777" w:rsidR="005B6145" w:rsidRPr="00EC1D78" w:rsidRDefault="005B6145" w:rsidP="005B6145">
      <w:pPr>
        <w:spacing w:line="360" w:lineRule="auto"/>
        <w:ind w:left="720" w:hanging="720"/>
        <w:jc w:val="both"/>
        <w:rPr>
          <w:rtl/>
        </w:rPr>
      </w:pPr>
    </w:p>
    <w:p w14:paraId="2600E18D" w14:textId="77777777" w:rsidR="005B6145" w:rsidRPr="00EC1D78" w:rsidRDefault="005B6145" w:rsidP="005B6145">
      <w:pPr>
        <w:spacing w:line="360" w:lineRule="auto"/>
        <w:ind w:left="720" w:hanging="720"/>
        <w:jc w:val="both"/>
        <w:rPr>
          <w:rtl/>
        </w:rPr>
      </w:pPr>
      <w:r w:rsidRPr="00EC1D78">
        <w:rPr>
          <w:rtl/>
        </w:rPr>
        <w:t>9.</w:t>
      </w:r>
      <w:r w:rsidRPr="00EC1D78">
        <w:rPr>
          <w:rtl/>
        </w:rPr>
        <w:tab/>
        <w:t>המניע לביצוע עבירות הסחר בסמים והחזקת הסמים שלא לצריכה עצמית, הינו הפקת רווח כספי. משכך, ראוי להטיל על מבצעיהם גם ענישה כספית.</w:t>
      </w:r>
    </w:p>
    <w:p w14:paraId="0AD9A9FB" w14:textId="77777777" w:rsidR="005B6145" w:rsidRPr="00EC1D78" w:rsidRDefault="005B6145" w:rsidP="005B6145">
      <w:pPr>
        <w:spacing w:line="360" w:lineRule="auto"/>
        <w:jc w:val="both"/>
        <w:rPr>
          <w:rtl/>
        </w:rPr>
      </w:pPr>
    </w:p>
    <w:p w14:paraId="5B5AA7CC" w14:textId="77777777" w:rsidR="005B6145" w:rsidRPr="00EC1D78" w:rsidRDefault="005B6145" w:rsidP="00FC2B50">
      <w:pPr>
        <w:spacing w:line="360" w:lineRule="auto"/>
        <w:ind w:left="1440"/>
        <w:jc w:val="both"/>
        <w:rPr>
          <w:rtl/>
        </w:rPr>
      </w:pPr>
      <w:r w:rsidRPr="00EC1D78">
        <w:rPr>
          <w:rtl/>
        </w:rPr>
        <w:t xml:space="preserve">"אשר לעונש הקנס - צודקת התובעת המלומדת בטענתה, כי בעבירות הקשורות בסחר בסמים, מן הראוי הוא כי יוטלו עונשים כספיים, אשר יש בהם כדי לסכל את כוונת הרווח הכרוכה בעבירות הסמים. עבירות הסחר בסמים מבוצעות לשם השגת רווחים, תוך התעלמות אכזרית מהסיכון הרב לציבור הטמון בהפצת הסם. לפיכך, הנהיג המחוקק אמצעים לפגיעה ברכושם של סוחרי סמים, ואלה הם חילוט הרכוש, וכמובן הטלת קנסות כספיים גבוהים. כך ראוי להעניש בגין סחר בסמים ובגין החזקת סמים שלא לצריכה עצמית בדרך-כלל."-  </w:t>
      </w:r>
      <w:hyperlink r:id="rId36" w:history="1">
        <w:r w:rsidR="00FC2B50" w:rsidRPr="00FC2B50">
          <w:rPr>
            <w:color w:val="0000FF"/>
            <w:u w:val="single"/>
            <w:rtl/>
          </w:rPr>
          <w:t>ע"פ 1872/98</w:t>
        </w:r>
      </w:hyperlink>
      <w:r w:rsidR="00FC2B50" w:rsidRPr="00FC2B50">
        <w:rPr>
          <w:color w:val="000000"/>
          <w:rtl/>
        </w:rPr>
        <w:t xml:space="preserve"> </w:t>
      </w:r>
      <w:r w:rsidRPr="00B53C1F">
        <w:rPr>
          <w:b/>
          <w:bCs/>
          <w:color w:val="000000"/>
          <w:rtl/>
        </w:rPr>
        <w:t>מוחמד אבו-טאלב</w:t>
      </w:r>
      <w:r w:rsidRPr="00B53C1F">
        <w:rPr>
          <w:color w:val="000000"/>
          <w:rtl/>
        </w:rPr>
        <w:t xml:space="preserve"> נ' </w:t>
      </w:r>
      <w:r w:rsidRPr="00B53C1F">
        <w:rPr>
          <w:b/>
          <w:bCs/>
          <w:color w:val="000000"/>
          <w:rtl/>
        </w:rPr>
        <w:t>מדינת ישראל</w:t>
      </w:r>
      <w:r w:rsidRPr="00B53C1F">
        <w:rPr>
          <w:color w:val="000000"/>
          <w:rtl/>
        </w:rPr>
        <w:t xml:space="preserve"> (פורסם בנבו, 1999.06.03)</w:t>
      </w:r>
    </w:p>
    <w:p w14:paraId="3FE41DFE" w14:textId="77777777" w:rsidR="005B6145" w:rsidRPr="00EC1D78" w:rsidRDefault="005B6145" w:rsidP="005B6145">
      <w:pPr>
        <w:spacing w:line="360" w:lineRule="auto"/>
        <w:jc w:val="both"/>
        <w:rPr>
          <w:b/>
          <w:bCs/>
        </w:rPr>
      </w:pPr>
    </w:p>
    <w:p w14:paraId="2D5F6DCB" w14:textId="77777777" w:rsidR="005B6145" w:rsidRPr="00EC1D78" w:rsidRDefault="005B6145" w:rsidP="00FC2B50">
      <w:pPr>
        <w:spacing w:line="360" w:lineRule="auto"/>
        <w:ind w:left="1440"/>
        <w:jc w:val="both"/>
      </w:pPr>
      <w:r w:rsidRPr="00EC1D78">
        <w:rPr>
          <w:rtl/>
        </w:rPr>
        <w:t xml:space="preserve">"ככלל, בעת ענישתם של העוסקים בסחר בסמים, יש ליתן משקל גדול לשאלת הרווח הכלכלי שנצמח מהעבירות. הסיבה לכך היא אופיין של עבירות אלה – הסחר בסם ולא השימוש של האדם הבודד – שכל כולן סובבות סביב בצע כסף. ענישה כלכלית מחמירה תורמת להרתעה של העבריין הספציפי ולהרתעת הרבים, והיא מהווה את תשובת המשקל ההולמת לעבירות כגון דא (ראו </w:t>
      </w:r>
      <w:hyperlink r:id="rId37" w:history="1">
        <w:r w:rsidR="00B53C1F" w:rsidRPr="00B53C1F">
          <w:rPr>
            <w:rStyle w:val="Hyperlink"/>
            <w:rFonts w:cs="David"/>
            <w:rtl/>
          </w:rPr>
          <w:t>ע"פ 2996/09</w:t>
        </w:r>
      </w:hyperlink>
      <w:r w:rsidRPr="00EC1D78">
        <w:rPr>
          <w:rtl/>
        </w:rPr>
        <w:t xml:space="preserve"> פלוני נ' מדינת ישראל, [פורסם בנבו] פסקה שח (11.05.2011); </w:t>
      </w:r>
      <w:hyperlink r:id="rId38" w:history="1">
        <w:r w:rsidR="00B53C1F" w:rsidRPr="00B53C1F">
          <w:rPr>
            <w:rStyle w:val="Hyperlink"/>
            <w:rFonts w:cs="David"/>
            <w:rtl/>
          </w:rPr>
          <w:t>ע"פ 5104/06</w:t>
        </w:r>
      </w:hyperlink>
      <w:r w:rsidRPr="00EC1D78">
        <w:rPr>
          <w:rtl/>
        </w:rPr>
        <w:t xml:space="preserve"> אנזור בנייורישלויל נ' מדינת ישראל, [פורסם בנבו] פסקה 14 (21.5.2007)). לכן יש הגיון, על פי אמת המידה של הלימת העונש, בהטלת קנס ובחילוט, גם אם נגזר על נאשם מאסר של מספר שנים." </w:t>
      </w:r>
      <w:r w:rsidRPr="00D2315F">
        <w:rPr>
          <w:rtl/>
        </w:rPr>
        <w:t xml:space="preserve">- </w:t>
      </w:r>
      <w:hyperlink r:id="rId39" w:history="1">
        <w:r w:rsidR="00FC2B50" w:rsidRPr="00FC2B50">
          <w:rPr>
            <w:rStyle w:val="Hyperlink"/>
            <w:rtl/>
          </w:rPr>
          <w:t xml:space="preserve">ע"פ 100/14 </w:t>
        </w:r>
      </w:hyperlink>
      <w:r w:rsidR="00FC2B50" w:rsidRPr="00FC2B50">
        <w:rPr>
          <w:rFonts w:cs="Times New Roman"/>
          <w:color w:val="000000"/>
          <w:rtl/>
        </w:rPr>
        <w:t xml:space="preserve"> </w:t>
      </w:r>
      <w:r w:rsidRPr="00B53C1F">
        <w:rPr>
          <w:rFonts w:cs="Times New Roman"/>
          <w:b/>
          <w:bCs/>
          <w:color w:val="000000"/>
          <w:rtl/>
        </w:rPr>
        <w:t>מדינת ישראל</w:t>
      </w:r>
      <w:r w:rsidRPr="00B53C1F">
        <w:rPr>
          <w:rFonts w:cs="Times New Roman"/>
          <w:color w:val="000000"/>
          <w:rtl/>
        </w:rPr>
        <w:t xml:space="preserve"> נ' </w:t>
      </w:r>
      <w:r w:rsidRPr="00B53C1F">
        <w:rPr>
          <w:rFonts w:cs="Times New Roman"/>
          <w:b/>
          <w:bCs/>
          <w:color w:val="000000"/>
          <w:rtl/>
        </w:rPr>
        <w:t>סימנטוב מחטייב</w:t>
      </w:r>
      <w:r w:rsidRPr="00B53C1F">
        <w:rPr>
          <w:rFonts w:cs="Times New Roman"/>
          <w:color w:val="000000"/>
          <w:rtl/>
        </w:rPr>
        <w:t xml:space="preserve"> (פורסם בנבו, 2014.12.10)</w:t>
      </w:r>
      <w:r w:rsidRPr="00D2315F">
        <w:rPr>
          <w:rtl/>
        </w:rPr>
        <w:br/>
      </w:r>
    </w:p>
    <w:p w14:paraId="4103DA64" w14:textId="77777777" w:rsidR="005B6145" w:rsidRPr="00EC1D78" w:rsidRDefault="005B6145" w:rsidP="005B6145">
      <w:pPr>
        <w:spacing w:line="360" w:lineRule="auto"/>
        <w:ind w:left="720" w:hanging="720"/>
        <w:jc w:val="both"/>
        <w:rPr>
          <w:rtl/>
        </w:rPr>
      </w:pPr>
      <w:r w:rsidRPr="00EC1D78">
        <w:rPr>
          <w:rtl/>
        </w:rPr>
        <w:t>10.</w:t>
      </w:r>
      <w:r w:rsidRPr="00EC1D78">
        <w:rPr>
          <w:rtl/>
        </w:rPr>
        <w:tab/>
        <w:t xml:space="preserve">גובה הקנס מושפע משיקולים שונים ובהם, סוג הסם וכמותו, שוויו הכספי, הרווח שניתן להפיק ממכירתו, ועוד, ובסופו של דבר הקנס אינו עומד בפני עצמו אלא הוא מרכיב בעונש הכולל - האמור לשמור על יחס הולם לחומרת מעשה העבירה ולמידת אשמו של הנאשם – שביחס אליו יש לתת את הדעת גם ליכולתו של הנאשם לעמוד בו. </w:t>
      </w:r>
    </w:p>
    <w:p w14:paraId="4BDDF968" w14:textId="77777777" w:rsidR="005B6145" w:rsidRPr="00EC1D78" w:rsidRDefault="005B6145" w:rsidP="005B6145">
      <w:pPr>
        <w:spacing w:line="360" w:lineRule="auto"/>
        <w:ind w:left="720" w:hanging="720"/>
        <w:jc w:val="both"/>
        <w:rPr>
          <w:rtl/>
        </w:rPr>
      </w:pPr>
      <w:r w:rsidRPr="00EC1D78">
        <w:rPr>
          <w:rtl/>
        </w:rPr>
        <w:tab/>
      </w:r>
    </w:p>
    <w:p w14:paraId="1DB5E4C6" w14:textId="77777777" w:rsidR="005B6145" w:rsidRPr="00EC1D78" w:rsidRDefault="005B6145" w:rsidP="005B6145">
      <w:pPr>
        <w:spacing w:line="360" w:lineRule="auto"/>
        <w:ind w:left="720"/>
        <w:jc w:val="both"/>
        <w:rPr>
          <w:rtl/>
        </w:rPr>
      </w:pPr>
      <w:r w:rsidRPr="00EC1D78">
        <w:rPr>
          <w:rtl/>
        </w:rPr>
        <w:t xml:space="preserve">באופן מעשי, הקנסות המוטלים על החזקת עשרות גרם הרואין או קוקאין שלא לצריכה עצמית, הם בסדרי גודל של עשרות אלפי שקלים.    </w:t>
      </w:r>
    </w:p>
    <w:p w14:paraId="6616392C" w14:textId="77777777" w:rsidR="005B6145" w:rsidRPr="00EC1D78" w:rsidRDefault="005B6145" w:rsidP="005B6145">
      <w:pPr>
        <w:spacing w:line="360" w:lineRule="auto"/>
        <w:ind w:left="720" w:hanging="720"/>
        <w:jc w:val="both"/>
        <w:rPr>
          <w:rtl/>
        </w:rPr>
      </w:pPr>
    </w:p>
    <w:p w14:paraId="7D9C447E" w14:textId="77777777" w:rsidR="005B6145" w:rsidRPr="00EC1D78" w:rsidRDefault="005B6145" w:rsidP="005B6145">
      <w:pPr>
        <w:spacing w:line="360" w:lineRule="auto"/>
        <w:ind w:left="720" w:hanging="720"/>
        <w:jc w:val="both"/>
        <w:rPr>
          <w:rtl/>
        </w:rPr>
      </w:pPr>
      <w:r w:rsidRPr="00EC1D78">
        <w:rPr>
          <w:rtl/>
        </w:rPr>
        <w:t xml:space="preserve">11. </w:t>
      </w:r>
      <w:r w:rsidRPr="00EC1D78">
        <w:rPr>
          <w:rtl/>
        </w:rPr>
        <w:tab/>
        <w:t>בהתאם לצורך לקיים יחס הולם בין חומרת מעשה העבירה בנסיבותיו ומידת אשמו של הנאשם ובין העונש שיוטל; ובהתחשב בערכים החברתיים שנפגעו מביצוע העבירה; במידת הפגיעה בהם; במדיניות הענישה הנהוגה; ובנסיבות הקשורות בביצוע העבירה; אני קובע כי מתחם העונש ההולם לעבירה שביצע הנאשם הוא 3 עד 5 שנות מאסר בפועל  וקנס בטווח שבין 10,000 ל – 50,000 ₪.</w:t>
      </w:r>
    </w:p>
    <w:p w14:paraId="6EFC8B1C" w14:textId="77777777" w:rsidR="005B6145" w:rsidRPr="00EC1D78" w:rsidRDefault="005B6145" w:rsidP="005B6145">
      <w:pPr>
        <w:spacing w:line="360" w:lineRule="auto"/>
        <w:ind w:left="720" w:hanging="720"/>
        <w:jc w:val="both"/>
        <w:rPr>
          <w:rtl/>
        </w:rPr>
      </w:pPr>
    </w:p>
    <w:p w14:paraId="69719C64" w14:textId="77777777" w:rsidR="005B6145" w:rsidRPr="00EC1D78" w:rsidRDefault="005B6145" w:rsidP="005B6145">
      <w:pPr>
        <w:spacing w:line="360" w:lineRule="auto"/>
        <w:ind w:left="720" w:hanging="720"/>
        <w:jc w:val="both"/>
        <w:rPr>
          <w:rtl/>
        </w:rPr>
      </w:pPr>
      <w:r w:rsidRPr="00EC1D78">
        <w:rPr>
          <w:rtl/>
        </w:rPr>
        <w:t>12.</w:t>
      </w:r>
      <w:r w:rsidRPr="00EC1D78">
        <w:rPr>
          <w:rtl/>
        </w:rPr>
        <w:tab/>
        <w:t xml:space="preserve">על רקע טענת הנאשם בפני שירות המבחן וטענת בא כח הנאשם בטיעוניו לעונש, שהנאשם שימש כבלדר בשליחות אחר, אני מוצא לנכון להעיר, כי גם אם טענה זו היתה מוכחת לא היה בכך כדי לשנות את התוצאה העונשית. המלחמה בסמים מכוונת נגד כל מעורב הממלא תפקיד בשרשרת הפצת הסם. בלדרי הסמים משנעים בפועל את הסמים בדרכם מטה אל משתמשי הקצה. תפקידם במערך הפצת הסמים, מרכזי וחשוב ובלעדיהם הסמים אינם יכולים להגיע אל המשתמשים בסם. ממילא הם מטרה מרכזית וחשובה במלחמה בסמים ומוצדק להענישם בחומרה. </w:t>
      </w:r>
    </w:p>
    <w:p w14:paraId="4689A5D5" w14:textId="77777777" w:rsidR="005B6145" w:rsidRPr="00EC1D78" w:rsidRDefault="005B6145" w:rsidP="005B6145">
      <w:pPr>
        <w:spacing w:line="360" w:lineRule="auto"/>
        <w:ind w:left="720" w:hanging="720"/>
        <w:jc w:val="both"/>
        <w:rPr>
          <w:rtl/>
        </w:rPr>
      </w:pPr>
    </w:p>
    <w:p w14:paraId="29ABBFBC" w14:textId="77777777" w:rsidR="005B6145" w:rsidRPr="00EC1D78" w:rsidRDefault="005B6145" w:rsidP="005B6145">
      <w:pPr>
        <w:spacing w:line="360" w:lineRule="auto"/>
        <w:ind w:left="720" w:hanging="720"/>
        <w:jc w:val="both"/>
        <w:rPr>
          <w:rtl/>
        </w:rPr>
      </w:pPr>
      <w:r w:rsidRPr="00EC1D78">
        <w:rPr>
          <w:rtl/>
        </w:rPr>
        <w:t>13.</w:t>
      </w:r>
      <w:r w:rsidRPr="00EC1D78">
        <w:rPr>
          <w:rtl/>
        </w:rPr>
        <w:tab/>
        <w:t xml:space="preserve">הנאשם עצמו טען כי הוא ביצע את המעשה מתוך מצוקה כלכלית ורצון להרוויח כסף קל. מניעים אלה יכולים לחזור על עצמם והם עלולים לדחוף את הנאשם לשוב ולבצע עבירות דומות. משכך, יש צורך בהרתעת הנאשם מפני ביצוע עבירה נוספת. </w:t>
      </w:r>
    </w:p>
    <w:p w14:paraId="3CE76397" w14:textId="77777777" w:rsidR="005B6145" w:rsidRPr="00EC1D78" w:rsidRDefault="005B6145" w:rsidP="005B6145">
      <w:pPr>
        <w:spacing w:line="360" w:lineRule="auto"/>
        <w:ind w:left="720" w:hanging="720"/>
        <w:jc w:val="both"/>
        <w:rPr>
          <w:rtl/>
        </w:rPr>
      </w:pPr>
    </w:p>
    <w:p w14:paraId="13E47EF6" w14:textId="77777777" w:rsidR="005B6145" w:rsidRPr="00EC1D78" w:rsidRDefault="005B6145" w:rsidP="005B6145">
      <w:pPr>
        <w:spacing w:line="360" w:lineRule="auto"/>
        <w:ind w:left="720" w:hanging="720"/>
        <w:jc w:val="both"/>
        <w:rPr>
          <w:rtl/>
        </w:rPr>
      </w:pPr>
      <w:r w:rsidRPr="00EC1D78">
        <w:rPr>
          <w:rtl/>
        </w:rPr>
        <w:t>14.</w:t>
      </w:r>
      <w:r w:rsidRPr="00EC1D78">
        <w:rPr>
          <w:rtl/>
        </w:rPr>
        <w:tab/>
        <w:t xml:space="preserve">הפקת רווח כספי בקלות יחסית, עלולה לפתות את הרבים לבצע עבירות סמים. הרתעת הרבים מפני ביצוע עבירות כאלה, היא מטרה ממטרות הענישה בעבירות הסמים הקשות, התומכת בהטלת עונש מאסר משמעותי. </w:t>
      </w:r>
    </w:p>
    <w:p w14:paraId="3FE75472" w14:textId="77777777" w:rsidR="005B6145" w:rsidRPr="00EC1D78" w:rsidRDefault="005B6145" w:rsidP="005B6145">
      <w:pPr>
        <w:spacing w:line="360" w:lineRule="auto"/>
        <w:ind w:left="720" w:hanging="720"/>
        <w:jc w:val="both"/>
        <w:rPr>
          <w:rtl/>
        </w:rPr>
      </w:pPr>
    </w:p>
    <w:p w14:paraId="289F7248" w14:textId="77777777" w:rsidR="005B6145" w:rsidRPr="00EC1D78" w:rsidRDefault="005B6145" w:rsidP="005B6145">
      <w:pPr>
        <w:spacing w:line="360" w:lineRule="auto"/>
        <w:ind w:left="720" w:hanging="720"/>
        <w:jc w:val="both"/>
        <w:rPr>
          <w:rtl/>
        </w:rPr>
      </w:pPr>
      <w:r w:rsidRPr="00EC1D78">
        <w:rPr>
          <w:rtl/>
        </w:rPr>
        <w:t xml:space="preserve">15.  </w:t>
      </w:r>
      <w:r w:rsidRPr="00EC1D78">
        <w:rPr>
          <w:rtl/>
        </w:rPr>
        <w:tab/>
        <w:t>בגזירת עונשו של הנאשם, אני מביא בחשבון גם את גילו; העובדה כי הוא נעדר עבר פלילי; את הודאתו – על משמעויותיה; את נטילת האחריות שלו למעשהו; את הפגיעה הצפויה לו ולמשפחתו ממאסרו; ואת סיכויי שיקומו של הנאשם.</w:t>
      </w:r>
    </w:p>
    <w:p w14:paraId="07EFF7F8" w14:textId="77777777" w:rsidR="005B6145" w:rsidRPr="00EC1D78" w:rsidRDefault="005B6145" w:rsidP="005B6145">
      <w:pPr>
        <w:spacing w:line="360" w:lineRule="auto"/>
        <w:jc w:val="both"/>
        <w:rPr>
          <w:rtl/>
        </w:rPr>
      </w:pPr>
    </w:p>
    <w:p w14:paraId="1C08A755" w14:textId="77777777" w:rsidR="005B6145" w:rsidRPr="00EC1D78" w:rsidRDefault="005B6145" w:rsidP="005B6145">
      <w:pPr>
        <w:spacing w:line="360" w:lineRule="auto"/>
        <w:ind w:left="720" w:hanging="720"/>
        <w:jc w:val="both"/>
        <w:rPr>
          <w:rFonts w:ascii="FrankRuehl" w:hAnsi="FrankRuehl"/>
          <w:rtl/>
        </w:rPr>
      </w:pPr>
      <w:r w:rsidRPr="00EC1D78">
        <w:rPr>
          <w:rtl/>
        </w:rPr>
        <w:t>16.</w:t>
      </w:r>
      <w:r w:rsidRPr="00EC1D78">
        <w:rPr>
          <w:rtl/>
        </w:rPr>
        <w:tab/>
        <w:t xml:space="preserve">נוכח כל האמור, </w:t>
      </w:r>
      <w:r w:rsidRPr="00EC1D78">
        <w:rPr>
          <w:rFonts w:ascii="FrankRuehl" w:hAnsi="FrankRuehl" w:hint="eastAsia"/>
          <w:rtl/>
        </w:rPr>
        <w:t>אני</w:t>
      </w:r>
      <w:r w:rsidRPr="00EC1D78">
        <w:rPr>
          <w:rFonts w:ascii="FrankRuehl" w:hAnsi="FrankRuehl"/>
          <w:rtl/>
        </w:rPr>
        <w:t xml:space="preserve"> </w:t>
      </w:r>
      <w:r w:rsidRPr="00EC1D78">
        <w:rPr>
          <w:rFonts w:ascii="FrankRuehl" w:hAnsi="FrankRuehl" w:hint="eastAsia"/>
          <w:rtl/>
        </w:rPr>
        <w:t>דן</w:t>
      </w:r>
      <w:r w:rsidRPr="00EC1D78">
        <w:rPr>
          <w:rFonts w:ascii="FrankRuehl" w:hAnsi="FrankRuehl"/>
          <w:rtl/>
        </w:rPr>
        <w:t xml:space="preserve"> </w:t>
      </w:r>
      <w:r w:rsidRPr="00EC1D78">
        <w:rPr>
          <w:rFonts w:ascii="FrankRuehl" w:hAnsi="FrankRuehl" w:hint="eastAsia"/>
          <w:rtl/>
        </w:rPr>
        <w:t>את</w:t>
      </w:r>
      <w:r w:rsidRPr="00EC1D78">
        <w:rPr>
          <w:rFonts w:ascii="FrankRuehl" w:hAnsi="FrankRuehl"/>
          <w:rtl/>
        </w:rPr>
        <w:t xml:space="preserve"> </w:t>
      </w:r>
      <w:r w:rsidRPr="00EC1D78">
        <w:rPr>
          <w:rFonts w:ascii="FrankRuehl" w:hAnsi="FrankRuehl" w:hint="eastAsia"/>
          <w:rtl/>
        </w:rPr>
        <w:t>הנאשם</w:t>
      </w:r>
      <w:r w:rsidRPr="00EC1D78">
        <w:rPr>
          <w:rFonts w:ascii="FrankRuehl" w:hAnsi="FrankRuehl"/>
          <w:rtl/>
        </w:rPr>
        <w:t xml:space="preserve"> </w:t>
      </w:r>
      <w:r w:rsidRPr="00EC1D78">
        <w:rPr>
          <w:rFonts w:ascii="FrankRuehl" w:hAnsi="FrankRuehl" w:hint="eastAsia"/>
          <w:rtl/>
        </w:rPr>
        <w:t>לעונשים</w:t>
      </w:r>
      <w:r w:rsidRPr="00EC1D78">
        <w:rPr>
          <w:rFonts w:ascii="FrankRuehl" w:hAnsi="FrankRuehl"/>
          <w:rtl/>
        </w:rPr>
        <w:t xml:space="preserve"> </w:t>
      </w:r>
      <w:r w:rsidRPr="00EC1D78">
        <w:rPr>
          <w:rFonts w:ascii="FrankRuehl" w:hAnsi="FrankRuehl" w:hint="eastAsia"/>
          <w:rtl/>
        </w:rPr>
        <w:t>הבאים</w:t>
      </w:r>
      <w:r w:rsidRPr="00EC1D78">
        <w:rPr>
          <w:rFonts w:ascii="FrankRuehl" w:hAnsi="FrankRuehl"/>
          <w:rtl/>
        </w:rPr>
        <w:t>:</w:t>
      </w:r>
    </w:p>
    <w:p w14:paraId="1308313D" w14:textId="77777777" w:rsidR="005B6145" w:rsidRPr="00EC1D78" w:rsidRDefault="005B6145" w:rsidP="005B6145">
      <w:pPr>
        <w:spacing w:line="360" w:lineRule="auto"/>
        <w:ind w:left="1440"/>
        <w:jc w:val="both"/>
        <w:rPr>
          <w:rFonts w:ascii="FrankRuehl" w:hAnsi="FrankRuehl"/>
          <w:rtl/>
        </w:rPr>
      </w:pPr>
      <w:r w:rsidRPr="00EC1D78">
        <w:rPr>
          <w:rFonts w:ascii="FrankRuehl" w:hAnsi="FrankRuehl" w:hint="eastAsia"/>
          <w:rtl/>
        </w:rPr>
        <w:t>א</w:t>
      </w:r>
      <w:r w:rsidRPr="00EC1D78">
        <w:rPr>
          <w:rFonts w:ascii="FrankRuehl" w:hAnsi="FrankRuehl"/>
          <w:rtl/>
        </w:rPr>
        <w:t>.</w:t>
      </w:r>
      <w:r w:rsidRPr="00EC1D78">
        <w:rPr>
          <w:rFonts w:ascii="FrankRuehl" w:hAnsi="FrankRuehl"/>
          <w:rtl/>
        </w:rPr>
        <w:tab/>
        <w:t xml:space="preserve">36 </w:t>
      </w:r>
      <w:r w:rsidRPr="00EC1D78">
        <w:rPr>
          <w:rFonts w:ascii="FrankRuehl" w:hAnsi="FrankRuehl" w:hint="eastAsia"/>
          <w:rtl/>
        </w:rPr>
        <w:t>חודשי</w:t>
      </w:r>
      <w:r w:rsidRPr="00EC1D78">
        <w:rPr>
          <w:rFonts w:ascii="FrankRuehl" w:hAnsi="FrankRuehl"/>
          <w:rtl/>
        </w:rPr>
        <w:t xml:space="preserve"> </w:t>
      </w:r>
      <w:r w:rsidRPr="00EC1D78">
        <w:rPr>
          <w:rFonts w:ascii="FrankRuehl" w:hAnsi="FrankRuehl" w:hint="eastAsia"/>
          <w:rtl/>
        </w:rPr>
        <w:t>מאסר</w:t>
      </w:r>
      <w:r w:rsidRPr="00EC1D78">
        <w:rPr>
          <w:rFonts w:ascii="FrankRuehl" w:hAnsi="FrankRuehl"/>
          <w:rtl/>
        </w:rPr>
        <w:t xml:space="preserve"> </w:t>
      </w:r>
      <w:r w:rsidRPr="00EC1D78">
        <w:rPr>
          <w:rFonts w:ascii="FrankRuehl" w:hAnsi="FrankRuehl" w:hint="eastAsia"/>
          <w:rtl/>
        </w:rPr>
        <w:t>בפועל</w:t>
      </w:r>
      <w:r w:rsidRPr="00EC1D78">
        <w:rPr>
          <w:rFonts w:ascii="FrankRuehl" w:hAnsi="FrankRuehl"/>
          <w:rtl/>
        </w:rPr>
        <w:t xml:space="preserve">, </w:t>
      </w:r>
      <w:r w:rsidRPr="00EC1D78">
        <w:rPr>
          <w:rFonts w:ascii="FrankRuehl" w:hAnsi="FrankRuehl" w:hint="eastAsia"/>
          <w:rtl/>
        </w:rPr>
        <w:t>מיום</w:t>
      </w:r>
      <w:r w:rsidRPr="00EC1D78">
        <w:rPr>
          <w:rFonts w:ascii="FrankRuehl" w:hAnsi="FrankRuehl"/>
          <w:rtl/>
        </w:rPr>
        <w:t xml:space="preserve"> </w:t>
      </w:r>
      <w:r w:rsidRPr="00EC1D78">
        <w:rPr>
          <w:rFonts w:ascii="FrankRuehl" w:hAnsi="FrankRuehl" w:hint="eastAsia"/>
          <w:rtl/>
        </w:rPr>
        <w:t>מעצרו</w:t>
      </w:r>
      <w:r w:rsidRPr="00EC1D78">
        <w:rPr>
          <w:rFonts w:ascii="FrankRuehl" w:hAnsi="FrankRuehl"/>
          <w:rtl/>
        </w:rPr>
        <w:t>.</w:t>
      </w:r>
    </w:p>
    <w:p w14:paraId="3C559DF8" w14:textId="77777777" w:rsidR="005B6145" w:rsidRPr="00EC1D78" w:rsidRDefault="005B6145" w:rsidP="005B6145">
      <w:pPr>
        <w:spacing w:line="360" w:lineRule="auto"/>
        <w:ind w:left="2160" w:hanging="720"/>
        <w:jc w:val="both"/>
        <w:rPr>
          <w:rFonts w:ascii="FrankRuehl" w:hAnsi="FrankRuehl"/>
          <w:rtl/>
        </w:rPr>
      </w:pPr>
      <w:r w:rsidRPr="00EC1D78">
        <w:rPr>
          <w:rFonts w:ascii="FrankRuehl" w:hAnsi="FrankRuehl" w:hint="eastAsia"/>
          <w:rtl/>
        </w:rPr>
        <w:t>ב</w:t>
      </w:r>
      <w:r w:rsidRPr="00EC1D78">
        <w:rPr>
          <w:rFonts w:ascii="FrankRuehl" w:hAnsi="FrankRuehl"/>
          <w:rtl/>
        </w:rPr>
        <w:t xml:space="preserve">. </w:t>
      </w:r>
      <w:r w:rsidRPr="00EC1D78">
        <w:rPr>
          <w:rFonts w:ascii="FrankRuehl" w:hAnsi="FrankRuehl"/>
          <w:rtl/>
        </w:rPr>
        <w:tab/>
        <w:t xml:space="preserve">12 </w:t>
      </w:r>
      <w:r w:rsidRPr="00EC1D78">
        <w:rPr>
          <w:rFonts w:ascii="FrankRuehl" w:hAnsi="FrankRuehl" w:hint="eastAsia"/>
          <w:rtl/>
        </w:rPr>
        <w:t>חודשי</w:t>
      </w:r>
      <w:r w:rsidRPr="00EC1D78">
        <w:rPr>
          <w:rFonts w:ascii="FrankRuehl" w:hAnsi="FrankRuehl"/>
          <w:rtl/>
        </w:rPr>
        <w:t xml:space="preserve"> </w:t>
      </w:r>
      <w:r w:rsidRPr="00EC1D78">
        <w:rPr>
          <w:rFonts w:ascii="FrankRuehl" w:hAnsi="FrankRuehl" w:hint="eastAsia"/>
          <w:rtl/>
        </w:rPr>
        <w:t>מאסר</w:t>
      </w:r>
      <w:r w:rsidRPr="00EC1D78">
        <w:rPr>
          <w:rFonts w:ascii="FrankRuehl" w:hAnsi="FrankRuehl"/>
          <w:rtl/>
        </w:rPr>
        <w:t xml:space="preserve"> </w:t>
      </w:r>
      <w:r w:rsidRPr="00EC1D78">
        <w:rPr>
          <w:rFonts w:ascii="FrankRuehl" w:hAnsi="FrankRuehl" w:hint="eastAsia"/>
          <w:rtl/>
        </w:rPr>
        <w:t>על</w:t>
      </w:r>
      <w:r w:rsidRPr="00EC1D78">
        <w:rPr>
          <w:rFonts w:ascii="FrankRuehl" w:hAnsi="FrankRuehl"/>
          <w:rtl/>
        </w:rPr>
        <w:t xml:space="preserve"> </w:t>
      </w:r>
      <w:r w:rsidRPr="00EC1D78">
        <w:rPr>
          <w:rFonts w:ascii="FrankRuehl" w:hAnsi="FrankRuehl" w:hint="eastAsia"/>
          <w:rtl/>
        </w:rPr>
        <w:t>תנאי</w:t>
      </w:r>
      <w:r w:rsidRPr="00EC1D78">
        <w:rPr>
          <w:rFonts w:ascii="FrankRuehl" w:hAnsi="FrankRuehl"/>
          <w:rtl/>
        </w:rPr>
        <w:t xml:space="preserve"> </w:t>
      </w:r>
      <w:r w:rsidRPr="00EC1D78">
        <w:rPr>
          <w:rFonts w:ascii="FrankRuehl" w:hAnsi="FrankRuehl" w:hint="eastAsia"/>
          <w:rtl/>
        </w:rPr>
        <w:t>למשך</w:t>
      </w:r>
      <w:r w:rsidRPr="00EC1D78">
        <w:rPr>
          <w:rFonts w:ascii="FrankRuehl" w:hAnsi="FrankRuehl"/>
          <w:rtl/>
        </w:rPr>
        <w:t xml:space="preserve"> 3 </w:t>
      </w:r>
      <w:r w:rsidRPr="00EC1D78">
        <w:rPr>
          <w:rFonts w:ascii="FrankRuehl" w:hAnsi="FrankRuehl" w:hint="eastAsia"/>
          <w:rtl/>
        </w:rPr>
        <w:t>שנים</w:t>
      </w:r>
      <w:r w:rsidRPr="00EC1D78">
        <w:rPr>
          <w:rFonts w:ascii="FrankRuehl" w:hAnsi="FrankRuehl"/>
          <w:rtl/>
        </w:rPr>
        <w:t xml:space="preserve"> </w:t>
      </w:r>
      <w:r w:rsidRPr="00EC1D78">
        <w:rPr>
          <w:rFonts w:ascii="FrankRuehl" w:hAnsi="FrankRuehl" w:hint="eastAsia"/>
          <w:rtl/>
        </w:rPr>
        <w:t>מיום</w:t>
      </w:r>
      <w:r w:rsidRPr="00EC1D78">
        <w:rPr>
          <w:rFonts w:ascii="FrankRuehl" w:hAnsi="FrankRuehl"/>
          <w:rtl/>
        </w:rPr>
        <w:t xml:space="preserve"> </w:t>
      </w:r>
      <w:r w:rsidRPr="00EC1D78">
        <w:rPr>
          <w:rFonts w:ascii="FrankRuehl" w:hAnsi="FrankRuehl" w:hint="eastAsia"/>
          <w:rtl/>
        </w:rPr>
        <w:t>שחרורו</w:t>
      </w:r>
      <w:r w:rsidRPr="00EC1D78">
        <w:rPr>
          <w:rFonts w:ascii="FrankRuehl" w:hAnsi="FrankRuehl"/>
          <w:rtl/>
        </w:rPr>
        <w:t xml:space="preserve"> </w:t>
      </w:r>
      <w:r w:rsidRPr="00EC1D78">
        <w:rPr>
          <w:rFonts w:ascii="FrankRuehl" w:hAnsi="FrankRuehl" w:hint="eastAsia"/>
          <w:rtl/>
        </w:rPr>
        <w:t>מהמאסר</w:t>
      </w:r>
      <w:r w:rsidRPr="00EC1D78">
        <w:rPr>
          <w:rFonts w:ascii="FrankRuehl" w:hAnsi="FrankRuehl"/>
          <w:rtl/>
        </w:rPr>
        <w:t xml:space="preserve">, </w:t>
      </w:r>
      <w:r w:rsidRPr="00EC1D78">
        <w:rPr>
          <w:rFonts w:ascii="FrankRuehl" w:hAnsi="FrankRuehl" w:hint="eastAsia"/>
          <w:rtl/>
        </w:rPr>
        <w:t>שלא</w:t>
      </w:r>
      <w:r w:rsidRPr="00EC1D78">
        <w:rPr>
          <w:rFonts w:ascii="FrankRuehl" w:hAnsi="FrankRuehl"/>
          <w:rtl/>
        </w:rPr>
        <w:t xml:space="preserve"> </w:t>
      </w:r>
      <w:r w:rsidRPr="00EC1D78">
        <w:rPr>
          <w:rFonts w:ascii="FrankRuehl" w:hAnsi="FrankRuehl" w:hint="eastAsia"/>
          <w:rtl/>
        </w:rPr>
        <w:t>יעבור</w:t>
      </w:r>
      <w:r w:rsidRPr="00EC1D78">
        <w:rPr>
          <w:rFonts w:ascii="FrankRuehl" w:hAnsi="FrankRuehl"/>
          <w:rtl/>
        </w:rPr>
        <w:t xml:space="preserve"> </w:t>
      </w:r>
      <w:r w:rsidRPr="00EC1D78">
        <w:rPr>
          <w:rFonts w:ascii="FrankRuehl" w:hAnsi="FrankRuehl" w:hint="eastAsia"/>
          <w:rtl/>
        </w:rPr>
        <w:t>עבירת</w:t>
      </w:r>
      <w:r w:rsidRPr="00EC1D78">
        <w:rPr>
          <w:rFonts w:ascii="FrankRuehl" w:hAnsi="FrankRuehl"/>
          <w:rtl/>
        </w:rPr>
        <w:t xml:space="preserve"> </w:t>
      </w:r>
      <w:r w:rsidRPr="00EC1D78">
        <w:rPr>
          <w:rFonts w:ascii="FrankRuehl" w:hAnsi="FrankRuehl" w:hint="eastAsia"/>
          <w:rtl/>
        </w:rPr>
        <w:t>סמים</w:t>
      </w:r>
      <w:r w:rsidRPr="00EC1D78">
        <w:rPr>
          <w:rFonts w:ascii="FrankRuehl" w:hAnsi="FrankRuehl"/>
          <w:rtl/>
        </w:rPr>
        <w:t xml:space="preserve"> </w:t>
      </w:r>
      <w:r w:rsidRPr="00EC1D78">
        <w:rPr>
          <w:rFonts w:ascii="FrankRuehl" w:hAnsi="FrankRuehl" w:hint="eastAsia"/>
          <w:rtl/>
        </w:rPr>
        <w:t>שהיא</w:t>
      </w:r>
      <w:r w:rsidRPr="00EC1D78">
        <w:rPr>
          <w:rFonts w:ascii="FrankRuehl" w:hAnsi="FrankRuehl"/>
          <w:rtl/>
        </w:rPr>
        <w:t xml:space="preserve"> </w:t>
      </w:r>
      <w:r w:rsidRPr="00EC1D78">
        <w:rPr>
          <w:rFonts w:ascii="FrankRuehl" w:hAnsi="FrankRuehl" w:hint="eastAsia"/>
          <w:rtl/>
        </w:rPr>
        <w:t>פשע</w:t>
      </w:r>
      <w:r w:rsidRPr="00EC1D78">
        <w:rPr>
          <w:rFonts w:ascii="FrankRuehl" w:hAnsi="FrankRuehl"/>
          <w:rtl/>
        </w:rPr>
        <w:t xml:space="preserve">. </w:t>
      </w:r>
    </w:p>
    <w:p w14:paraId="3B99FE66" w14:textId="77777777" w:rsidR="005B6145" w:rsidRPr="00EC1D78" w:rsidRDefault="005B6145" w:rsidP="005B6145">
      <w:pPr>
        <w:spacing w:line="360" w:lineRule="auto"/>
        <w:ind w:left="2160" w:hanging="720"/>
        <w:jc w:val="both"/>
        <w:rPr>
          <w:rtl/>
        </w:rPr>
      </w:pPr>
      <w:r w:rsidRPr="00EC1D78">
        <w:rPr>
          <w:rFonts w:ascii="FrankRuehl" w:hAnsi="FrankRuehl" w:hint="eastAsia"/>
          <w:rtl/>
        </w:rPr>
        <w:t>ג</w:t>
      </w:r>
      <w:r w:rsidRPr="00EC1D78">
        <w:rPr>
          <w:rFonts w:ascii="FrankRuehl" w:hAnsi="FrankRuehl"/>
          <w:rtl/>
        </w:rPr>
        <w:t>.</w:t>
      </w:r>
      <w:r w:rsidRPr="00EC1D78">
        <w:rPr>
          <w:rFonts w:ascii="FrankRuehl" w:hAnsi="FrankRuehl"/>
          <w:rtl/>
        </w:rPr>
        <w:tab/>
      </w:r>
      <w:r w:rsidRPr="00EC1D78">
        <w:rPr>
          <w:rtl/>
        </w:rPr>
        <w:t>קנס בסך  10,000 ש"ח או חודש מאסר תחתיו.</w:t>
      </w:r>
    </w:p>
    <w:p w14:paraId="1DC15796" w14:textId="77777777" w:rsidR="005B6145" w:rsidRPr="00EC1D78" w:rsidRDefault="005B6145" w:rsidP="005B6145">
      <w:pPr>
        <w:spacing w:line="360" w:lineRule="auto"/>
        <w:ind w:left="720" w:hanging="720"/>
        <w:jc w:val="both"/>
        <w:rPr>
          <w:rtl/>
        </w:rPr>
      </w:pPr>
    </w:p>
    <w:p w14:paraId="1D49E8BD" w14:textId="77777777" w:rsidR="005B6145" w:rsidRPr="00EC1D78" w:rsidRDefault="005B6145" w:rsidP="005B6145">
      <w:pPr>
        <w:spacing w:line="360" w:lineRule="auto"/>
        <w:ind w:left="720" w:hanging="720"/>
        <w:jc w:val="both"/>
        <w:rPr>
          <w:rtl/>
        </w:rPr>
      </w:pPr>
      <w:r w:rsidRPr="00EC1D78">
        <w:rPr>
          <w:rtl/>
        </w:rPr>
        <w:t>17.</w:t>
      </w:r>
      <w:r w:rsidRPr="00EC1D78">
        <w:rPr>
          <w:rtl/>
        </w:rPr>
        <w:tab/>
        <w:t xml:space="preserve">הנאשם רשאי להפקיד בקופת בית המשפט, בתוך 90 יום, סך של 2,100 ₪ לטובת המדינה. עם הפקדת הסכום האמור בתקופת הזמן שניתנה לנאשם, תחזיר המדינה לנאשם או למי מטעמו את הרכב מסוג יונדאי גטס, מ.ר. 65-492-50, שנתפס ממנו במהלך החקירה. הכסף יחולט לטובת אוצר המדינה. אם הנאשם לא יפקיד את סכום הכסף במועד שנקבע, הרכב עצמו יחולט לטובת המדינה. </w:t>
      </w:r>
    </w:p>
    <w:p w14:paraId="37726CEF" w14:textId="77777777" w:rsidR="005B6145" w:rsidRPr="00EC1D78" w:rsidRDefault="005B6145" w:rsidP="005B6145">
      <w:pPr>
        <w:spacing w:line="360" w:lineRule="auto"/>
        <w:ind w:left="720" w:hanging="720"/>
        <w:jc w:val="both"/>
        <w:rPr>
          <w:rtl/>
        </w:rPr>
      </w:pPr>
    </w:p>
    <w:p w14:paraId="3BC9D13C" w14:textId="77777777" w:rsidR="005B6145" w:rsidRPr="00EC1D78" w:rsidRDefault="005B6145" w:rsidP="005B6145">
      <w:pPr>
        <w:spacing w:line="360" w:lineRule="auto"/>
        <w:ind w:left="720" w:hanging="720"/>
        <w:jc w:val="both"/>
        <w:rPr>
          <w:rtl/>
        </w:rPr>
      </w:pPr>
      <w:r w:rsidRPr="00EC1D78">
        <w:rPr>
          <w:rtl/>
        </w:rPr>
        <w:t xml:space="preserve">זכות ערעור תוך 45 יום מהיום. </w:t>
      </w:r>
    </w:p>
    <w:p w14:paraId="486CBE6B" w14:textId="77777777" w:rsidR="005B6145" w:rsidRPr="00EC1D78" w:rsidRDefault="005B6145" w:rsidP="005B6145">
      <w:pPr>
        <w:spacing w:line="360" w:lineRule="auto"/>
        <w:jc w:val="both"/>
        <w:rPr>
          <w:rtl/>
        </w:rPr>
      </w:pPr>
    </w:p>
    <w:p w14:paraId="0ED1DDA0" w14:textId="77777777" w:rsidR="005B6145" w:rsidRPr="00EC1D78" w:rsidRDefault="005B6145" w:rsidP="005B6145">
      <w:pPr>
        <w:spacing w:line="360" w:lineRule="auto"/>
        <w:jc w:val="both"/>
        <w:rPr>
          <w:rtl/>
        </w:rPr>
      </w:pPr>
    </w:p>
    <w:p w14:paraId="242FF2EE" w14:textId="77777777" w:rsidR="005B6145" w:rsidRPr="00B53C1F" w:rsidRDefault="00B53C1F" w:rsidP="005B6145">
      <w:pPr>
        <w:spacing w:line="360" w:lineRule="auto"/>
        <w:jc w:val="both"/>
        <w:rPr>
          <w:color w:val="FFFFFF"/>
          <w:sz w:val="2"/>
          <w:szCs w:val="2"/>
          <w:rtl/>
        </w:rPr>
      </w:pPr>
      <w:r w:rsidRPr="00B53C1F">
        <w:rPr>
          <w:color w:val="FFFFFF"/>
          <w:sz w:val="2"/>
          <w:szCs w:val="2"/>
          <w:rtl/>
        </w:rPr>
        <w:t>5129371</w:t>
      </w:r>
    </w:p>
    <w:p w14:paraId="5E8769F4" w14:textId="77777777" w:rsidR="005B6145" w:rsidRPr="00D2315F" w:rsidRDefault="00B53C1F" w:rsidP="005B6145">
      <w:pPr>
        <w:spacing w:line="360" w:lineRule="auto"/>
        <w:jc w:val="both"/>
        <w:rPr>
          <w:rtl/>
        </w:rPr>
      </w:pPr>
      <w:r w:rsidRPr="00B53C1F">
        <w:rPr>
          <w:rFonts w:ascii="Arial" w:hAnsi="Arial"/>
          <w:color w:val="FFFFFF"/>
          <w:sz w:val="2"/>
          <w:szCs w:val="2"/>
          <w:rtl/>
        </w:rPr>
        <w:t>54678313</w:t>
      </w:r>
      <w:r>
        <w:rPr>
          <w:rFonts w:ascii="Arial" w:hAnsi="Arial"/>
          <w:rtl/>
        </w:rPr>
        <w:t xml:space="preserve">ניתן היום,  י"ז אדר תשע"ז, 15 מרץ 2017, בהעדר הצדדים. </w:t>
      </w:r>
    </w:p>
    <w:p w14:paraId="0BF89926" w14:textId="77777777" w:rsidR="005B6145" w:rsidRPr="00EC1D78" w:rsidRDefault="005B6145" w:rsidP="005B6145">
      <w:pPr>
        <w:spacing w:line="360" w:lineRule="auto"/>
        <w:jc w:val="both"/>
      </w:pPr>
      <w:r w:rsidRPr="00EC1D78">
        <w:rPr>
          <w:rFonts w:hint="cs"/>
          <w:rtl/>
        </w:rPr>
        <w:t xml:space="preserve">   </w:t>
      </w:r>
      <w:r w:rsidRPr="00EC1D78">
        <w:rPr>
          <w:rFonts w:hint="cs"/>
          <w:rtl/>
        </w:rPr>
        <w:tab/>
      </w:r>
      <w:r w:rsidRPr="00EC1D78">
        <w:rPr>
          <w:rFonts w:hint="cs"/>
          <w:rtl/>
        </w:rPr>
        <w:tab/>
      </w:r>
      <w:r w:rsidRPr="00EC1D78">
        <w:rPr>
          <w:rFonts w:hint="cs"/>
          <w:rtl/>
        </w:rPr>
        <w:tab/>
      </w:r>
      <w:r w:rsidRPr="00EC1D78">
        <w:rPr>
          <w:rFonts w:hint="cs"/>
          <w:rtl/>
        </w:rPr>
        <w:tab/>
      </w:r>
      <w:r w:rsidRPr="00EC1D78">
        <w:rPr>
          <w:rFonts w:hint="cs"/>
          <w:rtl/>
        </w:rPr>
        <w:tab/>
      </w:r>
    </w:p>
    <w:p w14:paraId="5B1802AC" w14:textId="77777777" w:rsidR="005B6145" w:rsidRPr="00EC1D78" w:rsidRDefault="005B6145" w:rsidP="005B6145">
      <w:pPr>
        <w:spacing w:line="360" w:lineRule="auto"/>
        <w:jc w:val="both"/>
        <w:rPr>
          <w:rFonts w:ascii="Arial" w:hAnsi="Arial"/>
          <w:rtl/>
        </w:rPr>
      </w:pPr>
    </w:p>
    <w:p w14:paraId="432B5F58" w14:textId="77777777" w:rsidR="005B6145" w:rsidRPr="00EC1D78" w:rsidRDefault="005B6145" w:rsidP="005B6145">
      <w:pPr>
        <w:spacing w:line="360" w:lineRule="auto"/>
        <w:jc w:val="both"/>
        <w:rPr>
          <w:rtl/>
        </w:rPr>
      </w:pPr>
    </w:p>
    <w:p w14:paraId="71F58B28" w14:textId="77777777" w:rsidR="005B6145" w:rsidRPr="00EC1D78" w:rsidRDefault="005B6145" w:rsidP="005B6145">
      <w:pPr>
        <w:pStyle w:val="a3"/>
        <w:spacing w:line="360" w:lineRule="auto"/>
        <w:jc w:val="both"/>
        <w:rPr>
          <w:rtl/>
        </w:rPr>
      </w:pPr>
    </w:p>
    <w:p w14:paraId="73E875B7" w14:textId="77777777" w:rsidR="00B53C1F" w:rsidRPr="00B53C1F" w:rsidRDefault="00B53C1F" w:rsidP="00B53C1F">
      <w:pPr>
        <w:keepNext/>
        <w:rPr>
          <w:rFonts w:ascii="David" w:hAnsi="David"/>
          <w:color w:val="000000"/>
          <w:sz w:val="22"/>
          <w:szCs w:val="22"/>
          <w:rtl/>
        </w:rPr>
      </w:pPr>
    </w:p>
    <w:p w14:paraId="37F8D4CF" w14:textId="77777777" w:rsidR="00B53C1F" w:rsidRPr="00B53C1F" w:rsidRDefault="00B53C1F" w:rsidP="00B53C1F">
      <w:pPr>
        <w:keepNext/>
        <w:rPr>
          <w:rFonts w:ascii="David" w:hAnsi="David"/>
          <w:color w:val="000000"/>
          <w:sz w:val="22"/>
          <w:szCs w:val="22"/>
          <w:rtl/>
        </w:rPr>
      </w:pPr>
      <w:r w:rsidRPr="00B53C1F">
        <w:rPr>
          <w:rFonts w:ascii="David" w:hAnsi="David"/>
          <w:color w:val="000000"/>
          <w:sz w:val="22"/>
          <w:szCs w:val="22"/>
          <w:rtl/>
        </w:rPr>
        <w:t>אליהו ביתן 54678313</w:t>
      </w:r>
    </w:p>
    <w:p w14:paraId="6008CF41" w14:textId="77777777" w:rsidR="00B53C1F" w:rsidRDefault="00B53C1F" w:rsidP="00B53C1F">
      <w:pPr>
        <w:rPr>
          <w:color w:val="000000"/>
          <w:rtl/>
        </w:rPr>
      </w:pPr>
      <w:r w:rsidRPr="00B53C1F">
        <w:rPr>
          <w:color w:val="000000"/>
          <w:rtl/>
        </w:rPr>
        <w:t>נוסח מסמך זה כפוף לשינויי ניסוח ועריכה</w:t>
      </w:r>
    </w:p>
    <w:p w14:paraId="4D03EA72" w14:textId="77777777" w:rsidR="00B53C1F" w:rsidRDefault="00B53C1F" w:rsidP="00B53C1F">
      <w:pPr>
        <w:rPr>
          <w:rtl/>
        </w:rPr>
      </w:pPr>
    </w:p>
    <w:p w14:paraId="2A45FE98" w14:textId="77777777" w:rsidR="00B53C1F" w:rsidRDefault="00B53C1F" w:rsidP="00B53C1F">
      <w:pPr>
        <w:jc w:val="center"/>
        <w:rPr>
          <w:color w:val="0000FF"/>
          <w:u w:val="single"/>
          <w:rtl/>
        </w:rPr>
      </w:pPr>
      <w:hyperlink r:id="rId40" w:history="1">
        <w:r>
          <w:rPr>
            <w:rStyle w:val="Hyperlink"/>
            <w:rFonts w:cs="David"/>
            <w:rtl/>
          </w:rPr>
          <w:t>בעניין עריכה ושינויים במסמכי פסיקה, חקיקה ועוד באתר נבו – הקש כאן</w:t>
        </w:r>
      </w:hyperlink>
      <w:r w:rsidR="00FC2B50">
        <w:rPr>
          <w:rFonts w:hint="cs"/>
          <w:color w:val="0000FF"/>
          <w:u w:val="single"/>
          <w:rtl/>
        </w:rPr>
        <w:t xml:space="preserve"> </w:t>
      </w:r>
    </w:p>
    <w:p w14:paraId="5A44C544" w14:textId="77777777" w:rsidR="00782CAD" w:rsidRPr="00B53C1F" w:rsidRDefault="00782CAD" w:rsidP="00B53C1F">
      <w:pPr>
        <w:jc w:val="center"/>
        <w:rPr>
          <w:color w:val="0000FF"/>
          <w:u w:val="single"/>
        </w:rPr>
      </w:pPr>
    </w:p>
    <w:sectPr w:rsidR="00782CAD" w:rsidRPr="00B53C1F" w:rsidSect="00B53C1F">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CACF2" w14:textId="77777777" w:rsidR="00287C2A" w:rsidRDefault="00287C2A">
      <w:r>
        <w:separator/>
      </w:r>
    </w:p>
  </w:endnote>
  <w:endnote w:type="continuationSeparator" w:id="0">
    <w:p w14:paraId="1683BD69" w14:textId="77777777" w:rsidR="00287C2A" w:rsidRDefault="00287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9989B" w14:textId="77777777" w:rsidR="008B7834" w:rsidRDefault="008B7834" w:rsidP="00B53C1F">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7D05D74" w14:textId="77777777" w:rsidR="008B7834" w:rsidRPr="00B53C1F" w:rsidRDefault="008B7834" w:rsidP="00B53C1F">
    <w:pPr>
      <w:pStyle w:val="a4"/>
      <w:pBdr>
        <w:top w:val="single" w:sz="4" w:space="1" w:color="auto"/>
        <w:between w:val="single" w:sz="4" w:space="0" w:color="auto"/>
      </w:pBdr>
      <w:spacing w:after="60"/>
      <w:jc w:val="center"/>
      <w:rPr>
        <w:rFonts w:ascii="FrankRuehl" w:hAnsi="FrankRuehl" w:cs="FrankRuehl"/>
        <w:color w:val="000000"/>
      </w:rPr>
    </w:pPr>
    <w:r w:rsidRPr="00B53C1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BF174" w14:textId="77777777" w:rsidR="008B7834" w:rsidRDefault="008B7834" w:rsidP="00B53C1F">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0144B">
      <w:rPr>
        <w:rFonts w:ascii="FrankRuehl" w:hAnsi="FrankRuehl" w:cs="FrankRuehl"/>
        <w:noProof/>
        <w:rtl/>
      </w:rPr>
      <w:t>1</w:t>
    </w:r>
    <w:r>
      <w:rPr>
        <w:rFonts w:ascii="FrankRuehl" w:hAnsi="FrankRuehl" w:cs="FrankRuehl"/>
        <w:rtl/>
      </w:rPr>
      <w:fldChar w:fldCharType="end"/>
    </w:r>
  </w:p>
  <w:p w14:paraId="1DEAC72F" w14:textId="77777777" w:rsidR="008B7834" w:rsidRPr="00B53C1F" w:rsidRDefault="008B7834" w:rsidP="00B53C1F">
    <w:pPr>
      <w:pStyle w:val="a4"/>
      <w:pBdr>
        <w:top w:val="single" w:sz="4" w:space="1" w:color="auto"/>
        <w:between w:val="single" w:sz="4" w:space="0" w:color="auto"/>
      </w:pBdr>
      <w:spacing w:after="60"/>
      <w:jc w:val="center"/>
      <w:rPr>
        <w:rFonts w:ascii="FrankRuehl" w:hAnsi="FrankRuehl" w:cs="FrankRuehl"/>
        <w:color w:val="000000"/>
      </w:rPr>
    </w:pPr>
    <w:r w:rsidRPr="00B53C1F">
      <w:rPr>
        <w:rFonts w:ascii="FrankRuehl" w:hAnsi="FrankRuehl" w:cs="FrankRuehl"/>
        <w:color w:val="000000"/>
      </w:rPr>
      <w:pict w14:anchorId="7480B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87DF5" w14:textId="77777777" w:rsidR="00287C2A" w:rsidRDefault="00287C2A">
      <w:r>
        <w:separator/>
      </w:r>
    </w:p>
  </w:footnote>
  <w:footnote w:type="continuationSeparator" w:id="0">
    <w:p w14:paraId="2F908F9A" w14:textId="77777777" w:rsidR="00287C2A" w:rsidRDefault="00287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03F60" w14:textId="77777777" w:rsidR="008B7834" w:rsidRPr="00B53C1F" w:rsidRDefault="008B7834" w:rsidP="00B53C1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24253-04-16</w:t>
    </w:r>
    <w:r>
      <w:rPr>
        <w:rFonts w:ascii="David" w:hAnsi="David"/>
        <w:color w:val="000000"/>
        <w:sz w:val="22"/>
        <w:szCs w:val="22"/>
        <w:rtl/>
      </w:rPr>
      <w:tab/>
      <w:t xml:space="preserve"> מדינת ישראל נ' חאלד אלסאנע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C3BAA" w14:textId="77777777" w:rsidR="008B7834" w:rsidRPr="00B53C1F" w:rsidRDefault="008B7834" w:rsidP="00B53C1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24253-04-16</w:t>
    </w:r>
    <w:r>
      <w:rPr>
        <w:rFonts w:ascii="David" w:hAnsi="David"/>
        <w:color w:val="000000"/>
        <w:sz w:val="22"/>
        <w:szCs w:val="22"/>
        <w:rtl/>
      </w:rPr>
      <w:tab/>
      <w:t xml:space="preserve"> מדינת ישראל נ' חאלד אלסאנע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6145"/>
    <w:rsid w:val="00065A0C"/>
    <w:rsid w:val="001536E3"/>
    <w:rsid w:val="001D39E0"/>
    <w:rsid w:val="00287C2A"/>
    <w:rsid w:val="005108F0"/>
    <w:rsid w:val="005B6145"/>
    <w:rsid w:val="00782CAD"/>
    <w:rsid w:val="008809E9"/>
    <w:rsid w:val="008B7834"/>
    <w:rsid w:val="0091237F"/>
    <w:rsid w:val="00996103"/>
    <w:rsid w:val="00B53C1F"/>
    <w:rsid w:val="00C0144B"/>
    <w:rsid w:val="00DA3707"/>
    <w:rsid w:val="00FC2B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75413B3"/>
  <w15:chartTrackingRefBased/>
  <w15:docId w15:val="{DE7E7788-A0BC-45A9-B807-96C3D73A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6145"/>
    <w:pPr>
      <w:bidi/>
    </w:pPr>
    <w:rPr>
      <w:rFonts w:cs="David"/>
      <w:sz w:val="24"/>
      <w:szCs w:val="24"/>
    </w:rPr>
  </w:style>
  <w:style w:type="paragraph" w:styleId="1">
    <w:name w:val="heading 1"/>
    <w:basedOn w:val="a"/>
    <w:next w:val="a"/>
    <w:qFormat/>
    <w:rsid w:val="005B6145"/>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5B6145"/>
    <w:pPr>
      <w:keepNext/>
      <w:keepLines/>
      <w:spacing w:before="40"/>
      <w:outlineLvl w:val="2"/>
    </w:pPr>
    <w:rPr>
      <w:rFonts w:ascii="Cambria" w:hAnsi="Cambria" w:cs="Times New Roman"/>
      <w:color w:val="243F6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B6145"/>
    <w:pPr>
      <w:tabs>
        <w:tab w:val="center" w:pos="4153"/>
        <w:tab w:val="right" w:pos="8306"/>
      </w:tabs>
    </w:pPr>
  </w:style>
  <w:style w:type="paragraph" w:styleId="a4">
    <w:name w:val="footer"/>
    <w:basedOn w:val="a"/>
    <w:rsid w:val="005B6145"/>
    <w:pPr>
      <w:tabs>
        <w:tab w:val="center" w:pos="4153"/>
        <w:tab w:val="right" w:pos="8306"/>
      </w:tabs>
    </w:pPr>
  </w:style>
  <w:style w:type="character" w:styleId="a5">
    <w:name w:val="page number"/>
    <w:basedOn w:val="a0"/>
    <w:rsid w:val="005B6145"/>
  </w:style>
  <w:style w:type="character" w:customStyle="1" w:styleId="30">
    <w:name w:val="כותרת 3 תו"/>
    <w:link w:val="3"/>
    <w:rsid w:val="005B6145"/>
    <w:rPr>
      <w:rFonts w:ascii="Cambria" w:hAnsi="Cambria"/>
      <w:color w:val="243F60"/>
      <w:sz w:val="24"/>
      <w:szCs w:val="24"/>
      <w:lang w:val="en-US" w:eastAsia="en-US" w:bidi="he-IL"/>
    </w:rPr>
  </w:style>
  <w:style w:type="paragraph" w:styleId="a6">
    <w:name w:val="Body Text Indent"/>
    <w:basedOn w:val="a"/>
    <w:link w:val="a7"/>
    <w:rsid w:val="005B6145"/>
    <w:pPr>
      <w:spacing w:line="360" w:lineRule="auto"/>
      <w:ind w:left="720" w:hanging="720"/>
    </w:pPr>
    <w:rPr>
      <w:rFonts w:cs="FrankRuehl"/>
      <w:szCs w:val="28"/>
      <w:lang w:eastAsia="he-IL"/>
    </w:rPr>
  </w:style>
  <w:style w:type="character" w:customStyle="1" w:styleId="a7">
    <w:name w:val="כניסה בגוף טקסט תו"/>
    <w:link w:val="a6"/>
    <w:rsid w:val="005B6145"/>
    <w:rPr>
      <w:rFonts w:cs="FrankRuehl"/>
      <w:sz w:val="24"/>
      <w:szCs w:val="28"/>
      <w:lang w:val="en-US" w:eastAsia="he-IL" w:bidi="he-IL"/>
    </w:rPr>
  </w:style>
  <w:style w:type="paragraph" w:customStyle="1" w:styleId="a8">
    <w:name w:val="כללי"/>
    <w:basedOn w:val="a"/>
    <w:rsid w:val="005B6145"/>
    <w:pPr>
      <w:overflowPunct w:val="0"/>
      <w:autoSpaceDE w:val="0"/>
      <w:autoSpaceDN w:val="0"/>
      <w:adjustRightInd w:val="0"/>
      <w:spacing w:after="240" w:line="284" w:lineRule="exact"/>
      <w:ind w:firstLine="284"/>
      <w:jc w:val="both"/>
      <w:textAlignment w:val="baseline"/>
    </w:pPr>
    <w:rPr>
      <w:rFonts w:cs="FrankRuehl"/>
      <w:sz w:val="20"/>
      <w:lang w:eastAsia="he-IL"/>
    </w:rPr>
  </w:style>
  <w:style w:type="paragraph" w:customStyle="1" w:styleId="ListParagraph">
    <w:name w:val="List Paragraph"/>
    <w:basedOn w:val="a"/>
    <w:rsid w:val="005B6145"/>
    <w:pPr>
      <w:ind w:left="720"/>
    </w:pPr>
    <w:rPr>
      <w:rFonts w:cs="FrankRuehl"/>
      <w:szCs w:val="28"/>
      <w:lang w:eastAsia="he-IL"/>
    </w:rPr>
  </w:style>
  <w:style w:type="character" w:styleId="Hyperlink">
    <w:name w:val="Hyperlink"/>
    <w:rsid w:val="005B614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 TargetMode="External"/><Relationship Id="rId18" Type="http://schemas.openxmlformats.org/officeDocument/2006/relationships/hyperlink" Target="http://www.nevo.co.il/law/4216/31.3" TargetMode="External"/><Relationship Id="rId26" Type="http://schemas.openxmlformats.org/officeDocument/2006/relationships/hyperlink" Target="http://www.nevo.co.il/case/17912837" TargetMode="External"/><Relationship Id="rId39" Type="http://schemas.openxmlformats.org/officeDocument/2006/relationships/hyperlink" Target="http://www.nevo.co.il/case/11204005" TargetMode="External"/><Relationship Id="rId21" Type="http://schemas.openxmlformats.org/officeDocument/2006/relationships/hyperlink" Target="http://www.nevo.co.il/case/5988308" TargetMode="External"/><Relationship Id="rId34" Type="http://schemas.openxmlformats.org/officeDocument/2006/relationships/hyperlink" Target="http://www.nevo.co.il/law/70301/40j" TargetMode="External"/><Relationship Id="rId42" Type="http://schemas.openxmlformats.org/officeDocument/2006/relationships/header" Target="header2.xml"/><Relationship Id="rId7" Type="http://schemas.openxmlformats.org/officeDocument/2006/relationships/hyperlink" Target="http://www.nevo.co.il/law/4216/2T" TargetMode="External"/><Relationship Id="rId2" Type="http://schemas.openxmlformats.org/officeDocument/2006/relationships/settings" Target="settings.xml"/><Relationship Id="rId16" Type="http://schemas.openxmlformats.org/officeDocument/2006/relationships/hyperlink" Target="http://www.nevo.co.il/law/70301/25" TargetMode="External"/><Relationship Id="rId29" Type="http://schemas.openxmlformats.org/officeDocument/2006/relationships/hyperlink" Target="http://www.nevo.co.il/case/7752688"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0455788" TargetMode="External"/><Relationship Id="rId32" Type="http://schemas.openxmlformats.org/officeDocument/2006/relationships/hyperlink" Target="http://www.nevo.co.il/case/5727295" TargetMode="External"/><Relationship Id="rId37" Type="http://schemas.openxmlformats.org/officeDocument/2006/relationships/hyperlink" Target="http://www.nevo.co.il/case/5734189"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20412551" TargetMode="External"/><Relationship Id="rId28" Type="http://schemas.openxmlformats.org/officeDocument/2006/relationships/hyperlink" Target="http://www.nevo.co.il/case/5601584" TargetMode="External"/><Relationship Id="rId36" Type="http://schemas.openxmlformats.org/officeDocument/2006/relationships/hyperlink" Target="http://www.nevo.co.il/case/5797106" TargetMode="External"/><Relationship Id="rId10" Type="http://schemas.openxmlformats.org/officeDocument/2006/relationships/hyperlink" Target="http://www.nevo.co.il/law/4216/31.3" TargetMode="External"/><Relationship Id="rId19" Type="http://schemas.openxmlformats.org/officeDocument/2006/relationships/hyperlink" Target="http://www.nevo.co.il/law/4216" TargetMode="External"/><Relationship Id="rId31" Type="http://schemas.openxmlformats.org/officeDocument/2006/relationships/hyperlink" Target="http://www.nevo.co.il/case/5984454"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5698919" TargetMode="External"/><Relationship Id="rId27" Type="http://schemas.openxmlformats.org/officeDocument/2006/relationships/hyperlink" Target="http://www.nevo.co.il/case/18753213" TargetMode="External"/><Relationship Id="rId30" Type="http://schemas.openxmlformats.org/officeDocument/2006/relationships/hyperlink" Target="http://www.nevo.co.il/case/5953822" TargetMode="External"/><Relationship Id="rId35" Type="http://schemas.openxmlformats.org/officeDocument/2006/relationships/hyperlink" Target="http://www.nevo.co.il/law/70301"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webSettings" Target="webSettings.xml"/><Relationship Id="rId12" Type="http://schemas.openxmlformats.org/officeDocument/2006/relationships/hyperlink" Target="http://www.nevo.co.il/law/70301/25"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917767" TargetMode="External"/><Relationship Id="rId33" Type="http://schemas.openxmlformats.org/officeDocument/2006/relationships/hyperlink" Target="http://www.nevo.co.il/case/5698919" TargetMode="External"/><Relationship Id="rId38" Type="http://schemas.openxmlformats.org/officeDocument/2006/relationships/hyperlink" Target="http://www.nevo.co.il/case/5993550" TargetMode="External"/><Relationship Id="rId46" Type="http://schemas.openxmlformats.org/officeDocument/2006/relationships/theme" Target="theme/theme1.xml"/><Relationship Id="rId20" Type="http://schemas.openxmlformats.org/officeDocument/2006/relationships/hyperlink" Target="http://www.nevo.co.il/law/4216/2T"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3512</Words>
  <Characters>17564</Characters>
  <Application>Microsoft Office Word</Application>
  <DocSecurity>0</DocSecurity>
  <Lines>146</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21034</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3604597</vt:i4>
      </vt:variant>
      <vt:variant>
        <vt:i4>99</vt:i4>
      </vt:variant>
      <vt:variant>
        <vt:i4>0</vt:i4>
      </vt:variant>
      <vt:variant>
        <vt:i4>5</vt:i4>
      </vt:variant>
      <vt:variant>
        <vt:lpwstr>http://www.nevo.co.il/case/11204005</vt:lpwstr>
      </vt:variant>
      <vt:variant>
        <vt:lpwstr/>
      </vt:variant>
      <vt:variant>
        <vt:i4>3735675</vt:i4>
      </vt:variant>
      <vt:variant>
        <vt:i4>96</vt:i4>
      </vt:variant>
      <vt:variant>
        <vt:i4>0</vt:i4>
      </vt:variant>
      <vt:variant>
        <vt:i4>5</vt:i4>
      </vt:variant>
      <vt:variant>
        <vt:lpwstr>http://www.nevo.co.il/case/5993550</vt:lpwstr>
      </vt:variant>
      <vt:variant>
        <vt:lpwstr/>
      </vt:variant>
      <vt:variant>
        <vt:i4>4063359</vt:i4>
      </vt:variant>
      <vt:variant>
        <vt:i4>93</vt:i4>
      </vt:variant>
      <vt:variant>
        <vt:i4>0</vt:i4>
      </vt:variant>
      <vt:variant>
        <vt:i4>5</vt:i4>
      </vt:variant>
      <vt:variant>
        <vt:lpwstr>http://www.nevo.co.il/case/5734189</vt:lpwstr>
      </vt:variant>
      <vt:variant>
        <vt:lpwstr/>
      </vt:variant>
      <vt:variant>
        <vt:i4>3866740</vt:i4>
      </vt:variant>
      <vt:variant>
        <vt:i4>90</vt:i4>
      </vt:variant>
      <vt:variant>
        <vt:i4>0</vt:i4>
      </vt:variant>
      <vt:variant>
        <vt:i4>5</vt:i4>
      </vt:variant>
      <vt:variant>
        <vt:lpwstr>http://www.nevo.co.il/case/5797106</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http://www.nevo.co.il/law/70301/40j</vt:lpwstr>
      </vt:variant>
      <vt:variant>
        <vt:lpwstr/>
      </vt:variant>
      <vt:variant>
        <vt:i4>3932283</vt:i4>
      </vt:variant>
      <vt:variant>
        <vt:i4>81</vt:i4>
      </vt:variant>
      <vt:variant>
        <vt:i4>0</vt:i4>
      </vt:variant>
      <vt:variant>
        <vt:i4>5</vt:i4>
      </vt:variant>
      <vt:variant>
        <vt:lpwstr>http://www.nevo.co.il/case/5698919</vt:lpwstr>
      </vt:variant>
      <vt:variant>
        <vt:lpwstr/>
      </vt:variant>
      <vt:variant>
        <vt:i4>3145853</vt:i4>
      </vt:variant>
      <vt:variant>
        <vt:i4>78</vt:i4>
      </vt:variant>
      <vt:variant>
        <vt:i4>0</vt:i4>
      </vt:variant>
      <vt:variant>
        <vt:i4>5</vt:i4>
      </vt:variant>
      <vt:variant>
        <vt:lpwstr>http://www.nevo.co.il/case/5727295</vt:lpwstr>
      </vt:variant>
      <vt:variant>
        <vt:lpwstr/>
      </vt:variant>
      <vt:variant>
        <vt:i4>3997820</vt:i4>
      </vt:variant>
      <vt:variant>
        <vt:i4>75</vt:i4>
      </vt:variant>
      <vt:variant>
        <vt:i4>0</vt:i4>
      </vt:variant>
      <vt:variant>
        <vt:i4>5</vt:i4>
      </vt:variant>
      <vt:variant>
        <vt:lpwstr>http://www.nevo.co.il/case/5984454</vt:lpwstr>
      </vt:variant>
      <vt:variant>
        <vt:lpwstr/>
      </vt:variant>
      <vt:variant>
        <vt:i4>3801212</vt:i4>
      </vt:variant>
      <vt:variant>
        <vt:i4>72</vt:i4>
      </vt:variant>
      <vt:variant>
        <vt:i4>0</vt:i4>
      </vt:variant>
      <vt:variant>
        <vt:i4>5</vt:i4>
      </vt:variant>
      <vt:variant>
        <vt:lpwstr>http://www.nevo.co.il/case/5953822</vt:lpwstr>
      </vt:variant>
      <vt:variant>
        <vt:lpwstr/>
      </vt:variant>
      <vt:variant>
        <vt:i4>3932281</vt:i4>
      </vt:variant>
      <vt:variant>
        <vt:i4>69</vt:i4>
      </vt:variant>
      <vt:variant>
        <vt:i4>0</vt:i4>
      </vt:variant>
      <vt:variant>
        <vt:i4>5</vt:i4>
      </vt:variant>
      <vt:variant>
        <vt:lpwstr>http://www.nevo.co.il/case/7752688</vt:lpwstr>
      </vt:variant>
      <vt:variant>
        <vt:lpwstr/>
      </vt:variant>
      <vt:variant>
        <vt:i4>3407995</vt:i4>
      </vt:variant>
      <vt:variant>
        <vt:i4>66</vt:i4>
      </vt:variant>
      <vt:variant>
        <vt:i4>0</vt:i4>
      </vt:variant>
      <vt:variant>
        <vt:i4>5</vt:i4>
      </vt:variant>
      <vt:variant>
        <vt:lpwstr>http://www.nevo.co.il/case/5601584</vt:lpwstr>
      </vt:variant>
      <vt:variant>
        <vt:lpwstr/>
      </vt:variant>
      <vt:variant>
        <vt:i4>3407995</vt:i4>
      </vt:variant>
      <vt:variant>
        <vt:i4>63</vt:i4>
      </vt:variant>
      <vt:variant>
        <vt:i4>0</vt:i4>
      </vt:variant>
      <vt:variant>
        <vt:i4>5</vt:i4>
      </vt:variant>
      <vt:variant>
        <vt:lpwstr>http://www.nevo.co.il/case/18753213</vt:lpwstr>
      </vt:variant>
      <vt:variant>
        <vt:lpwstr/>
      </vt:variant>
      <vt:variant>
        <vt:i4>3735674</vt:i4>
      </vt:variant>
      <vt:variant>
        <vt:i4>60</vt:i4>
      </vt:variant>
      <vt:variant>
        <vt:i4>0</vt:i4>
      </vt:variant>
      <vt:variant>
        <vt:i4>5</vt:i4>
      </vt:variant>
      <vt:variant>
        <vt:lpwstr>http://www.nevo.co.il/case/17912837</vt:lpwstr>
      </vt:variant>
      <vt:variant>
        <vt:lpwstr/>
      </vt:variant>
      <vt:variant>
        <vt:i4>3407996</vt:i4>
      </vt:variant>
      <vt:variant>
        <vt:i4>57</vt:i4>
      </vt:variant>
      <vt:variant>
        <vt:i4>0</vt:i4>
      </vt:variant>
      <vt:variant>
        <vt:i4>5</vt:i4>
      </vt:variant>
      <vt:variant>
        <vt:lpwstr>http://www.nevo.co.il/case/5917767</vt:lpwstr>
      </vt:variant>
      <vt:variant>
        <vt:lpwstr/>
      </vt:variant>
      <vt:variant>
        <vt:i4>3866742</vt:i4>
      </vt:variant>
      <vt:variant>
        <vt:i4>54</vt:i4>
      </vt:variant>
      <vt:variant>
        <vt:i4>0</vt:i4>
      </vt:variant>
      <vt:variant>
        <vt:i4>5</vt:i4>
      </vt:variant>
      <vt:variant>
        <vt:lpwstr>http://www.nevo.co.il/case/20455788</vt:lpwstr>
      </vt:variant>
      <vt:variant>
        <vt:lpwstr/>
      </vt:variant>
      <vt:variant>
        <vt:i4>3211376</vt:i4>
      </vt:variant>
      <vt:variant>
        <vt:i4>51</vt:i4>
      </vt:variant>
      <vt:variant>
        <vt:i4>0</vt:i4>
      </vt:variant>
      <vt:variant>
        <vt:i4>5</vt:i4>
      </vt:variant>
      <vt:variant>
        <vt:lpwstr>http://www.nevo.co.il/case/20412551</vt:lpwstr>
      </vt:variant>
      <vt:variant>
        <vt:lpwstr/>
      </vt:variant>
      <vt:variant>
        <vt:i4>3932283</vt:i4>
      </vt:variant>
      <vt:variant>
        <vt:i4>48</vt:i4>
      </vt:variant>
      <vt:variant>
        <vt:i4>0</vt:i4>
      </vt:variant>
      <vt:variant>
        <vt:i4>5</vt:i4>
      </vt:variant>
      <vt:variant>
        <vt:lpwstr>http://www.nevo.co.il/case/5698919</vt:lpwstr>
      </vt:variant>
      <vt:variant>
        <vt:lpwstr/>
      </vt:variant>
      <vt:variant>
        <vt:i4>3539061</vt:i4>
      </vt:variant>
      <vt:variant>
        <vt:i4>45</vt:i4>
      </vt:variant>
      <vt:variant>
        <vt:i4>0</vt:i4>
      </vt:variant>
      <vt:variant>
        <vt:i4>5</vt:i4>
      </vt:variant>
      <vt:variant>
        <vt:lpwstr>http://www.nevo.co.il/case/5988308</vt:lpwstr>
      </vt:variant>
      <vt:variant>
        <vt:lpwstr/>
      </vt:variant>
      <vt:variant>
        <vt:i4>4980810</vt:i4>
      </vt:variant>
      <vt:variant>
        <vt:i4>42</vt:i4>
      </vt:variant>
      <vt:variant>
        <vt:i4>0</vt:i4>
      </vt:variant>
      <vt:variant>
        <vt:i4>5</vt:i4>
      </vt:variant>
      <vt:variant>
        <vt:lpwstr>http://www.nevo.co.il/law/4216/2T</vt:lpwstr>
      </vt:variant>
      <vt:variant>
        <vt:lpwstr/>
      </vt:variant>
      <vt:variant>
        <vt:i4>8257637</vt:i4>
      </vt:variant>
      <vt:variant>
        <vt:i4>39</vt:i4>
      </vt:variant>
      <vt:variant>
        <vt:i4>0</vt:i4>
      </vt:variant>
      <vt:variant>
        <vt:i4>5</vt:i4>
      </vt:variant>
      <vt:variant>
        <vt:lpwstr>http://www.nevo.co.il/law/4216</vt:lpwstr>
      </vt:variant>
      <vt:variant>
        <vt:lpwstr/>
      </vt:variant>
      <vt:variant>
        <vt:i4>6488187</vt:i4>
      </vt:variant>
      <vt:variant>
        <vt:i4>36</vt:i4>
      </vt:variant>
      <vt:variant>
        <vt:i4>0</vt:i4>
      </vt:variant>
      <vt:variant>
        <vt:i4>5</vt:i4>
      </vt:variant>
      <vt:variant>
        <vt:lpwstr>http://www.nevo.co.il/law/4216/31.3</vt:lpwstr>
      </vt:variant>
      <vt:variant>
        <vt:lpwstr/>
      </vt:variant>
      <vt:variant>
        <vt:i4>7995492</vt:i4>
      </vt:variant>
      <vt:variant>
        <vt:i4>33</vt:i4>
      </vt:variant>
      <vt:variant>
        <vt:i4>0</vt:i4>
      </vt:variant>
      <vt:variant>
        <vt:i4>5</vt:i4>
      </vt:variant>
      <vt:variant>
        <vt:lpwstr>http://www.nevo.co.il/law/70301</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6619233</vt:i4>
      </vt:variant>
      <vt:variant>
        <vt:i4>21</vt:i4>
      </vt:variant>
      <vt:variant>
        <vt:i4>0</vt:i4>
      </vt:variant>
      <vt:variant>
        <vt:i4>5</vt:i4>
      </vt:variant>
      <vt:variant>
        <vt:lpwstr>http://www.nevo.co.il/law/70301/40j</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6488187</vt:i4>
      </vt:variant>
      <vt:variant>
        <vt:i4>12</vt:i4>
      </vt:variant>
      <vt:variant>
        <vt:i4>0</vt:i4>
      </vt:variant>
      <vt:variant>
        <vt:i4>5</vt:i4>
      </vt:variant>
      <vt:variant>
        <vt:lpwstr>http://www.nevo.co.il/law/4216/31.3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4980810</vt:i4>
      </vt:variant>
      <vt:variant>
        <vt:i4>3</vt:i4>
      </vt:variant>
      <vt:variant>
        <vt:i4>0</vt:i4>
      </vt:variant>
      <vt:variant>
        <vt:i4>5</vt:i4>
      </vt:variant>
      <vt:variant>
        <vt:lpwstr>http://www.nevo.co.il/law/4216/2T</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2025-04-22T20:44:00Z</dcterms:created>
  <dcterms:modified xsi:type="dcterms:W3CDTF">2025-04-22T20:44:00Z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24253</vt:lpwstr>
  </property>
  <property fmtid="{D5CDD505-2E9C-101B-9397-08002B2CF9AE}" pid="6" name="NEWPARTB">
    <vt:lpwstr>04</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חאלד אלסאנע</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20170315</vt:lpwstr>
  </property>
  <property fmtid="{D5CDD505-2E9C-101B-9397-08002B2CF9AE}" pid="13" name="TYPE_N_DATE">
    <vt:lpwstr>39020170315</vt:lpwstr>
  </property>
  <property fmtid="{D5CDD505-2E9C-101B-9397-08002B2CF9AE}" pid="14" name="WORDNUMPAGES">
    <vt:lpwstr>11</vt:lpwstr>
  </property>
  <property fmtid="{D5CDD505-2E9C-101B-9397-08002B2CF9AE}" pid="15" name="TYPE_ABS_DATE">
    <vt:lpwstr>390020170315</vt:lpwstr>
  </property>
  <property fmtid="{D5CDD505-2E9C-101B-9397-08002B2CF9AE}" pid="16" name="ISABSTRACT">
    <vt:lpwstr>Y</vt:lpwstr>
  </property>
  <property fmtid="{D5CDD505-2E9C-101B-9397-08002B2CF9AE}" pid="17" name="CASESLISTTMP1">
    <vt:lpwstr>5988308;5698919:2;20412551;20455788;5917767;17912837;18753213;5601584;7752688;5953822;5984454;5727295;5797106;5734189;5993550;11204005</vt:lpwstr>
  </property>
  <property fmtid="{D5CDD505-2E9C-101B-9397-08002B2CF9AE}" pid="18" name="LAWLISTTMP1">
    <vt:lpwstr>4216/007.a;007.c;031.3;002T</vt:lpwstr>
  </property>
  <property fmtid="{D5CDD505-2E9C-101B-9397-08002B2CF9AE}" pid="19" name="LAWLISTTMP2">
    <vt:lpwstr>70301/025;040j</vt:lpwstr>
  </property>
</Properties>
</file>