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7C23F0" w:rsidRPr="00E76B77" w14:paraId="26ED3794" w14:textId="77777777" w:rsidTr="00E76B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56B7827" w14:textId="77777777" w:rsidR="007C23F0" w:rsidRPr="00E76B77" w:rsidRDefault="007C23F0" w:rsidP="00E76B7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76B7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7C23F0" w:rsidRPr="00E76B77" w14:paraId="54C10FC3" w14:textId="77777777" w:rsidTr="00E76B77">
        <w:trPr>
          <w:trHeight w:val="337"/>
          <w:jc w:val="center"/>
        </w:trPr>
        <w:tc>
          <w:tcPr>
            <w:tcW w:w="6396" w:type="dxa"/>
          </w:tcPr>
          <w:p w14:paraId="7579E036" w14:textId="77777777" w:rsidR="007C23F0" w:rsidRPr="00E76B77" w:rsidRDefault="007C23F0" w:rsidP="00E76B77">
            <w:pPr>
              <w:rPr>
                <w:b/>
                <w:bCs/>
                <w:sz w:val="26"/>
                <w:szCs w:val="26"/>
                <w:rtl/>
              </w:rPr>
            </w:pPr>
            <w:r w:rsidRPr="00E76B77">
              <w:rPr>
                <w:b/>
                <w:bCs/>
                <w:sz w:val="26"/>
                <w:szCs w:val="26"/>
                <w:rtl/>
              </w:rPr>
              <w:t>ת"פ</w:t>
            </w:r>
            <w:r w:rsidRPr="00E76B7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76B77">
              <w:rPr>
                <w:b/>
                <w:bCs/>
                <w:sz w:val="26"/>
                <w:szCs w:val="26"/>
                <w:rtl/>
              </w:rPr>
              <w:t>45175-07-16</w:t>
            </w:r>
            <w:r w:rsidRPr="00E76B7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76B77">
              <w:rPr>
                <w:b/>
                <w:bCs/>
                <w:sz w:val="26"/>
                <w:szCs w:val="26"/>
                <w:rtl/>
              </w:rPr>
              <w:t>מדינת ישראל נ' אוזנה</w:t>
            </w:r>
          </w:p>
          <w:p w14:paraId="5F9B6157" w14:textId="77777777" w:rsidR="007C23F0" w:rsidRPr="00E76B77" w:rsidRDefault="007C23F0" w:rsidP="00E76B77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6F22BD5" w14:textId="77777777" w:rsidR="007C23F0" w:rsidRPr="00E76B77" w:rsidRDefault="007C23F0" w:rsidP="00E76B77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7388736D" w14:textId="77777777" w:rsidR="007C23F0" w:rsidRPr="00E76B77" w:rsidRDefault="007C23F0" w:rsidP="00E76B7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76B77">
              <w:rPr>
                <w:b/>
                <w:bCs/>
                <w:sz w:val="26"/>
                <w:szCs w:val="26"/>
                <w:rtl/>
              </w:rPr>
              <w:t>17 מאי 2017</w:t>
            </w:r>
          </w:p>
        </w:tc>
      </w:tr>
    </w:tbl>
    <w:p w14:paraId="0D868CBA" w14:textId="77777777" w:rsidR="007C23F0" w:rsidRPr="00E76B77" w:rsidRDefault="007C23F0" w:rsidP="007C23F0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DD169B9" w14:textId="77777777" w:rsidR="007C23F0" w:rsidRPr="00E76B77" w:rsidRDefault="007C23F0" w:rsidP="007C23F0">
      <w:pPr>
        <w:suppressLineNumbers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7C23F0" w:rsidRPr="00E76B77" w14:paraId="16C26850" w14:textId="77777777" w:rsidTr="00E76B77">
        <w:trPr>
          <w:trHeight w:val="337"/>
          <w:jc w:val="center"/>
        </w:trPr>
        <w:tc>
          <w:tcPr>
            <w:tcW w:w="1592" w:type="dxa"/>
          </w:tcPr>
          <w:p w14:paraId="65D1DA36" w14:textId="77777777" w:rsidR="007C23F0" w:rsidRPr="00E76B77" w:rsidRDefault="007C23F0" w:rsidP="00E76B77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E76B77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3EAD3B22" w14:textId="77777777" w:rsidR="007C23F0" w:rsidRPr="00E76B77" w:rsidRDefault="007C23F0" w:rsidP="00E76B77">
            <w:pPr>
              <w:pStyle w:val="a4"/>
              <w:jc w:val="right"/>
              <w:rPr>
                <w:rtl/>
              </w:rPr>
            </w:pPr>
            <w:r w:rsidRPr="00E76B77">
              <w:rPr>
                <w:rFonts w:hint="cs"/>
                <w:rtl/>
              </w:rPr>
              <w:t xml:space="preserve"> 45164-07-16</w:t>
            </w:r>
          </w:p>
        </w:tc>
      </w:tr>
      <w:tr w:rsidR="007C23F0" w:rsidRPr="00E76B77" w14:paraId="449C2CD2" w14:textId="77777777" w:rsidTr="00E76B77">
        <w:trPr>
          <w:trHeight w:val="337"/>
          <w:jc w:val="center"/>
        </w:trPr>
        <w:tc>
          <w:tcPr>
            <w:tcW w:w="1592" w:type="dxa"/>
          </w:tcPr>
          <w:p w14:paraId="3B287A30" w14:textId="77777777" w:rsidR="007C23F0" w:rsidRPr="00E76B77" w:rsidRDefault="007C23F0" w:rsidP="00E76B77">
            <w:pPr>
              <w:pStyle w:val="a4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1AE454F6" w14:textId="77777777" w:rsidR="007C23F0" w:rsidRPr="00E76B77" w:rsidRDefault="007C23F0" w:rsidP="00E76B77">
            <w:pPr>
              <w:pStyle w:val="a4"/>
              <w:jc w:val="right"/>
              <w:rPr>
                <w:b/>
                <w:bCs/>
                <w:sz w:val="4"/>
                <w:szCs w:val="4"/>
                <w:rtl/>
              </w:rPr>
            </w:pPr>
            <w:r w:rsidRPr="00E76B77">
              <w:rPr>
                <w:rFonts w:hint="cs"/>
                <w:b/>
                <w:bCs/>
                <w:rtl/>
              </w:rPr>
              <w:t xml:space="preserve">                      </w:t>
            </w:r>
            <w:r w:rsidRPr="00E76B77">
              <w:rPr>
                <w:b/>
                <w:bCs/>
                <w:rtl/>
              </w:rPr>
              <w:t xml:space="preserve"> </w:t>
            </w:r>
            <w:r w:rsidRPr="00E76B77">
              <w:rPr>
                <w:rFonts w:hint="cs"/>
                <w:b/>
                <w:bCs/>
                <w:rtl/>
              </w:rPr>
              <w:t>מספר פל"א 292314\16</w:t>
            </w:r>
          </w:p>
        </w:tc>
      </w:tr>
      <w:tr w:rsidR="007C23F0" w:rsidRPr="00E76B77" w14:paraId="0AEEA4B5" w14:textId="77777777" w:rsidTr="00E76B77">
        <w:trPr>
          <w:trHeight w:val="337"/>
          <w:jc w:val="center"/>
        </w:trPr>
        <w:tc>
          <w:tcPr>
            <w:tcW w:w="1592" w:type="dxa"/>
          </w:tcPr>
          <w:p w14:paraId="36704AC2" w14:textId="77777777" w:rsidR="007C23F0" w:rsidRPr="00E76B77" w:rsidRDefault="007C23F0" w:rsidP="00E76B77">
            <w:pPr>
              <w:pStyle w:val="a4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0CF0BF7C" w14:textId="77777777" w:rsidR="007C23F0" w:rsidRPr="00E76B77" w:rsidRDefault="007C23F0" w:rsidP="00E76B77">
            <w:pPr>
              <w:pStyle w:val="a4"/>
              <w:jc w:val="right"/>
              <w:rPr>
                <w:rtl/>
              </w:rPr>
            </w:pPr>
          </w:p>
        </w:tc>
      </w:tr>
    </w:tbl>
    <w:p w14:paraId="00317120" w14:textId="77777777" w:rsidR="007C23F0" w:rsidRPr="00E76B77" w:rsidRDefault="007C23F0" w:rsidP="007C23F0">
      <w:pPr>
        <w:suppressLineNumbers/>
        <w:rPr>
          <w:rFonts w:ascii="Arial" w:hAnsi="Arial"/>
          <w:rtl/>
        </w:rPr>
      </w:pPr>
    </w:p>
    <w:p w14:paraId="03CD830A" w14:textId="77777777" w:rsidR="007C23F0" w:rsidRPr="00E76B77" w:rsidRDefault="007C23F0" w:rsidP="007C23F0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7C23F0" w:rsidRPr="00E76B77" w14:paraId="7CC4C0E3" w14:textId="77777777" w:rsidTr="00E76B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E28C2C3" w14:textId="77777777" w:rsidR="007C23F0" w:rsidRPr="00E76B77" w:rsidRDefault="007C23F0" w:rsidP="00E76B7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6B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E76B77">
              <w:rPr>
                <w:rFonts w:ascii="Times New Roman" w:eastAsia="Times New Roman" w:hAnsi="Times New Roman" w:hint="cs"/>
                <w:rtl/>
              </w:rPr>
              <w:t>שופטת ליאורה ברודי</w:t>
            </w:r>
            <w:r w:rsidRPr="00E76B77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7C23F0" w:rsidRPr="00E76B77" w14:paraId="6B641831" w14:textId="77777777" w:rsidTr="00E76B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2328BCE0" w14:textId="77777777" w:rsidR="007C23F0" w:rsidRPr="00E76B77" w:rsidRDefault="007C23F0" w:rsidP="00E76B7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6CE2B351" w14:textId="77777777" w:rsidR="007C23F0" w:rsidRPr="00E76B77" w:rsidRDefault="007C23F0" w:rsidP="00E76B7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6B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0061160" w14:textId="77777777" w:rsidR="007C23F0" w:rsidRPr="00E76B77" w:rsidRDefault="007C23F0" w:rsidP="00E76B77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13D57FE5" w14:textId="77777777" w:rsidR="007C23F0" w:rsidRPr="00E76B77" w:rsidRDefault="007C23F0" w:rsidP="00E76B7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6B77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76B7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00983CE0" w14:textId="77777777" w:rsidR="007C23F0" w:rsidRPr="00E76B77" w:rsidRDefault="007C23F0" w:rsidP="00E76B7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7C23F0" w:rsidRPr="00E76B77" w14:paraId="67FECBDE" w14:textId="77777777" w:rsidTr="00E76B77">
        <w:tc>
          <w:tcPr>
            <w:tcW w:w="8802" w:type="dxa"/>
            <w:gridSpan w:val="3"/>
            <w:shd w:val="clear" w:color="auto" w:fill="auto"/>
            <w:vAlign w:val="center"/>
          </w:tcPr>
          <w:p w14:paraId="7A010031" w14:textId="77777777" w:rsidR="007C23F0" w:rsidRPr="00E76B77" w:rsidRDefault="007C23F0" w:rsidP="00E76B7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3714EDD" w14:textId="77777777" w:rsidR="007C23F0" w:rsidRPr="00E76B77" w:rsidRDefault="007C23F0" w:rsidP="00E76B7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76B7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CEB3FE2" w14:textId="77777777" w:rsidR="007C23F0" w:rsidRPr="00E76B77" w:rsidRDefault="007C23F0" w:rsidP="00E76B77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7C23F0" w:rsidRPr="00E76B77" w14:paraId="4E6D2068" w14:textId="77777777" w:rsidTr="00E76B77">
        <w:tc>
          <w:tcPr>
            <w:tcW w:w="2880" w:type="dxa"/>
            <w:shd w:val="clear" w:color="auto" w:fill="auto"/>
          </w:tcPr>
          <w:p w14:paraId="34DFECC6" w14:textId="77777777" w:rsidR="007C23F0" w:rsidRPr="00E76B77" w:rsidRDefault="007C23F0" w:rsidP="00E76B7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6B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D8B3BB4" w14:textId="77777777" w:rsidR="007C23F0" w:rsidRPr="00E76B77" w:rsidRDefault="007C23F0" w:rsidP="00E607C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6B77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76B77">
              <w:rPr>
                <w:rFonts w:ascii="Times New Roman" w:eastAsia="Times New Roman" w:hAnsi="Times New Roman" w:hint="cs"/>
                <w:rtl/>
              </w:rPr>
              <w:t>נדב אוזנה</w:t>
            </w:r>
            <w:r w:rsidRPr="00E76B77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  <w:p w14:paraId="317E1EB7" w14:textId="77777777" w:rsidR="007C23F0" w:rsidRPr="00E76B77" w:rsidRDefault="007C23F0" w:rsidP="00E76B7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4B810C06" w14:textId="77777777" w:rsidR="007C23F0" w:rsidRPr="00E76B77" w:rsidRDefault="007C23F0" w:rsidP="007C23F0">
      <w:pPr>
        <w:spacing w:line="360" w:lineRule="auto"/>
        <w:jc w:val="both"/>
        <w:rPr>
          <w:rtl/>
        </w:rPr>
      </w:pPr>
    </w:p>
    <w:p w14:paraId="30B71EA4" w14:textId="77777777" w:rsidR="007C23F0" w:rsidRPr="00E76B77" w:rsidRDefault="007C23F0" w:rsidP="007C23F0">
      <w:pPr>
        <w:spacing w:line="360" w:lineRule="auto"/>
        <w:jc w:val="both"/>
        <w:rPr>
          <w:sz w:val="6"/>
          <w:szCs w:val="6"/>
          <w:rtl/>
        </w:rPr>
      </w:pPr>
      <w:r w:rsidRPr="00E76B77">
        <w:rPr>
          <w:sz w:val="6"/>
          <w:szCs w:val="6"/>
          <w:rtl/>
        </w:rPr>
        <w:t>&lt;#2#&gt;</w:t>
      </w:r>
    </w:p>
    <w:p w14:paraId="7C1F58F5" w14:textId="77777777" w:rsidR="007C23F0" w:rsidRPr="00E76B77" w:rsidRDefault="007C23F0" w:rsidP="007C23F0">
      <w:pPr>
        <w:pStyle w:val="12"/>
        <w:rPr>
          <w:u w:val="none"/>
          <w:rtl/>
        </w:rPr>
      </w:pPr>
      <w:r w:rsidRPr="00E76B77">
        <w:rPr>
          <w:rFonts w:hint="cs"/>
          <w:u w:val="none"/>
          <w:rtl/>
        </w:rPr>
        <w:t>נוכחים:</w:t>
      </w:r>
    </w:p>
    <w:p w14:paraId="59A4B7F9" w14:textId="77777777" w:rsidR="007C23F0" w:rsidRPr="00E76B77" w:rsidRDefault="007C23F0" w:rsidP="007C23F0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E76B77">
        <w:rPr>
          <w:rFonts w:hint="cs"/>
          <w:b w:val="0"/>
          <w:bCs w:val="0"/>
          <w:u w:val="none"/>
          <w:rtl/>
        </w:rPr>
        <w:t>ב"כ</w:t>
      </w:r>
      <w:bookmarkEnd w:id="2"/>
      <w:r w:rsidRPr="00E76B77">
        <w:rPr>
          <w:rFonts w:hint="cs"/>
          <w:b w:val="0"/>
          <w:bCs w:val="0"/>
          <w:u w:val="none"/>
          <w:rtl/>
        </w:rPr>
        <w:t xml:space="preserve"> המאשימה </w:t>
      </w:r>
      <w:r w:rsidRPr="00E76B77">
        <w:rPr>
          <w:b w:val="0"/>
          <w:bCs w:val="0"/>
          <w:u w:val="none"/>
          <w:rtl/>
        </w:rPr>
        <w:t>–</w:t>
      </w:r>
      <w:r w:rsidRPr="00E76B77">
        <w:rPr>
          <w:rFonts w:hint="cs"/>
          <w:b w:val="0"/>
          <w:bCs w:val="0"/>
          <w:u w:val="none"/>
          <w:rtl/>
        </w:rPr>
        <w:t xml:space="preserve"> עו"ד מורן טרבלסי </w:t>
      </w:r>
    </w:p>
    <w:p w14:paraId="1F32A6CC" w14:textId="77777777" w:rsidR="007C23F0" w:rsidRPr="00E76B77" w:rsidRDefault="007C23F0" w:rsidP="007C23F0">
      <w:pPr>
        <w:pStyle w:val="12"/>
        <w:rPr>
          <w:b w:val="0"/>
          <w:bCs w:val="0"/>
          <w:u w:val="none"/>
          <w:rtl/>
        </w:rPr>
      </w:pPr>
      <w:r w:rsidRPr="00E76B77">
        <w:rPr>
          <w:rFonts w:hint="cs"/>
          <w:b w:val="0"/>
          <w:bCs w:val="0"/>
          <w:u w:val="none"/>
          <w:rtl/>
        </w:rPr>
        <w:t xml:space="preserve">ב"כ הנאשם </w:t>
      </w:r>
      <w:r w:rsidRPr="00E76B77">
        <w:rPr>
          <w:b w:val="0"/>
          <w:bCs w:val="0"/>
          <w:u w:val="none"/>
          <w:rtl/>
        </w:rPr>
        <w:t>–</w:t>
      </w:r>
      <w:r w:rsidRPr="00E76B77">
        <w:rPr>
          <w:rFonts w:hint="cs"/>
          <w:b w:val="0"/>
          <w:bCs w:val="0"/>
          <w:u w:val="none"/>
          <w:rtl/>
        </w:rPr>
        <w:t xml:space="preserve"> עו"ד יניב שגב </w:t>
      </w:r>
    </w:p>
    <w:p w14:paraId="7535A3B1" w14:textId="77777777" w:rsidR="007C23F0" w:rsidRPr="00E76B77" w:rsidRDefault="007C23F0" w:rsidP="007C23F0">
      <w:pPr>
        <w:pStyle w:val="12"/>
        <w:rPr>
          <w:b w:val="0"/>
          <w:bCs w:val="0"/>
          <w:u w:val="none"/>
          <w:rtl/>
        </w:rPr>
      </w:pPr>
      <w:r w:rsidRPr="00E76B77">
        <w:rPr>
          <w:rFonts w:hint="cs"/>
          <w:b w:val="0"/>
          <w:bCs w:val="0"/>
          <w:u w:val="none"/>
          <w:rtl/>
        </w:rPr>
        <w:t xml:space="preserve">הנאשם </w:t>
      </w:r>
      <w:r w:rsidRPr="00E76B77">
        <w:rPr>
          <w:b w:val="0"/>
          <w:bCs w:val="0"/>
          <w:u w:val="none"/>
          <w:rtl/>
        </w:rPr>
        <w:t>–</w:t>
      </w:r>
      <w:r w:rsidRPr="00E76B77">
        <w:rPr>
          <w:rFonts w:hint="cs"/>
          <w:b w:val="0"/>
          <w:bCs w:val="0"/>
          <w:u w:val="none"/>
          <w:rtl/>
        </w:rPr>
        <w:t xml:space="preserve"> בעצמו </w:t>
      </w:r>
    </w:p>
    <w:p w14:paraId="25D5B75C" w14:textId="77777777" w:rsidR="007C23F0" w:rsidRPr="00E76B77" w:rsidRDefault="007C23F0" w:rsidP="007C23F0">
      <w:pPr>
        <w:pStyle w:val="12"/>
        <w:rPr>
          <w:b w:val="0"/>
          <w:bCs w:val="0"/>
          <w:u w:val="none"/>
          <w:rtl/>
        </w:rPr>
      </w:pPr>
    </w:p>
    <w:p w14:paraId="12E81A38" w14:textId="77777777" w:rsidR="00E607CB" w:rsidRDefault="007C23F0" w:rsidP="00E607CB">
      <w:pPr>
        <w:spacing w:after="120" w:line="240" w:lineRule="exact"/>
        <w:ind w:left="283" w:hanging="283"/>
        <w:jc w:val="both"/>
        <w:rPr>
          <w:rFonts w:ascii="Calibri" w:eastAsia="Times New Roman" w:hAnsi="Calibri"/>
          <w:color w:val="FF0000"/>
          <w:sz w:val="30"/>
          <w:rtl/>
        </w:rPr>
      </w:pPr>
      <w:r w:rsidRPr="00E76B77">
        <w:rPr>
          <w:rFonts w:ascii="Calibri" w:eastAsia="Times New Roman" w:hAnsi="Calibri" w:hint="eastAsia"/>
          <w:b/>
          <w:color w:val="FF0000"/>
          <w:sz w:val="30"/>
          <w:rtl/>
        </w:rPr>
        <w:t>במסמך</w:t>
      </w:r>
      <w:r w:rsidRPr="00E76B77">
        <w:rPr>
          <w:rFonts w:ascii="Calibri" w:eastAsia="Times New Roman" w:hAnsi="Calibri"/>
          <w:b/>
          <w:color w:val="FF0000"/>
          <w:sz w:val="30"/>
          <w:rtl/>
        </w:rPr>
        <w:t xml:space="preserve"> </w:t>
      </w:r>
      <w:r w:rsidRPr="00E76B77">
        <w:rPr>
          <w:rFonts w:ascii="Calibri" w:eastAsia="Times New Roman" w:hAnsi="Calibri" w:hint="eastAsia"/>
          <w:b/>
          <w:color w:val="FF0000"/>
          <w:sz w:val="30"/>
          <w:rtl/>
        </w:rPr>
        <w:t>זה</w:t>
      </w:r>
      <w:r w:rsidRPr="00E76B77">
        <w:rPr>
          <w:rFonts w:ascii="Calibri" w:eastAsia="Times New Roman" w:hAnsi="Calibri"/>
          <w:b/>
          <w:color w:val="FF0000"/>
          <w:sz w:val="30"/>
          <w:rtl/>
        </w:rPr>
        <w:t xml:space="preserve"> </w:t>
      </w:r>
      <w:r w:rsidRPr="00E76B77">
        <w:rPr>
          <w:rFonts w:ascii="Calibri" w:eastAsia="Times New Roman" w:hAnsi="Calibri" w:hint="eastAsia"/>
          <w:b/>
          <w:color w:val="FF0000"/>
          <w:sz w:val="30"/>
          <w:rtl/>
        </w:rPr>
        <w:t>הושמטו</w:t>
      </w:r>
      <w:r w:rsidRPr="00E76B77">
        <w:rPr>
          <w:rFonts w:ascii="Calibri" w:eastAsia="Times New Roman" w:hAnsi="Calibri"/>
          <w:b/>
          <w:color w:val="FF0000"/>
          <w:sz w:val="30"/>
          <w:rtl/>
        </w:rPr>
        <w:t xml:space="preserve"> </w:t>
      </w:r>
      <w:r w:rsidRPr="00E76B77">
        <w:rPr>
          <w:rFonts w:ascii="Calibri" w:eastAsia="Times New Roman" w:hAnsi="Calibri" w:hint="eastAsia"/>
          <w:b/>
          <w:color w:val="FF0000"/>
          <w:sz w:val="30"/>
          <w:rtl/>
        </w:rPr>
        <w:t>פרוטוקולי</w:t>
      </w:r>
      <w:bookmarkStart w:id="3" w:name="LawTable"/>
      <w:bookmarkEnd w:id="3"/>
    </w:p>
    <w:p w14:paraId="6D4288FE" w14:textId="77777777" w:rsidR="00E607CB" w:rsidRPr="00E607CB" w:rsidRDefault="00E607CB" w:rsidP="00E607CB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color w:val="FF0000"/>
          <w:rtl/>
        </w:rPr>
      </w:pPr>
    </w:p>
    <w:p w14:paraId="2C8E7063" w14:textId="77777777" w:rsidR="00E607CB" w:rsidRPr="00E607CB" w:rsidRDefault="00E607CB" w:rsidP="00E607CB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color w:val="FF0000"/>
          <w:rtl/>
        </w:rPr>
      </w:pPr>
      <w:r w:rsidRPr="00E607CB">
        <w:rPr>
          <w:rFonts w:ascii="FrankRuehl" w:eastAsia="Times New Roman" w:hAnsi="FrankRuehl" w:cs="FrankRuehl" w:hint="eastAsia"/>
          <w:color w:val="FF0000"/>
          <w:rtl/>
        </w:rPr>
        <w:t>חקיקה</w:t>
      </w:r>
      <w:r w:rsidRPr="00E607CB">
        <w:rPr>
          <w:rFonts w:ascii="FrankRuehl" w:eastAsia="Times New Roman" w:hAnsi="FrankRuehl" w:cs="FrankRuehl"/>
          <w:color w:val="FF0000"/>
          <w:rtl/>
        </w:rPr>
        <w:t xml:space="preserve"> </w:t>
      </w:r>
      <w:r w:rsidRPr="00E607CB">
        <w:rPr>
          <w:rFonts w:ascii="FrankRuehl" w:eastAsia="Times New Roman" w:hAnsi="FrankRuehl" w:cs="FrankRuehl" w:hint="eastAsia"/>
          <w:color w:val="FF0000"/>
          <w:rtl/>
        </w:rPr>
        <w:t>שאוזכרה</w:t>
      </w:r>
      <w:r w:rsidRPr="00E607CB">
        <w:rPr>
          <w:rFonts w:ascii="FrankRuehl" w:eastAsia="Times New Roman" w:hAnsi="FrankRuehl" w:cs="FrankRuehl"/>
          <w:color w:val="FF0000"/>
          <w:rtl/>
        </w:rPr>
        <w:t xml:space="preserve">: </w:t>
      </w:r>
    </w:p>
    <w:p w14:paraId="6F7A4008" w14:textId="77777777" w:rsidR="00E607CB" w:rsidRPr="00E607CB" w:rsidRDefault="00E607CB" w:rsidP="00E607CB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  <w:hyperlink r:id="rId6" w:history="1"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חוק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 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העונשין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, 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תשל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>"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ז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>-1977</w:t>
        </w:r>
      </w:hyperlink>
      <w:r w:rsidRPr="00E607CB">
        <w:rPr>
          <w:rFonts w:ascii="FrankRuehl" w:eastAsia="Times New Roman" w:hAnsi="FrankRuehl" w:cs="FrankRuehl"/>
          <w:rtl/>
        </w:rPr>
        <w:t xml:space="preserve">: </w:t>
      </w:r>
      <w:r w:rsidRPr="00E607CB">
        <w:rPr>
          <w:rFonts w:ascii="FrankRuehl" w:eastAsia="Times New Roman" w:hAnsi="FrankRuehl" w:cs="FrankRuehl" w:hint="eastAsia"/>
          <w:rtl/>
        </w:rPr>
        <w:t>סע</w:t>
      </w:r>
      <w:r w:rsidRPr="00E607CB">
        <w:rPr>
          <w:rFonts w:ascii="FrankRuehl" w:eastAsia="Times New Roman" w:hAnsi="FrankRuehl" w:cs="FrankRuehl"/>
          <w:rtl/>
        </w:rPr>
        <w:t xml:space="preserve">'  </w:t>
      </w:r>
      <w:hyperlink r:id="rId7" w:history="1"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>499 (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א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>) (1)</w:t>
        </w:r>
      </w:hyperlink>
    </w:p>
    <w:p w14:paraId="3FF76A58" w14:textId="77777777" w:rsidR="00E607CB" w:rsidRPr="00E607CB" w:rsidRDefault="00E607CB" w:rsidP="00E607CB">
      <w:pPr>
        <w:spacing w:after="120" w:line="240" w:lineRule="exact"/>
        <w:ind w:left="283" w:hanging="283"/>
        <w:jc w:val="both"/>
        <w:rPr>
          <w:rFonts w:ascii="FrankRuehl" w:eastAsia="Times New Roman" w:hAnsi="FrankRuehl" w:cs="FrankRuehl"/>
          <w:rtl/>
        </w:rPr>
      </w:pPr>
      <w:hyperlink r:id="rId8" w:history="1"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פקודת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 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הסמים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 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המסוכנים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 [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נוסח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 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חדש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 xml:space="preserve">], 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תשל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>"</w:t>
        </w:r>
        <w:r w:rsidRPr="00E607CB">
          <w:rPr>
            <w:rFonts w:ascii="FrankRuehl" w:eastAsia="Times New Roman" w:hAnsi="FrankRuehl" w:cs="FrankRuehl" w:hint="eastAsia"/>
            <w:color w:val="0000FF"/>
            <w:u w:val="single"/>
            <w:rtl/>
          </w:rPr>
          <w:t>ג</w:t>
        </w:r>
        <w:r w:rsidRPr="00E607CB">
          <w:rPr>
            <w:rFonts w:ascii="FrankRuehl" w:eastAsia="Times New Roman" w:hAnsi="FrankRuehl" w:cs="FrankRuehl"/>
            <w:color w:val="0000FF"/>
            <w:u w:val="single"/>
            <w:rtl/>
          </w:rPr>
          <w:t>-1973</w:t>
        </w:r>
      </w:hyperlink>
    </w:p>
    <w:p w14:paraId="11B77A21" w14:textId="77777777" w:rsidR="00E76B77" w:rsidRPr="00E607CB" w:rsidRDefault="00E76B77" w:rsidP="00E607CB">
      <w:pPr>
        <w:spacing w:after="120" w:line="240" w:lineRule="exact"/>
        <w:jc w:val="both"/>
        <w:rPr>
          <w:rFonts w:ascii="FrankRuehl" w:eastAsia="Times New Roman" w:hAnsi="FrankRuehl" w:cs="FrankRuehl" w:hint="cs"/>
          <w:color w:val="0000FF"/>
          <w:u w:val="single"/>
          <w:rtl/>
        </w:rPr>
      </w:pPr>
      <w:bookmarkStart w:id="4" w:name="LawTable_End"/>
      <w:bookmarkEnd w:id="4"/>
    </w:p>
    <w:p w14:paraId="46D4F464" w14:textId="77777777" w:rsidR="00E76B77" w:rsidRPr="00E76B77" w:rsidRDefault="00E76B77" w:rsidP="00E76B77">
      <w:pPr>
        <w:spacing w:after="160" w:line="259" w:lineRule="auto"/>
        <w:jc w:val="center"/>
        <w:rPr>
          <w:rFonts w:ascii="Calibri" w:eastAsia="Times New Roman" w:hAnsi="Calibri"/>
          <w:b/>
          <w:bCs/>
          <w:sz w:val="30"/>
          <w:szCs w:val="30"/>
          <w:u w:val="single"/>
          <w:rtl/>
        </w:rPr>
      </w:pPr>
      <w:bookmarkStart w:id="5" w:name="PsakDin"/>
      <w:bookmarkEnd w:id="0"/>
      <w:r w:rsidRPr="00E76B77">
        <w:rPr>
          <w:rFonts w:ascii="Calibri" w:eastAsia="Times New Roman" w:hAnsi="Calibri" w:hint="eastAsia"/>
          <w:b/>
          <w:bCs/>
          <w:sz w:val="30"/>
          <w:szCs w:val="30"/>
          <w:u w:val="single"/>
          <w:rtl/>
        </w:rPr>
        <w:t>גזר</w:t>
      </w:r>
      <w:r w:rsidRPr="00E76B77">
        <w:rPr>
          <w:rFonts w:ascii="Calibri" w:eastAsia="Times New Roman" w:hAnsi="Calibri"/>
          <w:b/>
          <w:bCs/>
          <w:sz w:val="30"/>
          <w:szCs w:val="30"/>
          <w:u w:val="single"/>
          <w:rtl/>
        </w:rPr>
        <w:t xml:space="preserve"> </w:t>
      </w:r>
      <w:r w:rsidRPr="00E76B77">
        <w:rPr>
          <w:rFonts w:ascii="Calibri" w:eastAsia="Times New Roman" w:hAnsi="Calibri" w:hint="eastAsia"/>
          <w:b/>
          <w:bCs/>
          <w:sz w:val="30"/>
          <w:szCs w:val="30"/>
          <w:u w:val="single"/>
          <w:rtl/>
        </w:rPr>
        <w:t>דין</w:t>
      </w:r>
    </w:p>
    <w:bookmarkEnd w:id="5"/>
    <w:p w14:paraId="72B08734" w14:textId="77777777" w:rsidR="007C23F0" w:rsidRPr="001F1B1A" w:rsidRDefault="007C23F0" w:rsidP="007C23F0">
      <w:pPr>
        <w:spacing w:after="160" w:line="259" w:lineRule="auto"/>
        <w:rPr>
          <w:rFonts w:ascii="Calibri" w:eastAsia="Times New Roman" w:hAnsi="Calibri"/>
          <w:b/>
          <w:bCs/>
          <w:u w:val="single"/>
          <w:rtl/>
        </w:rPr>
      </w:pPr>
    </w:p>
    <w:p w14:paraId="793FBEC9" w14:textId="77777777" w:rsidR="007C23F0" w:rsidRPr="001F1B1A" w:rsidRDefault="007C23F0" w:rsidP="007C23F0">
      <w:pPr>
        <w:spacing w:after="160" w:line="360" w:lineRule="auto"/>
        <w:jc w:val="both"/>
        <w:rPr>
          <w:rFonts w:ascii="Calibri" w:eastAsia="Times New Roman" w:hAnsi="Calibri"/>
          <w:rtl/>
        </w:rPr>
      </w:pPr>
      <w:bookmarkStart w:id="6" w:name="ABSTRACT_START"/>
      <w:bookmarkEnd w:id="6"/>
      <w:r w:rsidRPr="001F1B1A">
        <w:rPr>
          <w:rFonts w:ascii="Calibri" w:eastAsia="Times New Roman" w:hAnsi="Calibri" w:hint="eastAsia"/>
          <w:rtl/>
        </w:rPr>
        <w:t>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הורשע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פי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הודייתו</w:t>
      </w:r>
      <w:r w:rsidRPr="001F1B1A">
        <w:rPr>
          <w:rFonts w:ascii="Calibri" w:eastAsia="Times New Roman" w:hAnsi="Calibri"/>
          <w:rtl/>
        </w:rPr>
        <w:t xml:space="preserve">  </w:t>
      </w:r>
      <w:r w:rsidRPr="001F1B1A">
        <w:rPr>
          <w:rFonts w:ascii="Calibri" w:eastAsia="Times New Roman" w:hAnsi="Calibri" w:hint="eastAsia"/>
          <w:rtl/>
        </w:rPr>
        <w:t>בעבירה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קשירת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לבצע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פשע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לפי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סעיף</w:t>
      </w:r>
      <w:r w:rsidRPr="001F1B1A">
        <w:rPr>
          <w:rFonts w:ascii="Calibri" w:eastAsia="Times New Roman" w:hAnsi="Calibri"/>
          <w:rtl/>
        </w:rPr>
        <w:t xml:space="preserve"> </w:t>
      </w:r>
      <w:hyperlink r:id="rId9" w:history="1">
        <w:r w:rsidR="00E607CB" w:rsidRPr="00E607CB">
          <w:rPr>
            <w:rFonts w:ascii="Calibri" w:eastAsia="Times New Roman" w:hAnsi="Calibri"/>
            <w:color w:val="0000FF"/>
            <w:u w:val="single"/>
            <w:rtl/>
          </w:rPr>
          <w:t>499 (</w:t>
        </w:r>
        <w:r w:rsidR="00E607CB" w:rsidRPr="00E607CB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E607CB" w:rsidRPr="00E607CB">
          <w:rPr>
            <w:rFonts w:ascii="Calibri" w:eastAsia="Times New Roman" w:hAnsi="Calibri"/>
            <w:color w:val="0000FF"/>
            <w:u w:val="single"/>
            <w:rtl/>
          </w:rPr>
          <w:t>) (1)</w:t>
        </w:r>
      </w:hyperlink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</w:t>
      </w:r>
      <w:hyperlink r:id="rId10" w:history="1">
        <w:r w:rsidR="00E76B77" w:rsidRPr="00E76B77">
          <w:rPr>
            <w:rStyle w:val="Hyperlink"/>
            <w:rFonts w:ascii="Calibri" w:eastAsia="Times New Roman" w:hAnsi="Calibri" w:hint="eastAsia"/>
            <w:rtl/>
          </w:rPr>
          <w:t>חוק</w:t>
        </w:r>
        <w:r w:rsidR="00E76B77" w:rsidRPr="00E76B77">
          <w:rPr>
            <w:rStyle w:val="Hyperlink"/>
            <w:rFonts w:ascii="Calibri" w:eastAsia="Times New Roman" w:hAnsi="Calibri"/>
            <w:rtl/>
          </w:rPr>
          <w:t xml:space="preserve"> </w:t>
        </w:r>
        <w:r w:rsidR="00E76B77" w:rsidRPr="00E76B77">
          <w:rPr>
            <w:rStyle w:val="Hyperlink"/>
            <w:rFonts w:ascii="Calibri" w:eastAsia="Times New Roman" w:hAnsi="Calibri" w:hint="eastAsia"/>
            <w:rtl/>
          </w:rPr>
          <w:t>העונשין</w:t>
        </w:r>
      </w:hyperlink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התשל</w:t>
      </w:r>
      <w:r w:rsidRPr="001F1B1A">
        <w:rPr>
          <w:rFonts w:ascii="Calibri" w:eastAsia="Times New Roman" w:hAnsi="Calibri"/>
          <w:rtl/>
        </w:rPr>
        <w:t>"</w:t>
      </w:r>
      <w:r w:rsidRPr="001F1B1A">
        <w:rPr>
          <w:rFonts w:ascii="Calibri" w:eastAsia="Times New Roman" w:hAnsi="Calibri" w:hint="eastAsia"/>
          <w:rtl/>
        </w:rPr>
        <w:t>ז</w:t>
      </w:r>
      <w:r w:rsidRPr="001F1B1A">
        <w:rPr>
          <w:rFonts w:ascii="Calibri" w:eastAsia="Times New Roman" w:hAnsi="Calibri"/>
          <w:rtl/>
        </w:rPr>
        <w:t xml:space="preserve">- 1977, </w:t>
      </w:r>
      <w:bookmarkStart w:id="7" w:name="ABSTRACT_END"/>
      <w:bookmarkEnd w:id="7"/>
      <w:r w:rsidRPr="001F1B1A">
        <w:rPr>
          <w:rFonts w:ascii="Calibri" w:eastAsia="Times New Roman" w:hAnsi="Calibri" w:hint="eastAsia"/>
          <w:rtl/>
        </w:rPr>
        <w:t>במסגרת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הסדר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טיעון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שהושג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בהליך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גישור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שלפיו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תוקן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כתב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האישום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ולאחר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הרשעתו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בדין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עותרת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</w:t>
      </w:r>
      <w:r w:rsidRPr="001F1B1A">
        <w:rPr>
          <w:rFonts w:ascii="Calibri" w:eastAsia="Times New Roman" w:hAnsi="Calibri"/>
          <w:rtl/>
        </w:rPr>
        <w:t>"</w:t>
      </w:r>
      <w:r w:rsidRPr="001F1B1A">
        <w:rPr>
          <w:rFonts w:ascii="Calibri" w:eastAsia="Times New Roman" w:hAnsi="Calibri" w:hint="eastAsia"/>
          <w:rtl/>
        </w:rPr>
        <w:t>כ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המאשימה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בהסכמה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להטיל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העונשים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הבאים</w:t>
      </w:r>
      <w:r w:rsidRPr="001F1B1A">
        <w:rPr>
          <w:rFonts w:ascii="Calibri" w:eastAsia="Times New Roman" w:hAnsi="Calibri"/>
          <w:rtl/>
        </w:rPr>
        <w:t xml:space="preserve">: </w:t>
      </w:r>
      <w:r w:rsidRPr="001F1B1A">
        <w:rPr>
          <w:rFonts w:ascii="Calibri" w:eastAsia="Times New Roman" w:hAnsi="Calibri" w:hint="eastAsia"/>
          <w:rtl/>
        </w:rPr>
        <w:t>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בפועל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למשך</w:t>
      </w:r>
      <w:r w:rsidRPr="001F1B1A">
        <w:rPr>
          <w:rFonts w:ascii="Calibri" w:eastAsia="Times New Roman" w:hAnsi="Calibri"/>
          <w:rtl/>
        </w:rPr>
        <w:t xml:space="preserve"> 6 </w:t>
      </w:r>
      <w:r w:rsidRPr="001F1B1A">
        <w:rPr>
          <w:rFonts w:ascii="Calibri" w:eastAsia="Times New Roman" w:hAnsi="Calibri" w:hint="eastAsia"/>
          <w:rtl/>
        </w:rPr>
        <w:t>חודשים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ללא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ניכוי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ימי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המעצר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אשר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ירוצו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בעבודות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שירות</w:t>
      </w:r>
      <w:r w:rsidRPr="001F1B1A">
        <w:rPr>
          <w:rFonts w:ascii="Calibri" w:eastAsia="Times New Roman" w:hAnsi="Calibri"/>
          <w:rtl/>
        </w:rPr>
        <w:t xml:space="preserve"> (</w:t>
      </w:r>
      <w:r w:rsidRPr="001F1B1A">
        <w:rPr>
          <w:rFonts w:ascii="Calibri" w:eastAsia="Times New Roman" w:hAnsi="Calibri" w:hint="eastAsia"/>
          <w:rtl/>
        </w:rPr>
        <w:t>לאחר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נמצא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מתאים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לכך</w:t>
      </w:r>
      <w:r w:rsidRPr="001F1B1A">
        <w:rPr>
          <w:rFonts w:ascii="Calibri" w:eastAsia="Times New Roman" w:hAnsi="Calibri"/>
          <w:rtl/>
        </w:rPr>
        <w:t xml:space="preserve">), </w:t>
      </w:r>
      <w:r w:rsidRPr="001F1B1A">
        <w:rPr>
          <w:rFonts w:ascii="Calibri" w:eastAsia="Times New Roman" w:hAnsi="Calibri" w:hint="eastAsia"/>
          <w:rtl/>
        </w:rPr>
        <w:t>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תנאי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וקנס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בסך</w:t>
      </w:r>
      <w:r w:rsidRPr="001F1B1A">
        <w:rPr>
          <w:rFonts w:ascii="Calibri" w:eastAsia="Times New Roman" w:hAnsi="Calibri"/>
          <w:rtl/>
        </w:rPr>
        <w:t xml:space="preserve"> 25,000 </w:t>
      </w:r>
      <w:r w:rsidRPr="001F1B1A">
        <w:rPr>
          <w:rFonts w:ascii="Calibri" w:eastAsia="Times New Roman" w:hAnsi="Calibri" w:hint="eastAsia"/>
          <w:rtl/>
        </w:rPr>
        <w:t>₪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1D87309D" w14:textId="77777777" w:rsidR="007C23F0" w:rsidRDefault="007C23F0" w:rsidP="007C23F0">
      <w:pPr>
        <w:spacing w:after="160" w:line="360" w:lineRule="auto"/>
        <w:jc w:val="both"/>
        <w:rPr>
          <w:rFonts w:ascii="Calibri" w:eastAsia="Times New Roman" w:hAnsi="Calibri" w:hint="cs"/>
          <w:rtl/>
        </w:rPr>
      </w:pPr>
    </w:p>
    <w:p w14:paraId="6660B9CB" w14:textId="77777777" w:rsidR="00E607CB" w:rsidRPr="001F1B1A" w:rsidRDefault="00E607CB" w:rsidP="007C23F0">
      <w:pPr>
        <w:spacing w:after="160" w:line="360" w:lineRule="auto"/>
        <w:jc w:val="both"/>
        <w:rPr>
          <w:rFonts w:ascii="Calibri" w:eastAsia="Times New Roman" w:hAnsi="Calibri" w:hint="cs"/>
          <w:rtl/>
        </w:rPr>
      </w:pPr>
    </w:p>
    <w:p w14:paraId="27C49AE2" w14:textId="77777777" w:rsidR="007C23F0" w:rsidRPr="001F1B1A" w:rsidRDefault="007C23F0" w:rsidP="007C23F0">
      <w:pPr>
        <w:spacing w:after="160" w:line="360" w:lineRule="auto"/>
        <w:jc w:val="both"/>
        <w:rPr>
          <w:rFonts w:ascii="Calibri" w:eastAsia="Times New Roman" w:hAnsi="Calibri"/>
          <w:rtl/>
        </w:rPr>
      </w:pPr>
      <w:r w:rsidRPr="001F1B1A">
        <w:rPr>
          <w:rFonts w:ascii="Calibri" w:eastAsia="Times New Roman" w:hAnsi="Calibri" w:hint="eastAsia"/>
          <w:rtl/>
        </w:rPr>
        <w:lastRenderedPageBreak/>
        <w:t>ברקע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לביצוע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העבירה</w:t>
      </w:r>
      <w:r w:rsidRPr="001F1B1A">
        <w:rPr>
          <w:rFonts w:ascii="Calibri" w:eastAsia="Times New Roman" w:hAnsi="Calibri"/>
          <w:rtl/>
        </w:rPr>
        <w:t xml:space="preserve"> – </w:t>
      </w:r>
      <w:r w:rsidRPr="001F1B1A">
        <w:rPr>
          <w:rFonts w:ascii="Calibri" w:eastAsia="Times New Roman" w:hAnsi="Calibri" w:hint="eastAsia"/>
          <w:rtl/>
        </w:rPr>
        <w:t>ייבוא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כמות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גדולה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סם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מסוכן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מסוג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קוקאין</w:t>
      </w:r>
      <w:r w:rsidRPr="001F1B1A">
        <w:rPr>
          <w:rFonts w:ascii="Calibri" w:eastAsia="Times New Roman" w:hAnsi="Calibri"/>
          <w:rtl/>
        </w:rPr>
        <w:t xml:space="preserve">. </w:t>
      </w:r>
      <w:r w:rsidRPr="001F1B1A">
        <w:rPr>
          <w:rFonts w:ascii="Calibri" w:eastAsia="Times New Roman" w:hAnsi="Calibri" w:hint="eastAsia"/>
          <w:rtl/>
        </w:rPr>
        <w:t>אחד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הנאשמים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בפרשה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נתפס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בנתב</w:t>
      </w:r>
      <w:r w:rsidRPr="001F1B1A">
        <w:rPr>
          <w:rFonts w:ascii="Calibri" w:eastAsia="Times New Roman" w:hAnsi="Calibri"/>
          <w:rtl/>
        </w:rPr>
        <w:t>"</w:t>
      </w:r>
      <w:r w:rsidRPr="001F1B1A">
        <w:rPr>
          <w:rFonts w:ascii="Calibri" w:eastAsia="Times New Roman" w:hAnsi="Calibri" w:hint="eastAsia"/>
          <w:rtl/>
        </w:rPr>
        <w:t>ג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כשבגופו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מארזי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סם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וכשהוא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נושא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מזוודה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הוטמן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מארז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נוסף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סם</w:t>
      </w:r>
      <w:r w:rsidRPr="001F1B1A">
        <w:rPr>
          <w:rFonts w:ascii="Calibri" w:eastAsia="Times New Roman" w:hAnsi="Calibri"/>
          <w:rtl/>
        </w:rPr>
        <w:t xml:space="preserve">. </w:t>
      </w:r>
      <w:r w:rsidRPr="001F1B1A">
        <w:rPr>
          <w:rFonts w:ascii="Calibri" w:eastAsia="Times New Roman" w:hAnsi="Calibri" w:hint="eastAsia"/>
          <w:rtl/>
        </w:rPr>
        <w:t>משטרת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ישראל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פעלה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לחקירה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ולאיתור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מעורבים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נוספים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בפרשה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וכך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הגיעו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שבפני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אשר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לקבל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חלק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מסוים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מהסם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ובמסגרת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הקשר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הגיע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למלון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התאכסן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האדם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שנתפס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בנתב</w:t>
      </w:r>
      <w:r w:rsidRPr="001F1B1A">
        <w:rPr>
          <w:rFonts w:ascii="Calibri" w:eastAsia="Times New Roman" w:hAnsi="Calibri"/>
          <w:rtl/>
        </w:rPr>
        <w:t>"</w:t>
      </w:r>
      <w:r w:rsidRPr="001F1B1A">
        <w:rPr>
          <w:rFonts w:ascii="Calibri" w:eastAsia="Times New Roman" w:hAnsi="Calibri" w:hint="eastAsia"/>
          <w:rtl/>
        </w:rPr>
        <w:t>ג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הסם</w:t>
      </w:r>
      <w:r w:rsidRPr="001F1B1A">
        <w:rPr>
          <w:rFonts w:ascii="Calibri" w:eastAsia="Times New Roman" w:hAnsi="Calibri" w:hint="cs"/>
          <w:rtl/>
        </w:rPr>
        <w:t xml:space="preserve">. באותן נסיבות נעצר הנאשם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ידי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המשטרה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3C76866D" w14:textId="77777777" w:rsidR="007C23F0" w:rsidRPr="001F1B1A" w:rsidRDefault="007C23F0" w:rsidP="00E607CB">
      <w:pPr>
        <w:spacing w:after="160" w:line="360" w:lineRule="auto"/>
        <w:jc w:val="both"/>
        <w:rPr>
          <w:rFonts w:ascii="Calibri" w:eastAsia="Times New Roman" w:hAnsi="Calibri" w:hint="cs"/>
          <w:rtl/>
        </w:rPr>
      </w:pPr>
      <w:r w:rsidRPr="001F1B1A">
        <w:rPr>
          <w:rFonts w:ascii="Calibri" w:eastAsia="Times New Roman" w:hAnsi="Calibri" w:hint="eastAsia"/>
          <w:rtl/>
        </w:rPr>
        <w:t>כפי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שצוין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לעיל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הסדר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הטיעון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הושג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בהליך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גישור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בגדרו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נפרשו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בפני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בית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המשפט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קשיים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ראייתיים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ממשיים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הנוגעים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בעיקר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ליסוד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הנפשי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העבירה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ובשל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כך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תוקן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ומותן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כתב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האישום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ואף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הוסכם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ענישה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מקלה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כמפורט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לעיל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2A0FD186" w14:textId="77777777" w:rsidR="007C23F0" w:rsidRPr="001F1B1A" w:rsidRDefault="007C23F0" w:rsidP="00E607CB">
      <w:pPr>
        <w:spacing w:after="160" w:line="360" w:lineRule="auto"/>
        <w:jc w:val="both"/>
        <w:rPr>
          <w:rFonts w:ascii="Calibri" w:eastAsia="Times New Roman" w:hAnsi="Calibri" w:hint="cs"/>
          <w:rtl/>
        </w:rPr>
      </w:pPr>
      <w:r w:rsidRPr="001F1B1A">
        <w:rPr>
          <w:rFonts w:ascii="Calibri" w:eastAsia="Times New Roman" w:hAnsi="Calibri" w:hint="eastAsia"/>
          <w:rtl/>
        </w:rPr>
        <w:t>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יליד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שנת</w:t>
      </w:r>
      <w:r w:rsidRPr="001F1B1A">
        <w:rPr>
          <w:rFonts w:ascii="Calibri" w:eastAsia="Times New Roman" w:hAnsi="Calibri"/>
          <w:rtl/>
        </w:rPr>
        <w:t xml:space="preserve"> 1989, </w:t>
      </w:r>
      <w:r w:rsidRPr="001F1B1A">
        <w:rPr>
          <w:rFonts w:ascii="Calibri" w:eastAsia="Times New Roman" w:hAnsi="Calibri" w:hint="eastAsia"/>
          <w:rtl/>
        </w:rPr>
        <w:t>ולו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הרשעות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קודמות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בעבירות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העדר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השירות</w:t>
      </w:r>
      <w:r w:rsidRPr="001F1B1A">
        <w:rPr>
          <w:rFonts w:ascii="Calibri" w:eastAsia="Times New Roman" w:hAnsi="Calibri"/>
          <w:rtl/>
        </w:rPr>
        <w:t xml:space="preserve">. </w:t>
      </w:r>
      <w:r w:rsidRPr="001F1B1A">
        <w:rPr>
          <w:rFonts w:ascii="Calibri" w:eastAsia="Times New Roman" w:hAnsi="Calibri" w:hint="eastAsia"/>
          <w:rtl/>
        </w:rPr>
        <w:t>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נשוי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ואב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לשני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פעוטות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הודה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נטל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אחריות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למעשיו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והביע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חרטה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3BE5D7EC" w14:textId="77777777" w:rsidR="007C23F0" w:rsidRPr="001F1B1A" w:rsidRDefault="007C23F0" w:rsidP="007C23F0">
      <w:pPr>
        <w:spacing w:after="160" w:line="360" w:lineRule="auto"/>
        <w:jc w:val="both"/>
        <w:rPr>
          <w:rFonts w:ascii="Calibri" w:eastAsia="Times New Roman" w:hAnsi="Calibri"/>
          <w:rtl/>
        </w:rPr>
      </w:pPr>
      <w:r w:rsidRPr="001F1B1A">
        <w:rPr>
          <w:rFonts w:ascii="Calibri" w:eastAsia="Times New Roman" w:hAnsi="Calibri" w:hint="eastAsia"/>
          <w:rtl/>
        </w:rPr>
        <w:t>בהתחשב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בכל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השיקולים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אני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מכבדת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הסדר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הטיעון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וגוזרת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העונשים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הבאים</w:t>
      </w:r>
      <w:r w:rsidRPr="001F1B1A">
        <w:rPr>
          <w:rFonts w:ascii="Calibri" w:eastAsia="Times New Roman" w:hAnsi="Calibri"/>
          <w:rtl/>
        </w:rPr>
        <w:t>:</w:t>
      </w:r>
    </w:p>
    <w:p w14:paraId="7B995531" w14:textId="77777777" w:rsidR="007C23F0" w:rsidRPr="001F1B1A" w:rsidRDefault="007C23F0" w:rsidP="007C23F0">
      <w:p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1F1B1A">
        <w:rPr>
          <w:rFonts w:ascii="Calibri" w:eastAsia="Times New Roman" w:hAnsi="Calibri" w:hint="cs"/>
          <w:rtl/>
        </w:rPr>
        <w:t>א.</w:t>
      </w:r>
      <w:r w:rsidRPr="001F1B1A">
        <w:rPr>
          <w:rFonts w:ascii="Calibri" w:eastAsia="Times New Roman" w:hAnsi="Calibri" w:hint="cs"/>
          <w:rtl/>
        </w:rPr>
        <w:tab/>
      </w:r>
      <w:r w:rsidRPr="001F1B1A">
        <w:rPr>
          <w:rFonts w:ascii="Calibri" w:eastAsia="Times New Roman" w:hAnsi="Calibri" w:hint="eastAsia"/>
          <w:rtl/>
        </w:rPr>
        <w:t>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בפועל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למשך</w:t>
      </w:r>
      <w:r w:rsidRPr="001F1B1A">
        <w:rPr>
          <w:rFonts w:ascii="Calibri" w:eastAsia="Times New Roman" w:hAnsi="Calibri"/>
          <w:rtl/>
        </w:rPr>
        <w:t xml:space="preserve"> 6 </w:t>
      </w:r>
      <w:r w:rsidRPr="001F1B1A">
        <w:rPr>
          <w:rFonts w:ascii="Calibri" w:eastAsia="Times New Roman" w:hAnsi="Calibri" w:hint="eastAsia"/>
          <w:rtl/>
        </w:rPr>
        <w:t>חודשים</w:t>
      </w:r>
      <w:r w:rsidRPr="001F1B1A">
        <w:rPr>
          <w:rFonts w:ascii="Calibri" w:eastAsia="Times New Roman" w:hAnsi="Calibri"/>
          <w:rtl/>
        </w:rPr>
        <w:t xml:space="preserve"> (</w:t>
      </w:r>
      <w:r w:rsidRPr="001F1B1A">
        <w:rPr>
          <w:rFonts w:ascii="Calibri" w:eastAsia="Times New Roman" w:hAnsi="Calibri" w:hint="eastAsia"/>
          <w:rtl/>
        </w:rPr>
        <w:t>ללא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ניכוי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ימי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המעצר</w:t>
      </w:r>
      <w:r w:rsidRPr="001F1B1A">
        <w:rPr>
          <w:rFonts w:ascii="Calibri" w:eastAsia="Times New Roman" w:hAnsi="Calibri"/>
          <w:rtl/>
        </w:rPr>
        <w:t xml:space="preserve">). </w:t>
      </w:r>
    </w:p>
    <w:p w14:paraId="44663E8C" w14:textId="77777777" w:rsidR="007C23F0" w:rsidRPr="001F1B1A" w:rsidRDefault="007C23F0" w:rsidP="007C23F0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1F1B1A">
        <w:rPr>
          <w:rFonts w:ascii="Calibri" w:eastAsia="Times New Roman" w:hAnsi="Calibri" w:hint="eastAsia"/>
          <w:rtl/>
        </w:rPr>
        <w:t>לאחר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נמצא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מתאים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לבצע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בעבודות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שירות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ללא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מגבלה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אני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מורה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שהוא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ירצה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בנציבות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שב</w:t>
      </w:r>
      <w:r w:rsidRPr="001F1B1A">
        <w:rPr>
          <w:rFonts w:ascii="Calibri" w:eastAsia="Times New Roman" w:hAnsi="Calibri"/>
          <w:rtl/>
        </w:rPr>
        <w:t>"</w:t>
      </w:r>
      <w:r w:rsidRPr="001F1B1A">
        <w:rPr>
          <w:rFonts w:ascii="Calibri" w:eastAsia="Times New Roman" w:hAnsi="Calibri" w:hint="eastAsia"/>
          <w:rtl/>
        </w:rPr>
        <w:t>ס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ברמלה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החל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מיום</w:t>
      </w:r>
      <w:r w:rsidRPr="001F1B1A">
        <w:rPr>
          <w:rFonts w:ascii="Calibri" w:eastAsia="Times New Roman" w:hAnsi="Calibri"/>
          <w:rtl/>
        </w:rPr>
        <w:t xml:space="preserve"> 1.6.2017. </w:t>
      </w:r>
    </w:p>
    <w:p w14:paraId="217A638B" w14:textId="77777777" w:rsidR="007C23F0" w:rsidRPr="001F1B1A" w:rsidRDefault="007C23F0" w:rsidP="007C23F0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F498770" w14:textId="77777777" w:rsidR="007C23F0" w:rsidRPr="001F1B1A" w:rsidRDefault="007C23F0" w:rsidP="007C23F0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1F1B1A">
        <w:rPr>
          <w:rFonts w:ascii="Calibri" w:eastAsia="Times New Roman" w:hAnsi="Calibri" w:hint="eastAsia"/>
          <w:rtl/>
        </w:rPr>
        <w:t>אעיר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בחוות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הדעת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הממונה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המועד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המומלץ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לתחילת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עבודות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השירות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הוא</w:t>
      </w:r>
      <w:r w:rsidRPr="001F1B1A">
        <w:rPr>
          <w:rFonts w:ascii="Calibri" w:eastAsia="Times New Roman" w:hAnsi="Calibri"/>
          <w:rtl/>
        </w:rPr>
        <w:t xml:space="preserve"> 6.8.2017, </w:t>
      </w:r>
      <w:r w:rsidRPr="001F1B1A">
        <w:rPr>
          <w:rFonts w:ascii="Calibri" w:eastAsia="Times New Roman" w:hAnsi="Calibri" w:hint="eastAsia"/>
          <w:rtl/>
        </w:rPr>
        <w:t>ואולם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לבקשת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</w:t>
      </w:r>
      <w:r w:rsidRPr="001F1B1A">
        <w:rPr>
          <w:rFonts w:ascii="Calibri" w:eastAsia="Times New Roman" w:hAnsi="Calibri"/>
          <w:rtl/>
        </w:rPr>
        <w:t>"</w:t>
      </w:r>
      <w:r w:rsidRPr="001F1B1A">
        <w:rPr>
          <w:rFonts w:ascii="Calibri" w:eastAsia="Times New Roman" w:hAnsi="Calibri" w:hint="eastAsia"/>
          <w:rtl/>
        </w:rPr>
        <w:t>כ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אני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מורה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הקדמת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ההתייצבות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למאסר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72DDB983" w14:textId="77777777" w:rsidR="007C23F0" w:rsidRPr="001F1B1A" w:rsidRDefault="007C23F0" w:rsidP="007C23F0">
      <w:pPr>
        <w:spacing w:after="160" w:line="360" w:lineRule="auto"/>
        <w:jc w:val="both"/>
        <w:rPr>
          <w:rFonts w:ascii="Calibri" w:eastAsia="Times New Roman" w:hAnsi="Calibri"/>
          <w:rtl/>
        </w:rPr>
      </w:pPr>
    </w:p>
    <w:p w14:paraId="3F22D119" w14:textId="77777777" w:rsidR="007C23F0" w:rsidRPr="001F1B1A" w:rsidRDefault="007C23F0" w:rsidP="007C23F0">
      <w:pPr>
        <w:spacing w:after="160" w:line="360" w:lineRule="auto"/>
        <w:ind w:left="720" w:hanging="720"/>
        <w:contextualSpacing/>
        <w:jc w:val="both"/>
        <w:rPr>
          <w:rFonts w:ascii="Calibri" w:eastAsia="Times New Roman" w:hAnsi="Calibri"/>
        </w:rPr>
      </w:pPr>
      <w:r w:rsidRPr="001F1B1A">
        <w:rPr>
          <w:rFonts w:ascii="Calibri" w:eastAsia="Times New Roman" w:hAnsi="Calibri" w:hint="cs"/>
          <w:rtl/>
        </w:rPr>
        <w:t>ב.</w:t>
      </w:r>
      <w:r w:rsidRPr="001F1B1A">
        <w:rPr>
          <w:rFonts w:ascii="Calibri" w:eastAsia="Times New Roman" w:hAnsi="Calibri" w:hint="cs"/>
          <w:rtl/>
        </w:rPr>
        <w:tab/>
      </w:r>
      <w:r w:rsidRPr="001F1B1A">
        <w:rPr>
          <w:rFonts w:ascii="Calibri" w:eastAsia="Times New Roman" w:hAnsi="Calibri" w:hint="eastAsia"/>
          <w:rtl/>
        </w:rPr>
        <w:t>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תנאי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למשך</w:t>
      </w:r>
      <w:r w:rsidRPr="001F1B1A">
        <w:rPr>
          <w:rFonts w:ascii="Calibri" w:eastAsia="Times New Roman" w:hAnsi="Calibri"/>
          <w:rtl/>
        </w:rPr>
        <w:t xml:space="preserve"> 7 </w:t>
      </w:r>
      <w:r w:rsidRPr="001F1B1A">
        <w:rPr>
          <w:rFonts w:ascii="Calibri" w:eastAsia="Times New Roman" w:hAnsi="Calibri" w:hint="eastAsia"/>
          <w:rtl/>
        </w:rPr>
        <w:t>חודשים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והנאשם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יישא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בעונש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זה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אלא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כן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יעבור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בתוך</w:t>
      </w:r>
      <w:r w:rsidRPr="001F1B1A">
        <w:rPr>
          <w:rFonts w:ascii="Calibri" w:eastAsia="Times New Roman" w:hAnsi="Calibri"/>
          <w:rtl/>
        </w:rPr>
        <w:t xml:space="preserve"> 3 </w:t>
      </w:r>
      <w:r w:rsidRPr="001F1B1A">
        <w:rPr>
          <w:rFonts w:ascii="Calibri" w:eastAsia="Times New Roman" w:hAnsi="Calibri" w:hint="eastAsia"/>
          <w:rtl/>
        </w:rPr>
        <w:t>שנים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מהיום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עבירה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של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קשירת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קשר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לבצע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פשע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עוון</w:t>
      </w:r>
      <w:r w:rsidRPr="001F1B1A">
        <w:rPr>
          <w:rFonts w:ascii="Calibri" w:eastAsia="Times New Roman" w:hAnsi="Calibri"/>
          <w:rtl/>
        </w:rPr>
        <w:t xml:space="preserve">, </w:t>
      </w:r>
      <w:r w:rsidRPr="001F1B1A">
        <w:rPr>
          <w:rFonts w:ascii="Calibri" w:eastAsia="Times New Roman" w:hAnsi="Calibri" w:hint="eastAsia"/>
          <w:rtl/>
        </w:rPr>
        <w:t>או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עבירה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לפי</w:t>
      </w:r>
      <w:r w:rsidRPr="001F1B1A">
        <w:rPr>
          <w:rFonts w:ascii="Calibri" w:eastAsia="Times New Roman" w:hAnsi="Calibri"/>
          <w:rtl/>
        </w:rPr>
        <w:t xml:space="preserve"> </w:t>
      </w:r>
      <w:hyperlink r:id="rId11" w:history="1">
        <w:r w:rsidR="00E76B77" w:rsidRPr="00E76B77">
          <w:rPr>
            <w:rStyle w:val="Hyperlink"/>
            <w:rFonts w:ascii="Calibri" w:eastAsia="Times New Roman" w:hAnsi="Calibri" w:hint="eastAsia"/>
            <w:rtl/>
          </w:rPr>
          <w:t>פקודת</w:t>
        </w:r>
        <w:r w:rsidR="00E76B77" w:rsidRPr="00E76B77">
          <w:rPr>
            <w:rStyle w:val="Hyperlink"/>
            <w:rFonts w:ascii="Calibri" w:eastAsia="Times New Roman" w:hAnsi="Calibri"/>
            <w:rtl/>
          </w:rPr>
          <w:t xml:space="preserve"> </w:t>
        </w:r>
        <w:r w:rsidR="00E76B77" w:rsidRPr="00E76B77">
          <w:rPr>
            <w:rStyle w:val="Hyperlink"/>
            <w:rFonts w:ascii="Calibri" w:eastAsia="Times New Roman" w:hAnsi="Calibri" w:hint="eastAsia"/>
            <w:rtl/>
          </w:rPr>
          <w:t>הסמים</w:t>
        </w:r>
        <w:r w:rsidR="00E76B77" w:rsidRPr="00E76B77">
          <w:rPr>
            <w:rStyle w:val="Hyperlink"/>
            <w:rFonts w:ascii="Calibri" w:eastAsia="Times New Roman" w:hAnsi="Calibri"/>
            <w:rtl/>
          </w:rPr>
          <w:t xml:space="preserve"> </w:t>
        </w:r>
        <w:r w:rsidR="00E76B77" w:rsidRPr="00E76B77">
          <w:rPr>
            <w:rStyle w:val="Hyperlink"/>
            <w:rFonts w:ascii="Calibri" w:eastAsia="Times New Roman" w:hAnsi="Calibri" w:hint="eastAsia"/>
            <w:rtl/>
          </w:rPr>
          <w:t>המסוכנים</w:t>
        </w:r>
      </w:hyperlink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מסוג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פשע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35BC8553" w14:textId="77777777" w:rsidR="007C23F0" w:rsidRPr="001F1B1A" w:rsidRDefault="007C23F0" w:rsidP="007C23F0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1C538171" w14:textId="77777777" w:rsidR="007C23F0" w:rsidRPr="001F1B1A" w:rsidRDefault="007C23F0" w:rsidP="007C23F0">
      <w:p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1F1B1A">
        <w:rPr>
          <w:rFonts w:ascii="Calibri" w:eastAsia="Times New Roman" w:hAnsi="Calibri" w:hint="cs"/>
          <w:rtl/>
        </w:rPr>
        <w:t>ג.</w:t>
      </w:r>
      <w:r w:rsidRPr="001F1B1A">
        <w:rPr>
          <w:rFonts w:ascii="Calibri" w:eastAsia="Times New Roman" w:hAnsi="Calibri" w:hint="cs"/>
          <w:rtl/>
        </w:rPr>
        <w:tab/>
      </w:r>
      <w:r w:rsidRPr="001F1B1A">
        <w:rPr>
          <w:rFonts w:ascii="Calibri" w:eastAsia="Times New Roman" w:hAnsi="Calibri" w:hint="eastAsia"/>
          <w:rtl/>
        </w:rPr>
        <w:t>קנס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בסך</w:t>
      </w:r>
      <w:r w:rsidRPr="001F1B1A">
        <w:rPr>
          <w:rFonts w:ascii="Calibri" w:eastAsia="Times New Roman" w:hAnsi="Calibri"/>
          <w:rtl/>
        </w:rPr>
        <w:t xml:space="preserve"> 25,000 </w:t>
      </w:r>
      <w:r w:rsidRPr="001F1B1A">
        <w:rPr>
          <w:rFonts w:ascii="Calibri" w:eastAsia="Times New Roman" w:hAnsi="Calibri" w:hint="eastAsia"/>
          <w:rtl/>
        </w:rPr>
        <w:t>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או</w:t>
      </w:r>
      <w:r w:rsidRPr="001F1B1A">
        <w:rPr>
          <w:rFonts w:ascii="Calibri" w:eastAsia="Times New Roman" w:hAnsi="Calibri"/>
          <w:rtl/>
        </w:rPr>
        <w:t xml:space="preserve"> 4 </w:t>
      </w:r>
      <w:r w:rsidRPr="001F1B1A">
        <w:rPr>
          <w:rFonts w:ascii="Calibri" w:eastAsia="Times New Roman" w:hAnsi="Calibri" w:hint="eastAsia"/>
          <w:rtl/>
        </w:rPr>
        <w:t>חודשי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מאסר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תמורתו</w:t>
      </w:r>
      <w:r w:rsidRPr="001F1B1A">
        <w:rPr>
          <w:rFonts w:ascii="Calibri" w:eastAsia="Times New Roman" w:hAnsi="Calibri"/>
          <w:rtl/>
        </w:rPr>
        <w:t xml:space="preserve">. </w:t>
      </w:r>
    </w:p>
    <w:p w14:paraId="4A99A00C" w14:textId="77777777" w:rsidR="007C23F0" w:rsidRPr="001F1B1A" w:rsidRDefault="007C23F0" w:rsidP="00E607CB">
      <w:pPr>
        <w:spacing w:after="160" w:line="360" w:lineRule="auto"/>
        <w:ind w:left="720"/>
        <w:contextualSpacing/>
        <w:jc w:val="both"/>
        <w:rPr>
          <w:rFonts w:ascii="Calibri" w:eastAsia="Times New Roman" w:hAnsi="Calibri" w:hint="cs"/>
          <w:rtl/>
        </w:rPr>
      </w:pPr>
      <w:r w:rsidRPr="001F1B1A">
        <w:rPr>
          <w:rFonts w:ascii="Calibri" w:eastAsia="Times New Roman" w:hAnsi="Calibri" w:hint="eastAsia"/>
          <w:rtl/>
        </w:rPr>
        <w:t>הפיקדון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</w:t>
      </w:r>
      <w:hyperlink r:id="rId12" w:history="1">
        <w:r w:rsidR="00E76B77" w:rsidRPr="00E76B77">
          <w:rPr>
            <w:rStyle w:val="Hyperlink"/>
            <w:rFonts w:ascii="Calibri" w:eastAsia="Times New Roman" w:hAnsi="Calibri" w:hint="eastAsia"/>
            <w:rtl/>
          </w:rPr>
          <w:t>מ</w:t>
        </w:r>
        <w:r w:rsidR="00E76B77" w:rsidRPr="00E76B77">
          <w:rPr>
            <w:rStyle w:val="Hyperlink"/>
            <w:rFonts w:ascii="Calibri" w:eastAsia="Times New Roman" w:hAnsi="Calibri"/>
            <w:rtl/>
          </w:rPr>
          <w:t>"</w:t>
        </w:r>
        <w:r w:rsidR="00E76B77" w:rsidRPr="00E76B77">
          <w:rPr>
            <w:rStyle w:val="Hyperlink"/>
            <w:rFonts w:ascii="Calibri" w:eastAsia="Times New Roman" w:hAnsi="Calibri" w:hint="eastAsia"/>
            <w:rtl/>
          </w:rPr>
          <w:t>ת</w:t>
        </w:r>
        <w:r w:rsidR="00E76B77" w:rsidRPr="00E76B77">
          <w:rPr>
            <w:rStyle w:val="Hyperlink"/>
            <w:rFonts w:ascii="Calibri" w:eastAsia="Times New Roman" w:hAnsi="Calibri"/>
            <w:rtl/>
          </w:rPr>
          <w:t xml:space="preserve"> 45164-07-16</w:t>
        </w:r>
      </w:hyperlink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בסך</w:t>
      </w:r>
      <w:r w:rsidRPr="001F1B1A">
        <w:rPr>
          <w:rFonts w:ascii="Calibri" w:eastAsia="Times New Roman" w:hAnsi="Calibri"/>
          <w:rtl/>
        </w:rPr>
        <w:t xml:space="preserve"> 15,000 </w:t>
      </w:r>
      <w:r w:rsidRPr="001F1B1A">
        <w:rPr>
          <w:rFonts w:ascii="Calibri" w:eastAsia="Times New Roman" w:hAnsi="Calibri" w:hint="eastAsia"/>
          <w:rtl/>
        </w:rPr>
        <w:t>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ייזקף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על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חשבון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הקנס</w:t>
      </w:r>
      <w:r w:rsidRPr="001F1B1A">
        <w:rPr>
          <w:rFonts w:ascii="Calibri" w:eastAsia="Times New Roman" w:hAnsi="Calibri"/>
          <w:rtl/>
        </w:rPr>
        <w:t xml:space="preserve">. </w:t>
      </w:r>
      <w:r w:rsidRPr="001F1B1A">
        <w:rPr>
          <w:rFonts w:ascii="Calibri" w:eastAsia="Times New Roman" w:hAnsi="Calibri" w:hint="eastAsia"/>
          <w:rtl/>
        </w:rPr>
        <w:t>יתרת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הפיקדון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היא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בסך</w:t>
      </w:r>
      <w:r w:rsidRPr="001F1B1A">
        <w:rPr>
          <w:rFonts w:ascii="Calibri" w:eastAsia="Times New Roman" w:hAnsi="Calibri"/>
          <w:rtl/>
        </w:rPr>
        <w:t xml:space="preserve"> 10,000 </w:t>
      </w:r>
      <w:r w:rsidRPr="001F1B1A">
        <w:rPr>
          <w:rFonts w:ascii="Calibri" w:eastAsia="Times New Roman" w:hAnsi="Calibri" w:hint="eastAsia"/>
          <w:rtl/>
        </w:rPr>
        <w:t>₪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תשולם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עד</w:t>
      </w:r>
      <w:r w:rsidRPr="001F1B1A">
        <w:rPr>
          <w:rFonts w:ascii="Calibri" w:eastAsia="Times New Roman" w:hAnsi="Calibri"/>
          <w:rtl/>
        </w:rPr>
        <w:t xml:space="preserve"> </w:t>
      </w:r>
      <w:r w:rsidRPr="001F1B1A">
        <w:rPr>
          <w:rFonts w:ascii="Calibri" w:eastAsia="Times New Roman" w:hAnsi="Calibri" w:hint="eastAsia"/>
          <w:rtl/>
        </w:rPr>
        <w:t>יום</w:t>
      </w:r>
      <w:r w:rsidRPr="001F1B1A">
        <w:rPr>
          <w:rFonts w:ascii="Calibri" w:eastAsia="Times New Roman" w:hAnsi="Calibri"/>
          <w:rtl/>
        </w:rPr>
        <w:t xml:space="preserve"> 1.3.18. </w:t>
      </w:r>
    </w:p>
    <w:p w14:paraId="029DB797" w14:textId="77777777" w:rsidR="007C23F0" w:rsidRPr="001F1B1A" w:rsidRDefault="00E607CB" w:rsidP="007C23F0">
      <w:pPr>
        <w:spacing w:after="160" w:line="360" w:lineRule="auto"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 w:hint="eastAsia"/>
          <w:b/>
          <w:bCs/>
          <w:rtl/>
        </w:rPr>
        <w:t>זכו</w:t>
      </w:r>
      <w:r>
        <w:rPr>
          <w:rFonts w:ascii="Calibri" w:eastAsia="Times New Roman" w:hAnsi="Calibri" w:hint="cs"/>
          <w:b/>
          <w:bCs/>
          <w:rtl/>
        </w:rPr>
        <w:t>ת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ערעור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לבית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המשפט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העליון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בתוך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45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יום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 </w:t>
      </w:r>
      <w:r w:rsidR="007C23F0" w:rsidRPr="001F1B1A">
        <w:rPr>
          <w:rFonts w:ascii="Calibri" w:eastAsia="Times New Roman" w:hAnsi="Calibri" w:hint="eastAsia"/>
          <w:b/>
          <w:bCs/>
          <w:rtl/>
        </w:rPr>
        <w:t>מהיום</w:t>
      </w:r>
      <w:r w:rsidR="007C23F0" w:rsidRPr="001F1B1A">
        <w:rPr>
          <w:rFonts w:ascii="Calibri" w:eastAsia="Times New Roman" w:hAnsi="Calibri"/>
          <w:b/>
          <w:bCs/>
          <w:rtl/>
        </w:rPr>
        <w:t xml:space="preserve">. </w:t>
      </w:r>
    </w:p>
    <w:p w14:paraId="7798DD6A" w14:textId="77777777" w:rsidR="007C23F0" w:rsidRPr="00E607CB" w:rsidRDefault="007C23F0" w:rsidP="00E607CB">
      <w:pPr>
        <w:spacing w:after="160" w:line="360" w:lineRule="auto"/>
        <w:rPr>
          <w:rFonts w:ascii="Calibri" w:eastAsia="Times New Roman" w:hAnsi="Calibri" w:hint="cs"/>
          <w:b/>
          <w:bCs/>
          <w:rtl/>
        </w:rPr>
      </w:pPr>
      <w:r w:rsidRPr="001F1B1A">
        <w:rPr>
          <w:rFonts w:ascii="Calibri" w:eastAsia="Times New Roman" w:hAnsi="Calibri" w:hint="eastAsia"/>
          <w:b/>
          <w:bCs/>
          <w:rtl/>
        </w:rPr>
        <w:t>המזכירות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תשלח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העתק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מגזר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הדין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לממונה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על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עבודות</w:t>
      </w:r>
      <w:r w:rsidRPr="001F1B1A">
        <w:rPr>
          <w:rFonts w:ascii="Calibri" w:eastAsia="Times New Roman" w:hAnsi="Calibri"/>
          <w:b/>
          <w:bCs/>
          <w:rtl/>
        </w:rPr>
        <w:t xml:space="preserve"> </w:t>
      </w:r>
      <w:r w:rsidRPr="001F1B1A">
        <w:rPr>
          <w:rFonts w:ascii="Calibri" w:eastAsia="Times New Roman" w:hAnsi="Calibri" w:hint="eastAsia"/>
          <w:b/>
          <w:bCs/>
          <w:rtl/>
        </w:rPr>
        <w:t>שירות</w:t>
      </w:r>
      <w:r w:rsidR="00E607CB">
        <w:rPr>
          <w:rFonts w:ascii="Calibri" w:eastAsia="Times New Roman" w:hAnsi="Calibri"/>
          <w:b/>
          <w:bCs/>
          <w:rtl/>
        </w:rPr>
        <w:t>.</w:t>
      </w:r>
    </w:p>
    <w:p w14:paraId="3E73293E" w14:textId="77777777" w:rsidR="007C23F0" w:rsidRDefault="00E76B77" w:rsidP="007C23F0">
      <w:pPr>
        <w:jc w:val="center"/>
        <w:rPr>
          <w:rtl/>
        </w:rPr>
      </w:pPr>
      <w:r w:rsidRPr="00E76B7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כ"א אייר תשע"ז, 17/05/2017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C23F0" w14:paraId="577655C9" w14:textId="77777777" w:rsidTr="00E76B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301F222" w14:textId="77777777" w:rsidR="007C23F0" w:rsidRPr="00E76B77" w:rsidRDefault="00E76B77" w:rsidP="00E76B7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E76B7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5CB2EE8C" w14:textId="77777777" w:rsidR="007C23F0" w:rsidRPr="001F1B1A" w:rsidRDefault="007C23F0" w:rsidP="00E76B7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C23F0" w14:paraId="521D923C" w14:textId="77777777" w:rsidTr="00E76B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1C5F38E" w14:textId="77777777" w:rsidR="007C23F0" w:rsidRPr="001F1B1A" w:rsidRDefault="007C23F0" w:rsidP="00E76B7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1F1B1A">
              <w:rPr>
                <w:rFonts w:ascii="Times New Roman" w:eastAsia="Times New Roman" w:hAnsi="Times New Roman" w:hint="cs"/>
                <w:b/>
                <w:bCs/>
                <w:rtl/>
              </w:rPr>
              <w:t>ליאורה ברודי</w:t>
            </w:r>
            <w:r w:rsidRPr="001F1B1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1F1B1A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1F1B1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37FE72E" w14:textId="77777777" w:rsidR="007C23F0" w:rsidRDefault="007C23F0" w:rsidP="007C23F0">
      <w:pPr>
        <w:jc w:val="both"/>
        <w:rPr>
          <w:rFonts w:hint="cs"/>
          <w:rtl/>
        </w:rPr>
      </w:pPr>
    </w:p>
    <w:p w14:paraId="6CD4B250" w14:textId="77777777" w:rsidR="00E76B77" w:rsidRPr="00E607CB" w:rsidRDefault="00E607CB" w:rsidP="00E76B77">
      <w:pPr>
        <w:keepNext/>
        <w:rPr>
          <w:color w:val="FFFFFF"/>
          <w:sz w:val="2"/>
          <w:szCs w:val="2"/>
          <w:rtl/>
        </w:rPr>
      </w:pPr>
      <w:r w:rsidRPr="00E607CB">
        <w:rPr>
          <w:color w:val="FFFFFF"/>
          <w:sz w:val="2"/>
          <w:szCs w:val="2"/>
          <w:rtl/>
        </w:rPr>
        <w:t>54678313</w:t>
      </w:r>
    </w:p>
    <w:p w14:paraId="36C9A8C4" w14:textId="77777777" w:rsidR="00E76B77" w:rsidRPr="00E76B77" w:rsidRDefault="00E76B77" w:rsidP="00E76B77">
      <w:pPr>
        <w:keepNext/>
        <w:rPr>
          <w:color w:val="000000"/>
          <w:sz w:val="22"/>
          <w:szCs w:val="22"/>
          <w:rtl/>
        </w:rPr>
      </w:pPr>
      <w:r w:rsidRPr="00E76B77">
        <w:rPr>
          <w:color w:val="000000"/>
          <w:sz w:val="22"/>
          <w:szCs w:val="22"/>
          <w:rtl/>
        </w:rPr>
        <w:t>ליאורה ברודי 54678313</w:t>
      </w:r>
    </w:p>
    <w:p w14:paraId="715C2ADC" w14:textId="77777777" w:rsidR="00E76B77" w:rsidRDefault="00E76B77" w:rsidP="00E76B77">
      <w:pPr>
        <w:rPr>
          <w:color w:val="000000"/>
          <w:rtl/>
        </w:rPr>
      </w:pPr>
      <w:r w:rsidRPr="00E76B77">
        <w:rPr>
          <w:color w:val="000000"/>
          <w:rtl/>
        </w:rPr>
        <w:t>נוסח מסמך זה כפוף לשינויי ניסוח ועריכה</w:t>
      </w:r>
    </w:p>
    <w:p w14:paraId="77E53AF2" w14:textId="77777777" w:rsidR="00E76B77" w:rsidRDefault="00E76B77" w:rsidP="00E76B77">
      <w:pPr>
        <w:rPr>
          <w:rtl/>
        </w:rPr>
      </w:pPr>
    </w:p>
    <w:p w14:paraId="30134E07" w14:textId="77777777" w:rsidR="00E76B77" w:rsidRDefault="00E76B77" w:rsidP="00E76B77">
      <w:pPr>
        <w:jc w:val="center"/>
        <w:rPr>
          <w:color w:val="0000FF"/>
          <w:u w:val="single"/>
          <w:rtl/>
        </w:rPr>
      </w:pPr>
      <w:hyperlink r:id="rId13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6FA51C9C" w14:textId="77777777" w:rsidR="00E607CB" w:rsidRPr="00E607CB" w:rsidRDefault="00E607CB" w:rsidP="00E607CB">
      <w:pPr>
        <w:keepNext/>
        <w:rPr>
          <w:color w:val="000000"/>
          <w:sz w:val="22"/>
          <w:szCs w:val="22"/>
          <w:rtl/>
        </w:rPr>
      </w:pPr>
    </w:p>
    <w:sectPr w:rsidR="00E607CB" w:rsidRPr="00E607CB" w:rsidSect="00E607CB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1210" w14:textId="77777777" w:rsidR="00060014" w:rsidRDefault="00060014">
      <w:r>
        <w:separator/>
      </w:r>
    </w:p>
  </w:endnote>
  <w:endnote w:type="continuationSeparator" w:id="0">
    <w:p w14:paraId="46B85098" w14:textId="77777777" w:rsidR="00060014" w:rsidRDefault="00060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3D94" w14:textId="77777777" w:rsidR="00060014" w:rsidRDefault="00060014" w:rsidP="00E607C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05C25F4A" w14:textId="77777777" w:rsidR="00060014" w:rsidRPr="00E607CB" w:rsidRDefault="00060014" w:rsidP="00E607C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607C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59732" w14:textId="77777777" w:rsidR="00060014" w:rsidRDefault="00060014" w:rsidP="00E607C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E579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F648BB" w14:textId="77777777" w:rsidR="00060014" w:rsidRPr="00E607CB" w:rsidRDefault="00060014" w:rsidP="00E607C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607CB">
      <w:rPr>
        <w:rFonts w:ascii="FrankRuehl" w:hAnsi="FrankRuehl" w:cs="FrankRuehl"/>
        <w:color w:val="000000"/>
      </w:rPr>
      <w:pict w14:anchorId="601AD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3EE54" w14:textId="77777777" w:rsidR="00060014" w:rsidRDefault="00060014">
      <w:r>
        <w:separator/>
      </w:r>
    </w:p>
  </w:footnote>
  <w:footnote w:type="continuationSeparator" w:id="0">
    <w:p w14:paraId="10EE2809" w14:textId="77777777" w:rsidR="00060014" w:rsidRDefault="00060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12633" w14:textId="77777777" w:rsidR="00060014" w:rsidRPr="00E607CB" w:rsidRDefault="00060014" w:rsidP="00E607C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45175-07-16</w:t>
    </w:r>
    <w:r>
      <w:rPr>
        <w:color w:val="000000"/>
        <w:sz w:val="22"/>
        <w:szCs w:val="22"/>
        <w:rtl/>
      </w:rPr>
      <w:tab/>
      <w:t xml:space="preserve"> מדינת ישראל נ' נדב אוזנה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F5E67" w14:textId="77777777" w:rsidR="00060014" w:rsidRPr="00E607CB" w:rsidRDefault="00060014" w:rsidP="00E607C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45175-07-16</w:t>
    </w:r>
    <w:r>
      <w:rPr>
        <w:color w:val="000000"/>
        <w:sz w:val="22"/>
        <w:szCs w:val="22"/>
        <w:rtl/>
      </w:rPr>
      <w:tab/>
      <w:t xml:space="preserve"> מדינת ישראל נ' נדב אוזנה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C23F0"/>
    <w:rsid w:val="00060014"/>
    <w:rsid w:val="000B2A0D"/>
    <w:rsid w:val="00437414"/>
    <w:rsid w:val="00782CAD"/>
    <w:rsid w:val="007C23F0"/>
    <w:rsid w:val="0091237F"/>
    <w:rsid w:val="00A7597F"/>
    <w:rsid w:val="00CE579B"/>
    <w:rsid w:val="00E419B2"/>
    <w:rsid w:val="00E607CB"/>
    <w:rsid w:val="00E76B77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1497389"/>
  <w15:chartTrackingRefBased/>
  <w15:docId w15:val="{E24A8DE9-2760-40CC-A39D-5D6BF21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23F0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7C23F0"/>
  </w:style>
  <w:style w:type="paragraph" w:styleId="a4">
    <w:name w:val="header"/>
    <w:basedOn w:val="a"/>
    <w:rsid w:val="007C23F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C23F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C23F0"/>
  </w:style>
  <w:style w:type="character" w:customStyle="1" w:styleId="TimesNewRomanTimesNewRoman">
    <w:name w:val="סגנון (לטיני) Times New Roman (עברית ושפות אחרות) Times New Roman..."/>
    <w:rsid w:val="007C23F0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C23F0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E76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case/21541929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499.a.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3042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http://www.nevo.co.il/case/21541929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2025-04-22T20:45:00Z</dcterms:created>
  <dcterms:modified xsi:type="dcterms:W3CDTF">2025-04-22T20:45:00Z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45175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נדב אוזנה </vt:lpwstr>
  </property>
  <property fmtid="{D5CDD505-2E9C-101B-9397-08002B2CF9AE}" pid="10" name="LAWYER">
    <vt:lpwstr>מורן טרבלסי;יניב שגב</vt:lpwstr>
  </property>
  <property fmtid="{D5CDD505-2E9C-101B-9397-08002B2CF9AE}" pid="11" name="JUDGE">
    <vt:lpwstr>ליאורה ברודי</vt:lpwstr>
  </property>
  <property fmtid="{D5CDD505-2E9C-101B-9397-08002B2CF9AE}" pid="12" name="CITY">
    <vt:lpwstr>מרכז</vt:lpwstr>
  </property>
  <property fmtid="{D5CDD505-2E9C-101B-9397-08002B2CF9AE}" pid="13" name="DATE">
    <vt:lpwstr>20170517</vt:lpwstr>
  </property>
  <property fmtid="{D5CDD505-2E9C-101B-9397-08002B2CF9AE}" pid="14" name="TYPE_N_DATE">
    <vt:lpwstr>39020170517</vt:lpwstr>
  </property>
  <property fmtid="{D5CDD505-2E9C-101B-9397-08002B2CF9AE}" pid="15" name="CASESLISTTMP1">
    <vt:lpwstr>21541929</vt:lpwstr>
  </property>
  <property fmtid="{D5CDD505-2E9C-101B-9397-08002B2CF9AE}" pid="16" name="WORDNUMPAGES">
    <vt:lpwstr>2</vt:lpwstr>
  </property>
  <property fmtid="{D5CDD505-2E9C-101B-9397-08002B2CF9AE}" pid="17" name="TYPE_ABS_DATE">
    <vt:lpwstr>390020170517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70301/499.a.1</vt:lpwstr>
  </property>
  <property fmtid="{D5CDD505-2E9C-101B-9397-08002B2CF9AE}" pid="37" name="LAWLISTTMP2">
    <vt:lpwstr>4216</vt:lpwstr>
  </property>
</Properties>
</file>