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6E2F02" w:rsidRPr="002D5A82" w14:paraId="68694BA7" w14:textId="77777777" w:rsidTr="006C2857">
        <w:trPr>
          <w:trHeight w:hRule="exact" w:val="418"/>
          <w:jc w:val="center"/>
        </w:trPr>
        <w:tc>
          <w:tcPr>
            <w:tcW w:w="8721" w:type="dxa"/>
            <w:gridSpan w:val="2"/>
          </w:tcPr>
          <w:p w14:paraId="2A8FC445" w14:textId="77777777" w:rsidR="006E2F02" w:rsidRPr="002D5A82" w:rsidRDefault="006E2F02" w:rsidP="00632742">
            <w:pPr>
              <w:pStyle w:val="a3"/>
              <w:jc w:val="center"/>
              <w:rPr>
                <w:rFonts w:ascii="Tahoma" w:hAnsi="Tahoma" w:cs="Tahoma"/>
                <w:color w:val="000080"/>
                <w:rtl/>
              </w:rPr>
            </w:pPr>
            <w:bookmarkStart w:id="0" w:name="LastJudge"/>
            <w:r w:rsidRPr="002D5A82">
              <w:rPr>
                <w:rFonts w:ascii="Tahoma" w:hAnsi="Tahoma" w:cs="Tahoma"/>
                <w:b/>
                <w:bCs/>
                <w:color w:val="000080"/>
                <w:rtl/>
              </w:rPr>
              <w:t>בית המשפט המחוזי בירושלים</w:t>
            </w:r>
          </w:p>
        </w:tc>
      </w:tr>
      <w:tr w:rsidR="006E2F02" w:rsidRPr="002D5A82" w14:paraId="5D3D84C0" w14:textId="77777777" w:rsidTr="006C2857">
        <w:trPr>
          <w:trHeight w:val="337"/>
          <w:jc w:val="center"/>
        </w:trPr>
        <w:tc>
          <w:tcPr>
            <w:tcW w:w="5046" w:type="dxa"/>
          </w:tcPr>
          <w:p w14:paraId="2A88358A" w14:textId="77777777" w:rsidR="006E2F02" w:rsidRPr="002D5A82" w:rsidRDefault="006E2F02" w:rsidP="00632742">
            <w:pPr>
              <w:rPr>
                <w:rFonts w:cs="FrankRuehl"/>
                <w:b/>
                <w:bCs/>
                <w:sz w:val="32"/>
                <w:szCs w:val="32"/>
                <w:rtl/>
              </w:rPr>
            </w:pPr>
            <w:r w:rsidRPr="002D5A82">
              <w:rPr>
                <w:rFonts w:cs="FrankRuehl" w:hint="cs"/>
                <w:b/>
                <w:bCs/>
                <w:sz w:val="32"/>
                <w:szCs w:val="32"/>
                <w:rtl/>
              </w:rPr>
              <w:t>לפני כב' השופט רפי כרמל</w:t>
            </w:r>
          </w:p>
          <w:p w14:paraId="467AA9E0" w14:textId="77777777" w:rsidR="006E2F02" w:rsidRPr="002D5A82" w:rsidRDefault="006E2F02" w:rsidP="00632742">
            <w:pPr>
              <w:pStyle w:val="a3"/>
              <w:rPr>
                <w:rFonts w:cs="FrankRuehl"/>
                <w:b/>
                <w:bCs/>
                <w:sz w:val="32"/>
                <w:szCs w:val="32"/>
                <w:rtl/>
              </w:rPr>
            </w:pPr>
          </w:p>
        </w:tc>
        <w:tc>
          <w:tcPr>
            <w:tcW w:w="3675" w:type="dxa"/>
          </w:tcPr>
          <w:p w14:paraId="6AD3DFCC" w14:textId="77777777" w:rsidR="006E2F02" w:rsidRPr="002D5A82" w:rsidRDefault="006E2F02" w:rsidP="00632742">
            <w:pPr>
              <w:pStyle w:val="a3"/>
              <w:jc w:val="right"/>
              <w:rPr>
                <w:rFonts w:cs="FrankRuehl"/>
                <w:b/>
                <w:bCs/>
                <w:sz w:val="32"/>
                <w:szCs w:val="32"/>
                <w:rtl/>
              </w:rPr>
            </w:pPr>
            <w:r w:rsidRPr="002D5A82">
              <w:rPr>
                <w:rFonts w:cs="FrankRuehl"/>
                <w:b/>
                <w:bCs/>
                <w:sz w:val="32"/>
                <w:szCs w:val="32"/>
                <w:rtl/>
              </w:rPr>
              <w:t>ת"פ</w:t>
            </w:r>
            <w:r w:rsidRPr="002D5A82">
              <w:rPr>
                <w:rFonts w:cs="FrankRuehl" w:hint="cs"/>
                <w:b/>
                <w:bCs/>
                <w:sz w:val="32"/>
                <w:szCs w:val="32"/>
                <w:rtl/>
              </w:rPr>
              <w:t xml:space="preserve"> </w:t>
            </w:r>
            <w:r w:rsidRPr="002D5A82">
              <w:rPr>
                <w:rFonts w:cs="FrankRuehl"/>
                <w:b/>
                <w:bCs/>
                <w:sz w:val="32"/>
                <w:szCs w:val="32"/>
                <w:rtl/>
              </w:rPr>
              <w:t>40168-09-16</w:t>
            </w:r>
          </w:p>
        </w:tc>
      </w:tr>
    </w:tbl>
    <w:p w14:paraId="1C1AAC78" w14:textId="77777777" w:rsidR="006E2F02" w:rsidRPr="002D5A82" w:rsidRDefault="006E2F02" w:rsidP="006E2F02">
      <w:pPr>
        <w:pStyle w:val="a3"/>
        <w:rPr>
          <w:rtl/>
        </w:rPr>
      </w:pPr>
      <w:r w:rsidRPr="002D5A82">
        <w:rPr>
          <w:rFonts w:hint="cs"/>
          <w:rtl/>
        </w:rPr>
        <w:t xml:space="preserve"> </w:t>
      </w:r>
    </w:p>
    <w:p w14:paraId="46572E97" w14:textId="77777777" w:rsidR="006E2F02" w:rsidRPr="002D5A82" w:rsidRDefault="006E2F02" w:rsidP="006E2F02">
      <w:pPr>
        <w:rPr>
          <w:spacing w:val="22"/>
          <w:rtl/>
        </w:rPr>
      </w:pPr>
    </w:p>
    <w:tbl>
      <w:tblPr>
        <w:bidiVisual/>
        <w:tblW w:w="8802" w:type="dxa"/>
        <w:tblInd w:w="-28" w:type="dxa"/>
        <w:tblLook w:val="01E0" w:firstRow="1" w:lastRow="1" w:firstColumn="1" w:lastColumn="1" w:noHBand="0" w:noVBand="0"/>
      </w:tblPr>
      <w:tblGrid>
        <w:gridCol w:w="2880"/>
        <w:gridCol w:w="5922"/>
      </w:tblGrid>
      <w:tr w:rsidR="006E2F02" w:rsidRPr="002D5A82" w14:paraId="729A40BC" w14:textId="77777777" w:rsidTr="006E2F02">
        <w:tc>
          <w:tcPr>
            <w:tcW w:w="2880" w:type="dxa"/>
            <w:shd w:val="clear" w:color="auto" w:fill="auto"/>
          </w:tcPr>
          <w:p w14:paraId="19A33D23" w14:textId="77777777" w:rsidR="006E2F02" w:rsidRPr="002D5A82" w:rsidRDefault="006E2F02" w:rsidP="006E2F02">
            <w:pPr>
              <w:spacing w:line="480" w:lineRule="auto"/>
              <w:ind w:left="26"/>
              <w:rPr>
                <w:b/>
                <w:bCs/>
                <w:spacing w:val="22"/>
                <w:sz w:val="28"/>
                <w:szCs w:val="28"/>
              </w:rPr>
            </w:pPr>
            <w:bookmarkStart w:id="1" w:name="FirstAppellant"/>
            <w:r w:rsidRPr="002D5A82">
              <w:rPr>
                <w:rFonts w:hint="cs"/>
                <w:b/>
                <w:bCs/>
                <w:spacing w:val="22"/>
                <w:sz w:val="28"/>
                <w:szCs w:val="28"/>
                <w:rtl/>
              </w:rPr>
              <w:t>המאשימה</w:t>
            </w:r>
          </w:p>
        </w:tc>
        <w:tc>
          <w:tcPr>
            <w:tcW w:w="5922" w:type="dxa"/>
            <w:shd w:val="clear" w:color="auto" w:fill="auto"/>
          </w:tcPr>
          <w:p w14:paraId="266D18DF" w14:textId="77777777" w:rsidR="006E2F02" w:rsidRPr="002D5A82" w:rsidRDefault="006E2F02" w:rsidP="006E2F02">
            <w:pPr>
              <w:spacing w:line="480" w:lineRule="auto"/>
              <w:rPr>
                <w:b/>
                <w:bCs/>
                <w:spacing w:val="22"/>
                <w:sz w:val="28"/>
                <w:szCs w:val="28"/>
                <w:rtl/>
              </w:rPr>
            </w:pPr>
            <w:r w:rsidRPr="002D5A82">
              <w:rPr>
                <w:rFonts w:hint="cs"/>
                <w:b/>
                <w:bCs/>
                <w:spacing w:val="22"/>
                <w:sz w:val="28"/>
                <w:szCs w:val="28"/>
                <w:rtl/>
              </w:rPr>
              <w:t xml:space="preserve"> מדינת ישראל</w:t>
            </w:r>
          </w:p>
          <w:p w14:paraId="425FDC7B" w14:textId="77777777" w:rsidR="006E2F02" w:rsidRPr="002D5A82" w:rsidRDefault="006E2F02" w:rsidP="006E2F02">
            <w:pPr>
              <w:spacing w:line="480" w:lineRule="auto"/>
              <w:rPr>
                <w:b/>
                <w:bCs/>
                <w:spacing w:val="22"/>
                <w:sz w:val="28"/>
                <w:szCs w:val="28"/>
                <w:rtl/>
              </w:rPr>
            </w:pPr>
            <w:r w:rsidRPr="002D5A82">
              <w:rPr>
                <w:rFonts w:hint="cs"/>
                <w:b/>
                <w:bCs/>
                <w:spacing w:val="22"/>
                <w:sz w:val="28"/>
                <w:szCs w:val="28"/>
                <w:rtl/>
              </w:rPr>
              <w:t>באמצעות פרקליטות מחוז ירושלים</w:t>
            </w:r>
          </w:p>
        </w:tc>
      </w:tr>
      <w:bookmarkEnd w:id="1"/>
      <w:tr w:rsidR="006E2F02" w:rsidRPr="002D5A82" w14:paraId="45CAA522" w14:textId="77777777" w:rsidTr="006E2F02">
        <w:tc>
          <w:tcPr>
            <w:tcW w:w="8802" w:type="dxa"/>
            <w:gridSpan w:val="2"/>
            <w:shd w:val="clear" w:color="auto" w:fill="auto"/>
          </w:tcPr>
          <w:p w14:paraId="22B25546" w14:textId="77777777" w:rsidR="006E2F02" w:rsidRPr="002D5A82" w:rsidRDefault="006E2F02" w:rsidP="006E2F02">
            <w:pPr>
              <w:spacing w:line="480" w:lineRule="auto"/>
              <w:jc w:val="both"/>
              <w:rPr>
                <w:rFonts w:ascii="Arial" w:hAnsi="Arial"/>
                <w:b/>
                <w:bCs/>
                <w:spacing w:val="22"/>
                <w:sz w:val="28"/>
                <w:szCs w:val="28"/>
                <w:rtl/>
              </w:rPr>
            </w:pPr>
          </w:p>
          <w:p w14:paraId="2E7E2457" w14:textId="77777777" w:rsidR="006E2F02" w:rsidRPr="002D5A82" w:rsidRDefault="006E2F02" w:rsidP="006E2F02">
            <w:pPr>
              <w:spacing w:line="480" w:lineRule="auto"/>
              <w:jc w:val="center"/>
              <w:rPr>
                <w:rFonts w:ascii="Arial" w:hAnsi="Arial"/>
                <w:b/>
                <w:bCs/>
                <w:spacing w:val="22"/>
                <w:sz w:val="28"/>
                <w:szCs w:val="28"/>
                <w:rtl/>
              </w:rPr>
            </w:pPr>
            <w:r w:rsidRPr="002D5A82">
              <w:rPr>
                <w:rFonts w:ascii="Arial" w:hAnsi="Arial" w:hint="cs"/>
                <w:b/>
                <w:bCs/>
                <w:spacing w:val="22"/>
                <w:sz w:val="28"/>
                <w:szCs w:val="28"/>
                <w:rtl/>
              </w:rPr>
              <w:t>נגד</w:t>
            </w:r>
          </w:p>
          <w:p w14:paraId="3844E324" w14:textId="77777777" w:rsidR="006E2F02" w:rsidRPr="002D5A82" w:rsidRDefault="006E2F02" w:rsidP="006E2F02">
            <w:pPr>
              <w:spacing w:line="480" w:lineRule="auto"/>
              <w:jc w:val="center"/>
              <w:rPr>
                <w:rFonts w:ascii="Arial" w:hAnsi="Arial"/>
                <w:b/>
                <w:bCs/>
                <w:spacing w:val="22"/>
                <w:sz w:val="28"/>
                <w:szCs w:val="28"/>
                <w:rtl/>
              </w:rPr>
            </w:pPr>
          </w:p>
        </w:tc>
      </w:tr>
      <w:tr w:rsidR="006E2F02" w:rsidRPr="002D5A82" w14:paraId="1827EDE7" w14:textId="77777777" w:rsidTr="006E2F02">
        <w:tc>
          <w:tcPr>
            <w:tcW w:w="2880" w:type="dxa"/>
            <w:shd w:val="clear" w:color="auto" w:fill="auto"/>
          </w:tcPr>
          <w:p w14:paraId="0A2DE704" w14:textId="77777777" w:rsidR="006E2F02" w:rsidRPr="002D5A82" w:rsidRDefault="006E2F02" w:rsidP="006E2F02">
            <w:pPr>
              <w:spacing w:line="480" w:lineRule="auto"/>
              <w:ind w:left="26"/>
              <w:rPr>
                <w:b/>
                <w:bCs/>
                <w:spacing w:val="22"/>
                <w:sz w:val="28"/>
                <w:szCs w:val="28"/>
              </w:rPr>
            </w:pPr>
            <w:bookmarkStart w:id="2" w:name="FirstLawyer"/>
            <w:r w:rsidRPr="002D5A82">
              <w:rPr>
                <w:rFonts w:hint="cs"/>
                <w:b/>
                <w:bCs/>
                <w:spacing w:val="22"/>
                <w:sz w:val="28"/>
                <w:szCs w:val="28"/>
                <w:rtl/>
              </w:rPr>
              <w:t>הנאשם</w:t>
            </w:r>
          </w:p>
        </w:tc>
        <w:tc>
          <w:tcPr>
            <w:tcW w:w="5922" w:type="dxa"/>
            <w:shd w:val="clear" w:color="auto" w:fill="auto"/>
          </w:tcPr>
          <w:p w14:paraId="1E0439E1" w14:textId="77777777" w:rsidR="006E2F02" w:rsidRPr="002D5A82" w:rsidRDefault="006E2F02" w:rsidP="006E2F02">
            <w:pPr>
              <w:spacing w:line="480" w:lineRule="auto"/>
              <w:rPr>
                <w:b/>
                <w:bCs/>
                <w:spacing w:val="22"/>
                <w:sz w:val="28"/>
                <w:szCs w:val="28"/>
                <w:rtl/>
              </w:rPr>
            </w:pPr>
            <w:r w:rsidRPr="002D5A82">
              <w:rPr>
                <w:rFonts w:hint="cs"/>
                <w:b/>
                <w:bCs/>
                <w:spacing w:val="22"/>
                <w:sz w:val="28"/>
                <w:szCs w:val="28"/>
                <w:rtl/>
              </w:rPr>
              <w:t xml:space="preserve">ערן איבגי </w:t>
            </w:r>
          </w:p>
          <w:p w14:paraId="232D33C6" w14:textId="77777777" w:rsidR="006E2F02" w:rsidRPr="002D5A82" w:rsidRDefault="006E2F02" w:rsidP="006E2F02">
            <w:pPr>
              <w:spacing w:line="480" w:lineRule="auto"/>
              <w:rPr>
                <w:b/>
                <w:bCs/>
                <w:spacing w:val="22"/>
                <w:sz w:val="28"/>
                <w:szCs w:val="28"/>
                <w:rtl/>
              </w:rPr>
            </w:pPr>
            <w:r w:rsidRPr="002D5A82">
              <w:rPr>
                <w:rFonts w:hint="cs"/>
                <w:b/>
                <w:bCs/>
                <w:spacing w:val="22"/>
                <w:sz w:val="28"/>
                <w:szCs w:val="28"/>
                <w:rtl/>
              </w:rPr>
              <w:t>ע"י ב"כ עו"ד הילה מזל מוהדב</w:t>
            </w:r>
          </w:p>
        </w:tc>
      </w:tr>
    </w:tbl>
    <w:p w14:paraId="4EDE6885" w14:textId="77777777" w:rsidR="006C2857" w:rsidRDefault="006C2857" w:rsidP="006E2F02">
      <w:pPr>
        <w:rPr>
          <w:rFonts w:ascii="Arial" w:hAnsi="Arial"/>
          <w:spacing w:val="22"/>
          <w:rtl/>
        </w:rPr>
      </w:pPr>
      <w:bookmarkStart w:id="3" w:name="LawTable"/>
      <w:bookmarkEnd w:id="2"/>
      <w:bookmarkEnd w:id="3"/>
    </w:p>
    <w:p w14:paraId="455C9999" w14:textId="77777777" w:rsidR="006C2857" w:rsidRPr="006C2857" w:rsidRDefault="006C2857" w:rsidP="006C2857">
      <w:pPr>
        <w:spacing w:after="120" w:line="240" w:lineRule="exact"/>
        <w:ind w:left="283" w:hanging="283"/>
        <w:jc w:val="both"/>
        <w:rPr>
          <w:rFonts w:ascii="FrankRuehl" w:hAnsi="FrankRuehl" w:cs="FrankRuehl"/>
          <w:rtl/>
        </w:rPr>
      </w:pPr>
      <w:r w:rsidRPr="006C2857">
        <w:rPr>
          <w:rFonts w:ascii="FrankRuehl" w:hAnsi="FrankRuehl" w:cs="FrankRuehl"/>
          <w:rtl/>
        </w:rPr>
        <w:t xml:space="preserve">חקיקה שאוזכרה: </w:t>
      </w:r>
    </w:p>
    <w:p w14:paraId="0C7D4FE9" w14:textId="77777777" w:rsidR="006C2857" w:rsidRPr="006C2857" w:rsidRDefault="006C2857" w:rsidP="006C2857">
      <w:pPr>
        <w:spacing w:after="120" w:line="240" w:lineRule="exact"/>
        <w:ind w:left="283" w:hanging="283"/>
        <w:jc w:val="both"/>
        <w:rPr>
          <w:rFonts w:ascii="FrankRuehl" w:hAnsi="FrankRuehl" w:cs="FrankRuehl"/>
          <w:rtl/>
        </w:rPr>
      </w:pPr>
      <w:hyperlink r:id="rId7" w:history="1">
        <w:r w:rsidRPr="006C2857">
          <w:rPr>
            <w:rFonts w:ascii="FrankRuehl" w:hAnsi="FrankRuehl" w:cs="FrankRuehl"/>
            <w:color w:val="0000FF"/>
            <w:u w:val="single"/>
            <w:rtl/>
          </w:rPr>
          <w:t>פקודת הסמים המסוכנים [נוסח חדש], תשל"ג-1973</w:t>
        </w:r>
      </w:hyperlink>
      <w:r w:rsidRPr="006C2857">
        <w:rPr>
          <w:rFonts w:ascii="FrankRuehl" w:hAnsi="FrankRuehl" w:cs="FrankRuehl"/>
          <w:rtl/>
        </w:rPr>
        <w:t xml:space="preserve">: סע'  </w:t>
      </w:r>
      <w:hyperlink r:id="rId8" w:history="1">
        <w:r w:rsidRPr="006C2857">
          <w:rPr>
            <w:rFonts w:ascii="FrankRuehl" w:hAnsi="FrankRuehl" w:cs="FrankRuehl"/>
            <w:color w:val="0000FF"/>
            <w:u w:val="single"/>
            <w:rtl/>
          </w:rPr>
          <w:t>13</w:t>
        </w:r>
      </w:hyperlink>
      <w:r w:rsidRPr="006C2857">
        <w:rPr>
          <w:rFonts w:ascii="FrankRuehl" w:hAnsi="FrankRuehl" w:cs="FrankRuehl"/>
          <w:rtl/>
        </w:rPr>
        <w:t xml:space="preserve">, </w:t>
      </w:r>
      <w:hyperlink r:id="rId9" w:history="1">
        <w:r w:rsidRPr="006C2857">
          <w:rPr>
            <w:rFonts w:ascii="FrankRuehl" w:hAnsi="FrankRuehl" w:cs="FrankRuehl"/>
            <w:color w:val="0000FF"/>
            <w:u w:val="single"/>
            <w:rtl/>
          </w:rPr>
          <w:t>19א</w:t>
        </w:r>
      </w:hyperlink>
    </w:p>
    <w:p w14:paraId="3E6F6281" w14:textId="77777777" w:rsidR="006C2857" w:rsidRPr="006C2857" w:rsidRDefault="006C2857" w:rsidP="006C2857">
      <w:pPr>
        <w:spacing w:after="120" w:line="240" w:lineRule="exact"/>
        <w:ind w:left="283" w:hanging="283"/>
        <w:jc w:val="both"/>
        <w:rPr>
          <w:rFonts w:ascii="FrankRuehl" w:hAnsi="FrankRuehl" w:cs="FrankRuehl"/>
          <w:rtl/>
        </w:rPr>
      </w:pPr>
      <w:hyperlink r:id="rId10" w:history="1">
        <w:r w:rsidRPr="006C2857">
          <w:rPr>
            <w:rFonts w:ascii="FrankRuehl" w:hAnsi="FrankRuehl" w:cs="FrankRuehl"/>
            <w:color w:val="0000FF"/>
            <w:u w:val="single"/>
            <w:rtl/>
          </w:rPr>
          <w:t>חוק העונשין, תשל"ז-1977</w:t>
        </w:r>
      </w:hyperlink>
      <w:r w:rsidRPr="006C2857">
        <w:rPr>
          <w:rFonts w:ascii="FrankRuehl" w:hAnsi="FrankRuehl" w:cs="FrankRuehl"/>
          <w:rtl/>
        </w:rPr>
        <w:t xml:space="preserve">: סע'  </w:t>
      </w:r>
      <w:hyperlink r:id="rId11" w:history="1">
        <w:r w:rsidRPr="006C2857">
          <w:rPr>
            <w:rFonts w:ascii="FrankRuehl" w:hAnsi="FrankRuehl" w:cs="FrankRuehl"/>
            <w:color w:val="0000FF"/>
            <w:u w:val="single"/>
            <w:rtl/>
          </w:rPr>
          <w:t>23</w:t>
        </w:r>
      </w:hyperlink>
      <w:r w:rsidRPr="006C2857">
        <w:rPr>
          <w:rFonts w:ascii="FrankRuehl" w:hAnsi="FrankRuehl" w:cs="FrankRuehl"/>
          <w:rtl/>
        </w:rPr>
        <w:t xml:space="preserve">, </w:t>
      </w:r>
      <w:hyperlink r:id="rId12" w:history="1">
        <w:r w:rsidRPr="006C2857">
          <w:rPr>
            <w:rFonts w:ascii="FrankRuehl" w:hAnsi="FrankRuehl" w:cs="FrankRuehl"/>
            <w:color w:val="0000FF"/>
            <w:u w:val="single"/>
            <w:rtl/>
          </w:rPr>
          <w:t>31</w:t>
        </w:r>
      </w:hyperlink>
      <w:r w:rsidRPr="006C2857">
        <w:rPr>
          <w:rFonts w:ascii="FrankRuehl" w:hAnsi="FrankRuehl" w:cs="FrankRuehl"/>
          <w:rtl/>
        </w:rPr>
        <w:t xml:space="preserve">, </w:t>
      </w:r>
      <w:hyperlink r:id="rId13" w:history="1">
        <w:r w:rsidRPr="006C2857">
          <w:rPr>
            <w:rFonts w:ascii="FrankRuehl" w:hAnsi="FrankRuehl" w:cs="FrankRuehl"/>
            <w:color w:val="0000FF"/>
            <w:u w:val="single"/>
            <w:rtl/>
          </w:rPr>
          <w:t>40ג'(א)</w:t>
        </w:r>
      </w:hyperlink>
      <w:r w:rsidRPr="006C2857">
        <w:rPr>
          <w:rFonts w:ascii="FrankRuehl" w:hAnsi="FrankRuehl" w:cs="FrankRuehl"/>
          <w:rtl/>
        </w:rPr>
        <w:t xml:space="preserve">, </w:t>
      </w:r>
      <w:hyperlink r:id="rId14" w:history="1">
        <w:r w:rsidRPr="006C2857">
          <w:rPr>
            <w:rFonts w:ascii="FrankRuehl" w:hAnsi="FrankRuehl" w:cs="FrankRuehl"/>
            <w:color w:val="0000FF"/>
            <w:u w:val="single"/>
            <w:rtl/>
          </w:rPr>
          <w:t>40ט'</w:t>
        </w:r>
      </w:hyperlink>
      <w:r w:rsidRPr="006C2857">
        <w:rPr>
          <w:rFonts w:ascii="FrankRuehl" w:hAnsi="FrankRuehl" w:cs="FrankRuehl"/>
          <w:rtl/>
        </w:rPr>
        <w:t xml:space="preserve">, </w:t>
      </w:r>
      <w:hyperlink r:id="rId15" w:history="1">
        <w:r w:rsidRPr="006C2857">
          <w:rPr>
            <w:rFonts w:ascii="FrankRuehl" w:hAnsi="FrankRuehl" w:cs="FrankRuehl"/>
            <w:color w:val="0000FF"/>
            <w:u w:val="single"/>
            <w:rtl/>
          </w:rPr>
          <w:t>498</w:t>
        </w:r>
      </w:hyperlink>
    </w:p>
    <w:p w14:paraId="5222C5EE" w14:textId="77777777" w:rsidR="006C2857" w:rsidRPr="006C2857" w:rsidRDefault="006C2857" w:rsidP="006C285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2F02" w:rsidRPr="00B44B54" w14:paraId="7FFC2F9C" w14:textId="77777777" w:rsidTr="006E2F02">
        <w:trPr>
          <w:trHeight w:val="355"/>
          <w:jc w:val="center"/>
        </w:trPr>
        <w:tc>
          <w:tcPr>
            <w:tcW w:w="8820" w:type="dxa"/>
            <w:tcBorders>
              <w:top w:val="nil"/>
              <w:left w:val="nil"/>
              <w:bottom w:val="nil"/>
              <w:right w:val="nil"/>
            </w:tcBorders>
            <w:shd w:val="clear" w:color="auto" w:fill="auto"/>
          </w:tcPr>
          <w:p w14:paraId="1B1017DA" w14:textId="77777777" w:rsidR="002D5A82" w:rsidRPr="002D5A82" w:rsidRDefault="002D5A82" w:rsidP="002D5A82">
            <w:pPr>
              <w:jc w:val="center"/>
              <w:rPr>
                <w:rFonts w:ascii="Arial" w:hAnsi="Arial" w:cs="FrankRuehl"/>
                <w:b/>
                <w:bCs/>
                <w:spacing w:val="22"/>
                <w:sz w:val="32"/>
                <w:szCs w:val="32"/>
                <w:u w:val="single"/>
                <w:rtl/>
              </w:rPr>
            </w:pPr>
            <w:bookmarkStart w:id="4" w:name="LawTable_End"/>
            <w:bookmarkStart w:id="5" w:name="PsakDin" w:colFirst="0" w:colLast="0"/>
            <w:bookmarkEnd w:id="0"/>
            <w:bookmarkEnd w:id="4"/>
            <w:r w:rsidRPr="002D5A82">
              <w:rPr>
                <w:rFonts w:ascii="Arial" w:hAnsi="Arial" w:cs="FrankRuehl"/>
                <w:b/>
                <w:bCs/>
                <w:spacing w:val="22"/>
                <w:sz w:val="32"/>
                <w:szCs w:val="32"/>
                <w:u w:val="single"/>
                <w:rtl/>
              </w:rPr>
              <w:t>גזר דין</w:t>
            </w:r>
          </w:p>
          <w:p w14:paraId="536FB83F" w14:textId="77777777" w:rsidR="006E2F02" w:rsidRPr="002D5A82" w:rsidRDefault="006E2F02" w:rsidP="002D5A82">
            <w:pPr>
              <w:jc w:val="center"/>
              <w:rPr>
                <w:rFonts w:ascii="Arial" w:hAnsi="Arial" w:cs="FrankRuehl"/>
                <w:bCs/>
                <w:spacing w:val="22"/>
                <w:sz w:val="32"/>
                <w:szCs w:val="32"/>
                <w:u w:val="single"/>
                <w:rtl/>
              </w:rPr>
            </w:pPr>
          </w:p>
        </w:tc>
      </w:tr>
      <w:bookmarkEnd w:id="5"/>
    </w:tbl>
    <w:p w14:paraId="08BB7500" w14:textId="77777777" w:rsidR="006E2F02" w:rsidRPr="00B44B54" w:rsidRDefault="006E2F02" w:rsidP="006E2F02">
      <w:pPr>
        <w:rPr>
          <w:rFonts w:ascii="Arial" w:hAnsi="Arial"/>
          <w:spacing w:val="22"/>
          <w:rtl/>
        </w:rPr>
      </w:pPr>
    </w:p>
    <w:p w14:paraId="1A844842" w14:textId="77777777" w:rsidR="006E2F02" w:rsidRPr="00B44B54" w:rsidRDefault="006E2F02" w:rsidP="006E2F02">
      <w:pPr>
        <w:spacing w:line="360" w:lineRule="auto"/>
        <w:jc w:val="both"/>
        <w:rPr>
          <w:rFonts w:ascii="Arial" w:hAnsi="Arial"/>
          <w:spacing w:val="22"/>
          <w:rtl/>
        </w:rPr>
      </w:pPr>
    </w:p>
    <w:p w14:paraId="5FD4DBD9" w14:textId="77777777" w:rsidR="006E2F02" w:rsidRPr="00B44B54" w:rsidRDefault="006E2F02" w:rsidP="006E2F02">
      <w:pPr>
        <w:numPr>
          <w:ilvl w:val="0"/>
          <w:numId w:val="1"/>
        </w:numPr>
        <w:spacing w:line="360" w:lineRule="auto"/>
        <w:ind w:left="84" w:firstLine="0"/>
        <w:jc w:val="both"/>
        <w:rPr>
          <w:rFonts w:ascii="Arial" w:hAnsi="Arial"/>
          <w:spacing w:val="22"/>
          <w:rtl/>
        </w:rPr>
      </w:pPr>
      <w:bookmarkStart w:id="6" w:name="ABSTRACT_START"/>
      <w:bookmarkEnd w:id="6"/>
      <w:r w:rsidRPr="00B44B54">
        <w:rPr>
          <w:rFonts w:ascii="Arial" w:hAnsi="Arial"/>
          <w:spacing w:val="22"/>
          <w:rtl/>
        </w:rPr>
        <w:t>הנאשם הורש</w:t>
      </w:r>
      <w:r w:rsidRPr="00B44B54">
        <w:rPr>
          <w:rFonts w:ascii="Arial" w:hAnsi="Arial" w:hint="cs"/>
          <w:spacing w:val="22"/>
          <w:rtl/>
        </w:rPr>
        <w:t>ע,</w:t>
      </w:r>
      <w:r w:rsidRPr="00B44B54">
        <w:rPr>
          <w:rFonts w:ascii="Arial" w:hAnsi="Arial"/>
          <w:spacing w:val="22"/>
          <w:rtl/>
        </w:rPr>
        <w:t xml:space="preserve"> על יסוד הודאתו</w:t>
      </w:r>
      <w:r w:rsidRPr="00B44B54">
        <w:rPr>
          <w:rFonts w:ascii="Arial" w:hAnsi="Arial" w:hint="cs"/>
          <w:spacing w:val="22"/>
          <w:rtl/>
        </w:rPr>
        <w:t>,</w:t>
      </w:r>
      <w:r w:rsidRPr="00B44B54">
        <w:rPr>
          <w:rFonts w:ascii="Arial" w:hAnsi="Arial"/>
          <w:spacing w:val="22"/>
          <w:rtl/>
        </w:rPr>
        <w:t xml:space="preserve"> בסיוע לניסיון לייבוא סמים מסוכנים, עבירה לפי </w:t>
      </w:r>
      <w:hyperlink r:id="rId16" w:history="1">
        <w:r w:rsidR="006C2857" w:rsidRPr="006C2857">
          <w:rPr>
            <w:rFonts w:ascii="Arial" w:hAnsi="Arial"/>
            <w:color w:val="0000FF"/>
            <w:spacing w:val="22"/>
            <w:u w:val="single"/>
            <w:rtl/>
          </w:rPr>
          <w:t>סעיף 13</w:t>
        </w:r>
      </w:hyperlink>
      <w:r w:rsidRPr="00B44B54">
        <w:rPr>
          <w:rFonts w:ascii="Arial" w:hAnsi="Arial"/>
          <w:spacing w:val="22"/>
          <w:rtl/>
        </w:rPr>
        <w:t xml:space="preserve"> ו – </w:t>
      </w:r>
      <w:hyperlink r:id="rId17" w:history="1">
        <w:r w:rsidR="006C2857" w:rsidRPr="006C2857">
          <w:rPr>
            <w:rFonts w:ascii="Arial" w:hAnsi="Arial"/>
            <w:color w:val="0000FF"/>
            <w:spacing w:val="22"/>
            <w:u w:val="single"/>
            <w:rtl/>
          </w:rPr>
          <w:t>19א</w:t>
        </w:r>
      </w:hyperlink>
      <w:r w:rsidRPr="00B44B54">
        <w:rPr>
          <w:rFonts w:ascii="Arial" w:hAnsi="Arial"/>
          <w:spacing w:val="22"/>
          <w:rtl/>
        </w:rPr>
        <w:t xml:space="preserve"> ל</w:t>
      </w:r>
      <w:hyperlink r:id="rId18" w:history="1">
        <w:r w:rsidR="002D5A82" w:rsidRPr="002D5A82">
          <w:rPr>
            <w:rFonts w:ascii="Arial" w:hAnsi="Arial"/>
            <w:color w:val="0000FF"/>
            <w:spacing w:val="22"/>
            <w:u w:val="single"/>
            <w:rtl/>
          </w:rPr>
          <w:t>פקודת הסמים המסוכנים</w:t>
        </w:r>
      </w:hyperlink>
      <w:r w:rsidRPr="00B44B54">
        <w:rPr>
          <w:rFonts w:ascii="Arial" w:hAnsi="Arial"/>
          <w:spacing w:val="22"/>
          <w:rtl/>
        </w:rPr>
        <w:t xml:space="preserve"> [נוסח חדש], התשל"ג-1973 </w:t>
      </w:r>
      <w:hyperlink r:id="rId19" w:history="1">
        <w:r w:rsidR="006C2857" w:rsidRPr="006C2857">
          <w:rPr>
            <w:rFonts w:ascii="Arial" w:hAnsi="Arial"/>
            <w:color w:val="0000FF"/>
            <w:spacing w:val="22"/>
            <w:u w:val="single"/>
            <w:rtl/>
          </w:rPr>
          <w:t>וסעיפים 23</w:t>
        </w:r>
      </w:hyperlink>
      <w:r w:rsidRPr="00B44B54">
        <w:rPr>
          <w:rFonts w:ascii="Arial" w:hAnsi="Arial"/>
          <w:spacing w:val="22"/>
          <w:rtl/>
        </w:rPr>
        <w:t xml:space="preserve"> ו – </w:t>
      </w:r>
      <w:hyperlink r:id="rId20" w:history="1">
        <w:r w:rsidR="006C2857" w:rsidRPr="006C2857">
          <w:rPr>
            <w:rFonts w:ascii="Arial" w:hAnsi="Arial"/>
            <w:color w:val="0000FF"/>
            <w:spacing w:val="22"/>
            <w:u w:val="single"/>
            <w:rtl/>
          </w:rPr>
          <w:t>31</w:t>
        </w:r>
      </w:hyperlink>
      <w:r w:rsidRPr="00B44B54">
        <w:rPr>
          <w:rFonts w:ascii="Arial" w:hAnsi="Arial"/>
          <w:spacing w:val="22"/>
          <w:rtl/>
        </w:rPr>
        <w:t xml:space="preserve"> ל</w:t>
      </w:r>
      <w:hyperlink r:id="rId21" w:history="1">
        <w:r w:rsidR="002D5A82" w:rsidRPr="002D5A82">
          <w:rPr>
            <w:rFonts w:ascii="Arial" w:hAnsi="Arial"/>
            <w:color w:val="0000FF"/>
            <w:spacing w:val="22"/>
            <w:u w:val="single"/>
            <w:rtl/>
          </w:rPr>
          <w:t>חוק העונשין</w:t>
        </w:r>
      </w:hyperlink>
      <w:r w:rsidRPr="00B44B54">
        <w:rPr>
          <w:rFonts w:ascii="Arial" w:hAnsi="Arial"/>
          <w:spacing w:val="22"/>
          <w:rtl/>
        </w:rPr>
        <w:t>, התשל"ז-1977 (להלן: "</w:t>
      </w:r>
      <w:r w:rsidRPr="00B44B54">
        <w:rPr>
          <w:rFonts w:ascii="Arial" w:hAnsi="Arial"/>
          <w:b/>
          <w:bCs/>
          <w:spacing w:val="22"/>
          <w:rtl/>
        </w:rPr>
        <w:t>החוק</w:t>
      </w:r>
      <w:r w:rsidRPr="00B44B54">
        <w:rPr>
          <w:rFonts w:ascii="Arial" w:hAnsi="Arial"/>
          <w:spacing w:val="22"/>
          <w:rtl/>
        </w:rPr>
        <w:t xml:space="preserve">"), ובמתן אמצעים לביצוע פשע, עבירה לפי </w:t>
      </w:r>
      <w:hyperlink r:id="rId22" w:history="1">
        <w:r w:rsidR="006C2857" w:rsidRPr="006C2857">
          <w:rPr>
            <w:rFonts w:ascii="Arial" w:hAnsi="Arial"/>
            <w:color w:val="0000FF"/>
            <w:spacing w:val="22"/>
            <w:u w:val="single"/>
            <w:rtl/>
          </w:rPr>
          <w:t>סעיף 498</w:t>
        </w:r>
      </w:hyperlink>
      <w:r w:rsidRPr="00B44B54">
        <w:rPr>
          <w:rFonts w:ascii="Arial" w:hAnsi="Arial"/>
          <w:spacing w:val="22"/>
          <w:rtl/>
        </w:rPr>
        <w:t xml:space="preserve"> לחוק. </w:t>
      </w:r>
    </w:p>
    <w:p w14:paraId="040305CD" w14:textId="77777777" w:rsidR="006E2F02" w:rsidRPr="00B44B54" w:rsidRDefault="006E2F02" w:rsidP="006E2F02">
      <w:pPr>
        <w:spacing w:line="360" w:lineRule="auto"/>
        <w:ind w:firstLine="720"/>
        <w:jc w:val="both"/>
        <w:rPr>
          <w:rFonts w:ascii="Miriam" w:hAnsi="Miriam"/>
          <w:b/>
          <w:bCs/>
          <w:spacing w:val="22"/>
          <w:rtl/>
        </w:rPr>
      </w:pPr>
      <w:bookmarkStart w:id="7" w:name="ABSTRACT_END"/>
      <w:bookmarkEnd w:id="7"/>
    </w:p>
    <w:p w14:paraId="03024784" w14:textId="77777777" w:rsidR="006E2F02" w:rsidRPr="00B44B54" w:rsidRDefault="006E2F02" w:rsidP="006E2F02">
      <w:pPr>
        <w:spacing w:line="360" w:lineRule="auto"/>
        <w:jc w:val="both"/>
        <w:rPr>
          <w:rFonts w:ascii="Arial" w:hAnsi="Arial"/>
          <w:spacing w:val="22"/>
          <w:rtl/>
        </w:rPr>
      </w:pPr>
      <w:r w:rsidRPr="00B44B54">
        <w:rPr>
          <w:rFonts w:ascii="Arial" w:hAnsi="Arial"/>
          <w:spacing w:val="22"/>
          <w:rtl/>
        </w:rPr>
        <w:t>2.</w:t>
      </w:r>
      <w:r w:rsidRPr="00B44B54">
        <w:rPr>
          <w:rFonts w:ascii="Arial" w:hAnsi="Arial"/>
          <w:spacing w:val="22"/>
          <w:rtl/>
        </w:rPr>
        <w:tab/>
        <w:t>ואלה המעשים על פי עובדות כתב האישום המתוקן: במהלך חודש מאי 2016 קשר הנאשם קשר עם שלושה אחרים, סלימאן, סאני וגיא, לייבא 2 ק"ג סם מסוכן מסוג קוקאין מקולומביה לישראל, שיוטמנו בתוך מנוע של סירה (להלן: "</w:t>
      </w:r>
      <w:r w:rsidRPr="00B44B54">
        <w:rPr>
          <w:rFonts w:ascii="Arial" w:hAnsi="Arial"/>
          <w:b/>
          <w:bCs/>
          <w:spacing w:val="22"/>
          <w:rtl/>
        </w:rPr>
        <w:t>המנוע</w:t>
      </w:r>
      <w:r w:rsidRPr="00B44B54">
        <w:rPr>
          <w:rFonts w:ascii="Arial" w:hAnsi="Arial"/>
          <w:spacing w:val="22"/>
          <w:rtl/>
        </w:rPr>
        <w:t xml:space="preserve">"), במטרה למכור את הסם תמורת רווח כספי. בין המעורבים נקבע כי הנאשם יסייע לגיא בניהול ארגון רכישת הסמים והמנוע ושילוחם ארצה, וכי עבור חלקו יקבל סך של 80,000 ₪. בעת שסאני שהה בקולומביה ופעל לרכישת הסמים והמנוע, העבירו לו הנאשם וגיא סך כולל של כ – 11,000 $ בתשלומים שונים </w:t>
      </w:r>
      <w:r w:rsidRPr="00B44B54">
        <w:rPr>
          <w:rFonts w:ascii="Arial" w:hAnsi="Arial"/>
          <w:spacing w:val="22"/>
          <w:rtl/>
        </w:rPr>
        <w:lastRenderedPageBreak/>
        <w:t>שמומנו ע"י סלימאן לשם רכישת הסמים והמנוע ולמחייתו של סאני. במקביל, פעל הנאשם ביחד עם גיא, להסדרת משלוח המנוע לישראל, ובכלל זה עמדו השניים בקשר עם גורמים שונים בשלוש חברות שילוח בינלאומיות וטיפלו במסמכים הרלבנטיים ובתמחור תשלומים שונים הקשורים בכך. לאחר שסאני הטמין את הסמים בבוכנות המנוע והעבירו לחברת השילוח בקולומביה, החלו הנאשם וגיא במעקב אחר מיקום המנוע ותנועתו מקולומביה לישראל, תוך עדכונו של סלימאן, מי שהיה אחראי על  מימון רכישת הסמים והמנוע והבאתם ארצה, וטיפלו בגיוס הכספים והסדרת תשלומי המכס ומשלוח המנוע שעמדו על סך של כ – 55,000 ₪. במקביל, ביום 16.8.16, ללא ידיעת הנאשם, סלימאן וגיא, מצאו גורמי האכיפה בקולומביה את הסם והוציאו אותו לאחר תיאום עם משטרת ישראל. עם הגעת המנוע לישראל ביום 27.8.16, הטמינו בו שוטרים 2 שקיות קמח ושקית עם 176 גרם קוקאין. ביום 29.8.16 נפגשו הנאשם וגיא עם סלימאן בבאר שבע, קיבלו ממנו סך של 10,000 $, אותו העבירו לחברת השילוח בנוסף לסכום של 2,500 $ ששולם ע"י גיא. ביום 30.8.16 סיימו הנאשם וגיא את הטיפול הבירוקרטי ודאגו להובלת המנוע במשאית מנתב"ג למקום מושבו של סלימאן באזור שדה בוקר, תוך שהם נוסעים במכוניתו של גיא לאותו יעד. לאחר פריקת המנוע בסמוך לאוהל מגוריו של סלימאן, הנאשם, גיא וסלימאן הוציאו מהמנוע את שתי שקיות הקמח, שבאחת מהן שקית הקוקאין, פנו לאוהל, פתחו אותן ובדקו תכולתן. בסמוך לאחר מכן נעצרו הנאשם וגיא.</w:t>
      </w:r>
    </w:p>
    <w:p w14:paraId="097E55B8" w14:textId="77777777" w:rsidR="006E2F02" w:rsidRPr="00B44B54" w:rsidRDefault="006E2F02" w:rsidP="006E2F02">
      <w:pPr>
        <w:spacing w:line="360" w:lineRule="auto"/>
        <w:jc w:val="both"/>
        <w:rPr>
          <w:rFonts w:ascii="Arial" w:hAnsi="Arial"/>
          <w:spacing w:val="22"/>
          <w:rtl/>
        </w:rPr>
      </w:pPr>
    </w:p>
    <w:p w14:paraId="4EAB2141" w14:textId="77777777" w:rsidR="006E2F02" w:rsidRPr="00B44B54" w:rsidRDefault="006E2F02" w:rsidP="006E2F02">
      <w:pPr>
        <w:spacing w:line="360" w:lineRule="auto"/>
        <w:jc w:val="both"/>
        <w:rPr>
          <w:rFonts w:ascii="Arial" w:hAnsi="Arial"/>
          <w:spacing w:val="22"/>
          <w:rtl/>
        </w:rPr>
      </w:pPr>
    </w:p>
    <w:p w14:paraId="162787EF" w14:textId="77777777" w:rsidR="006E2F02" w:rsidRPr="00B44B54" w:rsidRDefault="006E2F02" w:rsidP="006E2F02">
      <w:pPr>
        <w:spacing w:line="360" w:lineRule="auto"/>
        <w:ind w:firstLine="720"/>
        <w:jc w:val="both"/>
        <w:rPr>
          <w:rFonts w:ascii="Miriam" w:hAnsi="Miriam"/>
          <w:b/>
          <w:bCs/>
          <w:spacing w:val="22"/>
          <w:rtl/>
        </w:rPr>
      </w:pPr>
      <w:r w:rsidRPr="00B44B54">
        <w:rPr>
          <w:rFonts w:ascii="Miriam" w:hAnsi="Miriam" w:hint="eastAsia"/>
          <w:b/>
          <w:bCs/>
          <w:spacing w:val="22"/>
          <w:rtl/>
        </w:rPr>
        <w:t>טענות</w:t>
      </w:r>
      <w:r w:rsidRPr="00B44B54">
        <w:rPr>
          <w:rFonts w:ascii="Miriam" w:hAnsi="Miriam"/>
          <w:b/>
          <w:bCs/>
          <w:spacing w:val="22"/>
          <w:rtl/>
        </w:rPr>
        <w:t xml:space="preserve"> </w:t>
      </w:r>
      <w:r w:rsidRPr="00B44B54">
        <w:rPr>
          <w:rFonts w:ascii="Miriam" w:hAnsi="Miriam" w:hint="eastAsia"/>
          <w:b/>
          <w:bCs/>
          <w:spacing w:val="22"/>
          <w:rtl/>
        </w:rPr>
        <w:t>הצדדים</w:t>
      </w:r>
      <w:r w:rsidRPr="00B44B54">
        <w:rPr>
          <w:rFonts w:ascii="Miriam" w:hAnsi="Miriam"/>
          <w:b/>
          <w:bCs/>
          <w:spacing w:val="22"/>
          <w:rtl/>
        </w:rPr>
        <w:tab/>
      </w:r>
    </w:p>
    <w:p w14:paraId="05969167" w14:textId="77777777" w:rsidR="006E2F02" w:rsidRPr="00B44B54" w:rsidRDefault="006E2F02" w:rsidP="006E2F02">
      <w:pPr>
        <w:spacing w:after="120" w:line="360" w:lineRule="auto"/>
        <w:jc w:val="both"/>
        <w:rPr>
          <w:rFonts w:ascii="Arial" w:hAnsi="Arial"/>
          <w:spacing w:val="22"/>
          <w:rtl/>
        </w:rPr>
      </w:pPr>
      <w:r w:rsidRPr="00B44B54">
        <w:rPr>
          <w:rFonts w:ascii="Arial" w:hAnsi="Arial"/>
          <w:spacing w:val="22"/>
          <w:rtl/>
        </w:rPr>
        <w:t>3.</w:t>
      </w:r>
      <w:r w:rsidRPr="00B44B54">
        <w:rPr>
          <w:rFonts w:ascii="Arial" w:hAnsi="Arial"/>
          <w:spacing w:val="22"/>
          <w:rtl/>
        </w:rPr>
        <w:tab/>
        <w:t>ב"כ המאשימה טענ</w:t>
      </w:r>
      <w:r w:rsidRPr="00B44B54">
        <w:rPr>
          <w:rFonts w:ascii="Arial" w:hAnsi="Arial" w:hint="cs"/>
          <w:spacing w:val="22"/>
          <w:rtl/>
        </w:rPr>
        <w:t>ה</w:t>
      </w:r>
      <w:r w:rsidRPr="00B44B54">
        <w:rPr>
          <w:rFonts w:ascii="Arial" w:hAnsi="Arial"/>
          <w:spacing w:val="22"/>
          <w:rtl/>
        </w:rPr>
        <w:t xml:space="preserve"> כי הנאשם קשר נטל חלק בשותפות מראשיתה ותפקידו היה לסייע לנהל את הכספים שישמשו לרכישת המנוע והסמים ולהעברתם לישראל. מדובר במערכת עבריינית מאורגנת ומתוכננת היטב, בה לכל אחד מהשותפים היה תפקיד ש</w:t>
      </w:r>
      <w:r w:rsidRPr="00B44B54">
        <w:rPr>
          <w:rFonts w:ascii="Arial" w:hAnsi="Arial" w:hint="cs"/>
          <w:spacing w:val="22"/>
          <w:rtl/>
        </w:rPr>
        <w:t>נועד</w:t>
      </w:r>
      <w:r w:rsidRPr="00B44B54">
        <w:rPr>
          <w:rFonts w:ascii="Arial" w:hAnsi="Arial"/>
          <w:spacing w:val="22"/>
          <w:rtl/>
        </w:rPr>
        <w:t xml:space="preserve"> להצלחתה, והכל נעשה עבור בצע כסף. זו תכנית מתוחכמת </w:t>
      </w:r>
      <w:r w:rsidRPr="00B44B54">
        <w:rPr>
          <w:rFonts w:ascii="Arial" w:hAnsi="Arial" w:hint="cs"/>
          <w:spacing w:val="22"/>
          <w:rtl/>
        </w:rPr>
        <w:t>ו</w:t>
      </w:r>
      <w:r w:rsidRPr="00B44B54">
        <w:rPr>
          <w:rFonts w:ascii="Arial" w:hAnsi="Arial"/>
          <w:spacing w:val="22"/>
          <w:rtl/>
        </w:rPr>
        <w:t xml:space="preserve">קשה היה למנוע אותה ללא </w:t>
      </w:r>
      <w:r w:rsidRPr="00B44B54">
        <w:rPr>
          <w:rFonts w:ascii="Arial" w:hAnsi="Arial" w:hint="cs"/>
          <w:spacing w:val="22"/>
          <w:rtl/>
        </w:rPr>
        <w:t>ה</w:t>
      </w:r>
      <w:r w:rsidRPr="00B44B54">
        <w:rPr>
          <w:rFonts w:ascii="Arial" w:hAnsi="Arial"/>
          <w:spacing w:val="22"/>
          <w:rtl/>
        </w:rPr>
        <w:t xml:space="preserve">ערנות של </w:t>
      </w:r>
      <w:r w:rsidRPr="00B44B54">
        <w:rPr>
          <w:rFonts w:ascii="Arial" w:hAnsi="Arial" w:hint="cs"/>
          <w:spacing w:val="22"/>
          <w:rtl/>
        </w:rPr>
        <w:t>ה</w:t>
      </w:r>
      <w:r w:rsidRPr="00B44B54">
        <w:rPr>
          <w:rFonts w:ascii="Arial" w:hAnsi="Arial"/>
          <w:spacing w:val="22"/>
          <w:rtl/>
        </w:rPr>
        <w:t xml:space="preserve">גורמים בדרך והיא התגלתה אך במקרה. הערכים המוגנים שנפגעו הינם שלום הציבור, שכן סמים מסוכנים, ובפרט סמים מסוג קוקאין, גורמים להרעלה של הציבור ופוגעים במאמצי המדינה לגמילתם מסמים של קהל המשתמשים בהם. פוטנציאל הנזק הינו אדיר, שכן מדובר בכמות עצומה של 1.580 ק"ג של סם, השווה ל – 5,267 מנות סם, שאמורות היו להיות מופצות בציבור. כמו כן, מחירו של ק"ג קוקאין מוערך ע"י משטרת ישראל בסכום של כחצי מיליון ₪. נטען כי חלקו היחסי של הנאשם הינו עבירת סיוע ברף הגבוה, משום שהוא ביצע פעולות רבות מתוך ידיעה ברורה על מהות התכנית ומטרותיה ומעורבותו כללה ארגון הכספים ששימשו </w:t>
      </w:r>
      <w:r w:rsidRPr="00B44B54">
        <w:rPr>
          <w:rFonts w:ascii="Arial" w:hAnsi="Arial"/>
          <w:spacing w:val="22"/>
          <w:rtl/>
        </w:rPr>
        <w:lastRenderedPageBreak/>
        <w:t>לרכישת הסמים והמנוע בקולומביה וטיפול בהליך הלוגיסטי של שליחת המנוע לישראל, מעקב אודותיו, גיוס הכספים והסדרת תשלומי המכס, ניודו בתוך ישראל תוך שהוא מלווה אותו ולקח חלק גם בפתיחת המנוע ובהוצאת הסם. מדובר במעורבות אקטיבית וממשית מתחילת התוכנית ועד סופה. הנאשם יכ</w:t>
      </w:r>
      <w:r w:rsidRPr="00B44B54">
        <w:rPr>
          <w:rFonts w:ascii="Arial" w:hAnsi="Arial" w:hint="cs"/>
          <w:spacing w:val="22"/>
          <w:rtl/>
        </w:rPr>
        <w:t>ו</w:t>
      </w:r>
      <w:r w:rsidRPr="00B44B54">
        <w:rPr>
          <w:rFonts w:ascii="Arial" w:hAnsi="Arial"/>
          <w:spacing w:val="22"/>
          <w:rtl/>
        </w:rPr>
        <w:t xml:space="preserve">ל </w:t>
      </w:r>
      <w:r w:rsidRPr="00B44B54">
        <w:rPr>
          <w:rFonts w:ascii="Arial" w:hAnsi="Arial" w:hint="cs"/>
          <w:spacing w:val="22"/>
          <w:rtl/>
        </w:rPr>
        <w:t xml:space="preserve">היה  </w:t>
      </w:r>
      <w:r w:rsidRPr="00B44B54">
        <w:rPr>
          <w:rFonts w:ascii="Arial" w:hAnsi="Arial"/>
          <w:spacing w:val="22"/>
          <w:rtl/>
        </w:rPr>
        <w:t xml:space="preserve">לסגת מהעבירה בכל שלב, אך לא עשה כן והביע חרטה רק לאחר שנתפס.  לפיכך, לעמדת המאשימה, מתחם העונש הראוי הוא 3-6 שנות מאסר, מאסר על תנאי וקנס משמעותי. באשר לעונשו של הנאשם, תוך התחשבות באמור בתסקיר שירות המבחן, עותרת המאשימה למקמו ברף התחתון, בצירוף מאסר על תנאי וקנס הולם בסך עשרות אלפי שקלים. </w:t>
      </w:r>
    </w:p>
    <w:p w14:paraId="7C54CB05" w14:textId="77777777" w:rsidR="006E2F02" w:rsidRPr="00B44B54" w:rsidRDefault="006E2F02" w:rsidP="006E2F02">
      <w:pPr>
        <w:spacing w:line="360" w:lineRule="auto"/>
        <w:jc w:val="both"/>
        <w:rPr>
          <w:rFonts w:ascii="Arial" w:hAnsi="Arial"/>
          <w:spacing w:val="22"/>
          <w:rtl/>
        </w:rPr>
      </w:pPr>
    </w:p>
    <w:p w14:paraId="5BFD7E45" w14:textId="77777777" w:rsidR="006E2F02" w:rsidRPr="00B44B54" w:rsidRDefault="006E2F02" w:rsidP="006E2F02">
      <w:pPr>
        <w:spacing w:line="360" w:lineRule="auto"/>
        <w:jc w:val="both"/>
        <w:rPr>
          <w:rFonts w:ascii="Arial" w:hAnsi="Arial"/>
          <w:spacing w:val="22"/>
          <w:rtl/>
        </w:rPr>
      </w:pPr>
      <w:r w:rsidRPr="00B44B54">
        <w:rPr>
          <w:rFonts w:ascii="Arial" w:hAnsi="Arial"/>
          <w:spacing w:val="22"/>
          <w:rtl/>
        </w:rPr>
        <w:t>4.</w:t>
      </w:r>
      <w:r w:rsidRPr="00B44B54">
        <w:rPr>
          <w:rFonts w:ascii="Arial" w:hAnsi="Arial"/>
          <w:spacing w:val="22"/>
          <w:rtl/>
        </w:rPr>
        <w:tab/>
        <w:t xml:space="preserve">ב"כ הנאשם </w:t>
      </w:r>
      <w:r w:rsidRPr="00B44B54">
        <w:rPr>
          <w:rFonts w:ascii="Arial" w:hAnsi="Arial" w:hint="cs"/>
          <w:spacing w:val="22"/>
          <w:rtl/>
        </w:rPr>
        <w:t>טענה</w:t>
      </w:r>
      <w:r w:rsidRPr="00B44B54">
        <w:rPr>
          <w:rFonts w:ascii="Arial" w:hAnsi="Arial"/>
          <w:spacing w:val="22"/>
          <w:rtl/>
        </w:rPr>
        <w:t xml:space="preserve"> כי לנאשם אין עבר פלילי, הוא נשוי ואב לשני ילדים שנולדו לאחר טיפולי פוריות קשים, הוא הודה בהזדמנות הראשונה לאחר שנעצר והותקף על ידי השוטרים, על כך הוגשה תלונה למח"ש. הנאשם שיתף פעולה עם המשטרה ועם הפרקליטות ולא ניסה לעשות עסקה. המעורב השני הוא גיסו, בעלה של אחותו, ו</w:t>
      </w:r>
      <w:r w:rsidRPr="00B44B54">
        <w:rPr>
          <w:rFonts w:ascii="Arial" w:hAnsi="Arial" w:hint="cs"/>
          <w:spacing w:val="22"/>
          <w:rtl/>
        </w:rPr>
        <w:t>עתה</w:t>
      </w:r>
      <w:r w:rsidRPr="00B44B54">
        <w:rPr>
          <w:rFonts w:ascii="Arial" w:hAnsi="Arial"/>
          <w:spacing w:val="22"/>
          <w:rtl/>
        </w:rPr>
        <w:t xml:space="preserve"> הנאשם יצטרך להעיד נגדו, כך שתיק זה גרם לקרע משפחתי. באשר לחלקו, נטען כי הוא מועט, משום שהנאשם לא היה יוזם ואף לא מבצע, אלא העביר את הכסף בדואר ועקב אחרי הכסף. כמו כן, נטען כי יש להתחשב בכך שהסם נתפס ולא הופץ. הנאשם שיקם את עצמו לבד ולמד לכתוב מזוזות. באשר ליסוד הנפשי, נטען כי מצד הנאשם </w:t>
      </w:r>
      <w:r w:rsidRPr="00B44B54">
        <w:rPr>
          <w:rFonts w:ascii="Arial" w:hAnsi="Arial" w:hint="cs"/>
          <w:spacing w:val="22"/>
          <w:rtl/>
        </w:rPr>
        <w:t>קיימת</w:t>
      </w:r>
      <w:r w:rsidRPr="00B44B54">
        <w:rPr>
          <w:rFonts w:ascii="Arial" w:hAnsi="Arial"/>
          <w:spacing w:val="22"/>
          <w:rtl/>
        </w:rPr>
        <w:t xml:space="preserve"> עצימת עיניים ברף הנמוך מאוד. הנאשם הביע רצון לשיקום בפני שירות המבחן, אך ההימנעות מהמלצה על שיקומו באה בשל הרף הגבוה של הענישה. לנאשם נסיבות חיים קשות, שכן </w:t>
      </w:r>
      <w:r w:rsidRPr="00B44B54">
        <w:rPr>
          <w:rFonts w:ascii="Arial" w:hAnsi="Arial" w:hint="cs"/>
          <w:spacing w:val="22"/>
          <w:rtl/>
        </w:rPr>
        <w:t xml:space="preserve">בהיותו </w:t>
      </w:r>
      <w:r w:rsidRPr="00B44B54">
        <w:rPr>
          <w:rFonts w:ascii="Arial" w:hAnsi="Arial"/>
          <w:spacing w:val="22"/>
          <w:rtl/>
        </w:rPr>
        <w:t xml:space="preserve">כבן 10 שנים אביו נהרג בתאונה. כיום הוא מותיר תינוק ואשה בדיכאון לאחר לידה. לפיכך, מתחם הענישה הראוי הוא 12-24 חודשים. באשר לעונשו של הנאשם בתוך המתחם, </w:t>
      </w:r>
      <w:r w:rsidRPr="00B44B54">
        <w:rPr>
          <w:rFonts w:ascii="Arial" w:hAnsi="Arial" w:hint="cs"/>
          <w:spacing w:val="22"/>
          <w:rtl/>
        </w:rPr>
        <w:t xml:space="preserve">באה בקשה </w:t>
      </w:r>
      <w:r w:rsidRPr="00B44B54">
        <w:rPr>
          <w:rFonts w:ascii="Arial" w:hAnsi="Arial"/>
          <w:spacing w:val="22"/>
          <w:rtl/>
        </w:rPr>
        <w:t xml:space="preserve">להקל עמו. כמו כן, </w:t>
      </w:r>
      <w:r w:rsidRPr="00B44B54">
        <w:rPr>
          <w:rFonts w:ascii="Arial" w:hAnsi="Arial" w:hint="cs"/>
          <w:spacing w:val="22"/>
          <w:rtl/>
        </w:rPr>
        <w:t>התבקש</w:t>
      </w:r>
      <w:r w:rsidRPr="00B44B54">
        <w:rPr>
          <w:rFonts w:ascii="Arial" w:hAnsi="Arial"/>
          <w:spacing w:val="22"/>
          <w:rtl/>
        </w:rPr>
        <w:t xml:space="preserve"> לקבוע את שיעור הקנס שיוטל עליו תוך התחשבות בכך שה</w:t>
      </w:r>
      <w:r w:rsidRPr="00B44B54">
        <w:rPr>
          <w:rFonts w:ascii="Arial" w:hAnsi="Arial" w:hint="cs"/>
          <w:spacing w:val="22"/>
          <w:rtl/>
        </w:rPr>
        <w:t>נאשם</w:t>
      </w:r>
      <w:r w:rsidRPr="00B44B54">
        <w:rPr>
          <w:rFonts w:ascii="Arial" w:hAnsi="Arial"/>
          <w:spacing w:val="22"/>
          <w:rtl/>
        </w:rPr>
        <w:t xml:space="preserve"> ואשתו אינם עובדים ונתמכים ע"י עמותה. </w:t>
      </w:r>
    </w:p>
    <w:p w14:paraId="26E1F5DC" w14:textId="77777777" w:rsidR="006E2F02" w:rsidRPr="00B44B54" w:rsidRDefault="006E2F02" w:rsidP="006E2F02">
      <w:pPr>
        <w:spacing w:line="360" w:lineRule="auto"/>
        <w:jc w:val="both"/>
        <w:rPr>
          <w:rFonts w:ascii="Arial" w:hAnsi="Arial"/>
          <w:spacing w:val="22"/>
          <w:rtl/>
        </w:rPr>
      </w:pPr>
    </w:p>
    <w:p w14:paraId="45A1B5C3" w14:textId="77777777" w:rsidR="006E2F02" w:rsidRPr="00B44B54" w:rsidRDefault="006E2F02" w:rsidP="006E2F02">
      <w:pPr>
        <w:spacing w:line="360" w:lineRule="auto"/>
        <w:jc w:val="both"/>
        <w:rPr>
          <w:rFonts w:ascii="Arial" w:hAnsi="Arial"/>
          <w:spacing w:val="22"/>
          <w:rtl/>
        </w:rPr>
      </w:pPr>
      <w:r w:rsidRPr="00B44B54">
        <w:rPr>
          <w:rFonts w:ascii="Arial" w:hAnsi="Arial"/>
          <w:spacing w:val="22"/>
          <w:rtl/>
        </w:rPr>
        <w:t>5.</w:t>
      </w:r>
      <w:r w:rsidRPr="00B44B54">
        <w:rPr>
          <w:rFonts w:ascii="Arial" w:hAnsi="Arial"/>
          <w:spacing w:val="22"/>
          <w:rtl/>
        </w:rPr>
        <w:tab/>
        <w:t xml:space="preserve">הנאשם הביע צער וחרטה על מעשיו, בכה, ביקש רחמים ועזרה בשיקומו. </w:t>
      </w:r>
    </w:p>
    <w:p w14:paraId="67C6E68F" w14:textId="77777777" w:rsidR="006E2F02" w:rsidRPr="00B44B54" w:rsidRDefault="006E2F02" w:rsidP="006E2F02">
      <w:pPr>
        <w:spacing w:line="360" w:lineRule="auto"/>
        <w:jc w:val="both"/>
        <w:rPr>
          <w:rFonts w:ascii="Arial" w:hAnsi="Arial"/>
          <w:spacing w:val="22"/>
          <w:rtl/>
        </w:rPr>
      </w:pPr>
    </w:p>
    <w:p w14:paraId="5487EB4B" w14:textId="77777777" w:rsidR="006E2F02" w:rsidRPr="00B44B54" w:rsidRDefault="006E2F02" w:rsidP="006E2F02">
      <w:pPr>
        <w:spacing w:line="360" w:lineRule="auto"/>
        <w:ind w:firstLine="720"/>
        <w:jc w:val="both"/>
        <w:rPr>
          <w:rFonts w:ascii="Arial" w:hAnsi="Arial"/>
          <w:b/>
          <w:bCs/>
          <w:spacing w:val="22"/>
          <w:rtl/>
        </w:rPr>
      </w:pPr>
      <w:r w:rsidRPr="00B44B54">
        <w:rPr>
          <w:rFonts w:ascii="Arial" w:hAnsi="Arial"/>
          <w:b/>
          <w:bCs/>
          <w:spacing w:val="22"/>
          <w:rtl/>
        </w:rPr>
        <w:t>תסקיר שירות המבחן</w:t>
      </w:r>
    </w:p>
    <w:p w14:paraId="7D5A72EF" w14:textId="77777777" w:rsidR="006E2F02" w:rsidRPr="00B44B54" w:rsidRDefault="006E2F02" w:rsidP="006E2F02">
      <w:pPr>
        <w:spacing w:line="360" w:lineRule="auto"/>
        <w:jc w:val="both"/>
        <w:rPr>
          <w:rFonts w:ascii="Arial" w:hAnsi="Arial"/>
          <w:spacing w:val="22"/>
          <w:rtl/>
        </w:rPr>
      </w:pPr>
      <w:r w:rsidRPr="00B44B54">
        <w:rPr>
          <w:rFonts w:ascii="Arial" w:hAnsi="Arial"/>
          <w:spacing w:val="22"/>
          <w:rtl/>
        </w:rPr>
        <w:t>6.</w:t>
      </w:r>
      <w:r w:rsidRPr="00B44B54">
        <w:rPr>
          <w:rFonts w:ascii="Arial" w:hAnsi="Arial"/>
          <w:spacing w:val="22"/>
          <w:rtl/>
        </w:rPr>
        <w:tab/>
        <w:t>מתסקיר שירות המבחן שנערך בעניינו של הנאשם, יליד 1980, עולה כי הינו נשוי ואב לשני ילדים בגילאי 6.5 ותינוק כבן חודשיים, מנהל אורח חיים דתי, שירת שירות צבאי חלקי וביצע עבירות עריקות, בגינן הורשע ונדון למאסר בשנים 2001 ו - 2005. בהיותו כבן 10, לאחר פטירת אביו, הוצא הנאשם יחד עם אחיו ממשפחתו למסגרת חוץ ביתית. הוא גדל במסגרת משפחתית מורכבת והתקשה להתמיד בהשתלבות במסגרות חינוך, צבא ותעסוקה. יחד עם זאת, הנאשם עשה מאמצים לתפקד באופן תקין ובשלוש השנים האחרונות עבר כטכנאי מצלמות. שירות המבחן התרשם כי לנאשם אין דפוסי עבריינות מושרשים, אך במצבי דחק הוא מתקשה לפעול בשיקול דעת, נוטה לטשטש גבולות וקיימת רמת סיכון בינונית להישנות התנהגות עוברת חוק</w:t>
      </w:r>
      <w:r w:rsidRPr="00B44B54">
        <w:rPr>
          <w:rFonts w:ascii="Arial" w:hAnsi="Arial" w:hint="cs"/>
          <w:spacing w:val="22"/>
          <w:rtl/>
        </w:rPr>
        <w:t>.</w:t>
      </w:r>
      <w:r w:rsidRPr="00B44B54">
        <w:rPr>
          <w:rFonts w:ascii="Arial" w:hAnsi="Arial"/>
          <w:spacing w:val="22"/>
          <w:rtl/>
        </w:rPr>
        <w:t xml:space="preserve"> כמו כן, במהלך המפגשים עמו בקבוצה טיפולית נחשפו אלמנטים של הסתרה ומניפולטיביות בהתנהלותו. הנאשם הודה בביצוע העבירות, הסביר את ביצוע העבירות במטרה להשיג רווח קל והביע רצון להשתלב בהליך טיפולי. נוכח חומרת העבירות נמנע שירות המבחן מהמלצה טיפולית בעניינו.</w:t>
      </w:r>
    </w:p>
    <w:p w14:paraId="11F84119" w14:textId="77777777" w:rsidR="006E2F02" w:rsidRPr="00B44B54" w:rsidRDefault="006E2F02" w:rsidP="006E2F02">
      <w:pPr>
        <w:spacing w:line="360" w:lineRule="auto"/>
        <w:jc w:val="both"/>
        <w:rPr>
          <w:rFonts w:ascii="Arial" w:hAnsi="Arial"/>
          <w:spacing w:val="22"/>
          <w:rtl/>
        </w:rPr>
      </w:pPr>
    </w:p>
    <w:p w14:paraId="7BE622BC" w14:textId="77777777" w:rsidR="006E2F02" w:rsidRPr="00B44B54" w:rsidRDefault="006E2F02" w:rsidP="006E2F02">
      <w:pPr>
        <w:spacing w:line="360" w:lineRule="auto"/>
        <w:ind w:firstLine="720"/>
        <w:jc w:val="both"/>
        <w:rPr>
          <w:rFonts w:ascii="Miriam" w:hAnsi="Miriam"/>
          <w:b/>
          <w:bCs/>
          <w:spacing w:val="22"/>
          <w:rtl/>
        </w:rPr>
      </w:pPr>
      <w:r w:rsidRPr="00B44B54">
        <w:rPr>
          <w:rFonts w:ascii="Miriam" w:hAnsi="Miriam" w:hint="eastAsia"/>
          <w:b/>
          <w:bCs/>
          <w:spacing w:val="22"/>
          <w:rtl/>
        </w:rPr>
        <w:t>דיון</w:t>
      </w:r>
    </w:p>
    <w:p w14:paraId="46CF9183" w14:textId="77777777" w:rsidR="006E2F02" w:rsidRPr="00B44B54" w:rsidRDefault="006E2F02" w:rsidP="006E2F02">
      <w:pPr>
        <w:spacing w:line="360" w:lineRule="auto"/>
        <w:jc w:val="both"/>
        <w:rPr>
          <w:rFonts w:ascii="Arial" w:hAnsi="Arial"/>
          <w:spacing w:val="22"/>
          <w:rtl/>
        </w:rPr>
      </w:pPr>
      <w:r w:rsidRPr="00B44B54">
        <w:rPr>
          <w:rFonts w:ascii="Arial" w:hAnsi="Arial"/>
          <w:spacing w:val="22"/>
          <w:rtl/>
        </w:rPr>
        <w:t>7.</w:t>
      </w:r>
      <w:r w:rsidRPr="00B44B54">
        <w:rPr>
          <w:rFonts w:ascii="Arial" w:hAnsi="Arial"/>
          <w:spacing w:val="22"/>
          <w:rtl/>
        </w:rPr>
        <w:tab/>
      </w:r>
      <w:hyperlink r:id="rId23" w:history="1">
        <w:r w:rsidR="002D5A82" w:rsidRPr="002D5A82">
          <w:rPr>
            <w:rFonts w:ascii="Arial" w:hAnsi="Arial"/>
            <w:color w:val="0000FF"/>
            <w:spacing w:val="22"/>
            <w:u w:val="single"/>
            <w:rtl/>
          </w:rPr>
          <w:t>חוק העונשין</w:t>
        </w:r>
      </w:hyperlink>
      <w:r w:rsidRPr="00B44B54">
        <w:rPr>
          <w:rFonts w:ascii="Arial" w:hAnsi="Arial"/>
          <w:spacing w:val="22"/>
          <w:rtl/>
        </w:rPr>
        <w:t xml:space="preserve"> (תיקון 113) קבע את עקרון ההלימה שמשמעו אימוץ עקרון הגמול כעקרון מנחה. בחינת העבירה ונסיבותיה מביאה לקביעת מתחם ענישה ולאחר מכן יש לבחון הנסיבות האישיות. דהיינו, העבירה מכתיבה את המתחם ושילוב הנסיבות האישיות במתחם מכתיבים את גזר הדין. התיקון לחוק יצר מנגנון תלת שלבי לגזירת העונש. </w:t>
      </w:r>
      <w:r w:rsidRPr="00B44B54">
        <w:rPr>
          <w:rFonts w:ascii="Arial" w:hAnsi="Arial"/>
          <w:b/>
          <w:bCs/>
          <w:spacing w:val="22"/>
          <w:rtl/>
        </w:rPr>
        <w:t>בשלב הראשון,</w:t>
      </w:r>
      <w:r w:rsidRPr="00B44B54">
        <w:rPr>
          <w:rFonts w:ascii="Arial" w:hAnsi="Arial"/>
          <w:spacing w:val="22"/>
          <w:rtl/>
        </w:rPr>
        <w:t xml:space="preserve"> יש לבדוק האם הנאשם הורשע בכמה עבירות, והאם אלו מהוות אירוע אחד או כמה אירועים נפרדים. כאשר מדובר בכמה אירועים, יש לקבוע עונש הולם לכל אירוע בנפרד ולבסוף ניתן לגזור עונש נפרד לכל אירוע או עונש כולל לכל האירועים. </w:t>
      </w:r>
      <w:r w:rsidRPr="00B44B54">
        <w:rPr>
          <w:rFonts w:ascii="Arial" w:hAnsi="Arial"/>
          <w:b/>
          <w:bCs/>
          <w:spacing w:val="22"/>
          <w:rtl/>
        </w:rPr>
        <w:t>בשלב השני</w:t>
      </w:r>
      <w:r w:rsidRPr="00B44B54">
        <w:rPr>
          <w:rFonts w:ascii="Arial" w:hAnsi="Arial"/>
          <w:spacing w:val="22"/>
          <w:rtl/>
        </w:rPr>
        <w:t xml:space="preserve">, יש לקבוע את מתחם הענישה הראוי כעולה </w:t>
      </w:r>
      <w:hyperlink r:id="rId24" w:history="1">
        <w:r w:rsidR="006C2857" w:rsidRPr="006C2857">
          <w:rPr>
            <w:rFonts w:ascii="Arial" w:hAnsi="Arial"/>
            <w:color w:val="0000FF"/>
            <w:spacing w:val="22"/>
            <w:u w:val="single"/>
            <w:rtl/>
          </w:rPr>
          <w:t>מסעיף 40ג'(א)</w:t>
        </w:r>
      </w:hyperlink>
      <w:r w:rsidRPr="00B44B54">
        <w:rPr>
          <w:rFonts w:ascii="Arial" w:hAnsi="Arial"/>
          <w:spacing w:val="22"/>
          <w:rtl/>
        </w:rPr>
        <w:t xml:space="preserve"> ל</w:t>
      </w:r>
      <w:hyperlink r:id="rId25" w:history="1">
        <w:r w:rsidR="002D5A82" w:rsidRPr="002D5A82">
          <w:rPr>
            <w:rFonts w:ascii="Arial" w:hAnsi="Arial"/>
            <w:color w:val="0000FF"/>
            <w:spacing w:val="22"/>
            <w:u w:val="single"/>
            <w:rtl/>
          </w:rPr>
          <w:t>חוק העונשין</w:t>
        </w:r>
      </w:hyperlink>
      <w:r w:rsidRPr="00B44B54">
        <w:rPr>
          <w:rFonts w:ascii="Arial" w:hAnsi="Arial"/>
          <w:spacing w:val="22"/>
          <w:rtl/>
        </w:rPr>
        <w:t xml:space="preserve">. ביצירת המתחם מספר שיקולים: האחד, הערך החברתי שנפגע מביצוע העבירה ומידת הפגיעה בו. השני, מדיניות הענישה הנוהגת. השלישי, נסיבות הקשורות בביצוע העבירה כמפורט </w:t>
      </w:r>
      <w:hyperlink r:id="rId26" w:history="1">
        <w:r w:rsidR="006C2857" w:rsidRPr="006C2857">
          <w:rPr>
            <w:rFonts w:ascii="Arial" w:hAnsi="Arial"/>
            <w:color w:val="0000FF"/>
            <w:spacing w:val="22"/>
            <w:u w:val="single"/>
            <w:rtl/>
          </w:rPr>
          <w:t>בסעיף 40ט'</w:t>
        </w:r>
      </w:hyperlink>
      <w:r w:rsidRPr="00B44B54">
        <w:rPr>
          <w:rFonts w:ascii="Arial" w:hAnsi="Arial"/>
          <w:spacing w:val="22"/>
          <w:rtl/>
        </w:rPr>
        <w:t xml:space="preserve"> והם: תכנון, חלקו של הנאשם, הנזק הצפוי וזה שנגרם, הסיבות לביצוע העבירה, הבנת הנאשם ויכולת להימנע מעבירה, מצוקתו הנפשית, קרבה לסייג אחריות פלילית, מידת האכזריות כלפי נפגע העבירה, ניצול כוח ומעמד. </w:t>
      </w:r>
      <w:r w:rsidRPr="00B44B54">
        <w:rPr>
          <w:rFonts w:ascii="Arial" w:hAnsi="Arial"/>
          <w:b/>
          <w:bCs/>
          <w:spacing w:val="22"/>
          <w:rtl/>
        </w:rPr>
        <w:t>בשלב השלישי</w:t>
      </w:r>
      <w:r w:rsidRPr="00B44B54">
        <w:rPr>
          <w:rFonts w:ascii="Arial" w:hAnsi="Arial"/>
          <w:spacing w:val="22"/>
          <w:rtl/>
        </w:rPr>
        <w:t>, יש לגזור את העונש המתאים לנאשם בתוך המתחם ולהתחשב בנסיבות שאינן קשורות בביצוע העבירה: הפגיעה של העונש בנאשם, לרבות שיקולי גיל; פגיעה במשפחתו; הנזקים שנגרמו לנאשם מביצוע העבירה וההרשעה; מידת האחריות של הנאשם למעשיו; שיקומו או ניסיונות שיקום; מאמצי הנאשם לתיקון תוצאות העבירה ופיצוי על הנזק שנגרם בעטיה; שיתוף פעולה עם רשויות אכיפת החוק; התנהגות חיובית של הנאשם ותרומתו לחברה; נסיבות חיים קשות של הנאשם; התנהגות רשויות אכיפת החוק; חלוף הזמן מביצוע העבירה; עברו הפלילי של הנאשם או העדר עבר.</w:t>
      </w:r>
    </w:p>
    <w:p w14:paraId="240E3B50" w14:textId="77777777" w:rsidR="006E2F02" w:rsidRPr="00B44B54" w:rsidRDefault="006E2F02" w:rsidP="006E2F02">
      <w:pPr>
        <w:spacing w:line="360" w:lineRule="auto"/>
        <w:jc w:val="both"/>
        <w:rPr>
          <w:rFonts w:ascii="Arial" w:hAnsi="Arial"/>
          <w:spacing w:val="22"/>
          <w:rtl/>
        </w:rPr>
      </w:pPr>
    </w:p>
    <w:p w14:paraId="5106350B" w14:textId="77777777" w:rsidR="006E2F02" w:rsidRPr="00B44B54" w:rsidRDefault="006E2F02" w:rsidP="006E2F02">
      <w:pPr>
        <w:spacing w:after="160" w:line="360" w:lineRule="auto"/>
        <w:ind w:left="360"/>
        <w:contextualSpacing/>
        <w:jc w:val="both"/>
        <w:rPr>
          <w:rFonts w:ascii="Calibri" w:hAnsi="Calibri"/>
          <w:spacing w:val="22"/>
          <w:rtl/>
        </w:rPr>
      </w:pPr>
    </w:p>
    <w:p w14:paraId="762DBDAF" w14:textId="77777777" w:rsidR="006E2F02" w:rsidRPr="00B44B54" w:rsidRDefault="006E2F02" w:rsidP="006E2F02">
      <w:pPr>
        <w:spacing w:line="360" w:lineRule="auto"/>
        <w:jc w:val="both"/>
        <w:rPr>
          <w:rFonts w:ascii="Arial" w:hAnsi="Arial"/>
          <w:spacing w:val="22"/>
          <w:rtl/>
        </w:rPr>
      </w:pPr>
      <w:r w:rsidRPr="00B44B54">
        <w:rPr>
          <w:rFonts w:ascii="Arial" w:hAnsi="Arial"/>
          <w:spacing w:val="22"/>
          <w:rtl/>
        </w:rPr>
        <w:t>8.</w:t>
      </w:r>
      <w:r w:rsidRPr="00B44B54">
        <w:rPr>
          <w:rFonts w:ascii="Arial" w:hAnsi="Arial"/>
          <w:spacing w:val="22"/>
          <w:rtl/>
        </w:rPr>
        <w:tab/>
        <w:t>בענייננו</w:t>
      </w:r>
      <w:r w:rsidRPr="00B44B54">
        <w:rPr>
          <w:rFonts w:ascii="Arial" w:hAnsi="Arial" w:hint="cs"/>
          <w:spacing w:val="22"/>
          <w:rtl/>
        </w:rPr>
        <w:t>,</w:t>
      </w:r>
      <w:r w:rsidRPr="00B44B54">
        <w:rPr>
          <w:rFonts w:ascii="Arial" w:hAnsi="Arial"/>
          <w:spacing w:val="22"/>
          <w:rtl/>
        </w:rPr>
        <w:t xml:space="preserve"> מדובר באירוע אחד. הערכים החברתיים שנפגעו הנם שלום הציבור, חשיבות המלחמה בסמים והגנה מפני הפגיעה הרב תחומית של נגע הסמים בחברה בכללותה וציבור המשתמשים. נסיבות הקשורות בביצוע העבירות דנן מלמדות כי מידת הפגיעה</w:t>
      </w:r>
      <w:r w:rsidRPr="00B44B54">
        <w:rPr>
          <w:rFonts w:ascii="Arial" w:hAnsi="Arial" w:hint="cs"/>
          <w:spacing w:val="22"/>
          <w:rtl/>
        </w:rPr>
        <w:t xml:space="preserve"> הפוטנציאלית</w:t>
      </w:r>
      <w:r w:rsidRPr="00B44B54">
        <w:rPr>
          <w:rFonts w:ascii="Arial" w:hAnsi="Arial"/>
          <w:spacing w:val="22"/>
          <w:rtl/>
        </w:rPr>
        <w:t xml:space="preserve"> בערכים המוגנים הנה רבה וחמורה. סם הקוקאין הינו סם קשה, בין היתר בשל השפעותיו על גוף האדם ובשל פוטנציאל ההתמכרות הגבוה הטמון בו (ר': </w:t>
      </w:r>
      <w:hyperlink r:id="rId27" w:history="1">
        <w:r w:rsidR="002D5A82" w:rsidRPr="002D5A82">
          <w:rPr>
            <w:rFonts w:ascii="Arial" w:hAnsi="Arial"/>
            <w:color w:val="0000FF"/>
            <w:spacing w:val="22"/>
            <w:u w:val="single"/>
            <w:rtl/>
          </w:rPr>
          <w:t>ע"פ 972/11</w:t>
        </w:r>
      </w:hyperlink>
      <w:r w:rsidRPr="00B44B54">
        <w:rPr>
          <w:rFonts w:ascii="Arial" w:hAnsi="Arial"/>
          <w:spacing w:val="22"/>
          <w:rtl/>
        </w:rPr>
        <w:t xml:space="preserve"> </w:t>
      </w:r>
      <w:r w:rsidRPr="00B44B54">
        <w:rPr>
          <w:rFonts w:ascii="Arial" w:hAnsi="Arial"/>
          <w:b/>
          <w:bCs/>
          <w:spacing w:val="22"/>
          <w:rtl/>
        </w:rPr>
        <w:t xml:space="preserve">מדינת ישראל נ' יניב יונה </w:t>
      </w:r>
      <w:r w:rsidRPr="00B44B54">
        <w:rPr>
          <w:rFonts w:ascii="Arial" w:hAnsi="Arial"/>
          <w:spacing w:val="22"/>
          <w:rtl/>
        </w:rPr>
        <w:t xml:space="preserve">(2012); </w:t>
      </w:r>
      <w:hyperlink r:id="rId28" w:history="1">
        <w:r w:rsidR="002D5A82" w:rsidRPr="002D5A82">
          <w:rPr>
            <w:rFonts w:ascii="Arial" w:hAnsi="Arial"/>
            <w:color w:val="0000FF"/>
            <w:spacing w:val="22"/>
            <w:u w:val="single"/>
            <w:rtl/>
          </w:rPr>
          <w:t>ע"פ 10254/09</w:t>
        </w:r>
      </w:hyperlink>
      <w:r w:rsidRPr="00B44B54">
        <w:rPr>
          <w:rFonts w:ascii="Arial" w:hAnsi="Arial"/>
          <w:spacing w:val="22"/>
          <w:rtl/>
        </w:rPr>
        <w:t xml:space="preserve"> </w:t>
      </w:r>
      <w:r w:rsidRPr="00B44B54">
        <w:rPr>
          <w:rFonts w:ascii="Arial" w:hAnsi="Arial"/>
          <w:b/>
          <w:bCs/>
          <w:spacing w:val="22"/>
          <w:rtl/>
        </w:rPr>
        <w:t>דהן נ' מדינת ישראל</w:t>
      </w:r>
      <w:r w:rsidRPr="00B44B54">
        <w:rPr>
          <w:rFonts w:ascii="Arial" w:hAnsi="Arial"/>
          <w:spacing w:val="22"/>
          <w:rtl/>
        </w:rPr>
        <w:t xml:space="preserve"> (2012)). הקשר </w:t>
      </w:r>
      <w:r w:rsidRPr="00B44B54">
        <w:rPr>
          <w:rFonts w:ascii="Arial" w:hAnsi="Arial" w:hint="cs"/>
          <w:spacing w:val="22"/>
          <w:rtl/>
        </w:rPr>
        <w:t>נועד ל</w:t>
      </w:r>
      <w:r w:rsidRPr="00B44B54">
        <w:rPr>
          <w:rFonts w:ascii="Arial" w:hAnsi="Arial"/>
          <w:spacing w:val="22"/>
          <w:rtl/>
        </w:rPr>
        <w:t xml:space="preserve">הבאה של כמות אדירה של סם זה ארצה, באופן </w:t>
      </w:r>
      <w:r w:rsidRPr="00B44B54">
        <w:rPr>
          <w:rFonts w:ascii="Arial" w:hAnsi="Arial" w:hint="cs"/>
          <w:spacing w:val="22"/>
          <w:rtl/>
        </w:rPr>
        <w:t xml:space="preserve">שהיה </w:t>
      </w:r>
      <w:r w:rsidRPr="00B44B54">
        <w:rPr>
          <w:rFonts w:ascii="Arial" w:hAnsi="Arial"/>
          <w:spacing w:val="22"/>
          <w:rtl/>
        </w:rPr>
        <w:t xml:space="preserve">משליך ישירות על פוטנציאל הנזק העצום ומידת הפגיעה הטמונים בכך. אמנם, התוכנית להבאת הסם ארצה לא התממשה, אך זאת </w:t>
      </w:r>
      <w:r w:rsidRPr="00B44B54">
        <w:rPr>
          <w:rFonts w:ascii="Arial" w:hAnsi="Arial" w:hint="cs"/>
          <w:spacing w:val="22"/>
          <w:rtl/>
        </w:rPr>
        <w:t xml:space="preserve">לא מתוך קשר לנאשם. </w:t>
      </w:r>
      <w:r w:rsidRPr="00B44B54">
        <w:rPr>
          <w:rFonts w:ascii="Arial" w:hAnsi="Arial"/>
          <w:spacing w:val="22"/>
          <w:rtl/>
        </w:rPr>
        <w:t>לכך יש להוסיף את שוויו הגבוה של הסם</w:t>
      </w:r>
      <w:r w:rsidRPr="00B44B54">
        <w:rPr>
          <w:rFonts w:ascii="Arial" w:hAnsi="Arial" w:hint="cs"/>
          <w:spacing w:val="22"/>
          <w:rtl/>
        </w:rPr>
        <w:t>.</w:t>
      </w:r>
      <w:r w:rsidRPr="00B44B54">
        <w:rPr>
          <w:rFonts w:ascii="Arial" w:hAnsi="Arial"/>
          <w:spacing w:val="22"/>
          <w:rtl/>
        </w:rPr>
        <w:t xml:space="preserve"> נסיבות ביצוע העבירה מלמדות על תכנית עבריינית מפורטת ומסודרת, החולשת על כל שלבי ייבוא הסם ארצה, בה לכל אחד מהמעורבים היה תפקיד מוגדר מראש. תפקידו של הנאשם היה סיוע אקטיבי ומתמשך להצלחת התוכנית, ביודעו מראש על מטרותיה. מעורבותו כללה שליחת סכומי כסף בתשלומים נפרדים לאיש הקשר בקולומביה לשם רכישת הסמים והמנוע, מעורבות בניהול וטיפול בהליך הלוגיסטי של שילוח המנוע ארצה, שכללה מעקב אחרי תנועתו, גיוס כספים והסדרת תשלומי המכס לשחרורו, לרבות מפגש עם הגורם המממן לצורך קבלת הכספים, ניוד המנוע מנתב"ג למקום מגוריו של הגורם המממן והגעתו של הנאשם בעצמו למקום ופתיחת המנוע, והוצאת </w:t>
      </w:r>
      <w:r w:rsidRPr="00B44B54">
        <w:rPr>
          <w:rFonts w:ascii="Arial" w:hAnsi="Arial" w:hint="cs"/>
          <w:spacing w:val="22"/>
          <w:rtl/>
        </w:rPr>
        <w:t>"</w:t>
      </w:r>
      <w:r w:rsidRPr="00B44B54">
        <w:rPr>
          <w:rFonts w:ascii="Arial" w:hAnsi="Arial"/>
          <w:spacing w:val="22"/>
          <w:rtl/>
        </w:rPr>
        <w:t>הסם</w:t>
      </w:r>
      <w:r w:rsidRPr="00B44B54">
        <w:rPr>
          <w:rFonts w:ascii="Arial" w:hAnsi="Arial" w:hint="cs"/>
          <w:spacing w:val="22"/>
          <w:rtl/>
        </w:rPr>
        <w:t>"</w:t>
      </w:r>
      <w:r w:rsidRPr="00B44B54">
        <w:rPr>
          <w:rFonts w:ascii="Arial" w:hAnsi="Arial"/>
          <w:spacing w:val="22"/>
          <w:rtl/>
        </w:rPr>
        <w:t>. דהיינו, מעורבות פעילה לאורך שלבי ייבוא הסם ארצה. הנאשם יכ</w:t>
      </w:r>
      <w:r w:rsidRPr="00B44B54">
        <w:rPr>
          <w:rFonts w:ascii="Arial" w:hAnsi="Arial" w:hint="cs"/>
          <w:spacing w:val="22"/>
          <w:rtl/>
        </w:rPr>
        <w:t>ו</w:t>
      </w:r>
      <w:r w:rsidRPr="00B44B54">
        <w:rPr>
          <w:rFonts w:ascii="Arial" w:hAnsi="Arial"/>
          <w:spacing w:val="22"/>
          <w:rtl/>
        </w:rPr>
        <w:t xml:space="preserve">ל </w:t>
      </w:r>
      <w:r w:rsidRPr="00B44B54">
        <w:rPr>
          <w:rFonts w:ascii="Arial" w:hAnsi="Arial" w:hint="cs"/>
          <w:spacing w:val="22"/>
          <w:rtl/>
        </w:rPr>
        <w:t xml:space="preserve">היה </w:t>
      </w:r>
      <w:r w:rsidRPr="00B44B54">
        <w:rPr>
          <w:rFonts w:ascii="Arial" w:hAnsi="Arial"/>
          <w:spacing w:val="22"/>
          <w:rtl/>
        </w:rPr>
        <w:t>לחדול ממעשיו בכל רגע אך בחר להמשיך בכך מתוך בצע כסף ורצון להפיק רווח קל. הסכום שנועד להשתלם לו תמורת פועלו הינו גבוה ונקבע על סך של 80,000 ₪. מדיניות הענישה בעבירות הסמים משקפת מלחמת חורמה, מכאיבה ומרתיעה כלפי סוחרי הסמים והמסייעים להם בשרשרת ייבוא הסם והפצתו. בחינת מדיניות הענישה הנוהגת בעבירות בהן הורשע הנאשם, חומרתן, נסיבות ביצוען ותוצאותיהן מובילות למסקנה כי מתחם הענישה ההולם</w:t>
      </w:r>
      <w:r w:rsidRPr="00B44B54">
        <w:rPr>
          <w:rFonts w:ascii="Arial" w:hAnsi="Arial" w:hint="cs"/>
          <w:spacing w:val="22"/>
          <w:rtl/>
        </w:rPr>
        <w:t>,</w:t>
      </w:r>
      <w:r w:rsidRPr="00B44B54">
        <w:rPr>
          <w:rFonts w:ascii="Arial" w:hAnsi="Arial"/>
          <w:spacing w:val="22"/>
          <w:rtl/>
        </w:rPr>
        <w:t xml:space="preserve"> בעניינו של הנאשם</w:t>
      </w:r>
      <w:r w:rsidRPr="00B44B54">
        <w:rPr>
          <w:rFonts w:ascii="Arial" w:hAnsi="Arial" w:hint="cs"/>
          <w:spacing w:val="22"/>
          <w:rtl/>
        </w:rPr>
        <w:t>, כמסייע,</w:t>
      </w:r>
      <w:r w:rsidRPr="00B44B54">
        <w:rPr>
          <w:rFonts w:ascii="Arial" w:hAnsi="Arial"/>
          <w:spacing w:val="22"/>
          <w:rtl/>
        </w:rPr>
        <w:t xml:space="preserve"> נע בין </w:t>
      </w:r>
      <w:r w:rsidRPr="00B44B54">
        <w:rPr>
          <w:rFonts w:ascii="Arial" w:hAnsi="Arial" w:hint="cs"/>
          <w:spacing w:val="22"/>
          <w:rtl/>
        </w:rPr>
        <w:t>שנה ועד 6 שנות  מאסר.</w:t>
      </w:r>
      <w:r w:rsidRPr="00B44B54">
        <w:rPr>
          <w:rFonts w:ascii="Arial" w:hAnsi="Arial"/>
          <w:spacing w:val="22"/>
          <w:rtl/>
        </w:rPr>
        <w:t xml:space="preserve"> </w:t>
      </w:r>
    </w:p>
    <w:p w14:paraId="53D2E8D8" w14:textId="77777777" w:rsidR="006E2F02" w:rsidRPr="00B44B54" w:rsidRDefault="006E2F02" w:rsidP="006E2F02">
      <w:pPr>
        <w:spacing w:line="360" w:lineRule="auto"/>
        <w:jc w:val="both"/>
        <w:rPr>
          <w:rFonts w:ascii="Arial" w:hAnsi="Arial"/>
          <w:spacing w:val="22"/>
          <w:rtl/>
        </w:rPr>
      </w:pPr>
    </w:p>
    <w:p w14:paraId="5D3B937D" w14:textId="77777777" w:rsidR="006E2F02" w:rsidRPr="00B44B54" w:rsidRDefault="006E2F02" w:rsidP="006E2F02">
      <w:pPr>
        <w:spacing w:line="360" w:lineRule="auto"/>
        <w:jc w:val="both"/>
        <w:rPr>
          <w:rFonts w:ascii="Arial" w:hAnsi="Arial"/>
          <w:spacing w:val="22"/>
          <w:rtl/>
        </w:rPr>
      </w:pPr>
      <w:r w:rsidRPr="00B44B54">
        <w:rPr>
          <w:rFonts w:ascii="Arial" w:hAnsi="Arial"/>
          <w:spacing w:val="22"/>
          <w:rtl/>
        </w:rPr>
        <w:t>9.</w:t>
      </w:r>
      <w:r w:rsidRPr="00B44B54">
        <w:rPr>
          <w:rFonts w:ascii="Arial" w:hAnsi="Arial"/>
          <w:spacing w:val="22"/>
          <w:rtl/>
        </w:rPr>
        <w:tab/>
        <w:t>בגזירת עונשו של הנאשם בתוך המתחם יש להתחשב לקולה במצבו האישי והמשפחתי, כעולה מתסקיר שירות המבחן, בו פורטו נסיבות חייו לאורך השנים ומצבו כיום, רצונו להשתקם, הודאתו במיוחס לו, שהביאה לייעול ההליכים וחסכון בזמן שיפוטי, לקיחת אחריות על המעשים והבעת החרטה. כמו כן, יש להתחשב במעצרו הממושך של הנאשם בתיק זה, בכך שלא נפתחו נגדו תיקים נוספים בזמן שחלף מעת ביצוע העבירות ובחוות דעתו של שירות המבחן, שהתרשם כי לנאשם אין דפוסי עבריינות מושרשים והוא מגלה מאמצים לתפקד באופן תקין. מאידך, הוערך כי קיימת רמת סיכון בינונית להישנות התנהגות עוברת חוק נוכח נטייתו של הנאשם לפעול ללא שיקול דעת במצבי דחק ולמניפולטיביות. חומרת העבירות בהן הורשע הנאשם מחייבות הטלת ענישה מרתיעה ומתן בכורה לאינטרס הציבורי שבגמול והרתעה על פני הנסיבות האישיות. באשר לאינטרס בשיקומו של הנאשם, היבט זה יקבל מענה במסגרת מאסרו.</w:t>
      </w:r>
    </w:p>
    <w:p w14:paraId="51960743" w14:textId="77777777" w:rsidR="006E2F02" w:rsidRPr="00B44B54" w:rsidRDefault="006E2F02" w:rsidP="006E2F02">
      <w:pPr>
        <w:spacing w:line="360" w:lineRule="auto"/>
        <w:jc w:val="both"/>
        <w:rPr>
          <w:rFonts w:ascii="Arial" w:hAnsi="Arial"/>
          <w:spacing w:val="22"/>
          <w:rtl/>
        </w:rPr>
      </w:pPr>
    </w:p>
    <w:p w14:paraId="03A181EA" w14:textId="77777777" w:rsidR="006E2F02" w:rsidRPr="00B44B54" w:rsidRDefault="006E2F02" w:rsidP="006E2F02">
      <w:pPr>
        <w:spacing w:after="40" w:line="360" w:lineRule="auto"/>
        <w:ind w:firstLine="360"/>
        <w:contextualSpacing/>
        <w:jc w:val="both"/>
        <w:rPr>
          <w:rFonts w:ascii="Calibri" w:hAnsi="Calibri"/>
          <w:spacing w:val="22"/>
          <w:rtl/>
        </w:rPr>
      </w:pPr>
      <w:r w:rsidRPr="00B44B54">
        <w:rPr>
          <w:rFonts w:ascii="Calibri" w:hAnsi="Calibri" w:hint="eastAsia"/>
          <w:spacing w:val="22"/>
          <w:rtl/>
        </w:rPr>
        <w:t>בנסיבות</w:t>
      </w:r>
      <w:r w:rsidRPr="00B44B54">
        <w:rPr>
          <w:rFonts w:ascii="Calibri" w:hAnsi="Calibri"/>
          <w:spacing w:val="22"/>
          <w:rtl/>
        </w:rPr>
        <w:t xml:space="preserve"> </w:t>
      </w:r>
      <w:r w:rsidRPr="00B44B54">
        <w:rPr>
          <w:rFonts w:ascii="Calibri" w:hAnsi="Calibri" w:hint="eastAsia"/>
          <w:spacing w:val="22"/>
          <w:rtl/>
        </w:rPr>
        <w:t>אלה</w:t>
      </w:r>
      <w:r w:rsidRPr="00B44B54">
        <w:rPr>
          <w:rFonts w:ascii="Calibri" w:hAnsi="Calibri"/>
          <w:spacing w:val="22"/>
          <w:rtl/>
        </w:rPr>
        <w:t>,</w:t>
      </w:r>
      <w:r w:rsidRPr="00B44B54">
        <w:rPr>
          <w:rFonts w:ascii="Calibri" w:hAnsi="Calibri" w:hint="cs"/>
          <w:spacing w:val="22"/>
          <w:rtl/>
        </w:rPr>
        <w:t xml:space="preserve"> ותוך שיש להביא בחשבון חלקו של הנאשם כמסייע,</w:t>
      </w:r>
      <w:r w:rsidRPr="00B44B54">
        <w:rPr>
          <w:rFonts w:ascii="Calibri" w:hAnsi="Calibri"/>
          <w:spacing w:val="22"/>
          <w:rtl/>
        </w:rPr>
        <w:t xml:space="preserve"> </w:t>
      </w:r>
      <w:r w:rsidRPr="00B44B54">
        <w:rPr>
          <w:rFonts w:ascii="Calibri" w:hAnsi="Calibri" w:hint="eastAsia"/>
          <w:spacing w:val="22"/>
          <w:rtl/>
        </w:rPr>
        <w:t>ולאחר</w:t>
      </w:r>
      <w:r w:rsidRPr="00B44B54">
        <w:rPr>
          <w:rFonts w:ascii="Calibri" w:hAnsi="Calibri"/>
          <w:spacing w:val="22"/>
          <w:rtl/>
        </w:rPr>
        <w:t xml:space="preserve"> </w:t>
      </w:r>
      <w:r w:rsidRPr="00B44B54">
        <w:rPr>
          <w:rFonts w:ascii="Calibri" w:hAnsi="Calibri" w:hint="eastAsia"/>
          <w:spacing w:val="22"/>
          <w:rtl/>
        </w:rPr>
        <w:t>שקלול</w:t>
      </w:r>
      <w:r w:rsidRPr="00B44B54">
        <w:rPr>
          <w:rFonts w:ascii="Calibri" w:hAnsi="Calibri"/>
          <w:spacing w:val="22"/>
          <w:rtl/>
        </w:rPr>
        <w:t xml:space="preserve"> </w:t>
      </w:r>
      <w:r w:rsidRPr="00B44B54">
        <w:rPr>
          <w:rFonts w:ascii="Calibri" w:hAnsi="Calibri" w:hint="eastAsia"/>
          <w:spacing w:val="22"/>
          <w:rtl/>
        </w:rPr>
        <w:t>האמור</w:t>
      </w:r>
      <w:r w:rsidRPr="00B44B54">
        <w:rPr>
          <w:rFonts w:ascii="Calibri" w:hAnsi="Calibri"/>
          <w:spacing w:val="22"/>
          <w:rtl/>
        </w:rPr>
        <w:t xml:space="preserve"> </w:t>
      </w:r>
      <w:r w:rsidRPr="00B44B54">
        <w:rPr>
          <w:rFonts w:ascii="Calibri" w:hAnsi="Calibri" w:hint="eastAsia"/>
          <w:spacing w:val="22"/>
          <w:rtl/>
        </w:rPr>
        <w:t>לעיל</w:t>
      </w:r>
      <w:r w:rsidRPr="00B44B54">
        <w:rPr>
          <w:rFonts w:ascii="Calibri" w:hAnsi="Calibri"/>
          <w:spacing w:val="22"/>
          <w:rtl/>
        </w:rPr>
        <w:t xml:space="preserve">, </w:t>
      </w:r>
      <w:r w:rsidRPr="00B44B54">
        <w:rPr>
          <w:rFonts w:ascii="Calibri" w:hAnsi="Calibri" w:hint="eastAsia"/>
          <w:spacing w:val="22"/>
          <w:rtl/>
        </w:rPr>
        <w:t>אני</w:t>
      </w:r>
      <w:r w:rsidRPr="00B44B54">
        <w:rPr>
          <w:rFonts w:ascii="Calibri" w:hAnsi="Calibri"/>
          <w:spacing w:val="22"/>
          <w:rtl/>
        </w:rPr>
        <w:t xml:space="preserve"> </w:t>
      </w:r>
      <w:r w:rsidRPr="00B44B54">
        <w:rPr>
          <w:rFonts w:ascii="Calibri" w:hAnsi="Calibri" w:hint="eastAsia"/>
          <w:spacing w:val="22"/>
          <w:rtl/>
        </w:rPr>
        <w:t>גוזר</w:t>
      </w:r>
      <w:r w:rsidRPr="00B44B54">
        <w:rPr>
          <w:rFonts w:ascii="Calibri" w:hAnsi="Calibri"/>
          <w:spacing w:val="22"/>
          <w:rtl/>
        </w:rPr>
        <w:t xml:space="preserve"> </w:t>
      </w:r>
      <w:r w:rsidRPr="00B44B54">
        <w:rPr>
          <w:rFonts w:ascii="Calibri" w:hAnsi="Calibri" w:hint="eastAsia"/>
          <w:spacing w:val="22"/>
          <w:rtl/>
        </w:rPr>
        <w:t>על</w:t>
      </w:r>
      <w:r w:rsidRPr="00B44B54">
        <w:rPr>
          <w:rFonts w:ascii="Calibri" w:hAnsi="Calibri"/>
          <w:spacing w:val="22"/>
          <w:rtl/>
        </w:rPr>
        <w:t xml:space="preserve"> </w:t>
      </w:r>
      <w:r w:rsidRPr="00B44B54">
        <w:rPr>
          <w:rFonts w:ascii="Calibri" w:hAnsi="Calibri" w:hint="eastAsia"/>
          <w:spacing w:val="22"/>
          <w:rtl/>
        </w:rPr>
        <w:t>הנאשם</w:t>
      </w:r>
      <w:r w:rsidRPr="00B44B54">
        <w:rPr>
          <w:rFonts w:ascii="Calibri" w:hAnsi="Calibri"/>
          <w:spacing w:val="22"/>
          <w:rtl/>
        </w:rPr>
        <w:t xml:space="preserve"> </w:t>
      </w:r>
      <w:r w:rsidRPr="00B44B54">
        <w:rPr>
          <w:rFonts w:ascii="Calibri" w:hAnsi="Calibri" w:hint="eastAsia"/>
          <w:spacing w:val="22"/>
          <w:rtl/>
        </w:rPr>
        <w:t>כלהלן</w:t>
      </w:r>
      <w:r w:rsidRPr="00B44B54">
        <w:rPr>
          <w:rFonts w:ascii="Calibri" w:hAnsi="Calibri"/>
          <w:spacing w:val="22"/>
          <w:rtl/>
        </w:rPr>
        <w:t>:</w:t>
      </w:r>
    </w:p>
    <w:p w14:paraId="6601A90D" w14:textId="77777777" w:rsidR="006E2F02" w:rsidRPr="00B44B54" w:rsidRDefault="006E2F02" w:rsidP="006E2F02">
      <w:pPr>
        <w:spacing w:after="40" w:line="360" w:lineRule="auto"/>
        <w:ind w:left="360"/>
        <w:contextualSpacing/>
        <w:jc w:val="both"/>
        <w:rPr>
          <w:rFonts w:ascii="Calibri" w:hAnsi="Calibri"/>
          <w:spacing w:val="22"/>
          <w:rtl/>
        </w:rPr>
      </w:pPr>
    </w:p>
    <w:p w14:paraId="68BF36A8" w14:textId="77777777" w:rsidR="006E2F02" w:rsidRPr="00B44B54" w:rsidRDefault="006E2F02" w:rsidP="006E2F02">
      <w:pPr>
        <w:spacing w:after="40" w:line="360" w:lineRule="auto"/>
        <w:ind w:left="360" w:firstLine="360"/>
        <w:contextualSpacing/>
        <w:jc w:val="both"/>
        <w:rPr>
          <w:rFonts w:ascii="Calibri" w:hAnsi="Calibri"/>
          <w:spacing w:val="22"/>
          <w:rtl/>
        </w:rPr>
      </w:pPr>
      <w:r w:rsidRPr="00B44B54">
        <w:rPr>
          <w:rFonts w:ascii="Calibri" w:hAnsi="Calibri" w:hint="cs"/>
          <w:spacing w:val="22"/>
          <w:rtl/>
        </w:rPr>
        <w:t>א.</w:t>
      </w:r>
      <w:r w:rsidRPr="00B44B54">
        <w:rPr>
          <w:rFonts w:ascii="Calibri" w:hAnsi="Calibri" w:hint="cs"/>
          <w:spacing w:val="22"/>
          <w:rtl/>
        </w:rPr>
        <w:tab/>
        <w:t xml:space="preserve">מאסר בפועל לתקופה של 26 חודשים, בניכוי ימי מעצרו. </w:t>
      </w:r>
    </w:p>
    <w:p w14:paraId="0AA0AA32" w14:textId="77777777" w:rsidR="006E2F02" w:rsidRPr="00B44B54" w:rsidRDefault="006E2F02" w:rsidP="006E2F02">
      <w:pPr>
        <w:spacing w:after="40" w:line="360" w:lineRule="auto"/>
        <w:ind w:left="360" w:firstLine="360"/>
        <w:contextualSpacing/>
        <w:jc w:val="both"/>
        <w:rPr>
          <w:rFonts w:ascii="Calibri" w:hAnsi="Calibri"/>
          <w:spacing w:val="22"/>
          <w:rtl/>
        </w:rPr>
      </w:pPr>
    </w:p>
    <w:p w14:paraId="50ADE780" w14:textId="77777777" w:rsidR="006E2F02" w:rsidRPr="00B44B54" w:rsidRDefault="006E2F02" w:rsidP="006E2F02">
      <w:pPr>
        <w:spacing w:after="40" w:line="360" w:lineRule="auto"/>
        <w:ind w:left="1440" w:hanging="720"/>
        <w:contextualSpacing/>
        <w:jc w:val="both"/>
        <w:rPr>
          <w:rFonts w:ascii="Calibri" w:hAnsi="Calibri"/>
          <w:spacing w:val="22"/>
          <w:rtl/>
        </w:rPr>
      </w:pPr>
      <w:r w:rsidRPr="00B44B54">
        <w:rPr>
          <w:rFonts w:ascii="Calibri" w:hAnsi="Calibri" w:hint="cs"/>
          <w:spacing w:val="22"/>
          <w:rtl/>
        </w:rPr>
        <w:t>ב.</w:t>
      </w:r>
      <w:r w:rsidRPr="00B44B54">
        <w:rPr>
          <w:rFonts w:ascii="Calibri" w:hAnsi="Calibri" w:hint="cs"/>
          <w:spacing w:val="22"/>
          <w:rtl/>
        </w:rPr>
        <w:tab/>
        <w:t xml:space="preserve">מאסר מותנה לתקופה של 10 חודשים והתנאי הוא שהנאשם לא יעבור עבירה מסוג פשע תוך שלוש שנים מיום שחרורו ממאסר. </w:t>
      </w:r>
    </w:p>
    <w:p w14:paraId="3A970134" w14:textId="77777777" w:rsidR="006E2F02" w:rsidRPr="00B44B54" w:rsidRDefault="006E2F02" w:rsidP="006E2F02">
      <w:pPr>
        <w:spacing w:after="40" w:line="360" w:lineRule="auto"/>
        <w:ind w:left="1440" w:hanging="720"/>
        <w:contextualSpacing/>
        <w:jc w:val="both"/>
        <w:rPr>
          <w:rFonts w:ascii="Calibri" w:hAnsi="Calibri"/>
          <w:spacing w:val="22"/>
          <w:rtl/>
        </w:rPr>
      </w:pPr>
    </w:p>
    <w:p w14:paraId="4E15EA5A" w14:textId="77777777" w:rsidR="006E2F02" w:rsidRPr="00B44B54" w:rsidRDefault="006E2F02" w:rsidP="006E2F02">
      <w:pPr>
        <w:spacing w:after="40" w:line="360" w:lineRule="auto"/>
        <w:ind w:left="1440" w:hanging="720"/>
        <w:contextualSpacing/>
        <w:jc w:val="both"/>
        <w:rPr>
          <w:rFonts w:ascii="Calibri" w:hAnsi="Calibri"/>
          <w:spacing w:val="22"/>
        </w:rPr>
      </w:pPr>
      <w:r w:rsidRPr="00B44B54">
        <w:rPr>
          <w:rFonts w:ascii="Calibri" w:hAnsi="Calibri" w:hint="cs"/>
          <w:spacing w:val="22"/>
          <w:rtl/>
        </w:rPr>
        <w:t xml:space="preserve">זכות ערעור לבית משפט העליון בתוך 45 יום מהיום. </w:t>
      </w:r>
    </w:p>
    <w:p w14:paraId="39CC5CF5" w14:textId="77777777" w:rsidR="006E2F02" w:rsidRPr="00B44B54" w:rsidRDefault="006E2F02" w:rsidP="006E2F02">
      <w:pPr>
        <w:spacing w:line="360" w:lineRule="auto"/>
        <w:jc w:val="both"/>
        <w:rPr>
          <w:rFonts w:ascii="Arial" w:hAnsi="Arial"/>
          <w:spacing w:val="22"/>
          <w:rtl/>
        </w:rPr>
      </w:pPr>
    </w:p>
    <w:p w14:paraId="7016E9CF" w14:textId="77777777" w:rsidR="006E2F02" w:rsidRPr="00B44B54" w:rsidRDefault="006E2F02" w:rsidP="006E2F02">
      <w:pPr>
        <w:rPr>
          <w:rFonts w:ascii="Arial" w:hAnsi="Arial"/>
          <w:spacing w:val="22"/>
          <w:rtl/>
        </w:rPr>
      </w:pPr>
    </w:p>
    <w:p w14:paraId="3A149CFD" w14:textId="77777777" w:rsidR="006E2F02" w:rsidRPr="00B44B54" w:rsidRDefault="006E2F02" w:rsidP="006E2F02">
      <w:pPr>
        <w:rPr>
          <w:spacing w:val="22"/>
          <w:rtl/>
        </w:rPr>
      </w:pPr>
    </w:p>
    <w:p w14:paraId="43D77A3D" w14:textId="77777777" w:rsidR="006E2F02" w:rsidRPr="00B44B54" w:rsidRDefault="002D5A82" w:rsidP="006E2F02">
      <w:pPr>
        <w:spacing w:line="360" w:lineRule="auto"/>
        <w:ind w:firstLine="720"/>
        <w:jc w:val="both"/>
        <w:rPr>
          <w:rFonts w:ascii="Arial" w:hAnsi="Arial"/>
          <w:spacing w:val="22"/>
          <w:rtl/>
        </w:rPr>
      </w:pPr>
      <w:r>
        <w:rPr>
          <w:rFonts w:ascii="Arial" w:hAnsi="Arial"/>
          <w:spacing w:val="22"/>
          <w:rtl/>
        </w:rPr>
        <w:t xml:space="preserve">ניתן היום,  א' אב תשע"ז, 24 יולי 2017, במעמד ב"כ המאשימה, ב"כ </w:t>
      </w:r>
      <w:r w:rsidR="006E2F02" w:rsidRPr="00B44B54">
        <w:rPr>
          <w:rFonts w:ascii="Arial" w:hAnsi="Arial" w:hint="cs"/>
          <w:spacing w:val="22"/>
          <w:rtl/>
        </w:rPr>
        <w:t xml:space="preserve">הנאשם והנאשם בעצמו. </w:t>
      </w:r>
    </w:p>
    <w:p w14:paraId="3C795851" w14:textId="77777777" w:rsidR="006E2F02" w:rsidRPr="00B44B54" w:rsidRDefault="006E2F02" w:rsidP="006E2F02">
      <w:pPr>
        <w:spacing w:line="360" w:lineRule="auto"/>
        <w:ind w:firstLine="720"/>
        <w:jc w:val="both"/>
        <w:rPr>
          <w:rFonts w:ascii="Arial" w:hAnsi="Arial"/>
          <w:spacing w:val="22"/>
          <w:rtl/>
        </w:rPr>
      </w:pPr>
    </w:p>
    <w:p w14:paraId="163DF352" w14:textId="77777777" w:rsidR="006E2F02" w:rsidRPr="002D5A82" w:rsidRDefault="002D5A82" w:rsidP="006E2F02">
      <w:pPr>
        <w:spacing w:line="360" w:lineRule="auto"/>
        <w:ind w:firstLine="720"/>
        <w:jc w:val="both"/>
        <w:rPr>
          <w:rFonts w:ascii="Arial" w:hAnsi="Arial"/>
          <w:color w:val="FFFFFF"/>
          <w:spacing w:val="22"/>
          <w:sz w:val="2"/>
          <w:szCs w:val="2"/>
          <w:rtl/>
        </w:rPr>
      </w:pPr>
      <w:r w:rsidRPr="002D5A82">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54"/>
      </w:tblGrid>
      <w:tr w:rsidR="006E2F02" w:rsidRPr="00B44B54" w14:paraId="2922921C" w14:textId="77777777" w:rsidTr="006E2F02">
        <w:tc>
          <w:tcPr>
            <w:tcW w:w="284" w:type="dxa"/>
            <w:tcBorders>
              <w:top w:val="nil"/>
              <w:left w:val="nil"/>
              <w:bottom w:val="single" w:sz="4" w:space="0" w:color="auto"/>
              <w:right w:val="nil"/>
            </w:tcBorders>
            <w:shd w:val="clear" w:color="auto" w:fill="auto"/>
            <w:vAlign w:val="center"/>
          </w:tcPr>
          <w:p w14:paraId="61AC46BC" w14:textId="77777777" w:rsidR="006E2F02" w:rsidRPr="002D5A82" w:rsidRDefault="002D5A82" w:rsidP="006E2F02">
            <w:pPr>
              <w:jc w:val="center"/>
              <w:rPr>
                <w:rFonts w:ascii="Courier New" w:hAnsi="Courier New"/>
                <w:b/>
                <w:bCs/>
                <w:color w:val="FFFFFF"/>
                <w:spacing w:val="22"/>
                <w:sz w:val="2"/>
                <w:szCs w:val="2"/>
              </w:rPr>
            </w:pPr>
            <w:r w:rsidRPr="002D5A82">
              <w:rPr>
                <w:rFonts w:ascii="Courier New" w:hAnsi="Courier New"/>
                <w:b/>
                <w:bCs/>
                <w:color w:val="FFFFFF"/>
                <w:spacing w:val="22"/>
                <w:sz w:val="2"/>
                <w:szCs w:val="2"/>
                <w:rtl/>
              </w:rPr>
              <w:t>54678313</w:t>
            </w:r>
          </w:p>
        </w:tc>
      </w:tr>
      <w:tr w:rsidR="006E2F02" w14:paraId="34C2079F" w14:textId="77777777" w:rsidTr="006E2F02">
        <w:tc>
          <w:tcPr>
            <w:tcW w:w="284" w:type="dxa"/>
            <w:tcBorders>
              <w:top w:val="single" w:sz="4" w:space="0" w:color="auto"/>
              <w:left w:val="nil"/>
              <w:bottom w:val="nil"/>
              <w:right w:val="nil"/>
            </w:tcBorders>
            <w:shd w:val="clear" w:color="auto" w:fill="auto"/>
            <w:vAlign w:val="center"/>
          </w:tcPr>
          <w:p w14:paraId="2E4C00A8" w14:textId="77777777" w:rsidR="006E2F02" w:rsidRPr="006E2F02" w:rsidRDefault="006E2F02" w:rsidP="006E2F02">
            <w:pPr>
              <w:spacing w:line="360" w:lineRule="auto"/>
              <w:jc w:val="center"/>
              <w:rPr>
                <w:b/>
                <w:bCs/>
                <w:noProof/>
                <w:rtl/>
              </w:rPr>
            </w:pPr>
            <w:r w:rsidRPr="006E2F02">
              <w:rPr>
                <w:rFonts w:hint="cs"/>
                <w:b/>
                <w:bCs/>
                <w:rtl/>
              </w:rPr>
              <w:t>רפי כרמל, שופט</w:t>
            </w:r>
          </w:p>
        </w:tc>
      </w:tr>
    </w:tbl>
    <w:p w14:paraId="12AB2965" w14:textId="77777777" w:rsidR="006E2F02" w:rsidRPr="006C2857" w:rsidRDefault="006C2857" w:rsidP="006E2F02">
      <w:pPr>
        <w:rPr>
          <w:color w:val="FFFFFF"/>
          <w:sz w:val="2"/>
          <w:szCs w:val="2"/>
        </w:rPr>
      </w:pPr>
      <w:r w:rsidRPr="006C2857">
        <w:rPr>
          <w:color w:val="FFFFFF"/>
          <w:sz w:val="2"/>
          <w:szCs w:val="2"/>
          <w:rtl/>
        </w:rPr>
        <w:t>5129371</w:t>
      </w:r>
    </w:p>
    <w:p w14:paraId="4B5FB7DF" w14:textId="77777777" w:rsidR="002D7B2F" w:rsidRPr="006C2857" w:rsidRDefault="006C2857" w:rsidP="002D5A82">
      <w:pPr>
        <w:keepNext/>
        <w:rPr>
          <w:rFonts w:ascii="David" w:hAnsi="David"/>
          <w:color w:val="FFFFFF"/>
          <w:sz w:val="2"/>
          <w:szCs w:val="2"/>
          <w:rtl/>
        </w:rPr>
      </w:pPr>
      <w:r w:rsidRPr="006C2857">
        <w:rPr>
          <w:rFonts w:ascii="David" w:hAnsi="David"/>
          <w:color w:val="FFFFFF"/>
          <w:sz w:val="2"/>
          <w:szCs w:val="2"/>
          <w:rtl/>
        </w:rPr>
        <w:t>54678313</w:t>
      </w:r>
    </w:p>
    <w:p w14:paraId="321DB7FC" w14:textId="77777777" w:rsidR="002D5A82" w:rsidRPr="002D5A82" w:rsidRDefault="002D5A82" w:rsidP="002D5A82">
      <w:pPr>
        <w:keepNext/>
        <w:rPr>
          <w:rFonts w:ascii="David" w:hAnsi="David"/>
          <w:color w:val="000000"/>
          <w:sz w:val="22"/>
          <w:szCs w:val="22"/>
          <w:rtl/>
        </w:rPr>
      </w:pPr>
      <w:r w:rsidRPr="002D5A82">
        <w:rPr>
          <w:rFonts w:ascii="David" w:hAnsi="David"/>
          <w:color w:val="000000"/>
          <w:sz w:val="22"/>
          <w:szCs w:val="22"/>
          <w:rtl/>
        </w:rPr>
        <w:t>רפי כרמל 54678313</w:t>
      </w:r>
    </w:p>
    <w:p w14:paraId="39280D72" w14:textId="77777777" w:rsidR="002D5A82" w:rsidRDefault="002D5A82" w:rsidP="002D5A82">
      <w:r w:rsidRPr="002D5A82">
        <w:rPr>
          <w:color w:val="000000"/>
          <w:rtl/>
        </w:rPr>
        <w:t>נוסח מסמך זה כפוף לשינויי ניסוח ועריכה</w:t>
      </w:r>
    </w:p>
    <w:p w14:paraId="5098B284" w14:textId="77777777" w:rsidR="002D5A82" w:rsidRDefault="002D5A82" w:rsidP="002D5A82">
      <w:pPr>
        <w:rPr>
          <w:rtl/>
        </w:rPr>
      </w:pPr>
    </w:p>
    <w:p w14:paraId="0D056592" w14:textId="77777777" w:rsidR="002D5A82" w:rsidRDefault="002D5A82" w:rsidP="002D5A82">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3164FEF" w14:textId="77777777" w:rsidR="006C2857" w:rsidRPr="006C2857" w:rsidRDefault="006C2857" w:rsidP="006C2857">
      <w:pPr>
        <w:keepNext/>
        <w:rPr>
          <w:rFonts w:ascii="David" w:hAnsi="David"/>
          <w:color w:val="000000"/>
          <w:sz w:val="22"/>
          <w:szCs w:val="22"/>
          <w:rtl/>
        </w:rPr>
      </w:pPr>
    </w:p>
    <w:sectPr w:rsidR="006C2857" w:rsidRPr="006C2857" w:rsidSect="006C285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3679B" w14:textId="77777777" w:rsidR="003C3015" w:rsidRDefault="003C3015" w:rsidP="009F126B">
      <w:r>
        <w:separator/>
      </w:r>
    </w:p>
  </w:endnote>
  <w:endnote w:type="continuationSeparator" w:id="0">
    <w:p w14:paraId="2B08A257" w14:textId="77777777" w:rsidR="003C3015" w:rsidRDefault="003C3015" w:rsidP="009F1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EF310" w14:textId="77777777" w:rsidR="003C3015" w:rsidRDefault="003C3015" w:rsidP="006C28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6F84DA" w14:textId="77777777" w:rsidR="003C3015" w:rsidRPr="006C2857" w:rsidRDefault="003C3015" w:rsidP="006C2857">
    <w:pPr>
      <w:pStyle w:val="a5"/>
      <w:pBdr>
        <w:top w:val="single" w:sz="4" w:space="1" w:color="auto"/>
        <w:between w:val="single" w:sz="4" w:space="0" w:color="auto"/>
      </w:pBdr>
      <w:spacing w:after="60"/>
      <w:jc w:val="center"/>
      <w:rPr>
        <w:rFonts w:ascii="FrankRuehl" w:hAnsi="FrankRuehl" w:cs="FrankRuehl"/>
        <w:color w:val="000000"/>
      </w:rPr>
    </w:pPr>
    <w:r w:rsidRPr="006C28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DA3C4" w14:textId="77777777" w:rsidR="003C3015" w:rsidRDefault="003C3015" w:rsidP="006C28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77E3">
      <w:rPr>
        <w:rFonts w:ascii="FrankRuehl" w:hAnsi="FrankRuehl" w:cs="FrankRuehl"/>
        <w:noProof/>
        <w:rtl/>
      </w:rPr>
      <w:t>1</w:t>
    </w:r>
    <w:r>
      <w:rPr>
        <w:rFonts w:ascii="FrankRuehl" w:hAnsi="FrankRuehl" w:cs="FrankRuehl"/>
        <w:rtl/>
      </w:rPr>
      <w:fldChar w:fldCharType="end"/>
    </w:r>
  </w:p>
  <w:p w14:paraId="57108FBC" w14:textId="77777777" w:rsidR="003C3015" w:rsidRPr="006C2857" w:rsidRDefault="003C3015" w:rsidP="006C2857">
    <w:pPr>
      <w:pStyle w:val="a5"/>
      <w:pBdr>
        <w:top w:val="single" w:sz="4" w:space="1" w:color="auto"/>
        <w:between w:val="single" w:sz="4" w:space="0" w:color="auto"/>
      </w:pBdr>
      <w:spacing w:after="60"/>
      <w:jc w:val="center"/>
      <w:rPr>
        <w:rFonts w:ascii="FrankRuehl" w:hAnsi="FrankRuehl" w:cs="FrankRuehl"/>
        <w:color w:val="000000"/>
      </w:rPr>
    </w:pPr>
    <w:r w:rsidRPr="006C2857">
      <w:rPr>
        <w:rFonts w:ascii="FrankRuehl" w:hAnsi="FrankRuehl" w:cs="FrankRuehl"/>
        <w:color w:val="000000"/>
      </w:rPr>
      <w:pict w14:anchorId="31318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B1452" w14:textId="77777777" w:rsidR="003C3015" w:rsidRDefault="003C3015" w:rsidP="009F126B">
      <w:r>
        <w:separator/>
      </w:r>
    </w:p>
  </w:footnote>
  <w:footnote w:type="continuationSeparator" w:id="0">
    <w:p w14:paraId="27501BC1" w14:textId="77777777" w:rsidR="003C3015" w:rsidRDefault="003C3015" w:rsidP="009F1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DD5" w14:textId="77777777" w:rsidR="003C3015" w:rsidRPr="006C2857" w:rsidRDefault="003C3015" w:rsidP="006C28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40168-09-16</w:t>
    </w:r>
    <w:r>
      <w:rPr>
        <w:rFonts w:ascii="David" w:hAnsi="David"/>
        <w:color w:val="000000"/>
        <w:sz w:val="22"/>
        <w:szCs w:val="22"/>
        <w:rtl/>
      </w:rPr>
      <w:tab/>
      <w:t xml:space="preserve"> מדינת ישראל נ' ערן איבגי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FF031" w14:textId="77777777" w:rsidR="003C3015" w:rsidRPr="006C2857" w:rsidRDefault="003C3015" w:rsidP="006C28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40168-09-16</w:t>
    </w:r>
    <w:r>
      <w:rPr>
        <w:rFonts w:ascii="David" w:hAnsi="David"/>
        <w:color w:val="000000"/>
        <w:sz w:val="22"/>
        <w:szCs w:val="22"/>
        <w:rtl/>
      </w:rPr>
      <w:tab/>
      <w:t xml:space="preserve"> מדינת ישראל נ' ערן איבגי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3423E"/>
    <w:multiLevelType w:val="hybridMultilevel"/>
    <w:tmpl w:val="5296BD5C"/>
    <w:lvl w:ilvl="0" w:tplc="993AC2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61574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2F02"/>
    <w:rsid w:val="000E77E3"/>
    <w:rsid w:val="002D5A82"/>
    <w:rsid w:val="002D7B2F"/>
    <w:rsid w:val="0032050C"/>
    <w:rsid w:val="003C3015"/>
    <w:rsid w:val="00494A3B"/>
    <w:rsid w:val="005B7008"/>
    <w:rsid w:val="00632742"/>
    <w:rsid w:val="006C2857"/>
    <w:rsid w:val="006E2F02"/>
    <w:rsid w:val="009F126B"/>
    <w:rsid w:val="00BA16A0"/>
    <w:rsid w:val="00C266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D4E509D"/>
  <w15:chartTrackingRefBased/>
  <w15:docId w15:val="{A5672490-38AF-43BE-B8D7-BB504569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2F0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2F02"/>
    <w:pPr>
      <w:tabs>
        <w:tab w:val="center" w:pos="4153"/>
        <w:tab w:val="right" w:pos="8306"/>
      </w:tabs>
    </w:pPr>
  </w:style>
  <w:style w:type="character" w:customStyle="1" w:styleId="a4">
    <w:name w:val="כותרת עליונה תו"/>
    <w:link w:val="a3"/>
    <w:rsid w:val="006E2F02"/>
    <w:rPr>
      <w:rFonts w:ascii="Times New Roman" w:eastAsia="Times New Roman" w:hAnsi="Times New Roman" w:cs="David"/>
      <w:sz w:val="24"/>
      <w:szCs w:val="24"/>
    </w:rPr>
  </w:style>
  <w:style w:type="paragraph" w:styleId="a5">
    <w:name w:val="footer"/>
    <w:basedOn w:val="a"/>
    <w:link w:val="a6"/>
    <w:rsid w:val="006E2F02"/>
    <w:pPr>
      <w:tabs>
        <w:tab w:val="center" w:pos="4153"/>
        <w:tab w:val="right" w:pos="8306"/>
      </w:tabs>
    </w:pPr>
  </w:style>
  <w:style w:type="character" w:customStyle="1" w:styleId="a6">
    <w:name w:val="כותרת תחתונה תו"/>
    <w:link w:val="a5"/>
    <w:rsid w:val="006E2F02"/>
    <w:rPr>
      <w:rFonts w:ascii="Times New Roman" w:eastAsia="Times New Roman" w:hAnsi="Times New Roman" w:cs="David"/>
      <w:sz w:val="24"/>
      <w:szCs w:val="24"/>
    </w:rPr>
  </w:style>
  <w:style w:type="table" w:styleId="a7">
    <w:name w:val="Table Grid"/>
    <w:basedOn w:val="a1"/>
    <w:rsid w:val="006E2F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2F02"/>
  </w:style>
  <w:style w:type="character" w:styleId="Hyperlink">
    <w:name w:val="Hyperlink"/>
    <w:rsid w:val="002D5A82"/>
    <w:rPr>
      <w:color w:val="0563C1"/>
      <w:u w:val="single"/>
    </w:rPr>
  </w:style>
  <w:style w:type="character" w:styleId="a9">
    <w:name w:val="Unresolved Mention"/>
    <w:rsid w:val="002D5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i"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0301/3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3" TargetMode="External"/><Relationship Id="rId24" Type="http://schemas.openxmlformats.org/officeDocument/2006/relationships/hyperlink" Target="http://www.nevo.co.il/law/70301/40c.a"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98"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80710"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23"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98" TargetMode="External"/><Relationship Id="rId27" Type="http://schemas.openxmlformats.org/officeDocument/2006/relationships/hyperlink" Target="http://www.nevo.co.il/case/573860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1918</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11490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3801213</vt:i4>
      </vt:variant>
      <vt:variant>
        <vt:i4>63</vt:i4>
      </vt:variant>
      <vt:variant>
        <vt:i4>0</vt:i4>
      </vt:variant>
      <vt:variant>
        <vt:i4>5</vt:i4>
      </vt:variant>
      <vt:variant>
        <vt:lpwstr>http://www.nevo.co.il/case/5880710</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7077985</vt:i4>
      </vt:variant>
      <vt:variant>
        <vt:i4>45</vt:i4>
      </vt:variant>
      <vt:variant>
        <vt:i4>0</vt:i4>
      </vt:variant>
      <vt:variant>
        <vt:i4>5</vt:i4>
      </vt:variant>
      <vt:variant>
        <vt:lpwstr>http://www.nevo.co.il/law/70301/498</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6684775</vt:i4>
      </vt:variant>
      <vt:variant>
        <vt:i4>36</vt:i4>
      </vt:variant>
      <vt:variant>
        <vt:i4>0</vt:i4>
      </vt:variant>
      <vt:variant>
        <vt:i4>5</vt:i4>
      </vt:variant>
      <vt:variant>
        <vt:lpwstr>http://www.nevo.co.il/law/70301/23</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7077985</vt:i4>
      </vt:variant>
      <vt:variant>
        <vt:i4>24</vt:i4>
      </vt:variant>
      <vt:variant>
        <vt:i4>0</vt:i4>
      </vt:variant>
      <vt:variant>
        <vt:i4>5</vt:i4>
      </vt:variant>
      <vt:variant>
        <vt:lpwstr>http://www.nevo.co.il/law/70301/498</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6684775</vt:i4>
      </vt:variant>
      <vt:variant>
        <vt:i4>12</vt:i4>
      </vt:variant>
      <vt:variant>
        <vt:i4>0</vt:i4>
      </vt:variant>
      <vt:variant>
        <vt:i4>5</vt:i4>
      </vt:variant>
      <vt:variant>
        <vt:lpwstr>http://www.nevo.co.il/law/70301/23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2025-04-22T20:46:00Z</dcterms:created>
  <dcterms:modified xsi:type="dcterms:W3CDTF">2025-04-22T20:46:00Z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40168</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ערן איבגי</vt:lpwstr>
  </property>
  <property fmtid="{D5CDD505-2E9C-101B-9397-08002B2CF9AE}" pid="10" name="LAWYER">
    <vt:lpwstr>הילה מזל מוהדב</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20170724</vt:lpwstr>
  </property>
  <property fmtid="{D5CDD505-2E9C-101B-9397-08002B2CF9AE}" pid="14" name="TYPE_N_DATE">
    <vt:lpwstr>39020170724</vt:lpwstr>
  </property>
  <property fmtid="{D5CDD505-2E9C-101B-9397-08002B2CF9AE}" pid="15" name="CASESLISTTMP1">
    <vt:lpwstr>5738608;5880710</vt:lpwstr>
  </property>
  <property fmtid="{D5CDD505-2E9C-101B-9397-08002B2CF9AE}" pid="16" name="CASENOTES1">
    <vt:lpwstr>ProcID=184&amp;PartA=12&amp;PartC=24</vt:lpwstr>
  </property>
  <property fmtid="{D5CDD505-2E9C-101B-9397-08002B2CF9AE}" pid="17" name="WORDNUMPAGES">
    <vt:lpwstr>6</vt:lpwstr>
  </property>
  <property fmtid="{D5CDD505-2E9C-101B-9397-08002B2CF9AE}" pid="18" name="TYPE_ABS_DATE">
    <vt:lpwstr>390020170724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vt:lpwstr>
  </property>
  <property fmtid="{D5CDD505-2E9C-101B-9397-08002B2CF9AE}" pid="38" name="LAWLISTTMP2">
    <vt:lpwstr>70301/023;031;498;040c.a;040i</vt:lpwstr>
  </property>
</Properties>
</file>