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030D19" w:rsidRPr="007E7A6B" w14:paraId="1FD221DC" w14:textId="77777777" w:rsidTr="0029471D">
        <w:trPr>
          <w:trHeight w:hRule="exact" w:val="568"/>
          <w:jc w:val="center"/>
        </w:trPr>
        <w:tc>
          <w:tcPr>
            <w:tcW w:w="8721" w:type="dxa"/>
            <w:gridSpan w:val="2"/>
          </w:tcPr>
          <w:p w14:paraId="408740EA" w14:textId="77777777" w:rsidR="00030D19" w:rsidRPr="007E7A6B" w:rsidRDefault="00030D19" w:rsidP="00AB5988">
            <w:pPr>
              <w:pStyle w:val="a3"/>
              <w:jc w:val="center"/>
              <w:rPr>
                <w:rFonts w:ascii="Tahoma" w:hAnsi="Tahoma" w:cs="Tahoma"/>
                <w:color w:val="000080"/>
                <w:rtl/>
              </w:rPr>
            </w:pPr>
            <w:bookmarkStart w:id="0" w:name="LastJudge"/>
            <w:r w:rsidRPr="007E7A6B">
              <w:rPr>
                <w:rFonts w:ascii="Tahoma" w:hAnsi="Tahoma" w:cs="Tahoma"/>
                <w:b/>
                <w:bCs/>
                <w:color w:val="000080"/>
                <w:sz w:val="28"/>
                <w:szCs w:val="28"/>
                <w:rtl/>
              </w:rPr>
              <w:t>בית המשפט המחוזי בירושלים</w:t>
            </w:r>
          </w:p>
        </w:tc>
      </w:tr>
      <w:tr w:rsidR="00030D19" w:rsidRPr="007E7A6B" w14:paraId="2E61A494" w14:textId="77777777" w:rsidTr="0029471D">
        <w:trPr>
          <w:trHeight w:val="337"/>
          <w:jc w:val="center"/>
        </w:trPr>
        <w:tc>
          <w:tcPr>
            <w:tcW w:w="5046" w:type="dxa"/>
          </w:tcPr>
          <w:p w14:paraId="5B69A806" w14:textId="77777777" w:rsidR="00030D19" w:rsidRPr="007E7A6B" w:rsidRDefault="00030D19" w:rsidP="00AB5988">
            <w:pPr>
              <w:rPr>
                <w:rFonts w:cs="FrankRuehl"/>
                <w:b/>
                <w:bCs/>
                <w:sz w:val="34"/>
                <w:szCs w:val="34"/>
                <w:rtl/>
              </w:rPr>
            </w:pPr>
            <w:r w:rsidRPr="007E7A6B">
              <w:rPr>
                <w:rFonts w:cs="FrankRuehl" w:hint="cs"/>
                <w:b/>
                <w:bCs/>
                <w:sz w:val="34"/>
                <w:szCs w:val="34"/>
                <w:rtl/>
              </w:rPr>
              <w:t>לפני כב' השופט רפי כרמל</w:t>
            </w:r>
          </w:p>
          <w:p w14:paraId="7F5FC35F" w14:textId="77777777" w:rsidR="00030D19" w:rsidRPr="007E7A6B" w:rsidRDefault="00030D19" w:rsidP="00AB5988">
            <w:pPr>
              <w:pStyle w:val="a3"/>
              <w:rPr>
                <w:rFonts w:cs="FrankRuehl"/>
                <w:b/>
                <w:bCs/>
                <w:sz w:val="34"/>
                <w:szCs w:val="34"/>
                <w:rtl/>
              </w:rPr>
            </w:pPr>
          </w:p>
        </w:tc>
        <w:tc>
          <w:tcPr>
            <w:tcW w:w="3675" w:type="dxa"/>
          </w:tcPr>
          <w:p w14:paraId="17D70182" w14:textId="77777777" w:rsidR="00030D19" w:rsidRPr="007E7A6B" w:rsidRDefault="00030D19" w:rsidP="00AB5988">
            <w:pPr>
              <w:pStyle w:val="a3"/>
              <w:jc w:val="right"/>
              <w:rPr>
                <w:rFonts w:cs="FrankRuehl"/>
                <w:b/>
                <w:bCs/>
                <w:sz w:val="34"/>
                <w:szCs w:val="34"/>
                <w:rtl/>
              </w:rPr>
            </w:pPr>
            <w:r w:rsidRPr="007E7A6B">
              <w:rPr>
                <w:rFonts w:cs="FrankRuehl"/>
                <w:b/>
                <w:bCs/>
                <w:sz w:val="34"/>
                <w:szCs w:val="34"/>
                <w:rtl/>
              </w:rPr>
              <w:t>ת"פ</w:t>
            </w:r>
            <w:r w:rsidRPr="007E7A6B">
              <w:rPr>
                <w:rFonts w:cs="FrankRuehl" w:hint="cs"/>
                <w:b/>
                <w:bCs/>
                <w:sz w:val="34"/>
                <w:szCs w:val="34"/>
                <w:rtl/>
              </w:rPr>
              <w:t xml:space="preserve"> </w:t>
            </w:r>
            <w:r w:rsidRPr="007E7A6B">
              <w:rPr>
                <w:rFonts w:cs="FrankRuehl"/>
                <w:b/>
                <w:bCs/>
                <w:sz w:val="34"/>
                <w:szCs w:val="34"/>
                <w:rtl/>
              </w:rPr>
              <w:t>17316-10-16</w:t>
            </w:r>
          </w:p>
        </w:tc>
      </w:tr>
    </w:tbl>
    <w:p w14:paraId="72F39F20" w14:textId="77777777" w:rsidR="00030D19" w:rsidRPr="007E7A6B" w:rsidRDefault="00030D19" w:rsidP="00030D19">
      <w:pPr>
        <w:pStyle w:val="a3"/>
        <w:rPr>
          <w:rtl/>
        </w:rPr>
      </w:pPr>
      <w:r w:rsidRPr="007E7A6B">
        <w:rPr>
          <w:rFonts w:hint="cs"/>
          <w:rtl/>
        </w:rPr>
        <w:t xml:space="preserve"> </w:t>
      </w:r>
    </w:p>
    <w:p w14:paraId="072C74E8" w14:textId="77777777" w:rsidR="00030D19" w:rsidRPr="007E7A6B" w:rsidRDefault="00030D19" w:rsidP="00030D19">
      <w:pPr>
        <w:spacing w:line="480" w:lineRule="auto"/>
        <w:rPr>
          <w:rtl/>
        </w:rPr>
      </w:pPr>
    </w:p>
    <w:tbl>
      <w:tblPr>
        <w:bidiVisual/>
        <w:tblW w:w="8802" w:type="dxa"/>
        <w:tblInd w:w="-28" w:type="dxa"/>
        <w:tblLook w:val="01E0" w:firstRow="1" w:lastRow="1" w:firstColumn="1" w:lastColumn="1" w:noHBand="0" w:noVBand="0"/>
      </w:tblPr>
      <w:tblGrid>
        <w:gridCol w:w="2880"/>
        <w:gridCol w:w="5922"/>
      </w:tblGrid>
      <w:tr w:rsidR="00030D19" w:rsidRPr="007E7A6B" w14:paraId="1B95704F" w14:textId="77777777" w:rsidTr="00030D19">
        <w:tc>
          <w:tcPr>
            <w:tcW w:w="2880" w:type="dxa"/>
            <w:shd w:val="clear" w:color="auto" w:fill="auto"/>
          </w:tcPr>
          <w:p w14:paraId="4F8D9982" w14:textId="77777777" w:rsidR="00030D19" w:rsidRPr="007E7A6B" w:rsidRDefault="00030D19" w:rsidP="00030D19">
            <w:pPr>
              <w:spacing w:line="480" w:lineRule="auto"/>
              <w:ind w:left="26"/>
              <w:jc w:val="both"/>
              <w:rPr>
                <w:b/>
                <w:bCs/>
                <w:sz w:val="26"/>
                <w:szCs w:val="26"/>
              </w:rPr>
            </w:pPr>
            <w:bookmarkStart w:id="1" w:name="FirstAppellant"/>
            <w:r w:rsidRPr="007E7A6B">
              <w:rPr>
                <w:rFonts w:hint="cs"/>
                <w:b/>
                <w:bCs/>
                <w:sz w:val="26"/>
                <w:szCs w:val="26"/>
                <w:rtl/>
              </w:rPr>
              <w:t>המאשימה</w:t>
            </w:r>
          </w:p>
        </w:tc>
        <w:tc>
          <w:tcPr>
            <w:tcW w:w="5922" w:type="dxa"/>
            <w:shd w:val="clear" w:color="auto" w:fill="auto"/>
          </w:tcPr>
          <w:p w14:paraId="0646F708" w14:textId="77777777" w:rsidR="00030D19" w:rsidRPr="007E7A6B" w:rsidRDefault="00030D19" w:rsidP="00030D19">
            <w:pPr>
              <w:spacing w:line="480" w:lineRule="auto"/>
              <w:rPr>
                <w:b/>
                <w:bCs/>
                <w:sz w:val="26"/>
                <w:szCs w:val="26"/>
                <w:rtl/>
              </w:rPr>
            </w:pPr>
            <w:r w:rsidRPr="007E7A6B">
              <w:rPr>
                <w:rFonts w:hint="cs"/>
                <w:b/>
                <w:bCs/>
                <w:sz w:val="26"/>
                <w:szCs w:val="26"/>
                <w:rtl/>
              </w:rPr>
              <w:t xml:space="preserve"> מדינת ישראל</w:t>
            </w:r>
          </w:p>
          <w:p w14:paraId="6B7FA979" w14:textId="77777777" w:rsidR="00030D19" w:rsidRPr="007E7A6B" w:rsidRDefault="00030D19" w:rsidP="00030D19">
            <w:pPr>
              <w:spacing w:line="480" w:lineRule="auto"/>
              <w:rPr>
                <w:b/>
                <w:bCs/>
                <w:sz w:val="26"/>
                <w:szCs w:val="26"/>
                <w:rtl/>
              </w:rPr>
            </w:pPr>
            <w:r w:rsidRPr="007E7A6B">
              <w:rPr>
                <w:rFonts w:hint="cs"/>
                <w:b/>
                <w:bCs/>
                <w:sz w:val="26"/>
                <w:szCs w:val="26"/>
                <w:rtl/>
              </w:rPr>
              <w:t>באמצעות פרקליטות מחוז  ירושלים</w:t>
            </w:r>
          </w:p>
        </w:tc>
      </w:tr>
      <w:bookmarkEnd w:id="1"/>
      <w:tr w:rsidR="00030D19" w:rsidRPr="007E7A6B" w14:paraId="41612F08" w14:textId="77777777" w:rsidTr="00030D19">
        <w:tc>
          <w:tcPr>
            <w:tcW w:w="8802" w:type="dxa"/>
            <w:gridSpan w:val="2"/>
            <w:shd w:val="clear" w:color="auto" w:fill="auto"/>
          </w:tcPr>
          <w:p w14:paraId="4F024929" w14:textId="77777777" w:rsidR="00030D19" w:rsidRPr="007E7A6B" w:rsidRDefault="00030D19" w:rsidP="00030D19">
            <w:pPr>
              <w:spacing w:line="480" w:lineRule="auto"/>
              <w:jc w:val="both"/>
              <w:rPr>
                <w:rFonts w:ascii="Arial" w:hAnsi="Arial"/>
                <w:b/>
                <w:bCs/>
                <w:sz w:val="26"/>
                <w:szCs w:val="26"/>
                <w:rtl/>
              </w:rPr>
            </w:pPr>
          </w:p>
          <w:p w14:paraId="25BD8828" w14:textId="77777777" w:rsidR="00030D19" w:rsidRPr="007E7A6B" w:rsidRDefault="00030D19" w:rsidP="00030D19">
            <w:pPr>
              <w:spacing w:line="480" w:lineRule="auto"/>
              <w:jc w:val="center"/>
              <w:rPr>
                <w:rFonts w:ascii="Arial" w:hAnsi="Arial"/>
                <w:b/>
                <w:bCs/>
                <w:sz w:val="26"/>
                <w:szCs w:val="26"/>
                <w:rtl/>
              </w:rPr>
            </w:pPr>
            <w:r w:rsidRPr="007E7A6B">
              <w:rPr>
                <w:rFonts w:ascii="Arial" w:hAnsi="Arial" w:hint="cs"/>
                <w:b/>
                <w:bCs/>
                <w:sz w:val="26"/>
                <w:szCs w:val="26"/>
                <w:rtl/>
              </w:rPr>
              <w:t>נגד</w:t>
            </w:r>
          </w:p>
          <w:p w14:paraId="731D2D56" w14:textId="77777777" w:rsidR="00030D19" w:rsidRPr="007E7A6B" w:rsidRDefault="00030D19" w:rsidP="00030D19">
            <w:pPr>
              <w:spacing w:line="480" w:lineRule="auto"/>
              <w:jc w:val="center"/>
              <w:rPr>
                <w:rFonts w:ascii="Arial" w:hAnsi="Arial"/>
                <w:b/>
                <w:bCs/>
                <w:sz w:val="26"/>
                <w:szCs w:val="26"/>
                <w:rtl/>
              </w:rPr>
            </w:pPr>
          </w:p>
        </w:tc>
      </w:tr>
      <w:tr w:rsidR="00030D19" w:rsidRPr="007E7A6B" w14:paraId="74D1EEB7" w14:textId="77777777" w:rsidTr="00030D19">
        <w:tc>
          <w:tcPr>
            <w:tcW w:w="2880" w:type="dxa"/>
            <w:shd w:val="clear" w:color="auto" w:fill="auto"/>
          </w:tcPr>
          <w:p w14:paraId="48562A3C" w14:textId="77777777" w:rsidR="00030D19" w:rsidRPr="007E7A6B" w:rsidRDefault="00030D19" w:rsidP="00030D19">
            <w:pPr>
              <w:spacing w:line="480" w:lineRule="auto"/>
              <w:ind w:left="26"/>
              <w:rPr>
                <w:b/>
                <w:bCs/>
                <w:sz w:val="26"/>
                <w:szCs w:val="26"/>
              </w:rPr>
            </w:pPr>
            <w:bookmarkStart w:id="2" w:name="FirstLawyer"/>
            <w:r w:rsidRPr="007E7A6B">
              <w:rPr>
                <w:rFonts w:hint="cs"/>
                <w:b/>
                <w:bCs/>
                <w:sz w:val="26"/>
                <w:szCs w:val="26"/>
                <w:rtl/>
              </w:rPr>
              <w:t>הנאשם</w:t>
            </w:r>
          </w:p>
        </w:tc>
        <w:tc>
          <w:tcPr>
            <w:tcW w:w="5922" w:type="dxa"/>
            <w:shd w:val="clear" w:color="auto" w:fill="auto"/>
          </w:tcPr>
          <w:p w14:paraId="2C9F21F4" w14:textId="77777777" w:rsidR="00030D19" w:rsidRPr="007E7A6B" w:rsidRDefault="00030D19" w:rsidP="00030D19">
            <w:pPr>
              <w:spacing w:line="480" w:lineRule="auto"/>
              <w:rPr>
                <w:b/>
                <w:bCs/>
                <w:sz w:val="26"/>
                <w:szCs w:val="26"/>
                <w:rtl/>
              </w:rPr>
            </w:pPr>
            <w:r w:rsidRPr="007E7A6B">
              <w:rPr>
                <w:rFonts w:hint="cs"/>
                <w:b/>
                <w:bCs/>
                <w:sz w:val="26"/>
                <w:szCs w:val="26"/>
                <w:rtl/>
              </w:rPr>
              <w:t xml:space="preserve">מוחמד מוסבאח אבו עמיר </w:t>
            </w:r>
          </w:p>
          <w:p w14:paraId="6FE66587" w14:textId="77777777" w:rsidR="00030D19" w:rsidRPr="007E7A6B" w:rsidRDefault="00030D19" w:rsidP="00030D19">
            <w:pPr>
              <w:spacing w:line="480" w:lineRule="auto"/>
              <w:rPr>
                <w:b/>
                <w:bCs/>
                <w:sz w:val="26"/>
                <w:szCs w:val="26"/>
                <w:rtl/>
              </w:rPr>
            </w:pPr>
            <w:r w:rsidRPr="007E7A6B">
              <w:rPr>
                <w:rFonts w:hint="cs"/>
                <w:b/>
                <w:bCs/>
                <w:sz w:val="26"/>
                <w:szCs w:val="26"/>
                <w:rtl/>
              </w:rPr>
              <w:t>ע"י ב"כ עו"ד מוסטפא יחיא</w:t>
            </w:r>
          </w:p>
        </w:tc>
      </w:tr>
    </w:tbl>
    <w:p w14:paraId="34BFDA4B" w14:textId="77777777" w:rsidR="0029471D" w:rsidRDefault="0029471D" w:rsidP="00030D19">
      <w:pPr>
        <w:spacing w:line="480" w:lineRule="auto"/>
        <w:rPr>
          <w:rtl/>
        </w:rPr>
      </w:pPr>
      <w:bookmarkStart w:id="3" w:name="LawTable"/>
      <w:bookmarkEnd w:id="2"/>
      <w:bookmarkEnd w:id="3"/>
    </w:p>
    <w:p w14:paraId="3F2633CE" w14:textId="77777777" w:rsidR="0029471D" w:rsidRPr="0029471D" w:rsidRDefault="0029471D" w:rsidP="0029471D">
      <w:pPr>
        <w:spacing w:after="120" w:line="240" w:lineRule="exact"/>
        <w:ind w:left="283" w:hanging="283"/>
        <w:jc w:val="both"/>
        <w:rPr>
          <w:rFonts w:ascii="FrankRuehl" w:hAnsi="FrankRuehl" w:cs="FrankRuehl"/>
          <w:rtl/>
        </w:rPr>
      </w:pPr>
    </w:p>
    <w:p w14:paraId="379E4765" w14:textId="77777777" w:rsidR="0029471D" w:rsidRPr="0029471D" w:rsidRDefault="0029471D" w:rsidP="0029471D">
      <w:pPr>
        <w:spacing w:after="120" w:line="240" w:lineRule="exact"/>
        <w:ind w:left="283" w:hanging="283"/>
        <w:jc w:val="both"/>
        <w:rPr>
          <w:rFonts w:ascii="FrankRuehl" w:hAnsi="FrankRuehl" w:cs="FrankRuehl"/>
          <w:rtl/>
        </w:rPr>
      </w:pPr>
      <w:r w:rsidRPr="0029471D">
        <w:rPr>
          <w:rFonts w:ascii="FrankRuehl" w:hAnsi="FrankRuehl" w:cs="FrankRuehl"/>
          <w:rtl/>
        </w:rPr>
        <w:t xml:space="preserve">חקיקה שאוזכרה: </w:t>
      </w:r>
    </w:p>
    <w:p w14:paraId="4E25B433" w14:textId="77777777" w:rsidR="0029471D" w:rsidRPr="0029471D" w:rsidRDefault="0029471D" w:rsidP="0029471D">
      <w:pPr>
        <w:spacing w:after="120" w:line="240" w:lineRule="exact"/>
        <w:ind w:left="283" w:hanging="283"/>
        <w:jc w:val="both"/>
        <w:rPr>
          <w:rFonts w:ascii="FrankRuehl" w:hAnsi="FrankRuehl" w:cs="FrankRuehl"/>
          <w:rtl/>
        </w:rPr>
      </w:pPr>
      <w:hyperlink r:id="rId6" w:history="1">
        <w:r w:rsidRPr="0029471D">
          <w:rPr>
            <w:rFonts w:ascii="FrankRuehl" w:hAnsi="FrankRuehl" w:cs="FrankRuehl"/>
            <w:color w:val="0000FF"/>
            <w:u w:val="single"/>
            <w:rtl/>
          </w:rPr>
          <w:t>פקודת הסמים המסוכנים [נוסח חדש], תשל"ג-1973</w:t>
        </w:r>
      </w:hyperlink>
      <w:r w:rsidRPr="0029471D">
        <w:rPr>
          <w:rFonts w:ascii="FrankRuehl" w:hAnsi="FrankRuehl" w:cs="FrankRuehl"/>
          <w:rtl/>
        </w:rPr>
        <w:t xml:space="preserve">: סע'  </w:t>
      </w:r>
      <w:hyperlink r:id="rId7" w:history="1">
        <w:r w:rsidRPr="0029471D">
          <w:rPr>
            <w:rFonts w:ascii="FrankRuehl" w:hAnsi="FrankRuehl" w:cs="FrankRuehl"/>
            <w:color w:val="0000FF"/>
            <w:u w:val="single"/>
            <w:rtl/>
          </w:rPr>
          <w:t>7(א)</w:t>
        </w:r>
      </w:hyperlink>
      <w:r w:rsidRPr="0029471D">
        <w:rPr>
          <w:rFonts w:ascii="FrankRuehl" w:hAnsi="FrankRuehl" w:cs="FrankRuehl"/>
          <w:rtl/>
        </w:rPr>
        <w:t xml:space="preserve">, </w:t>
      </w:r>
      <w:hyperlink r:id="rId8" w:history="1">
        <w:r w:rsidRPr="0029471D">
          <w:rPr>
            <w:rFonts w:ascii="FrankRuehl" w:hAnsi="FrankRuehl" w:cs="FrankRuehl"/>
            <w:color w:val="0000FF"/>
            <w:u w:val="single"/>
            <w:rtl/>
          </w:rPr>
          <w:t>7(ג)</w:t>
        </w:r>
      </w:hyperlink>
    </w:p>
    <w:p w14:paraId="177EDF72" w14:textId="77777777" w:rsidR="0029471D" w:rsidRPr="0029471D" w:rsidRDefault="0029471D" w:rsidP="0029471D">
      <w:pPr>
        <w:spacing w:after="120" w:line="240" w:lineRule="exact"/>
        <w:ind w:left="283" w:hanging="283"/>
        <w:jc w:val="both"/>
        <w:rPr>
          <w:rFonts w:ascii="FrankRuehl" w:hAnsi="FrankRuehl" w:cs="FrankRuehl"/>
          <w:rtl/>
        </w:rPr>
      </w:pPr>
    </w:p>
    <w:p w14:paraId="794EE6DC" w14:textId="77777777" w:rsidR="00030D19" w:rsidRPr="007E7A6B" w:rsidRDefault="00030D19" w:rsidP="00030D19">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0D19" w14:paraId="2443DFCB" w14:textId="77777777" w:rsidTr="00030D19">
        <w:trPr>
          <w:trHeight w:val="355"/>
          <w:jc w:val="center"/>
        </w:trPr>
        <w:tc>
          <w:tcPr>
            <w:tcW w:w="8820" w:type="dxa"/>
            <w:tcBorders>
              <w:top w:val="nil"/>
              <w:left w:val="nil"/>
              <w:bottom w:val="nil"/>
              <w:right w:val="nil"/>
            </w:tcBorders>
            <w:shd w:val="clear" w:color="auto" w:fill="auto"/>
          </w:tcPr>
          <w:p w14:paraId="62FB8CF1" w14:textId="77777777" w:rsidR="007E7A6B" w:rsidRPr="007E7A6B" w:rsidRDefault="007E7A6B" w:rsidP="007E7A6B">
            <w:pPr>
              <w:jc w:val="center"/>
              <w:rPr>
                <w:rFonts w:ascii="Arial" w:hAnsi="Arial" w:cs="FrankRuehl"/>
                <w:b/>
                <w:bCs/>
                <w:sz w:val="42"/>
                <w:szCs w:val="42"/>
                <w:u w:val="single"/>
                <w:rtl/>
              </w:rPr>
            </w:pPr>
            <w:bookmarkStart w:id="5" w:name="PsakDin" w:colFirst="0" w:colLast="0"/>
            <w:bookmarkEnd w:id="0"/>
            <w:r w:rsidRPr="007E7A6B">
              <w:rPr>
                <w:rFonts w:ascii="Arial" w:hAnsi="Arial" w:cs="FrankRuehl"/>
                <w:b/>
                <w:bCs/>
                <w:sz w:val="42"/>
                <w:szCs w:val="42"/>
                <w:u w:val="single"/>
                <w:rtl/>
              </w:rPr>
              <w:t>גזר דין</w:t>
            </w:r>
          </w:p>
          <w:p w14:paraId="675ADFAD" w14:textId="77777777" w:rsidR="00030D19" w:rsidRPr="007E7A6B" w:rsidRDefault="00030D19" w:rsidP="007E7A6B">
            <w:pPr>
              <w:jc w:val="center"/>
              <w:rPr>
                <w:rFonts w:ascii="Arial" w:hAnsi="Arial" w:cs="FrankRuehl"/>
                <w:bCs/>
                <w:sz w:val="32"/>
                <w:szCs w:val="32"/>
                <w:u w:val="single"/>
                <w:rtl/>
              </w:rPr>
            </w:pPr>
          </w:p>
        </w:tc>
      </w:tr>
      <w:bookmarkEnd w:id="5"/>
    </w:tbl>
    <w:p w14:paraId="5AED3075" w14:textId="77777777" w:rsidR="00030D19" w:rsidRPr="00B05847" w:rsidRDefault="00030D19" w:rsidP="00030D19">
      <w:pPr>
        <w:rPr>
          <w:rFonts w:ascii="Arial" w:hAnsi="Arial"/>
          <w:rtl/>
        </w:rPr>
      </w:pPr>
    </w:p>
    <w:p w14:paraId="5868DDCE" w14:textId="77777777" w:rsidR="00030D19" w:rsidRPr="00B05847" w:rsidRDefault="00030D19" w:rsidP="00030D19">
      <w:pPr>
        <w:rPr>
          <w:rtl/>
        </w:rPr>
      </w:pPr>
      <w:r>
        <w:rPr>
          <w:rtl/>
        </w:rPr>
        <w:br/>
      </w:r>
      <w:r>
        <w:rPr>
          <w:rtl/>
        </w:rPr>
        <w:br/>
      </w:r>
      <w:r>
        <w:rPr>
          <w:rtl/>
        </w:rPr>
        <w:br/>
      </w:r>
      <w:bookmarkStart w:id="6" w:name="ABSTRACT_START"/>
      <w:bookmarkEnd w:id="6"/>
    </w:p>
    <w:p w14:paraId="4A1217DA" w14:textId="77777777" w:rsidR="00030D19" w:rsidRDefault="00030D19" w:rsidP="00030D19">
      <w:pPr>
        <w:spacing w:line="360" w:lineRule="auto"/>
        <w:jc w:val="both"/>
        <w:rPr>
          <w:rFonts w:ascii="Arial" w:hAnsi="Arial"/>
          <w:spacing w:val="22"/>
          <w:rtl/>
        </w:rPr>
      </w:pPr>
      <w:r>
        <w:rPr>
          <w:rFonts w:hint="cs"/>
          <w:rtl/>
        </w:rPr>
        <w:t>1.</w:t>
      </w:r>
      <w:r>
        <w:rPr>
          <w:rFonts w:hint="cs"/>
          <w:rtl/>
        </w:rPr>
        <w:tab/>
      </w:r>
      <w:r>
        <w:rPr>
          <w:rFonts w:ascii="Arial" w:hAnsi="Arial" w:hint="cs"/>
          <w:spacing w:val="22"/>
          <w:rtl/>
        </w:rPr>
        <w:t xml:space="preserve">הנאשם הורשע בעבירה של החזקת סם מסוכן שלא לצריכה עצמית – עבירה לפי </w:t>
      </w:r>
      <w:hyperlink r:id="rId9" w:history="1">
        <w:r w:rsidR="0029471D" w:rsidRPr="0029471D">
          <w:rPr>
            <w:rFonts w:ascii="Arial" w:hAnsi="Arial"/>
            <w:color w:val="0000FF"/>
            <w:spacing w:val="22"/>
            <w:u w:val="single"/>
            <w:rtl/>
          </w:rPr>
          <w:t>סעיף 7(א)</w:t>
        </w:r>
      </w:hyperlink>
      <w:r>
        <w:rPr>
          <w:rFonts w:ascii="Arial" w:hAnsi="Arial" w:hint="cs"/>
          <w:spacing w:val="22"/>
          <w:rtl/>
        </w:rPr>
        <w:t xml:space="preserve"> ו – </w:t>
      </w:r>
      <w:hyperlink r:id="rId10" w:history="1">
        <w:r w:rsidR="0029471D" w:rsidRPr="0029471D">
          <w:rPr>
            <w:rFonts w:ascii="Arial" w:hAnsi="Arial"/>
            <w:color w:val="0000FF"/>
            <w:spacing w:val="22"/>
            <w:u w:val="single"/>
            <w:rtl/>
          </w:rPr>
          <w:t>7(ג)</w:t>
        </w:r>
      </w:hyperlink>
      <w:r>
        <w:rPr>
          <w:rFonts w:ascii="Arial" w:hAnsi="Arial" w:hint="cs"/>
          <w:spacing w:val="22"/>
          <w:rtl/>
        </w:rPr>
        <w:t xml:space="preserve"> רישא </w:t>
      </w:r>
      <w:r>
        <w:rPr>
          <w:rFonts w:ascii="Arial" w:hAnsi="Arial" w:hint="cs"/>
          <w:b/>
          <w:bCs/>
          <w:spacing w:val="22"/>
          <w:rtl/>
        </w:rPr>
        <w:t>ל</w:t>
      </w:r>
      <w:hyperlink r:id="rId11" w:history="1">
        <w:r w:rsidR="007E7A6B" w:rsidRPr="007E7A6B">
          <w:rPr>
            <w:rFonts w:ascii="Arial" w:hAnsi="Arial"/>
            <w:b/>
            <w:bCs/>
            <w:color w:val="0000FF"/>
            <w:spacing w:val="22"/>
            <w:u w:val="single"/>
            <w:rtl/>
          </w:rPr>
          <w:t>פקודת הסמים המסוכנים</w:t>
        </w:r>
      </w:hyperlink>
      <w:r>
        <w:rPr>
          <w:rFonts w:ascii="Arial" w:hAnsi="Arial" w:hint="cs"/>
          <w:b/>
          <w:bCs/>
          <w:spacing w:val="22"/>
          <w:rtl/>
        </w:rPr>
        <w:t xml:space="preserve"> [נוסח חדש], תשל"ג – 1973</w:t>
      </w:r>
      <w:r>
        <w:rPr>
          <w:rFonts w:ascii="Arial" w:hAnsi="Arial" w:hint="cs"/>
          <w:spacing w:val="22"/>
          <w:rtl/>
        </w:rPr>
        <w:t xml:space="preserve">. נטען כי ביום 29/9/16, החזיק הנאשם בביתו עשרים שקיות, בהן 2016 טבליות סם מסוכן מסוג </w:t>
      </w:r>
      <w:r>
        <w:rPr>
          <w:rFonts w:ascii="Arial" w:hAnsi="Arial"/>
          <w:spacing w:val="22"/>
          <w:sz w:val="20"/>
          <w:szCs w:val="20"/>
        </w:rPr>
        <w:t>M.D.M.A</w:t>
      </w:r>
      <w:r>
        <w:rPr>
          <w:rFonts w:ascii="Arial" w:hAnsi="Arial" w:hint="cs"/>
          <w:spacing w:val="22"/>
          <w:sz w:val="20"/>
          <w:szCs w:val="20"/>
          <w:rtl/>
        </w:rPr>
        <w:t xml:space="preserve"> </w:t>
      </w:r>
      <w:r>
        <w:rPr>
          <w:rFonts w:ascii="Arial" w:hAnsi="Arial" w:hint="cs"/>
          <w:spacing w:val="22"/>
          <w:rtl/>
        </w:rPr>
        <w:t xml:space="preserve">(אקסטזי) וכן 0.426 גרם של סם מסוכן מסוג חשיש. </w:t>
      </w:r>
    </w:p>
    <w:p w14:paraId="3329F53D" w14:textId="77777777" w:rsidR="00030D19" w:rsidRDefault="00030D19" w:rsidP="00030D19">
      <w:pPr>
        <w:spacing w:line="360" w:lineRule="auto"/>
        <w:jc w:val="both"/>
        <w:rPr>
          <w:rFonts w:ascii="Arial" w:hAnsi="Arial"/>
          <w:spacing w:val="22"/>
          <w:rtl/>
        </w:rPr>
      </w:pPr>
      <w:bookmarkStart w:id="7" w:name="ABSTRACT_END"/>
      <w:bookmarkEnd w:id="7"/>
    </w:p>
    <w:p w14:paraId="6BB20657" w14:textId="77777777" w:rsidR="00030D19" w:rsidRDefault="00030D19" w:rsidP="00030D19">
      <w:pPr>
        <w:spacing w:line="360" w:lineRule="auto"/>
        <w:jc w:val="both"/>
        <w:rPr>
          <w:rFonts w:ascii="Arial" w:hAnsi="Arial"/>
          <w:spacing w:val="22"/>
          <w:rtl/>
        </w:rPr>
      </w:pPr>
      <w:r>
        <w:rPr>
          <w:rFonts w:ascii="Arial" w:hAnsi="Arial" w:hint="cs"/>
          <w:spacing w:val="22"/>
          <w:rtl/>
        </w:rPr>
        <w:t>2.</w:t>
      </w:r>
      <w:r>
        <w:rPr>
          <w:rFonts w:ascii="Arial" w:hAnsi="Arial" w:hint="cs"/>
          <w:spacing w:val="22"/>
          <w:rtl/>
        </w:rPr>
        <w:tab/>
        <w:t xml:space="preserve">הנאשם הנו כבן 34 ובעברו ארבע הרשעות קודמות, עיקרן בעבירות גניבה. מתסקיר שירות המבחן שהוגש בעניינו של הנאשם עולה כי הנו נשוי ואב לשלושה </w:t>
      </w:r>
      <w:r>
        <w:rPr>
          <w:rFonts w:ascii="Arial" w:hAnsi="Arial" w:hint="cs"/>
          <w:spacing w:val="22"/>
          <w:rtl/>
        </w:rPr>
        <w:lastRenderedPageBreak/>
        <w:t xml:space="preserve">ילדים. טרם מעצרו עבד תקופה ארוכה כנהג משאית. הנאשם עמד לפני שירות המבחן על גרסתו לפיה מצא את הסמים והתכוון להשליכם, אולם לא הספיק לבצע כוונתו זו. בתסקיר מפורט, בין היתר, כי הנאשם מנסה לטשטש הבעייתיות באורח חייו והוא שולל נזקקות טיפולית ביחס לשימוש בסמים.  שירות המבחן נמנע מהמלצה. </w:t>
      </w:r>
    </w:p>
    <w:p w14:paraId="27AA2800" w14:textId="77777777" w:rsidR="00030D19" w:rsidRDefault="00030D19" w:rsidP="00030D19">
      <w:pPr>
        <w:spacing w:line="360" w:lineRule="auto"/>
        <w:jc w:val="both"/>
        <w:rPr>
          <w:rFonts w:ascii="Arial" w:hAnsi="Arial"/>
          <w:spacing w:val="22"/>
          <w:rtl/>
        </w:rPr>
      </w:pPr>
    </w:p>
    <w:p w14:paraId="45CD4D29" w14:textId="77777777" w:rsidR="00030D19" w:rsidRDefault="00030D19" w:rsidP="00030D19">
      <w:pPr>
        <w:spacing w:line="360" w:lineRule="auto"/>
        <w:jc w:val="both"/>
        <w:rPr>
          <w:rFonts w:ascii="Arial" w:hAnsi="Arial"/>
          <w:spacing w:val="22"/>
          <w:rtl/>
        </w:rPr>
      </w:pPr>
      <w:r>
        <w:rPr>
          <w:rFonts w:ascii="Arial" w:hAnsi="Arial" w:hint="cs"/>
          <w:spacing w:val="22"/>
          <w:rtl/>
        </w:rPr>
        <w:t>3.</w:t>
      </w:r>
      <w:r>
        <w:rPr>
          <w:rFonts w:ascii="Arial" w:hAnsi="Arial" w:hint="cs"/>
          <w:spacing w:val="22"/>
          <w:rtl/>
        </w:rPr>
        <w:tab/>
        <w:t xml:space="preserve">ב"כ המאשימה הפנתה לכך שמדובר בכמות גדולה של סמים שנתפסו בביתו של הנאשם. כמות כזו מעידה על היות הנאשם חלק ממערך הפצת הסם. לשימוש בסמים השפעות הרסניות הגורמות לפגיעה בגוף ובנפש. כמות החומר והסתרתו מעידים על מסוכנות הנאשם, באה הפנייה לעונשים במקרים שנטען כי הנם דומים ונטען למתחם ענישה הנע בין 3 עד 5 שנות מאסר בפועל. לנאשם עבר פלילי, לא קיבל אחריות למעשיו. המאשימה ביקשה כי יוטלו על הנאשם עונש מאסר לתקופת 4 שנים, מאסר מותנה וקנס. </w:t>
      </w:r>
    </w:p>
    <w:p w14:paraId="7015EA78" w14:textId="77777777" w:rsidR="00030D19" w:rsidRDefault="00030D19" w:rsidP="00030D19">
      <w:pPr>
        <w:spacing w:line="360" w:lineRule="auto"/>
        <w:jc w:val="both"/>
        <w:rPr>
          <w:rFonts w:ascii="Arial" w:hAnsi="Arial"/>
          <w:spacing w:val="22"/>
          <w:rtl/>
        </w:rPr>
      </w:pPr>
    </w:p>
    <w:p w14:paraId="13D0EFDD" w14:textId="77777777" w:rsidR="00030D19" w:rsidRDefault="00030D19" w:rsidP="00030D19">
      <w:pPr>
        <w:spacing w:line="360" w:lineRule="auto"/>
        <w:jc w:val="both"/>
        <w:rPr>
          <w:rFonts w:ascii="Arial" w:hAnsi="Arial"/>
          <w:spacing w:val="22"/>
          <w:rtl/>
        </w:rPr>
      </w:pPr>
      <w:r>
        <w:rPr>
          <w:rFonts w:ascii="Arial" w:hAnsi="Arial" w:hint="cs"/>
          <w:spacing w:val="22"/>
          <w:rtl/>
        </w:rPr>
        <w:t>4.</w:t>
      </w:r>
      <w:r>
        <w:rPr>
          <w:rFonts w:ascii="Arial" w:hAnsi="Arial" w:hint="cs"/>
          <w:spacing w:val="22"/>
          <w:rtl/>
        </w:rPr>
        <w:tab/>
        <w:t xml:space="preserve">מנגד, הסנגור טען כי הנאשם מעוניין בטיפול גמילה והוא אף ביקש זאת משירות המבחן. נטען כי הנאשם קיבל אחריות במוסרו את גרסתו. הנאשם נשוי ואב לשלושה ילדים. הנאשם לא היה מעורב מעולם בהפצת סם והוא אינו חלק ממערך ההפצה אליו התייחסה ב"כ המאשימה. אין כל אינדיקציה כי הנאשם קשור לעבירות סמים או לסחר בסמים. לנאשם רקע קשה, עבר בעבר גמילה עצמית, קיימים לו קשיים כלכליים ניכרים, עמדתה העונשית של המאשימה מחמירה ואינה סבירה. הסנגור הפנה לפסיקה רלוונטית. לטענתו, המתחם הראוי הנו שנה עד שתי שנות מאסר וניתן להסתפק בתקופת מעצרו של הנאשם. הומצאו גם תלושי שכר לצורך הצגת מצבו הכלכלי של הנאשם ועל כך שהנו מתפרנס שלא מסחר בסמים. </w:t>
      </w:r>
    </w:p>
    <w:p w14:paraId="518EA4E9" w14:textId="77777777" w:rsidR="00030D19" w:rsidRDefault="00030D19" w:rsidP="00030D19">
      <w:pPr>
        <w:spacing w:line="360" w:lineRule="auto"/>
        <w:jc w:val="both"/>
        <w:rPr>
          <w:rFonts w:ascii="Arial" w:hAnsi="Arial"/>
          <w:spacing w:val="22"/>
          <w:rtl/>
        </w:rPr>
      </w:pPr>
    </w:p>
    <w:p w14:paraId="68595E40" w14:textId="77777777" w:rsidR="00030D19" w:rsidRDefault="00030D19" w:rsidP="00030D19">
      <w:pPr>
        <w:spacing w:line="360" w:lineRule="auto"/>
        <w:jc w:val="both"/>
        <w:rPr>
          <w:rFonts w:ascii="Arial" w:hAnsi="Arial"/>
          <w:b/>
          <w:bCs/>
          <w:spacing w:val="22"/>
          <w:rtl/>
        </w:rPr>
      </w:pPr>
      <w:r>
        <w:rPr>
          <w:rFonts w:ascii="Arial" w:hAnsi="Arial"/>
          <w:spacing w:val="22"/>
          <w:rtl/>
        </w:rPr>
        <w:tab/>
      </w:r>
      <w:r>
        <w:rPr>
          <w:rFonts w:ascii="Arial" w:hAnsi="Arial" w:hint="cs"/>
          <w:b/>
          <w:bCs/>
          <w:spacing w:val="22"/>
          <w:rtl/>
        </w:rPr>
        <w:t>דיון</w:t>
      </w:r>
    </w:p>
    <w:p w14:paraId="4781B4C3" w14:textId="77777777" w:rsidR="00030D19" w:rsidRDefault="00030D19" w:rsidP="00030D19">
      <w:pPr>
        <w:spacing w:line="360" w:lineRule="auto"/>
        <w:jc w:val="both"/>
        <w:rPr>
          <w:rFonts w:ascii="Arial" w:hAnsi="Arial"/>
          <w:spacing w:val="22"/>
          <w:rtl/>
        </w:rPr>
      </w:pPr>
      <w:r>
        <w:rPr>
          <w:rFonts w:ascii="Arial" w:hAnsi="Arial" w:hint="cs"/>
          <w:b/>
          <w:bCs/>
          <w:spacing w:val="22"/>
          <w:rtl/>
        </w:rPr>
        <w:t>5.</w:t>
      </w:r>
      <w:r>
        <w:rPr>
          <w:rFonts w:ascii="Arial" w:hAnsi="Arial" w:hint="cs"/>
          <w:b/>
          <w:bCs/>
          <w:spacing w:val="22"/>
          <w:rtl/>
        </w:rPr>
        <w:tab/>
      </w:r>
      <w:r w:rsidRPr="00321898">
        <w:rPr>
          <w:rFonts w:ascii="Arial" w:hAnsi="Arial" w:hint="cs"/>
          <w:spacing w:val="22"/>
          <w:rtl/>
        </w:rPr>
        <w:t>הנאשם החזיק בביתו כמות גדולה של סם מסוכן, כמות שלא נועדה לצריכה עצמית.</w:t>
      </w:r>
      <w:r>
        <w:rPr>
          <w:rFonts w:ascii="Arial" w:hAnsi="Arial" w:hint="cs"/>
          <w:b/>
          <w:bCs/>
          <w:spacing w:val="22"/>
          <w:rtl/>
        </w:rPr>
        <w:t xml:space="preserve"> </w:t>
      </w:r>
      <w:r w:rsidRPr="0040309D">
        <w:rPr>
          <w:rFonts w:ascii="Arial" w:hAnsi="Arial" w:hint="cs"/>
          <w:spacing w:val="22"/>
          <w:rtl/>
        </w:rPr>
        <w:t>הערך המוגן באשר לעבירות אלה הנו שלומו של הציבור, הפיזי כמו גם הנפשי. לשימוש בסמים השלכות רוחב קשות על המשתמש ועל החברה סביבו</w:t>
      </w:r>
      <w:r>
        <w:rPr>
          <w:rFonts w:ascii="Arial" w:hAnsi="Arial" w:hint="cs"/>
          <w:spacing w:val="22"/>
          <w:rtl/>
        </w:rPr>
        <w:t>,</w:t>
      </w:r>
      <w:r w:rsidRPr="0040309D">
        <w:rPr>
          <w:rFonts w:ascii="Arial" w:hAnsi="Arial" w:hint="cs"/>
          <w:spacing w:val="22"/>
          <w:rtl/>
        </w:rPr>
        <w:t xml:space="preserve"> ומדובר במלחמה ארוכה וקשה בניסיון למגר תופעה זו. ככלל, בהתאם לפסיקה הנוהגת, על הנאשמים שהורשעו בהחזקת סמים שלא לצריכה עצמית, מוטלים עונשי מאסר בפועל, בוודאי מקום שמדובר בכמויות משמעותיות. ס</w:t>
      </w:r>
      <w:r>
        <w:rPr>
          <w:rFonts w:ascii="Arial" w:hAnsi="Arial" w:hint="cs"/>
          <w:spacing w:val="22"/>
          <w:rtl/>
        </w:rPr>
        <w:t>קי</w:t>
      </w:r>
      <w:r w:rsidRPr="0040309D">
        <w:rPr>
          <w:rFonts w:ascii="Arial" w:hAnsi="Arial" w:hint="cs"/>
          <w:spacing w:val="22"/>
          <w:rtl/>
        </w:rPr>
        <w:t>רת הפסיקה מלמדת כי הענישה</w:t>
      </w:r>
      <w:r>
        <w:rPr>
          <w:rFonts w:ascii="Arial" w:hAnsi="Arial" w:hint="cs"/>
          <w:spacing w:val="22"/>
          <w:rtl/>
        </w:rPr>
        <w:t>,</w:t>
      </w:r>
      <w:r w:rsidRPr="0040309D">
        <w:rPr>
          <w:rFonts w:ascii="Arial" w:hAnsi="Arial" w:hint="cs"/>
          <w:spacing w:val="22"/>
          <w:rtl/>
        </w:rPr>
        <w:t xml:space="preserve"> באשר לעבירות אלה</w:t>
      </w:r>
      <w:r>
        <w:rPr>
          <w:rFonts w:ascii="Arial" w:hAnsi="Arial" w:hint="cs"/>
          <w:spacing w:val="22"/>
          <w:rtl/>
        </w:rPr>
        <w:t>, הנה</w:t>
      </w:r>
      <w:r w:rsidRPr="0040309D">
        <w:rPr>
          <w:rFonts w:ascii="Arial" w:hAnsi="Arial" w:hint="cs"/>
          <w:spacing w:val="22"/>
          <w:rtl/>
        </w:rPr>
        <w:t xml:space="preserve"> בעלת מנעד רחב הנקבעת לפי סוג הסם, כמותו, מיהות הנאשם ונסיבות האירועים. הנאשם החזיק 2016 טבליות סם. כמות נכבדה לכל הדעות.</w:t>
      </w:r>
      <w:r>
        <w:rPr>
          <w:rFonts w:ascii="Arial" w:hAnsi="Arial" w:hint="cs"/>
          <w:b/>
          <w:bCs/>
          <w:spacing w:val="22"/>
          <w:rtl/>
        </w:rPr>
        <w:t xml:space="preserve"> </w:t>
      </w:r>
      <w:r w:rsidRPr="0040309D">
        <w:rPr>
          <w:rFonts w:ascii="Arial" w:hAnsi="Arial" w:hint="cs"/>
          <w:spacing w:val="22"/>
          <w:rtl/>
        </w:rPr>
        <w:t xml:space="preserve">בענייננו, המתחם הראוי הנו 12 עד </w:t>
      </w:r>
      <w:r>
        <w:rPr>
          <w:rFonts w:ascii="Arial" w:hAnsi="Arial" w:hint="cs"/>
          <w:spacing w:val="22"/>
          <w:rtl/>
        </w:rPr>
        <w:t>48</w:t>
      </w:r>
      <w:r w:rsidRPr="0040309D">
        <w:rPr>
          <w:rFonts w:ascii="Arial" w:hAnsi="Arial" w:hint="cs"/>
          <w:spacing w:val="22"/>
          <w:rtl/>
        </w:rPr>
        <w:t xml:space="preserve"> </w:t>
      </w:r>
      <w:r w:rsidRPr="0040309D">
        <w:rPr>
          <w:rFonts w:ascii="Arial" w:hAnsi="Arial" w:hint="cs"/>
          <w:spacing w:val="22"/>
          <w:rtl/>
        </w:rPr>
        <w:lastRenderedPageBreak/>
        <w:t xml:space="preserve">חודשי מאסר בפועל. נסיבות חייו של הנאשם אינן פשוטות אך </w:t>
      </w:r>
      <w:r>
        <w:rPr>
          <w:rFonts w:ascii="Arial" w:hAnsi="Arial" w:hint="cs"/>
          <w:spacing w:val="22"/>
          <w:rtl/>
        </w:rPr>
        <w:t>ל</w:t>
      </w:r>
      <w:r w:rsidRPr="0040309D">
        <w:rPr>
          <w:rFonts w:ascii="Arial" w:hAnsi="Arial" w:hint="cs"/>
          <w:spacing w:val="22"/>
          <w:rtl/>
        </w:rPr>
        <w:t xml:space="preserve">א ניתן למצוא לזכותו נקודות זכות משמעותיות. עומד לחובתו עברו הקודם וכמות הטבליות. הנאשם שלט במעשיו ובחר להחזיק בסם. </w:t>
      </w:r>
    </w:p>
    <w:p w14:paraId="56006BD0" w14:textId="77777777" w:rsidR="00030D19" w:rsidRDefault="00030D19" w:rsidP="00030D19">
      <w:pPr>
        <w:spacing w:line="360" w:lineRule="auto"/>
        <w:jc w:val="both"/>
        <w:rPr>
          <w:rFonts w:ascii="Arial" w:hAnsi="Arial"/>
          <w:spacing w:val="22"/>
          <w:rtl/>
        </w:rPr>
      </w:pPr>
    </w:p>
    <w:p w14:paraId="6934F5A2" w14:textId="77777777" w:rsidR="00030D19" w:rsidRDefault="00030D19" w:rsidP="00030D19">
      <w:pPr>
        <w:spacing w:line="360" w:lineRule="auto"/>
        <w:jc w:val="both"/>
        <w:rPr>
          <w:rFonts w:ascii="Arial" w:hAnsi="Arial"/>
          <w:spacing w:val="22"/>
          <w:rtl/>
        </w:rPr>
      </w:pPr>
      <w:r>
        <w:rPr>
          <w:rFonts w:ascii="Arial" w:hAnsi="Arial"/>
          <w:spacing w:val="22"/>
          <w:rtl/>
        </w:rPr>
        <w:tab/>
      </w:r>
      <w:r>
        <w:rPr>
          <w:rFonts w:ascii="Arial" w:hAnsi="Arial" w:hint="cs"/>
          <w:spacing w:val="22"/>
          <w:rtl/>
        </w:rPr>
        <w:t>לאחר שיקלול האמור לעיל, אני גוזר על הנאשם כלהלן:</w:t>
      </w:r>
    </w:p>
    <w:p w14:paraId="2FC03759" w14:textId="77777777" w:rsidR="00030D19" w:rsidRDefault="00030D19" w:rsidP="00030D19">
      <w:pPr>
        <w:spacing w:line="360" w:lineRule="auto"/>
        <w:jc w:val="both"/>
        <w:rPr>
          <w:rFonts w:ascii="Arial" w:hAnsi="Arial"/>
          <w:spacing w:val="22"/>
          <w:rtl/>
        </w:rPr>
      </w:pPr>
    </w:p>
    <w:p w14:paraId="7C180F98" w14:textId="77777777" w:rsidR="00030D19" w:rsidRDefault="00030D19" w:rsidP="00030D19">
      <w:pPr>
        <w:spacing w:line="360" w:lineRule="auto"/>
        <w:jc w:val="both"/>
        <w:rPr>
          <w:rFonts w:ascii="Arial" w:hAnsi="Arial"/>
          <w:spacing w:val="22"/>
          <w:rtl/>
        </w:rPr>
      </w:pPr>
      <w:r>
        <w:rPr>
          <w:rFonts w:ascii="Arial" w:hAnsi="Arial"/>
          <w:spacing w:val="22"/>
          <w:rtl/>
        </w:rPr>
        <w:tab/>
      </w:r>
      <w:r>
        <w:rPr>
          <w:rFonts w:ascii="Arial" w:hAnsi="Arial" w:hint="cs"/>
          <w:spacing w:val="22"/>
          <w:rtl/>
        </w:rPr>
        <w:t>א.</w:t>
      </w:r>
      <w:r>
        <w:rPr>
          <w:rFonts w:ascii="Arial" w:hAnsi="Arial" w:hint="cs"/>
          <w:spacing w:val="22"/>
          <w:rtl/>
        </w:rPr>
        <w:tab/>
        <w:t xml:space="preserve">מאסר בפועל לתקופה של 26 חודשים. תחילת מאסרו מיום מעצרו. </w:t>
      </w:r>
    </w:p>
    <w:p w14:paraId="421B3840" w14:textId="77777777" w:rsidR="00030D19" w:rsidRDefault="00030D19" w:rsidP="00030D19">
      <w:pPr>
        <w:spacing w:line="360" w:lineRule="auto"/>
        <w:jc w:val="both"/>
        <w:rPr>
          <w:rFonts w:ascii="Arial" w:hAnsi="Arial"/>
          <w:spacing w:val="22"/>
          <w:rtl/>
        </w:rPr>
      </w:pPr>
    </w:p>
    <w:p w14:paraId="2949B6CF" w14:textId="77777777" w:rsidR="00030D19" w:rsidRDefault="00030D19" w:rsidP="00030D19">
      <w:pPr>
        <w:spacing w:line="360" w:lineRule="auto"/>
        <w:ind w:left="1440" w:hanging="720"/>
        <w:jc w:val="both"/>
        <w:rPr>
          <w:rFonts w:ascii="Arial" w:hAnsi="Arial"/>
          <w:spacing w:val="22"/>
          <w:rtl/>
        </w:rPr>
      </w:pPr>
      <w:r>
        <w:rPr>
          <w:rFonts w:ascii="Arial" w:hAnsi="Arial" w:hint="cs"/>
          <w:spacing w:val="22"/>
          <w:rtl/>
        </w:rPr>
        <w:t>ב.</w:t>
      </w:r>
      <w:r>
        <w:rPr>
          <w:rFonts w:ascii="Arial" w:hAnsi="Arial" w:hint="cs"/>
          <w:spacing w:val="22"/>
          <w:rtl/>
        </w:rPr>
        <w:tab/>
        <w:t xml:space="preserve">מאסר מותנה לתקופה של 10  חודשים והתנאי הוא שהנאשם לא יעבור עבירה מסוג פשע בתוך שלוש שנים מיום שחרורו ממאסר. </w:t>
      </w:r>
    </w:p>
    <w:p w14:paraId="0BF6E896" w14:textId="77777777" w:rsidR="00030D19" w:rsidRDefault="00030D19" w:rsidP="00030D19">
      <w:pPr>
        <w:spacing w:line="360" w:lineRule="auto"/>
        <w:ind w:left="1440" w:hanging="720"/>
        <w:jc w:val="both"/>
        <w:rPr>
          <w:rFonts w:ascii="Arial" w:hAnsi="Arial"/>
          <w:spacing w:val="22"/>
          <w:rtl/>
        </w:rPr>
      </w:pPr>
    </w:p>
    <w:p w14:paraId="1A457D9D" w14:textId="77777777" w:rsidR="00030D19" w:rsidRPr="00B05847" w:rsidRDefault="00030D19" w:rsidP="00030D19">
      <w:pPr>
        <w:spacing w:line="360" w:lineRule="auto"/>
        <w:ind w:left="1440" w:hanging="720"/>
        <w:jc w:val="both"/>
        <w:rPr>
          <w:rtl/>
        </w:rPr>
      </w:pPr>
      <w:r>
        <w:rPr>
          <w:rFonts w:ascii="Arial" w:hAnsi="Arial" w:hint="cs"/>
          <w:spacing w:val="22"/>
          <w:rtl/>
        </w:rPr>
        <w:t xml:space="preserve">זכות ערעור לבית המשפט העליון בתוך 45 יום מהיום. </w:t>
      </w:r>
    </w:p>
    <w:p w14:paraId="76F0AF92" w14:textId="77777777" w:rsidR="00030D19" w:rsidRPr="00B05847" w:rsidRDefault="00030D19" w:rsidP="00030D19">
      <w:pPr>
        <w:rPr>
          <w:rtl/>
        </w:rPr>
      </w:pPr>
    </w:p>
    <w:p w14:paraId="0A8C7572" w14:textId="77777777" w:rsidR="00030D19" w:rsidRPr="00B05847" w:rsidRDefault="00030D19" w:rsidP="00030D19">
      <w:pPr>
        <w:rPr>
          <w:rtl/>
        </w:rPr>
      </w:pPr>
    </w:p>
    <w:p w14:paraId="49823E33" w14:textId="77777777" w:rsidR="00030D19" w:rsidRPr="00F654FD" w:rsidRDefault="007E7A6B" w:rsidP="00030D19">
      <w:pPr>
        <w:spacing w:line="360" w:lineRule="auto"/>
        <w:ind w:firstLine="720"/>
        <w:jc w:val="both"/>
        <w:rPr>
          <w:rFonts w:ascii="Arial" w:hAnsi="Arial"/>
          <w:spacing w:val="22"/>
          <w:rtl/>
        </w:rPr>
      </w:pPr>
      <w:r>
        <w:rPr>
          <w:rFonts w:ascii="Arial" w:hAnsi="Arial"/>
          <w:spacing w:val="22"/>
          <w:rtl/>
        </w:rPr>
        <w:t xml:space="preserve">ניתן היום,  כ"ד תמוז תשע"ז, 18 יולי 2017, במעמד ב"כ המאשימה, ב"כ </w:t>
      </w:r>
      <w:r w:rsidR="00030D19" w:rsidRPr="00F654FD">
        <w:rPr>
          <w:rFonts w:ascii="Arial" w:hAnsi="Arial" w:hint="cs"/>
          <w:spacing w:val="22"/>
          <w:rtl/>
        </w:rPr>
        <w:t xml:space="preserve">הנאשם והנאשם בעצמו. </w:t>
      </w:r>
    </w:p>
    <w:p w14:paraId="249915AD" w14:textId="77777777" w:rsidR="00030D19" w:rsidRDefault="00030D19" w:rsidP="00030D19">
      <w:pPr>
        <w:spacing w:line="360" w:lineRule="auto"/>
        <w:jc w:val="both"/>
        <w:rPr>
          <w:rFonts w:ascii="Arial" w:hAnsi="Arial"/>
          <w:rtl/>
        </w:rPr>
      </w:pPr>
    </w:p>
    <w:p w14:paraId="1FE15DF3" w14:textId="77777777" w:rsidR="00030D19" w:rsidRPr="007E7A6B" w:rsidRDefault="007E7A6B" w:rsidP="00030D19">
      <w:pPr>
        <w:spacing w:line="360" w:lineRule="auto"/>
        <w:jc w:val="both"/>
        <w:rPr>
          <w:rFonts w:ascii="Arial" w:hAnsi="Arial"/>
          <w:color w:val="FFFFFF"/>
          <w:sz w:val="2"/>
          <w:szCs w:val="2"/>
          <w:rtl/>
        </w:rPr>
      </w:pPr>
      <w:r w:rsidRPr="007E7A6B">
        <w:rPr>
          <w:rFonts w:ascii="Arial" w:hAnsi="Arial"/>
          <w:color w:val="FFFFFF"/>
          <w:sz w:val="2"/>
          <w:szCs w:val="2"/>
          <w:rtl/>
        </w:rPr>
        <w:t>5129371</w:t>
      </w:r>
    </w:p>
    <w:tbl>
      <w:tblPr>
        <w:bidiVisual/>
        <w:tblW w:w="0" w:type="auto"/>
        <w:tblInd w:w="5444" w:type="dxa"/>
        <w:tblLook w:val="01E0" w:firstRow="1" w:lastRow="1" w:firstColumn="1" w:lastColumn="1" w:noHBand="0" w:noVBand="0"/>
      </w:tblPr>
      <w:tblGrid>
        <w:gridCol w:w="754"/>
      </w:tblGrid>
      <w:tr w:rsidR="00030D19" w14:paraId="13EA2047" w14:textId="77777777" w:rsidTr="00030D19">
        <w:tc>
          <w:tcPr>
            <w:tcW w:w="284" w:type="dxa"/>
            <w:tcBorders>
              <w:top w:val="nil"/>
              <w:left w:val="nil"/>
              <w:bottom w:val="single" w:sz="4" w:space="0" w:color="auto"/>
              <w:right w:val="nil"/>
            </w:tcBorders>
            <w:shd w:val="clear" w:color="auto" w:fill="auto"/>
            <w:vAlign w:val="center"/>
          </w:tcPr>
          <w:p w14:paraId="23DDED6C" w14:textId="77777777" w:rsidR="00030D19" w:rsidRPr="007E7A6B" w:rsidRDefault="007E7A6B" w:rsidP="00030D19">
            <w:pPr>
              <w:jc w:val="center"/>
              <w:rPr>
                <w:rFonts w:ascii="Courier New" w:hAnsi="Courier New"/>
                <w:b/>
                <w:bCs/>
                <w:color w:val="FFFFFF"/>
                <w:sz w:val="2"/>
                <w:szCs w:val="2"/>
              </w:rPr>
            </w:pPr>
            <w:r w:rsidRPr="007E7A6B">
              <w:rPr>
                <w:rFonts w:ascii="Courier New" w:hAnsi="Courier New"/>
                <w:b/>
                <w:bCs/>
                <w:color w:val="FFFFFF"/>
                <w:sz w:val="2"/>
                <w:szCs w:val="2"/>
                <w:rtl/>
              </w:rPr>
              <w:t>54678313</w:t>
            </w:r>
          </w:p>
        </w:tc>
      </w:tr>
      <w:tr w:rsidR="00030D19" w14:paraId="4864676A" w14:textId="77777777" w:rsidTr="00030D19">
        <w:tc>
          <w:tcPr>
            <w:tcW w:w="284" w:type="dxa"/>
            <w:tcBorders>
              <w:top w:val="single" w:sz="4" w:space="0" w:color="auto"/>
              <w:left w:val="nil"/>
              <w:bottom w:val="nil"/>
              <w:right w:val="nil"/>
            </w:tcBorders>
            <w:shd w:val="clear" w:color="auto" w:fill="auto"/>
            <w:vAlign w:val="center"/>
          </w:tcPr>
          <w:p w14:paraId="17E507AE" w14:textId="77777777" w:rsidR="00030D19" w:rsidRPr="00030D19" w:rsidRDefault="00030D19" w:rsidP="00030D19">
            <w:pPr>
              <w:spacing w:line="360" w:lineRule="auto"/>
              <w:jc w:val="center"/>
              <w:rPr>
                <w:b/>
                <w:bCs/>
                <w:noProof/>
                <w:rtl/>
              </w:rPr>
            </w:pPr>
            <w:r w:rsidRPr="00030D19">
              <w:rPr>
                <w:rFonts w:hint="cs"/>
                <w:b/>
                <w:bCs/>
                <w:rtl/>
              </w:rPr>
              <w:t>רפי כרמל, שופט</w:t>
            </w:r>
          </w:p>
        </w:tc>
      </w:tr>
    </w:tbl>
    <w:p w14:paraId="4EE0391B" w14:textId="77777777" w:rsidR="00030D19" w:rsidRPr="0029471D" w:rsidRDefault="0029471D" w:rsidP="00030D19">
      <w:pPr>
        <w:rPr>
          <w:color w:val="FFFFFF"/>
          <w:sz w:val="2"/>
          <w:szCs w:val="2"/>
          <w:rtl/>
        </w:rPr>
      </w:pPr>
      <w:r w:rsidRPr="0029471D">
        <w:rPr>
          <w:color w:val="FFFFFF"/>
          <w:sz w:val="2"/>
          <w:szCs w:val="2"/>
          <w:rtl/>
        </w:rPr>
        <w:t>5129371</w:t>
      </w:r>
    </w:p>
    <w:p w14:paraId="0AFB945B" w14:textId="77777777" w:rsidR="002D7B2F" w:rsidRPr="0029471D" w:rsidRDefault="0029471D" w:rsidP="007E7A6B">
      <w:pPr>
        <w:keepNext/>
        <w:rPr>
          <w:rFonts w:ascii="David" w:hAnsi="David"/>
          <w:color w:val="FFFFFF"/>
          <w:sz w:val="2"/>
          <w:szCs w:val="2"/>
          <w:rtl/>
        </w:rPr>
      </w:pPr>
      <w:r w:rsidRPr="0029471D">
        <w:rPr>
          <w:rFonts w:ascii="David" w:hAnsi="David"/>
          <w:color w:val="FFFFFF"/>
          <w:sz w:val="2"/>
          <w:szCs w:val="2"/>
          <w:rtl/>
        </w:rPr>
        <w:t>54678313</w:t>
      </w:r>
    </w:p>
    <w:p w14:paraId="70772ED6" w14:textId="77777777" w:rsidR="007E7A6B" w:rsidRPr="007E7A6B" w:rsidRDefault="007E7A6B" w:rsidP="007E7A6B">
      <w:pPr>
        <w:keepNext/>
        <w:rPr>
          <w:rFonts w:ascii="David" w:hAnsi="David"/>
          <w:color w:val="000000"/>
          <w:sz w:val="22"/>
          <w:szCs w:val="22"/>
          <w:rtl/>
        </w:rPr>
      </w:pPr>
      <w:r w:rsidRPr="007E7A6B">
        <w:rPr>
          <w:rFonts w:ascii="David" w:hAnsi="David"/>
          <w:color w:val="000000"/>
          <w:sz w:val="22"/>
          <w:szCs w:val="22"/>
          <w:rtl/>
        </w:rPr>
        <w:t>רפי כרמל 54678313</w:t>
      </w:r>
    </w:p>
    <w:p w14:paraId="274CC865" w14:textId="77777777" w:rsidR="007E7A6B" w:rsidRDefault="007E7A6B" w:rsidP="007E7A6B">
      <w:r w:rsidRPr="007E7A6B">
        <w:rPr>
          <w:color w:val="000000"/>
          <w:rtl/>
        </w:rPr>
        <w:t>נוסח מסמך זה כפוף לשינויי ניסוח ועריכה</w:t>
      </w:r>
    </w:p>
    <w:p w14:paraId="47B09FE2" w14:textId="77777777" w:rsidR="007E7A6B" w:rsidRDefault="007E7A6B" w:rsidP="007E7A6B">
      <w:pPr>
        <w:rPr>
          <w:rtl/>
        </w:rPr>
      </w:pPr>
    </w:p>
    <w:p w14:paraId="5DF28F18" w14:textId="77777777" w:rsidR="007E7A6B" w:rsidRDefault="007E7A6B" w:rsidP="007E7A6B">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3D687E6F" w14:textId="77777777" w:rsidR="007E7A6B" w:rsidRPr="007E7A6B" w:rsidRDefault="007E7A6B" w:rsidP="0029471D">
      <w:pPr>
        <w:rPr>
          <w:color w:val="0000FF"/>
          <w:u w:val="single"/>
        </w:rPr>
      </w:pPr>
    </w:p>
    <w:sectPr w:rsidR="007E7A6B" w:rsidRPr="007E7A6B" w:rsidSect="0029471D">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9A6B1" w14:textId="77777777" w:rsidR="00BD2686" w:rsidRDefault="00BD2686" w:rsidP="003B4DE6">
      <w:r>
        <w:separator/>
      </w:r>
    </w:p>
  </w:endnote>
  <w:endnote w:type="continuationSeparator" w:id="0">
    <w:p w14:paraId="22FA9325" w14:textId="77777777" w:rsidR="00BD2686" w:rsidRDefault="00BD2686" w:rsidP="003B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84DB7" w14:textId="77777777" w:rsidR="0029471D" w:rsidRDefault="0029471D" w:rsidP="002947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1A5307" w14:textId="77777777" w:rsidR="00AB5988" w:rsidRPr="0029471D" w:rsidRDefault="0029471D" w:rsidP="0029471D">
    <w:pPr>
      <w:pStyle w:val="a5"/>
      <w:pBdr>
        <w:top w:val="single" w:sz="4" w:space="1" w:color="auto"/>
        <w:between w:val="single" w:sz="4" w:space="0" w:color="auto"/>
      </w:pBdr>
      <w:spacing w:after="60"/>
      <w:jc w:val="center"/>
      <w:rPr>
        <w:rFonts w:ascii="FrankRuehl" w:hAnsi="FrankRuehl" w:cs="FrankRuehl"/>
        <w:color w:val="000000"/>
      </w:rPr>
    </w:pPr>
    <w:r w:rsidRPr="002947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A573D" w14:textId="77777777" w:rsidR="0029471D" w:rsidRDefault="0029471D" w:rsidP="002947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3C56">
      <w:rPr>
        <w:rFonts w:ascii="FrankRuehl" w:hAnsi="FrankRuehl" w:cs="FrankRuehl"/>
        <w:noProof/>
        <w:rtl/>
      </w:rPr>
      <w:t>1</w:t>
    </w:r>
    <w:r>
      <w:rPr>
        <w:rFonts w:ascii="FrankRuehl" w:hAnsi="FrankRuehl" w:cs="FrankRuehl"/>
        <w:rtl/>
      </w:rPr>
      <w:fldChar w:fldCharType="end"/>
    </w:r>
  </w:p>
  <w:p w14:paraId="7CB1C14F" w14:textId="77777777" w:rsidR="00AB5988" w:rsidRPr="0029471D" w:rsidRDefault="0029471D" w:rsidP="0029471D">
    <w:pPr>
      <w:pStyle w:val="a5"/>
      <w:pBdr>
        <w:top w:val="single" w:sz="4" w:space="1" w:color="auto"/>
        <w:between w:val="single" w:sz="4" w:space="0" w:color="auto"/>
      </w:pBdr>
      <w:spacing w:after="60"/>
      <w:jc w:val="center"/>
      <w:rPr>
        <w:rFonts w:ascii="FrankRuehl" w:hAnsi="FrankRuehl" w:cs="FrankRuehl"/>
        <w:color w:val="000000"/>
      </w:rPr>
    </w:pPr>
    <w:r w:rsidRPr="0029471D">
      <w:rPr>
        <w:rFonts w:ascii="FrankRuehl" w:hAnsi="FrankRuehl" w:cs="FrankRuehl"/>
        <w:color w:val="000000"/>
      </w:rPr>
      <w:pict w14:anchorId="7CD70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30DA" w14:textId="77777777" w:rsidR="00BD2686" w:rsidRDefault="00BD2686" w:rsidP="003B4DE6">
      <w:r>
        <w:separator/>
      </w:r>
    </w:p>
  </w:footnote>
  <w:footnote w:type="continuationSeparator" w:id="0">
    <w:p w14:paraId="3D65EFD2" w14:textId="77777777" w:rsidR="00BD2686" w:rsidRDefault="00BD2686" w:rsidP="003B4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CA73" w14:textId="77777777" w:rsidR="007E7A6B" w:rsidRPr="0029471D" w:rsidRDefault="0029471D" w:rsidP="002947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17316-10-16</w:t>
    </w:r>
    <w:r>
      <w:rPr>
        <w:rFonts w:ascii="David" w:hAnsi="David"/>
        <w:color w:val="000000"/>
        <w:sz w:val="22"/>
        <w:szCs w:val="22"/>
        <w:rtl/>
      </w:rPr>
      <w:tab/>
      <w:t xml:space="preserve"> מדינת ישראל נ' מוחמד מוסבאח אבו עמיר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B72CF" w14:textId="77777777" w:rsidR="007E7A6B" w:rsidRPr="0029471D" w:rsidRDefault="0029471D" w:rsidP="002947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17316-10-16</w:t>
    </w:r>
    <w:r>
      <w:rPr>
        <w:rFonts w:ascii="David" w:hAnsi="David"/>
        <w:color w:val="000000"/>
        <w:sz w:val="22"/>
        <w:szCs w:val="22"/>
        <w:rtl/>
      </w:rPr>
      <w:tab/>
      <w:t xml:space="preserve"> מדינת ישראל נ' מוחמד מוסבאח אבו עמיר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0D19"/>
    <w:rsid w:val="00030D19"/>
    <w:rsid w:val="00151BF1"/>
    <w:rsid w:val="0029471D"/>
    <w:rsid w:val="002D7B2F"/>
    <w:rsid w:val="003B4DE6"/>
    <w:rsid w:val="007E7A6B"/>
    <w:rsid w:val="00823C56"/>
    <w:rsid w:val="008D1110"/>
    <w:rsid w:val="00AB5988"/>
    <w:rsid w:val="00BA16A0"/>
    <w:rsid w:val="00BD26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F85D50"/>
  <w15:chartTrackingRefBased/>
  <w15:docId w15:val="{5DF959D0-69A3-4FE3-A9E9-FBED1A62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D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0D19"/>
    <w:pPr>
      <w:tabs>
        <w:tab w:val="center" w:pos="4153"/>
        <w:tab w:val="right" w:pos="8306"/>
      </w:tabs>
    </w:pPr>
  </w:style>
  <w:style w:type="character" w:customStyle="1" w:styleId="a4">
    <w:name w:val="כותרת עליונה תו"/>
    <w:link w:val="a3"/>
    <w:rsid w:val="00030D19"/>
    <w:rPr>
      <w:rFonts w:ascii="Times New Roman" w:eastAsia="Times New Roman" w:hAnsi="Times New Roman" w:cs="David"/>
      <w:sz w:val="24"/>
      <w:szCs w:val="24"/>
    </w:rPr>
  </w:style>
  <w:style w:type="paragraph" w:styleId="a5">
    <w:name w:val="footer"/>
    <w:basedOn w:val="a"/>
    <w:link w:val="a6"/>
    <w:rsid w:val="00030D19"/>
    <w:pPr>
      <w:tabs>
        <w:tab w:val="center" w:pos="4153"/>
        <w:tab w:val="right" w:pos="8306"/>
      </w:tabs>
    </w:pPr>
  </w:style>
  <w:style w:type="character" w:customStyle="1" w:styleId="a6">
    <w:name w:val="כותרת תחתונה תו"/>
    <w:link w:val="a5"/>
    <w:rsid w:val="00030D19"/>
    <w:rPr>
      <w:rFonts w:ascii="Times New Roman" w:eastAsia="Times New Roman" w:hAnsi="Times New Roman" w:cs="David"/>
      <w:sz w:val="24"/>
      <w:szCs w:val="24"/>
    </w:rPr>
  </w:style>
  <w:style w:type="table" w:styleId="a7">
    <w:name w:val="Table Grid"/>
    <w:basedOn w:val="a1"/>
    <w:rsid w:val="00030D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0D19"/>
  </w:style>
  <w:style w:type="character" w:styleId="Hyperlink">
    <w:name w:val="Hyperlink"/>
    <w:rsid w:val="007E7A6B"/>
    <w:rPr>
      <w:color w:val="0563C1"/>
      <w:u w:val="single"/>
    </w:rPr>
  </w:style>
  <w:style w:type="character" w:styleId="a9">
    <w:name w:val="Unresolved Mention"/>
    <w:rsid w:val="007E7A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7.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3706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2025-04-22T20:47:00Z</dcterms:created>
  <dcterms:modified xsi:type="dcterms:W3CDTF">2025-04-22T20:47:00Z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17316</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מוסבאח אבו עמיר</vt:lpwstr>
  </property>
  <property fmtid="{D5CDD505-2E9C-101B-9397-08002B2CF9AE}" pid="10" name="LAWYER">
    <vt:lpwstr>מוסטפא יחיא</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20170718</vt:lpwstr>
  </property>
  <property fmtid="{D5CDD505-2E9C-101B-9397-08002B2CF9AE}" pid="14" name="TYPE_N_DATE">
    <vt:lpwstr>39020170718</vt:lpwstr>
  </property>
  <property fmtid="{D5CDD505-2E9C-101B-9397-08002B2CF9AE}" pid="15" name="WORDNUMPAGES">
    <vt:lpwstr>3</vt:lpwstr>
  </property>
  <property fmtid="{D5CDD505-2E9C-101B-9397-08002B2CF9AE}" pid="16" name="TYPE_ABS_DATE">
    <vt:lpwstr>390020170718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ies>
</file>