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5"/>
        <w:gridCol w:w="3666"/>
      </w:tblGrid>
      <w:tr w:rsidR="0063667B" w:rsidRPr="00E302D7" w14:paraId="7B3261D2" w14:textId="77777777" w:rsidTr="00066DAF">
        <w:trPr>
          <w:trHeight w:hRule="exact" w:val="418"/>
          <w:jc w:val="center"/>
        </w:trPr>
        <w:tc>
          <w:tcPr>
            <w:tcW w:w="8721" w:type="dxa"/>
            <w:gridSpan w:val="2"/>
          </w:tcPr>
          <w:p w14:paraId="52B4BFE4" w14:textId="77777777" w:rsidR="0063667B" w:rsidRPr="00E302D7" w:rsidRDefault="0063667B" w:rsidP="00E55208">
            <w:pPr>
              <w:pStyle w:val="a3"/>
              <w:jc w:val="center"/>
              <w:rPr>
                <w:rFonts w:ascii="Tahoma" w:hAnsi="Tahoma"/>
                <w:color w:val="000080"/>
                <w:sz w:val="32"/>
                <w:szCs w:val="32"/>
                <w:rtl/>
              </w:rPr>
            </w:pPr>
            <w:bookmarkStart w:id="0" w:name="LastJudge"/>
            <w:r w:rsidRPr="00E302D7">
              <w:rPr>
                <w:rFonts w:ascii="Tahoma" w:hAnsi="Tahoma"/>
                <w:b/>
                <w:bCs/>
                <w:color w:val="000080"/>
                <w:sz w:val="32"/>
                <w:szCs w:val="32"/>
                <w:rtl/>
              </w:rPr>
              <w:t>בית המשפט המחוזי בתל אביב - יפו</w:t>
            </w:r>
          </w:p>
        </w:tc>
      </w:tr>
      <w:tr w:rsidR="0063667B" w:rsidRPr="00E302D7" w14:paraId="4A0F1F85" w14:textId="77777777" w:rsidTr="00066DAF">
        <w:trPr>
          <w:trHeight w:val="337"/>
          <w:jc w:val="center"/>
        </w:trPr>
        <w:tc>
          <w:tcPr>
            <w:tcW w:w="5055" w:type="dxa"/>
          </w:tcPr>
          <w:p w14:paraId="56DFA6E1" w14:textId="77777777" w:rsidR="0063667B" w:rsidRPr="00E302D7" w:rsidRDefault="0063667B" w:rsidP="00E55208">
            <w:pPr>
              <w:rPr>
                <w:sz w:val="26"/>
                <w:szCs w:val="26"/>
                <w:rtl/>
              </w:rPr>
            </w:pPr>
            <w:r w:rsidRPr="00E302D7">
              <w:rPr>
                <w:sz w:val="26"/>
                <w:szCs w:val="26"/>
                <w:rtl/>
              </w:rPr>
              <w:t>ת"פ</w:t>
            </w:r>
            <w:r w:rsidRPr="00E302D7">
              <w:rPr>
                <w:rFonts w:hint="cs"/>
                <w:sz w:val="26"/>
                <w:szCs w:val="26"/>
                <w:rtl/>
              </w:rPr>
              <w:t xml:space="preserve"> </w:t>
            </w:r>
            <w:r w:rsidRPr="00E302D7">
              <w:rPr>
                <w:sz w:val="26"/>
                <w:szCs w:val="26"/>
                <w:rtl/>
              </w:rPr>
              <w:t>63255-11-16</w:t>
            </w:r>
            <w:r w:rsidRPr="00E302D7">
              <w:rPr>
                <w:rFonts w:hint="cs"/>
                <w:sz w:val="26"/>
                <w:szCs w:val="26"/>
                <w:rtl/>
              </w:rPr>
              <w:t xml:space="preserve"> </w:t>
            </w:r>
            <w:r w:rsidRPr="00E302D7">
              <w:rPr>
                <w:sz w:val="26"/>
                <w:szCs w:val="26"/>
                <w:rtl/>
              </w:rPr>
              <w:t>מדינת ישראל נ' טורז'מן</w:t>
            </w:r>
          </w:p>
          <w:p w14:paraId="5D11EDAA" w14:textId="77777777" w:rsidR="0063667B" w:rsidRPr="00E302D7" w:rsidRDefault="0063667B" w:rsidP="00E55208">
            <w:pPr>
              <w:pStyle w:val="a3"/>
              <w:rPr>
                <w:rFonts w:cs="FrankRuehl"/>
                <w:sz w:val="28"/>
                <w:szCs w:val="28"/>
                <w:rtl/>
              </w:rPr>
            </w:pPr>
          </w:p>
        </w:tc>
        <w:tc>
          <w:tcPr>
            <w:tcW w:w="3666" w:type="dxa"/>
          </w:tcPr>
          <w:p w14:paraId="13D76A21" w14:textId="77777777" w:rsidR="0063667B" w:rsidRPr="00E302D7" w:rsidRDefault="0063667B" w:rsidP="00E55208">
            <w:pPr>
              <w:pStyle w:val="a3"/>
              <w:jc w:val="right"/>
              <w:rPr>
                <w:rFonts w:cs="FrankRuehl"/>
                <w:sz w:val="28"/>
                <w:szCs w:val="28"/>
                <w:rtl/>
              </w:rPr>
            </w:pPr>
          </w:p>
        </w:tc>
      </w:tr>
    </w:tbl>
    <w:p w14:paraId="41391F9C" w14:textId="77777777" w:rsidR="0063667B" w:rsidRPr="00E302D7" w:rsidRDefault="0063667B" w:rsidP="0063667B">
      <w:pPr>
        <w:pStyle w:val="a3"/>
        <w:rPr>
          <w:rtl/>
        </w:rPr>
      </w:pPr>
      <w:r w:rsidRPr="00E302D7">
        <w:rPr>
          <w:rFonts w:hint="cs"/>
          <w:rtl/>
        </w:rPr>
        <w:t xml:space="preserve"> </w:t>
      </w:r>
    </w:p>
    <w:p w14:paraId="477E8BE6" w14:textId="77777777" w:rsidR="0063667B" w:rsidRPr="00E302D7" w:rsidRDefault="0063667B" w:rsidP="0063667B">
      <w:pPr>
        <w:spacing w:line="360" w:lineRule="auto"/>
        <w:rPr>
          <w:rFonts w:ascii="Arial" w:hAnsi="Arial"/>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95"/>
        <w:gridCol w:w="4259"/>
        <w:gridCol w:w="3366"/>
      </w:tblGrid>
      <w:tr w:rsidR="0063667B" w:rsidRPr="00E302D7" w14:paraId="159A027F" w14:textId="77777777" w:rsidTr="0063667B">
        <w:trPr>
          <w:trHeight w:val="295"/>
          <w:jc w:val="center"/>
        </w:trPr>
        <w:tc>
          <w:tcPr>
            <w:tcW w:w="1195" w:type="dxa"/>
            <w:tcBorders>
              <w:top w:val="nil"/>
              <w:left w:val="nil"/>
              <w:bottom w:val="nil"/>
              <w:right w:val="nil"/>
            </w:tcBorders>
            <w:shd w:val="clear" w:color="auto" w:fill="auto"/>
          </w:tcPr>
          <w:p w14:paraId="5CC9C36E" w14:textId="77777777" w:rsidR="0063667B" w:rsidRPr="00E302D7" w:rsidRDefault="0063667B" w:rsidP="0063667B">
            <w:pPr>
              <w:jc w:val="both"/>
              <w:rPr>
                <w:rFonts w:ascii="Arial" w:hAnsi="Arial"/>
                <w:b/>
                <w:bCs/>
                <w:sz w:val="26"/>
                <w:szCs w:val="26"/>
              </w:rPr>
            </w:pPr>
            <w:r w:rsidRPr="00E302D7">
              <w:rPr>
                <w:rFonts w:ascii="Arial" w:hAnsi="Arial" w:hint="cs"/>
                <w:b/>
                <w:bCs/>
                <w:sz w:val="26"/>
                <w:szCs w:val="26"/>
                <w:rtl/>
              </w:rPr>
              <w:t>ל</w:t>
            </w:r>
            <w:r w:rsidRPr="00E302D7">
              <w:rPr>
                <w:rFonts w:ascii="Arial" w:hAnsi="Arial"/>
                <w:b/>
                <w:bCs/>
                <w:sz w:val="26"/>
                <w:szCs w:val="26"/>
                <w:rtl/>
              </w:rPr>
              <w:t xml:space="preserve">פני </w:t>
            </w:r>
          </w:p>
        </w:tc>
        <w:tc>
          <w:tcPr>
            <w:tcW w:w="7625" w:type="dxa"/>
            <w:gridSpan w:val="2"/>
            <w:tcBorders>
              <w:top w:val="nil"/>
              <w:left w:val="nil"/>
              <w:bottom w:val="nil"/>
              <w:right w:val="nil"/>
            </w:tcBorders>
            <w:shd w:val="clear" w:color="auto" w:fill="auto"/>
          </w:tcPr>
          <w:p w14:paraId="435B3ABD" w14:textId="77777777" w:rsidR="0063667B" w:rsidRPr="00E302D7" w:rsidRDefault="0063667B" w:rsidP="00E55208">
            <w:pPr>
              <w:rPr>
                <w:rFonts w:ascii="Arial" w:hAnsi="Arial"/>
                <w:b/>
                <w:bCs/>
                <w:sz w:val="26"/>
                <w:szCs w:val="26"/>
                <w:rtl/>
              </w:rPr>
            </w:pPr>
            <w:r w:rsidRPr="00E302D7">
              <w:rPr>
                <w:rFonts w:ascii="Arial" w:hAnsi="Arial" w:hint="cs"/>
                <w:b/>
                <w:bCs/>
                <w:sz w:val="26"/>
                <w:szCs w:val="26"/>
                <w:rtl/>
              </w:rPr>
              <w:t>כבוד ה</w:t>
            </w:r>
            <w:r w:rsidRPr="00E302D7">
              <w:rPr>
                <w:rFonts w:ascii="Arial" w:hAnsi="Arial"/>
                <w:b/>
                <w:bCs/>
                <w:sz w:val="26"/>
                <w:szCs w:val="26"/>
                <w:rtl/>
              </w:rPr>
              <w:t>שופט</w:t>
            </w:r>
            <w:r w:rsidRPr="00E302D7">
              <w:rPr>
                <w:rFonts w:ascii="Arial" w:hAnsi="Arial" w:hint="cs"/>
                <w:b/>
                <w:bCs/>
                <w:sz w:val="26"/>
                <w:szCs w:val="26"/>
                <w:rtl/>
              </w:rPr>
              <w:t xml:space="preserve"> </w:t>
            </w:r>
            <w:r w:rsidRPr="00E302D7">
              <w:rPr>
                <w:rFonts w:ascii="Arial" w:hAnsi="Arial"/>
                <w:b/>
                <w:bCs/>
                <w:sz w:val="26"/>
                <w:szCs w:val="26"/>
                <w:rtl/>
              </w:rPr>
              <w:t>ציון קאפח</w:t>
            </w:r>
          </w:p>
          <w:p w14:paraId="1DE92E18" w14:textId="77777777" w:rsidR="0063667B" w:rsidRPr="00E302D7" w:rsidRDefault="0063667B" w:rsidP="0063667B">
            <w:pPr>
              <w:jc w:val="both"/>
              <w:rPr>
                <w:rFonts w:ascii="Arial" w:hAnsi="Arial"/>
                <w:sz w:val="16"/>
                <w:szCs w:val="16"/>
              </w:rPr>
            </w:pPr>
          </w:p>
        </w:tc>
      </w:tr>
      <w:tr w:rsidR="0063667B" w:rsidRPr="00E302D7" w14:paraId="4821C0EB" w14:textId="77777777" w:rsidTr="0063667B">
        <w:trPr>
          <w:trHeight w:val="355"/>
          <w:jc w:val="center"/>
        </w:trPr>
        <w:tc>
          <w:tcPr>
            <w:tcW w:w="1195" w:type="dxa"/>
            <w:tcBorders>
              <w:top w:val="nil"/>
              <w:left w:val="nil"/>
              <w:bottom w:val="nil"/>
              <w:right w:val="nil"/>
            </w:tcBorders>
            <w:shd w:val="clear" w:color="auto" w:fill="auto"/>
          </w:tcPr>
          <w:p w14:paraId="505E8951" w14:textId="77777777" w:rsidR="0063667B" w:rsidRPr="00E302D7" w:rsidRDefault="0063667B" w:rsidP="0063667B">
            <w:pPr>
              <w:jc w:val="both"/>
              <w:rPr>
                <w:rFonts w:ascii="Arial" w:hAnsi="Arial"/>
                <w:b/>
                <w:bCs/>
                <w:sz w:val="26"/>
                <w:szCs w:val="26"/>
              </w:rPr>
            </w:pPr>
            <w:bookmarkStart w:id="1" w:name="FirstAppellant"/>
            <w:bookmarkStart w:id="2" w:name="FirstLawyer"/>
            <w:r w:rsidRPr="00E302D7">
              <w:rPr>
                <w:rFonts w:ascii="Arial" w:hAnsi="Arial" w:hint="cs"/>
                <w:sz w:val="26"/>
                <w:szCs w:val="26"/>
                <w:rtl/>
              </w:rPr>
              <w:t>ה</w:t>
            </w:r>
            <w:r w:rsidRPr="00E302D7">
              <w:rPr>
                <w:rFonts w:ascii="Arial" w:hAnsi="Arial"/>
                <w:sz w:val="26"/>
                <w:szCs w:val="26"/>
                <w:rtl/>
              </w:rPr>
              <w:t>מאשימה</w:t>
            </w:r>
          </w:p>
        </w:tc>
        <w:tc>
          <w:tcPr>
            <w:tcW w:w="4259" w:type="dxa"/>
            <w:tcBorders>
              <w:top w:val="nil"/>
              <w:left w:val="nil"/>
              <w:bottom w:val="nil"/>
              <w:right w:val="nil"/>
            </w:tcBorders>
            <w:shd w:val="clear" w:color="auto" w:fill="auto"/>
          </w:tcPr>
          <w:p w14:paraId="55C6D7B1" w14:textId="77777777" w:rsidR="0063667B" w:rsidRPr="00E302D7" w:rsidRDefault="0063667B" w:rsidP="00E55208">
            <w:pPr>
              <w:rPr>
                <w:sz w:val="26"/>
                <w:szCs w:val="26"/>
                <w:rtl/>
              </w:rPr>
            </w:pPr>
            <w:r w:rsidRPr="00E302D7">
              <w:rPr>
                <w:rFonts w:ascii="Arial" w:hAnsi="Arial"/>
                <w:sz w:val="26"/>
                <w:szCs w:val="26"/>
                <w:rtl/>
              </w:rPr>
              <w:t>מדינת ישראל</w:t>
            </w:r>
          </w:p>
          <w:p w14:paraId="484D9763" w14:textId="77777777" w:rsidR="0063667B" w:rsidRPr="00E302D7" w:rsidRDefault="0063667B" w:rsidP="00E55208">
            <w:pPr>
              <w:rPr>
                <w:sz w:val="26"/>
                <w:szCs w:val="26"/>
              </w:rPr>
            </w:pPr>
            <w:r w:rsidRPr="00E302D7">
              <w:rPr>
                <w:rFonts w:hint="cs"/>
                <w:sz w:val="26"/>
                <w:szCs w:val="26"/>
                <w:rtl/>
              </w:rPr>
              <w:t>ע"י ב"כ עו"ד טל בנאי-גת</w:t>
            </w:r>
          </w:p>
        </w:tc>
        <w:tc>
          <w:tcPr>
            <w:tcW w:w="3366" w:type="dxa"/>
            <w:tcBorders>
              <w:top w:val="nil"/>
              <w:left w:val="nil"/>
              <w:bottom w:val="nil"/>
              <w:right w:val="nil"/>
            </w:tcBorders>
            <w:shd w:val="clear" w:color="auto" w:fill="auto"/>
          </w:tcPr>
          <w:p w14:paraId="63B594FE" w14:textId="77777777" w:rsidR="0063667B" w:rsidRPr="00E302D7" w:rsidRDefault="0063667B" w:rsidP="0063667B">
            <w:pPr>
              <w:jc w:val="both"/>
              <w:rPr>
                <w:rFonts w:ascii="Arial" w:hAnsi="Arial"/>
                <w:sz w:val="26"/>
                <w:szCs w:val="26"/>
              </w:rPr>
            </w:pPr>
          </w:p>
        </w:tc>
      </w:tr>
      <w:bookmarkEnd w:id="1"/>
      <w:bookmarkEnd w:id="2"/>
      <w:tr w:rsidR="0063667B" w:rsidRPr="00E302D7" w14:paraId="1163EB3E" w14:textId="77777777" w:rsidTr="0063667B">
        <w:trPr>
          <w:trHeight w:val="355"/>
          <w:jc w:val="center"/>
        </w:trPr>
        <w:tc>
          <w:tcPr>
            <w:tcW w:w="1195" w:type="dxa"/>
            <w:tcBorders>
              <w:top w:val="nil"/>
              <w:left w:val="nil"/>
              <w:bottom w:val="nil"/>
              <w:right w:val="nil"/>
            </w:tcBorders>
            <w:shd w:val="clear" w:color="auto" w:fill="auto"/>
          </w:tcPr>
          <w:p w14:paraId="51F2DFBF" w14:textId="77777777" w:rsidR="0063667B" w:rsidRPr="00E302D7" w:rsidRDefault="0063667B" w:rsidP="0063667B">
            <w:pPr>
              <w:jc w:val="both"/>
              <w:rPr>
                <w:rFonts w:ascii="Arial" w:hAnsi="Arial"/>
                <w:sz w:val="26"/>
                <w:szCs w:val="26"/>
                <w:rtl/>
              </w:rPr>
            </w:pPr>
          </w:p>
        </w:tc>
        <w:tc>
          <w:tcPr>
            <w:tcW w:w="7625" w:type="dxa"/>
            <w:gridSpan w:val="2"/>
            <w:tcBorders>
              <w:top w:val="nil"/>
              <w:left w:val="nil"/>
              <w:bottom w:val="nil"/>
              <w:right w:val="nil"/>
            </w:tcBorders>
            <w:shd w:val="clear" w:color="auto" w:fill="auto"/>
          </w:tcPr>
          <w:p w14:paraId="6D7E7D33" w14:textId="77777777" w:rsidR="0063667B" w:rsidRPr="00E302D7" w:rsidRDefault="0063667B" w:rsidP="0063667B">
            <w:pPr>
              <w:jc w:val="center"/>
              <w:rPr>
                <w:rFonts w:ascii="Arial" w:hAnsi="Arial"/>
                <w:b/>
                <w:bCs/>
                <w:sz w:val="16"/>
                <w:szCs w:val="16"/>
                <w:rtl/>
              </w:rPr>
            </w:pPr>
          </w:p>
          <w:p w14:paraId="2895ED10" w14:textId="77777777" w:rsidR="0063667B" w:rsidRPr="00E302D7" w:rsidRDefault="0063667B" w:rsidP="0063667B">
            <w:pPr>
              <w:jc w:val="center"/>
              <w:rPr>
                <w:rFonts w:ascii="Arial" w:hAnsi="Arial"/>
                <w:b/>
                <w:bCs/>
                <w:sz w:val="26"/>
                <w:szCs w:val="26"/>
                <w:rtl/>
              </w:rPr>
            </w:pPr>
            <w:r w:rsidRPr="00E302D7">
              <w:rPr>
                <w:rFonts w:ascii="Arial" w:hAnsi="Arial"/>
                <w:b/>
                <w:bCs/>
                <w:sz w:val="26"/>
                <w:szCs w:val="26"/>
                <w:rtl/>
              </w:rPr>
              <w:t>נגד</w:t>
            </w:r>
          </w:p>
          <w:p w14:paraId="1AB44912" w14:textId="77777777" w:rsidR="0063667B" w:rsidRPr="00E302D7" w:rsidRDefault="0063667B" w:rsidP="0063667B">
            <w:pPr>
              <w:jc w:val="both"/>
              <w:rPr>
                <w:rFonts w:ascii="Arial" w:hAnsi="Arial"/>
                <w:sz w:val="16"/>
                <w:szCs w:val="16"/>
              </w:rPr>
            </w:pPr>
          </w:p>
        </w:tc>
      </w:tr>
      <w:tr w:rsidR="0063667B" w:rsidRPr="00E302D7" w14:paraId="7161204C" w14:textId="77777777" w:rsidTr="0063667B">
        <w:trPr>
          <w:trHeight w:val="355"/>
          <w:jc w:val="center"/>
        </w:trPr>
        <w:tc>
          <w:tcPr>
            <w:tcW w:w="1195" w:type="dxa"/>
            <w:tcBorders>
              <w:top w:val="nil"/>
              <w:left w:val="nil"/>
              <w:bottom w:val="nil"/>
              <w:right w:val="nil"/>
            </w:tcBorders>
            <w:shd w:val="clear" w:color="auto" w:fill="auto"/>
          </w:tcPr>
          <w:p w14:paraId="414469BD" w14:textId="77777777" w:rsidR="0063667B" w:rsidRPr="00E302D7" w:rsidRDefault="0063667B" w:rsidP="00E55208">
            <w:pPr>
              <w:rPr>
                <w:rFonts w:ascii="Arial" w:hAnsi="Arial"/>
                <w:sz w:val="26"/>
                <w:szCs w:val="26"/>
                <w:rtl/>
              </w:rPr>
            </w:pPr>
            <w:r w:rsidRPr="00E302D7">
              <w:rPr>
                <w:rFonts w:ascii="Arial" w:hAnsi="Arial" w:hint="cs"/>
                <w:sz w:val="26"/>
                <w:szCs w:val="26"/>
                <w:rtl/>
              </w:rPr>
              <w:t>ה</w:t>
            </w:r>
            <w:r w:rsidRPr="00E302D7">
              <w:rPr>
                <w:rFonts w:ascii="Arial" w:hAnsi="Arial"/>
                <w:sz w:val="26"/>
                <w:szCs w:val="26"/>
                <w:rtl/>
              </w:rPr>
              <w:t>נאשמים</w:t>
            </w:r>
          </w:p>
        </w:tc>
        <w:tc>
          <w:tcPr>
            <w:tcW w:w="4259" w:type="dxa"/>
            <w:tcBorders>
              <w:top w:val="nil"/>
              <w:left w:val="nil"/>
              <w:bottom w:val="nil"/>
              <w:right w:val="nil"/>
            </w:tcBorders>
            <w:shd w:val="clear" w:color="auto" w:fill="auto"/>
          </w:tcPr>
          <w:p w14:paraId="789944AF" w14:textId="77777777" w:rsidR="0063667B" w:rsidRPr="00E302D7" w:rsidRDefault="0063667B" w:rsidP="00E55208">
            <w:pPr>
              <w:rPr>
                <w:sz w:val="26"/>
                <w:szCs w:val="26"/>
                <w:rtl/>
              </w:rPr>
            </w:pPr>
            <w:r w:rsidRPr="00E302D7">
              <w:rPr>
                <w:rFonts w:ascii="Arial" w:hAnsi="Arial"/>
                <w:sz w:val="26"/>
                <w:szCs w:val="26"/>
                <w:rtl/>
              </w:rPr>
              <w:t>איילת טורג'מן</w:t>
            </w:r>
          </w:p>
          <w:p w14:paraId="2AECE34A" w14:textId="77777777" w:rsidR="0063667B" w:rsidRPr="00E302D7" w:rsidRDefault="0063667B" w:rsidP="00E55208">
            <w:pPr>
              <w:rPr>
                <w:sz w:val="26"/>
                <w:szCs w:val="26"/>
                <w:rtl/>
              </w:rPr>
            </w:pPr>
            <w:r w:rsidRPr="00E302D7">
              <w:rPr>
                <w:rFonts w:hint="cs"/>
                <w:sz w:val="26"/>
                <w:szCs w:val="26"/>
                <w:rtl/>
              </w:rPr>
              <w:t>ע"י ב"כ עו"ד מיכאל כרמל</w:t>
            </w:r>
          </w:p>
        </w:tc>
        <w:tc>
          <w:tcPr>
            <w:tcW w:w="3366" w:type="dxa"/>
            <w:tcBorders>
              <w:top w:val="nil"/>
              <w:left w:val="nil"/>
              <w:bottom w:val="nil"/>
              <w:right w:val="nil"/>
            </w:tcBorders>
            <w:shd w:val="clear" w:color="auto" w:fill="auto"/>
          </w:tcPr>
          <w:p w14:paraId="5CD84F25" w14:textId="77777777" w:rsidR="0063667B" w:rsidRPr="00E302D7" w:rsidRDefault="0063667B" w:rsidP="0063667B">
            <w:pPr>
              <w:jc w:val="right"/>
              <w:rPr>
                <w:rFonts w:ascii="Arial" w:hAnsi="Arial"/>
                <w:sz w:val="26"/>
                <w:szCs w:val="26"/>
              </w:rPr>
            </w:pPr>
          </w:p>
        </w:tc>
      </w:tr>
      <w:tr w:rsidR="0063667B" w:rsidRPr="009B0C01" w14:paraId="41F813B3" w14:textId="77777777" w:rsidTr="0063667B">
        <w:trPr>
          <w:trHeight w:val="355"/>
          <w:jc w:val="center"/>
        </w:trPr>
        <w:tc>
          <w:tcPr>
            <w:tcW w:w="8820" w:type="dxa"/>
            <w:gridSpan w:val="3"/>
            <w:tcBorders>
              <w:top w:val="nil"/>
              <w:left w:val="nil"/>
              <w:bottom w:val="nil"/>
              <w:right w:val="nil"/>
            </w:tcBorders>
            <w:shd w:val="clear" w:color="auto" w:fill="auto"/>
          </w:tcPr>
          <w:p w14:paraId="3620E5FE" w14:textId="77777777" w:rsidR="00066DAF" w:rsidRDefault="00066DAF" w:rsidP="00E302D7">
            <w:pPr>
              <w:jc w:val="center"/>
              <w:rPr>
                <w:rFonts w:ascii="Arial" w:hAnsi="Arial"/>
                <w:sz w:val="28"/>
                <w:szCs w:val="28"/>
                <w:rtl/>
              </w:rPr>
            </w:pPr>
            <w:bookmarkStart w:id="3" w:name="PsakDin"/>
            <w:bookmarkStart w:id="4" w:name="LawTable"/>
            <w:bookmarkEnd w:id="4"/>
          </w:p>
          <w:p w14:paraId="272407C8" w14:textId="77777777" w:rsidR="00066DAF" w:rsidRPr="00066DAF" w:rsidRDefault="00066DAF" w:rsidP="00066DAF">
            <w:pPr>
              <w:spacing w:after="120" w:line="240" w:lineRule="exact"/>
              <w:ind w:left="283" w:hanging="283"/>
              <w:jc w:val="both"/>
              <w:rPr>
                <w:rFonts w:ascii="FrankRuehl" w:hAnsi="FrankRuehl" w:cs="FrankRuehl"/>
                <w:rtl/>
              </w:rPr>
            </w:pPr>
            <w:r w:rsidRPr="00066DAF">
              <w:rPr>
                <w:rFonts w:ascii="FrankRuehl" w:hAnsi="FrankRuehl" w:cs="FrankRuehl"/>
                <w:rtl/>
              </w:rPr>
              <w:t xml:space="preserve">חקיקה שאוזכרה: </w:t>
            </w:r>
          </w:p>
          <w:p w14:paraId="2C4B5A93" w14:textId="77777777" w:rsidR="00066DAF" w:rsidRPr="00066DAF" w:rsidRDefault="00066DAF" w:rsidP="00066DAF">
            <w:pPr>
              <w:spacing w:after="120" w:line="240" w:lineRule="exact"/>
              <w:ind w:left="283" w:hanging="283"/>
              <w:jc w:val="both"/>
              <w:rPr>
                <w:rFonts w:ascii="FrankRuehl" w:hAnsi="FrankRuehl" w:cs="FrankRuehl"/>
                <w:rtl/>
              </w:rPr>
            </w:pPr>
            <w:hyperlink r:id="rId7" w:history="1">
              <w:r w:rsidRPr="00066DAF">
                <w:rPr>
                  <w:rFonts w:ascii="FrankRuehl" w:hAnsi="FrankRuehl" w:cs="FrankRuehl"/>
                  <w:color w:val="0000FF"/>
                  <w:u w:val="single"/>
                  <w:rtl/>
                </w:rPr>
                <w:t>חוק העונשין, תשל"ז-1977</w:t>
              </w:r>
            </w:hyperlink>
            <w:r w:rsidRPr="00066DAF">
              <w:rPr>
                <w:rFonts w:ascii="FrankRuehl" w:hAnsi="FrankRuehl" w:cs="FrankRuehl"/>
                <w:rtl/>
              </w:rPr>
              <w:t xml:space="preserve">: סע'  </w:t>
            </w:r>
            <w:hyperlink r:id="rId8" w:history="1">
              <w:r w:rsidRPr="00066DAF">
                <w:rPr>
                  <w:rFonts w:ascii="FrankRuehl" w:hAnsi="FrankRuehl" w:cs="FrankRuehl"/>
                  <w:color w:val="0000FF"/>
                  <w:u w:val="single"/>
                  <w:rtl/>
                </w:rPr>
                <w:t>40ג(ב)</w:t>
              </w:r>
            </w:hyperlink>
            <w:r w:rsidRPr="00066DAF">
              <w:rPr>
                <w:rFonts w:ascii="FrankRuehl" w:hAnsi="FrankRuehl" w:cs="FrankRuehl"/>
                <w:rtl/>
              </w:rPr>
              <w:t xml:space="preserve">, </w:t>
            </w:r>
            <w:hyperlink r:id="rId9" w:history="1">
              <w:r w:rsidRPr="00066DAF">
                <w:rPr>
                  <w:rFonts w:ascii="FrankRuehl" w:hAnsi="FrankRuehl" w:cs="FrankRuehl"/>
                  <w:color w:val="0000FF"/>
                  <w:u w:val="single"/>
                  <w:rtl/>
                </w:rPr>
                <w:t>40ד'</w:t>
              </w:r>
            </w:hyperlink>
            <w:r w:rsidRPr="00066DAF">
              <w:rPr>
                <w:rFonts w:ascii="FrankRuehl" w:hAnsi="FrankRuehl" w:cs="FrankRuehl"/>
                <w:rtl/>
              </w:rPr>
              <w:t xml:space="preserve">, </w:t>
            </w:r>
            <w:hyperlink r:id="rId10" w:history="1">
              <w:r w:rsidRPr="00066DAF">
                <w:rPr>
                  <w:rFonts w:ascii="FrankRuehl" w:hAnsi="FrankRuehl" w:cs="FrankRuehl"/>
                  <w:color w:val="0000FF"/>
                  <w:u w:val="single"/>
                  <w:rtl/>
                </w:rPr>
                <w:t>40ד(א)</w:t>
              </w:r>
            </w:hyperlink>
            <w:r w:rsidRPr="00066DAF">
              <w:rPr>
                <w:rFonts w:ascii="FrankRuehl" w:hAnsi="FrankRuehl" w:cs="FrankRuehl"/>
                <w:rtl/>
              </w:rPr>
              <w:t xml:space="preserve">, </w:t>
            </w:r>
            <w:hyperlink r:id="rId11" w:history="1">
              <w:r w:rsidRPr="00066DAF">
                <w:rPr>
                  <w:rFonts w:ascii="FrankRuehl" w:hAnsi="FrankRuehl" w:cs="FrankRuehl"/>
                  <w:color w:val="0000FF"/>
                  <w:u w:val="single"/>
                  <w:rtl/>
                </w:rPr>
                <w:t>40ד(ב)</w:t>
              </w:r>
            </w:hyperlink>
            <w:r w:rsidRPr="00066DAF">
              <w:rPr>
                <w:rFonts w:ascii="FrankRuehl" w:hAnsi="FrankRuehl" w:cs="FrankRuehl"/>
                <w:rtl/>
              </w:rPr>
              <w:t xml:space="preserve">, </w:t>
            </w:r>
            <w:hyperlink r:id="rId12" w:history="1">
              <w:r w:rsidRPr="00066DAF">
                <w:rPr>
                  <w:rFonts w:ascii="FrankRuehl" w:hAnsi="FrankRuehl" w:cs="FrankRuehl"/>
                  <w:color w:val="0000FF"/>
                  <w:u w:val="single"/>
                  <w:rtl/>
                </w:rPr>
                <w:t>40ה</w:t>
              </w:r>
            </w:hyperlink>
            <w:r w:rsidRPr="00066DAF">
              <w:rPr>
                <w:rFonts w:ascii="FrankRuehl" w:hAnsi="FrankRuehl" w:cs="FrankRuehl"/>
                <w:rtl/>
              </w:rPr>
              <w:t xml:space="preserve">, </w:t>
            </w:r>
            <w:hyperlink r:id="rId13" w:history="1">
              <w:r w:rsidRPr="00066DAF">
                <w:rPr>
                  <w:rFonts w:ascii="FrankRuehl" w:hAnsi="FrankRuehl" w:cs="FrankRuehl"/>
                  <w:color w:val="0000FF"/>
                  <w:u w:val="single"/>
                  <w:rtl/>
                </w:rPr>
                <w:t>40ט(3)</w:t>
              </w:r>
            </w:hyperlink>
            <w:r w:rsidRPr="00066DAF">
              <w:rPr>
                <w:rFonts w:ascii="FrankRuehl" w:hAnsi="FrankRuehl" w:cs="FrankRuehl"/>
                <w:rtl/>
              </w:rPr>
              <w:t xml:space="preserve">, </w:t>
            </w:r>
            <w:hyperlink r:id="rId14" w:history="1">
              <w:r w:rsidRPr="00066DAF">
                <w:rPr>
                  <w:rFonts w:ascii="FrankRuehl" w:hAnsi="FrankRuehl" w:cs="FrankRuehl"/>
                  <w:color w:val="0000FF"/>
                  <w:u w:val="single"/>
                  <w:rtl/>
                </w:rPr>
                <w:t>40ט(4)</w:t>
              </w:r>
            </w:hyperlink>
            <w:r w:rsidRPr="00066DAF">
              <w:rPr>
                <w:rFonts w:ascii="FrankRuehl" w:hAnsi="FrankRuehl" w:cs="FrankRuehl"/>
                <w:rtl/>
              </w:rPr>
              <w:t xml:space="preserve">, </w:t>
            </w:r>
            <w:hyperlink r:id="rId15" w:history="1">
              <w:r w:rsidRPr="00066DAF">
                <w:rPr>
                  <w:rFonts w:ascii="FrankRuehl" w:hAnsi="FrankRuehl" w:cs="FrankRuehl"/>
                  <w:color w:val="0000FF"/>
                  <w:u w:val="single"/>
                  <w:rtl/>
                </w:rPr>
                <w:t>499 (א)(1)</w:t>
              </w:r>
            </w:hyperlink>
            <w:r w:rsidRPr="00066DAF">
              <w:rPr>
                <w:rFonts w:ascii="FrankRuehl" w:hAnsi="FrankRuehl" w:cs="FrankRuehl"/>
                <w:rtl/>
              </w:rPr>
              <w:t xml:space="preserve">, </w:t>
            </w:r>
            <w:hyperlink r:id="rId16" w:history="1">
              <w:r w:rsidRPr="00066DAF">
                <w:rPr>
                  <w:rFonts w:ascii="FrankRuehl" w:hAnsi="FrankRuehl" w:cs="FrankRuehl"/>
                  <w:color w:val="0000FF"/>
                  <w:u w:val="single"/>
                  <w:rtl/>
                </w:rPr>
                <w:t>499 (א)(2)</w:t>
              </w:r>
            </w:hyperlink>
          </w:p>
          <w:p w14:paraId="61DE87DA" w14:textId="77777777" w:rsidR="00066DAF" w:rsidRPr="00066DAF" w:rsidRDefault="00066DAF" w:rsidP="00066DAF">
            <w:pPr>
              <w:spacing w:after="120" w:line="240" w:lineRule="exact"/>
              <w:ind w:left="283" w:hanging="283"/>
              <w:jc w:val="both"/>
              <w:rPr>
                <w:rFonts w:ascii="FrankRuehl" w:hAnsi="FrankRuehl" w:cs="FrankRuehl"/>
                <w:rtl/>
              </w:rPr>
            </w:pPr>
            <w:hyperlink r:id="rId17" w:history="1">
              <w:r w:rsidRPr="00066DAF">
                <w:rPr>
                  <w:rFonts w:ascii="FrankRuehl" w:hAnsi="FrankRuehl" w:cs="FrankRuehl"/>
                  <w:color w:val="0000FF"/>
                  <w:u w:val="single"/>
                  <w:rtl/>
                </w:rPr>
                <w:t>פקודת הסמים המסוכנים [נוסח חדש], תשל"ג-1973</w:t>
              </w:r>
            </w:hyperlink>
            <w:r w:rsidRPr="00066DAF">
              <w:rPr>
                <w:rFonts w:ascii="FrankRuehl" w:hAnsi="FrankRuehl" w:cs="FrankRuehl"/>
                <w:rtl/>
              </w:rPr>
              <w:t xml:space="preserve">: סע'  </w:t>
            </w:r>
            <w:hyperlink r:id="rId18" w:history="1">
              <w:r w:rsidRPr="00066DAF">
                <w:rPr>
                  <w:rFonts w:ascii="FrankRuehl" w:hAnsi="FrankRuehl" w:cs="FrankRuehl"/>
                  <w:color w:val="0000FF"/>
                  <w:u w:val="single"/>
                  <w:rtl/>
                </w:rPr>
                <w:t>7.א.</w:t>
              </w:r>
            </w:hyperlink>
            <w:r w:rsidRPr="00066DAF">
              <w:rPr>
                <w:rFonts w:ascii="FrankRuehl" w:hAnsi="FrankRuehl" w:cs="FrankRuehl"/>
                <w:rtl/>
              </w:rPr>
              <w:t xml:space="preserve">, </w:t>
            </w:r>
            <w:hyperlink r:id="rId19" w:history="1">
              <w:r w:rsidRPr="00066DAF">
                <w:rPr>
                  <w:rFonts w:ascii="FrankRuehl" w:hAnsi="FrankRuehl" w:cs="FrankRuehl"/>
                  <w:color w:val="0000FF"/>
                  <w:u w:val="single"/>
                  <w:rtl/>
                </w:rPr>
                <w:t>7.ג</w:t>
              </w:r>
            </w:hyperlink>
            <w:r w:rsidRPr="00066DAF">
              <w:rPr>
                <w:rFonts w:ascii="FrankRuehl" w:hAnsi="FrankRuehl" w:cs="FrankRuehl"/>
                <w:rtl/>
              </w:rPr>
              <w:t xml:space="preserve">, </w:t>
            </w:r>
            <w:hyperlink r:id="rId20" w:history="1">
              <w:r w:rsidRPr="00066DAF">
                <w:rPr>
                  <w:rFonts w:ascii="FrankRuehl" w:hAnsi="FrankRuehl" w:cs="FrankRuehl"/>
                  <w:color w:val="0000FF"/>
                  <w:u w:val="single"/>
                  <w:rtl/>
                </w:rPr>
                <w:t>10</w:t>
              </w:r>
            </w:hyperlink>
            <w:r w:rsidRPr="00066DAF">
              <w:rPr>
                <w:rFonts w:ascii="FrankRuehl" w:hAnsi="FrankRuehl" w:cs="FrankRuehl"/>
                <w:rtl/>
              </w:rPr>
              <w:t xml:space="preserve">, </w:t>
            </w:r>
            <w:hyperlink r:id="rId21" w:history="1">
              <w:r w:rsidRPr="00066DAF">
                <w:rPr>
                  <w:rFonts w:ascii="FrankRuehl" w:hAnsi="FrankRuehl" w:cs="FrankRuehl"/>
                  <w:color w:val="0000FF"/>
                  <w:u w:val="single"/>
                  <w:rtl/>
                </w:rPr>
                <w:t>13</w:t>
              </w:r>
            </w:hyperlink>
          </w:p>
          <w:p w14:paraId="310E96DB" w14:textId="77777777" w:rsidR="00066DAF" w:rsidRPr="00066DAF" w:rsidRDefault="00066DAF" w:rsidP="00066DAF">
            <w:pPr>
              <w:spacing w:after="120" w:line="240" w:lineRule="exact"/>
              <w:ind w:left="283" w:hanging="283"/>
              <w:jc w:val="both"/>
              <w:rPr>
                <w:rFonts w:ascii="FrankRuehl" w:hAnsi="FrankRuehl" w:cs="FrankRuehl"/>
                <w:rtl/>
              </w:rPr>
            </w:pPr>
            <w:hyperlink r:id="rId22" w:history="1">
              <w:r w:rsidRPr="00066DAF">
                <w:rPr>
                  <w:rFonts w:ascii="FrankRuehl" w:hAnsi="FrankRuehl" w:cs="FrankRuehl"/>
                  <w:color w:val="0000FF"/>
                  <w:u w:val="single"/>
                  <w:rtl/>
                </w:rPr>
                <w:t>פקודת המבחן [נוסח חדש], תשכ"ט-1969</w:t>
              </w:r>
            </w:hyperlink>
          </w:p>
          <w:p w14:paraId="17BE0F2D" w14:textId="77777777" w:rsidR="00066DAF" w:rsidRPr="00066DAF" w:rsidRDefault="00066DAF" w:rsidP="00066DAF">
            <w:pPr>
              <w:spacing w:after="120" w:line="240" w:lineRule="exact"/>
              <w:ind w:left="283" w:hanging="283"/>
              <w:jc w:val="both"/>
              <w:rPr>
                <w:rFonts w:ascii="FrankRuehl" w:hAnsi="FrankRuehl" w:cs="FrankRuehl"/>
                <w:rtl/>
              </w:rPr>
            </w:pPr>
          </w:p>
          <w:p w14:paraId="7158ECFD" w14:textId="77777777" w:rsidR="00E302D7" w:rsidRPr="00E302D7" w:rsidRDefault="00E302D7" w:rsidP="00E302D7">
            <w:pPr>
              <w:jc w:val="center"/>
              <w:rPr>
                <w:rFonts w:ascii="Arial" w:hAnsi="Arial"/>
                <w:b/>
                <w:bCs/>
                <w:sz w:val="28"/>
                <w:szCs w:val="28"/>
                <w:rtl/>
              </w:rPr>
            </w:pPr>
            <w:bookmarkStart w:id="5" w:name="LawTable_End"/>
            <w:bookmarkEnd w:id="5"/>
            <w:r w:rsidRPr="00E302D7">
              <w:rPr>
                <w:rFonts w:ascii="Arial" w:hAnsi="Arial"/>
                <w:b/>
                <w:bCs/>
                <w:sz w:val="28"/>
                <w:szCs w:val="28"/>
                <w:rtl/>
              </w:rPr>
              <w:t>גזר דין</w:t>
            </w:r>
          </w:p>
          <w:bookmarkEnd w:id="3"/>
          <w:p w14:paraId="7B889639" w14:textId="77777777" w:rsidR="0063667B" w:rsidRPr="0063667B" w:rsidRDefault="0063667B" w:rsidP="0063667B">
            <w:pPr>
              <w:jc w:val="center"/>
              <w:rPr>
                <w:rFonts w:ascii="Arial" w:hAnsi="Arial"/>
                <w:sz w:val="28"/>
                <w:szCs w:val="28"/>
                <w:rtl/>
              </w:rPr>
            </w:pPr>
          </w:p>
        </w:tc>
      </w:tr>
    </w:tbl>
    <w:bookmarkEnd w:id="0"/>
    <w:p w14:paraId="651891C4" w14:textId="77777777" w:rsidR="0063667B" w:rsidRDefault="0063667B" w:rsidP="0063667B">
      <w:pPr>
        <w:spacing w:line="360" w:lineRule="auto"/>
        <w:rPr>
          <w:rFonts w:ascii="Arial" w:hAnsi="Arial"/>
          <w:rtl/>
        </w:rPr>
      </w:pPr>
      <w:r>
        <w:rPr>
          <w:rFonts w:ascii="Arial" w:hAnsi="Arial" w:hint="cs"/>
          <w:rtl/>
        </w:rPr>
        <w:t>הנאשמת הורשעה על פי הודאתה, במסגרת הסדר טיעון, בעובדות כתב אישום המתוקן.</w:t>
      </w:r>
    </w:p>
    <w:p w14:paraId="7A9D00F0" w14:textId="77777777" w:rsidR="0063667B" w:rsidRDefault="0063667B" w:rsidP="0063667B">
      <w:pPr>
        <w:spacing w:line="360" w:lineRule="auto"/>
        <w:rPr>
          <w:rFonts w:ascii="Arial" w:hAnsi="Arial"/>
          <w:rtl/>
        </w:rPr>
      </w:pPr>
    </w:p>
    <w:p w14:paraId="7439F73D" w14:textId="77777777" w:rsidR="0063667B" w:rsidRPr="003026EE" w:rsidRDefault="0063667B" w:rsidP="0063667B">
      <w:pPr>
        <w:spacing w:line="360" w:lineRule="auto"/>
        <w:jc w:val="both"/>
        <w:rPr>
          <w:rFonts w:ascii="Arial" w:hAnsi="Arial"/>
          <w:b/>
          <w:bCs/>
          <w:u w:val="single"/>
          <w:rtl/>
        </w:rPr>
      </w:pPr>
      <w:r w:rsidRPr="003026EE">
        <w:rPr>
          <w:rFonts w:ascii="Arial" w:hAnsi="Arial" w:hint="cs"/>
          <w:b/>
          <w:bCs/>
          <w:u w:val="single"/>
          <w:rtl/>
        </w:rPr>
        <w:t>כתב האישום המתוקן</w:t>
      </w:r>
    </w:p>
    <w:p w14:paraId="6ECEC955" w14:textId="77777777" w:rsidR="0063667B" w:rsidRDefault="0063667B" w:rsidP="0063667B">
      <w:pPr>
        <w:spacing w:line="360" w:lineRule="auto"/>
        <w:jc w:val="both"/>
        <w:rPr>
          <w:rFonts w:ascii="Arial" w:hAnsi="Arial"/>
          <w:rtl/>
        </w:rPr>
      </w:pPr>
      <w:bookmarkStart w:id="6" w:name="ABSTRACT_START"/>
      <w:bookmarkEnd w:id="6"/>
      <w:r>
        <w:rPr>
          <w:rFonts w:ascii="Arial" w:hAnsi="Arial" w:hint="cs"/>
          <w:rtl/>
        </w:rPr>
        <w:t>בין הנאשמת לבין מאהר שחאדה (להלן: "מאהר") ויותם בצר( להלן: "יותם") היכרות מוקדמת.</w:t>
      </w:r>
    </w:p>
    <w:p w14:paraId="0E0EAA8F" w14:textId="77777777" w:rsidR="0063667B" w:rsidRDefault="0063667B" w:rsidP="0063667B">
      <w:pPr>
        <w:spacing w:line="360" w:lineRule="auto"/>
        <w:jc w:val="both"/>
        <w:rPr>
          <w:rFonts w:ascii="Arial" w:hAnsi="Arial"/>
          <w:rtl/>
        </w:rPr>
      </w:pPr>
      <w:r>
        <w:rPr>
          <w:rFonts w:ascii="Arial" w:hAnsi="Arial" w:hint="cs"/>
          <w:rtl/>
        </w:rPr>
        <w:t>במועד לא ידוע עובר ליום 17.10.16, קשרה הנאשמת עם השניים (להלן: "הקושרים") להחזיק בסמים בדירה שמאהר ישכור עבורה ולסחור בהם.</w:t>
      </w:r>
    </w:p>
    <w:p w14:paraId="63B1D9FB" w14:textId="77777777" w:rsidR="0063667B" w:rsidRDefault="0063667B" w:rsidP="0063667B">
      <w:pPr>
        <w:spacing w:line="360" w:lineRule="auto"/>
        <w:jc w:val="both"/>
        <w:rPr>
          <w:rFonts w:ascii="Arial" w:hAnsi="Arial"/>
          <w:rtl/>
        </w:rPr>
      </w:pPr>
      <w:r>
        <w:rPr>
          <w:rFonts w:ascii="Arial" w:hAnsi="Arial" w:hint="cs"/>
          <w:rtl/>
        </w:rPr>
        <w:t>במסגרת הקשר ולשם קידומו, העביר מאהר לנאשמת סכום של 4,500 ₪ במזומן, אשר נועד לכסות את תשלום שכר הדירה.</w:t>
      </w:r>
    </w:p>
    <w:p w14:paraId="39046E91" w14:textId="77777777" w:rsidR="0063667B" w:rsidRDefault="0063667B" w:rsidP="0063667B">
      <w:pPr>
        <w:spacing w:line="360" w:lineRule="auto"/>
        <w:jc w:val="both"/>
        <w:rPr>
          <w:rFonts w:ascii="Arial" w:hAnsi="Arial"/>
          <w:rtl/>
        </w:rPr>
      </w:pPr>
      <w:r>
        <w:rPr>
          <w:rFonts w:ascii="Arial" w:hAnsi="Arial" w:hint="cs"/>
          <w:rtl/>
        </w:rPr>
        <w:t>החל מיום 17.10.16 ,במסגרת הקשר ומימושו, התגוררה הנאשמת בדירה שנשכרה, בה החזיקו הקושרים סמים מסוכנים.</w:t>
      </w:r>
    </w:p>
    <w:p w14:paraId="7A12783B" w14:textId="77777777" w:rsidR="0063667B" w:rsidRDefault="0063667B" w:rsidP="0063667B">
      <w:pPr>
        <w:spacing w:line="360" w:lineRule="auto"/>
        <w:jc w:val="both"/>
        <w:rPr>
          <w:rFonts w:ascii="Arial" w:hAnsi="Arial"/>
          <w:rtl/>
        </w:rPr>
      </w:pPr>
      <w:bookmarkStart w:id="7" w:name="ABSTRACT_END"/>
      <w:bookmarkEnd w:id="7"/>
      <w:r>
        <w:rPr>
          <w:rFonts w:ascii="Arial" w:hAnsi="Arial" w:hint="cs"/>
          <w:rtl/>
        </w:rPr>
        <w:t xml:space="preserve">ביום 14.11.16, בשעה 14:30 או בסמוך לכך, החזיקו הקושרים, שלא כדין וללא היתר, סמים מסוכנים כדלקמן: קוקאין במשקל 52.616 גרם נטו, </w:t>
      </w:r>
      <w:r>
        <w:rPr>
          <w:rFonts w:ascii="Arial" w:hAnsi="Arial"/>
        </w:rPr>
        <w:t>MDMA</w:t>
      </w:r>
      <w:r>
        <w:rPr>
          <w:rFonts w:ascii="Arial" w:hAnsi="Arial"/>
          <w:rtl/>
        </w:rPr>
        <w:t xml:space="preserve"> </w:t>
      </w:r>
      <w:r>
        <w:rPr>
          <w:rFonts w:ascii="Arial" w:hAnsi="Arial" w:hint="cs"/>
          <w:rtl/>
        </w:rPr>
        <w:t xml:space="preserve">בצורה של 1,651 טבליות ובצורה של אבקה במשקל 30.11 גרם נטו, </w:t>
      </w:r>
      <w:r>
        <w:rPr>
          <w:rFonts w:ascii="Arial" w:hAnsi="Arial"/>
        </w:rPr>
        <w:t>Lsd</w:t>
      </w:r>
      <w:r>
        <w:rPr>
          <w:rFonts w:ascii="Arial" w:hAnsi="Arial" w:hint="cs"/>
          <w:rtl/>
        </w:rPr>
        <w:t xml:space="preserve"> בצורה של 154 בולים וכן בנוזל במשקל של 1.75 מ"ל, קנבוס במשקל של 1,255.48 גרם נטו, וחשיש במשקל 689.77 גרם נטו.</w:t>
      </w:r>
    </w:p>
    <w:p w14:paraId="319B5B2F" w14:textId="77777777" w:rsidR="0063667B" w:rsidRDefault="0063667B" w:rsidP="0063667B">
      <w:pPr>
        <w:spacing w:line="360" w:lineRule="auto"/>
        <w:jc w:val="both"/>
        <w:rPr>
          <w:rFonts w:ascii="Arial" w:hAnsi="Arial"/>
          <w:rtl/>
        </w:rPr>
      </w:pPr>
      <w:r>
        <w:rPr>
          <w:rFonts w:ascii="Arial" w:hAnsi="Arial" w:hint="cs"/>
          <w:rtl/>
        </w:rPr>
        <w:t>כמו כן, במסגרת הקשר ולשם קידומו, החזיקו הנאשמת והקושרים משקל אלקטרוני אשר הינו כלי המשמש להכנת הסמים המסוכנים או לצריכתם.</w:t>
      </w:r>
    </w:p>
    <w:p w14:paraId="3005D558" w14:textId="77777777" w:rsidR="0063667B" w:rsidRDefault="0063667B" w:rsidP="0063667B">
      <w:pPr>
        <w:spacing w:line="360" w:lineRule="auto"/>
        <w:jc w:val="both"/>
        <w:rPr>
          <w:rFonts w:ascii="Arial" w:hAnsi="Arial"/>
          <w:rtl/>
        </w:rPr>
      </w:pPr>
    </w:p>
    <w:p w14:paraId="6AD65E71" w14:textId="77777777" w:rsidR="0063667B" w:rsidRDefault="0063667B" w:rsidP="0063667B">
      <w:pPr>
        <w:spacing w:line="360" w:lineRule="auto"/>
        <w:jc w:val="both"/>
        <w:rPr>
          <w:rFonts w:ascii="Arial" w:hAnsi="Arial"/>
          <w:rtl/>
        </w:rPr>
      </w:pPr>
      <w:r>
        <w:rPr>
          <w:rFonts w:ascii="Arial" w:hAnsi="Arial" w:hint="cs"/>
          <w:rtl/>
        </w:rPr>
        <w:lastRenderedPageBreak/>
        <w:t>מכאן ואילך מונה כתב האישום 2 עסקאות:</w:t>
      </w:r>
    </w:p>
    <w:p w14:paraId="3CF20E36" w14:textId="77777777" w:rsidR="0063667B" w:rsidRPr="00993CB5" w:rsidRDefault="0063667B" w:rsidP="0063667B">
      <w:pPr>
        <w:pStyle w:val="a9"/>
        <w:numPr>
          <w:ilvl w:val="0"/>
          <w:numId w:val="2"/>
        </w:numPr>
        <w:spacing w:line="360" w:lineRule="auto"/>
        <w:jc w:val="both"/>
        <w:rPr>
          <w:rFonts w:ascii="Arial" w:hAnsi="Arial"/>
          <w:rtl/>
        </w:rPr>
      </w:pPr>
      <w:r w:rsidRPr="00993CB5">
        <w:rPr>
          <w:rFonts w:ascii="Arial" w:hAnsi="Arial" w:hint="cs"/>
          <w:rtl/>
        </w:rPr>
        <w:t>ביום 13.11.16 מכרה הנאשמת, במסגרת הקשר, אקסטזי, קוקאין ו-</w:t>
      </w:r>
      <w:r w:rsidRPr="00993CB5">
        <w:rPr>
          <w:rFonts w:ascii="Arial" w:hAnsi="Arial"/>
        </w:rPr>
        <w:t>MDMA</w:t>
      </w:r>
      <w:r w:rsidRPr="00993CB5">
        <w:rPr>
          <w:rFonts w:ascii="Arial" w:hAnsi="Arial" w:hint="cs"/>
          <w:rtl/>
        </w:rPr>
        <w:t xml:space="preserve"> לעמיר רחמים בתמורה ל 1,400 ₪.</w:t>
      </w:r>
    </w:p>
    <w:p w14:paraId="2D17FC85" w14:textId="77777777" w:rsidR="0063667B" w:rsidRPr="00993CB5" w:rsidRDefault="0063667B" w:rsidP="0063667B">
      <w:pPr>
        <w:pStyle w:val="a9"/>
        <w:numPr>
          <w:ilvl w:val="0"/>
          <w:numId w:val="2"/>
        </w:numPr>
        <w:spacing w:line="360" w:lineRule="auto"/>
        <w:jc w:val="both"/>
        <w:rPr>
          <w:rFonts w:ascii="Arial" w:hAnsi="Arial"/>
          <w:rtl/>
        </w:rPr>
      </w:pPr>
      <w:r w:rsidRPr="00993CB5">
        <w:rPr>
          <w:rFonts w:ascii="Arial" w:hAnsi="Arial" w:hint="cs"/>
          <w:rtl/>
        </w:rPr>
        <w:t>ביום 14.11.16 מכרה הנאשמת לחנן כהן גרם אחד של קנאביס בתמורה ל 100 ₪.</w:t>
      </w:r>
    </w:p>
    <w:p w14:paraId="0C3F3810" w14:textId="77777777" w:rsidR="0063667B" w:rsidRDefault="0063667B" w:rsidP="0063667B">
      <w:pPr>
        <w:spacing w:line="360" w:lineRule="auto"/>
        <w:jc w:val="both"/>
        <w:rPr>
          <w:rFonts w:ascii="Arial" w:hAnsi="Arial"/>
          <w:rtl/>
        </w:rPr>
      </w:pPr>
    </w:p>
    <w:p w14:paraId="705664B3" w14:textId="77777777" w:rsidR="0063667B" w:rsidRPr="003619F0" w:rsidRDefault="0063667B" w:rsidP="0063667B">
      <w:pPr>
        <w:spacing w:line="360" w:lineRule="auto"/>
        <w:jc w:val="both"/>
        <w:rPr>
          <w:rFonts w:ascii="Arial" w:hAnsi="Arial"/>
          <w:b/>
          <w:bCs/>
          <w:rtl/>
        </w:rPr>
      </w:pPr>
      <w:r w:rsidRPr="003619F0">
        <w:rPr>
          <w:rFonts w:ascii="Arial" w:hAnsi="Arial" w:hint="cs"/>
          <w:b/>
          <w:bCs/>
          <w:rtl/>
        </w:rPr>
        <w:t>על אלה יוחסו לה העבירות הבאות:</w:t>
      </w:r>
    </w:p>
    <w:p w14:paraId="3D620B48" w14:textId="77777777" w:rsidR="0063667B" w:rsidRPr="00993CB5" w:rsidRDefault="0063667B" w:rsidP="0063667B">
      <w:pPr>
        <w:pStyle w:val="a9"/>
        <w:numPr>
          <w:ilvl w:val="0"/>
          <w:numId w:val="1"/>
        </w:numPr>
        <w:spacing w:line="360" w:lineRule="auto"/>
        <w:jc w:val="both"/>
        <w:rPr>
          <w:rFonts w:ascii="Arial" w:hAnsi="Arial"/>
          <w:rtl/>
        </w:rPr>
      </w:pPr>
      <w:r w:rsidRPr="00993CB5">
        <w:rPr>
          <w:rFonts w:ascii="Arial" w:hAnsi="Arial" w:hint="cs"/>
          <w:rtl/>
        </w:rPr>
        <w:t xml:space="preserve">קשירת קשר לביצוע פשע, עבירה לפי סעיף </w:t>
      </w:r>
      <w:hyperlink r:id="rId23" w:history="1">
        <w:r w:rsidR="00066DAF" w:rsidRPr="00066DAF">
          <w:rPr>
            <w:rFonts w:ascii="Arial" w:hAnsi="Arial"/>
            <w:color w:val="0000FF"/>
            <w:u w:val="single"/>
            <w:rtl/>
          </w:rPr>
          <w:t>499 (א)(1)</w:t>
        </w:r>
      </w:hyperlink>
      <w:r w:rsidRPr="00993CB5">
        <w:rPr>
          <w:rFonts w:ascii="Arial" w:hAnsi="Arial" w:hint="cs"/>
          <w:rtl/>
        </w:rPr>
        <w:t xml:space="preserve"> ל</w:t>
      </w:r>
      <w:hyperlink r:id="rId24" w:history="1">
        <w:r w:rsidR="00E302D7" w:rsidRPr="00E302D7">
          <w:rPr>
            <w:rFonts w:ascii="Arial" w:hAnsi="Arial"/>
            <w:color w:val="0000FF"/>
            <w:u w:val="single"/>
            <w:rtl/>
          </w:rPr>
          <w:t>חוק העונשין</w:t>
        </w:r>
      </w:hyperlink>
      <w:r w:rsidRPr="00993CB5">
        <w:rPr>
          <w:rFonts w:ascii="Arial" w:hAnsi="Arial" w:hint="cs"/>
          <w:rtl/>
        </w:rPr>
        <w:t xml:space="preserve"> התשל"ז-1977 (להלן: "החוק").</w:t>
      </w:r>
    </w:p>
    <w:p w14:paraId="7557A47E" w14:textId="77777777" w:rsidR="0063667B" w:rsidRPr="00993CB5" w:rsidRDefault="0063667B" w:rsidP="0063667B">
      <w:pPr>
        <w:pStyle w:val="a9"/>
        <w:numPr>
          <w:ilvl w:val="0"/>
          <w:numId w:val="1"/>
        </w:numPr>
        <w:spacing w:line="360" w:lineRule="auto"/>
        <w:jc w:val="both"/>
        <w:rPr>
          <w:rFonts w:ascii="Arial" w:hAnsi="Arial"/>
          <w:rtl/>
        </w:rPr>
      </w:pPr>
      <w:r w:rsidRPr="00993CB5">
        <w:rPr>
          <w:rFonts w:ascii="Arial" w:hAnsi="Arial" w:hint="cs"/>
          <w:rtl/>
        </w:rPr>
        <w:t xml:space="preserve">סחר בסם מסוכן, עבירה לפי </w:t>
      </w:r>
      <w:hyperlink r:id="rId25" w:history="1">
        <w:r w:rsidR="00066DAF" w:rsidRPr="00066DAF">
          <w:rPr>
            <w:rFonts w:ascii="Arial" w:hAnsi="Arial"/>
            <w:color w:val="0000FF"/>
            <w:u w:val="single"/>
            <w:rtl/>
          </w:rPr>
          <w:t>סעיף 13</w:t>
        </w:r>
      </w:hyperlink>
      <w:r w:rsidRPr="00993CB5">
        <w:rPr>
          <w:rFonts w:ascii="Arial" w:hAnsi="Arial" w:hint="cs"/>
          <w:rtl/>
        </w:rPr>
        <w:t xml:space="preserve"> ל</w:t>
      </w:r>
      <w:hyperlink r:id="rId26" w:history="1">
        <w:r w:rsidR="00E302D7" w:rsidRPr="00E302D7">
          <w:rPr>
            <w:rFonts w:ascii="Arial" w:hAnsi="Arial"/>
            <w:color w:val="0000FF"/>
            <w:u w:val="single"/>
            <w:rtl/>
          </w:rPr>
          <w:t>פקודת הסמים המסוכנים</w:t>
        </w:r>
      </w:hyperlink>
      <w:r w:rsidRPr="00993CB5">
        <w:rPr>
          <w:rFonts w:ascii="Arial" w:hAnsi="Arial" w:hint="cs"/>
          <w:rtl/>
        </w:rPr>
        <w:t xml:space="preserve"> (נוסח חדש), התשל"ג -1973 (להלן: "הפקודה").</w:t>
      </w:r>
    </w:p>
    <w:p w14:paraId="3E4E5FB9" w14:textId="77777777" w:rsidR="0063667B" w:rsidRPr="00993CB5" w:rsidRDefault="0063667B" w:rsidP="0063667B">
      <w:pPr>
        <w:pStyle w:val="a9"/>
        <w:numPr>
          <w:ilvl w:val="0"/>
          <w:numId w:val="1"/>
        </w:numPr>
        <w:spacing w:line="360" w:lineRule="auto"/>
        <w:jc w:val="both"/>
        <w:rPr>
          <w:rFonts w:ascii="Arial" w:hAnsi="Arial"/>
          <w:rtl/>
        </w:rPr>
      </w:pPr>
      <w:r w:rsidRPr="00993CB5">
        <w:rPr>
          <w:rFonts w:ascii="Arial" w:hAnsi="Arial" w:hint="cs"/>
          <w:rtl/>
        </w:rPr>
        <w:t xml:space="preserve">החזקת סם שלא לצריכה עצמית, עבירה לפי </w:t>
      </w:r>
      <w:hyperlink r:id="rId27" w:history="1">
        <w:r w:rsidR="00066DAF" w:rsidRPr="00066DAF">
          <w:rPr>
            <w:rFonts w:ascii="Arial" w:hAnsi="Arial"/>
            <w:color w:val="0000FF"/>
            <w:u w:val="single"/>
            <w:rtl/>
          </w:rPr>
          <w:t>סעיף 7(א)+(ג)</w:t>
        </w:r>
      </w:hyperlink>
      <w:r w:rsidRPr="00993CB5">
        <w:rPr>
          <w:rFonts w:ascii="Arial" w:hAnsi="Arial" w:hint="cs"/>
          <w:rtl/>
        </w:rPr>
        <w:t xml:space="preserve"> לפקודה.</w:t>
      </w:r>
    </w:p>
    <w:p w14:paraId="5FBB100D" w14:textId="77777777" w:rsidR="0063667B" w:rsidRPr="00993CB5" w:rsidRDefault="0063667B" w:rsidP="0063667B">
      <w:pPr>
        <w:pStyle w:val="a9"/>
        <w:numPr>
          <w:ilvl w:val="0"/>
          <w:numId w:val="1"/>
        </w:numPr>
        <w:spacing w:line="360" w:lineRule="auto"/>
        <w:jc w:val="both"/>
        <w:rPr>
          <w:rFonts w:ascii="Arial" w:hAnsi="Arial"/>
          <w:rtl/>
        </w:rPr>
      </w:pPr>
      <w:r w:rsidRPr="00993CB5">
        <w:rPr>
          <w:rFonts w:ascii="Arial" w:hAnsi="Arial" w:hint="cs"/>
          <w:rtl/>
        </w:rPr>
        <w:t xml:space="preserve">החזקת כלים המשמשים להכנת סם מסוכן או לצריכתו, עבירה לפי </w:t>
      </w:r>
      <w:hyperlink r:id="rId28" w:history="1">
        <w:r w:rsidR="00066DAF" w:rsidRPr="00066DAF">
          <w:rPr>
            <w:rFonts w:ascii="Arial" w:hAnsi="Arial"/>
            <w:color w:val="0000FF"/>
            <w:u w:val="single"/>
            <w:rtl/>
          </w:rPr>
          <w:t>סעיף 10</w:t>
        </w:r>
      </w:hyperlink>
      <w:r w:rsidRPr="00993CB5">
        <w:rPr>
          <w:rFonts w:ascii="Arial" w:hAnsi="Arial" w:hint="cs"/>
          <w:rtl/>
        </w:rPr>
        <w:t xml:space="preserve"> לפקודה.</w:t>
      </w:r>
    </w:p>
    <w:p w14:paraId="2663A661" w14:textId="77777777" w:rsidR="0063667B" w:rsidRDefault="0063667B" w:rsidP="0063667B">
      <w:pPr>
        <w:spacing w:line="360" w:lineRule="auto"/>
        <w:jc w:val="both"/>
        <w:rPr>
          <w:rFonts w:ascii="Arial" w:hAnsi="Arial"/>
          <w:rtl/>
        </w:rPr>
      </w:pPr>
    </w:p>
    <w:p w14:paraId="57F2A10B" w14:textId="77777777" w:rsidR="0063667B" w:rsidRDefault="0063667B" w:rsidP="0063667B">
      <w:pPr>
        <w:spacing w:line="360" w:lineRule="auto"/>
        <w:jc w:val="both"/>
        <w:rPr>
          <w:rFonts w:ascii="Arial" w:hAnsi="Arial"/>
          <w:rtl/>
        </w:rPr>
      </w:pPr>
      <w:r>
        <w:rPr>
          <w:rFonts w:ascii="Arial" w:hAnsi="Arial" w:hint="cs"/>
          <w:rtl/>
        </w:rPr>
        <w:t>ביום 13.3.17 הודתה הנאשמת, במסגרת הסדר טיעון, בכתב האישום המתוקן, והורשעה על פי הודאתה.</w:t>
      </w:r>
    </w:p>
    <w:p w14:paraId="1218F99E" w14:textId="77777777" w:rsidR="0063667B" w:rsidRDefault="0063667B" w:rsidP="0063667B">
      <w:pPr>
        <w:spacing w:line="360" w:lineRule="auto"/>
        <w:jc w:val="both"/>
        <w:rPr>
          <w:rFonts w:ascii="Arial" w:hAnsi="Arial"/>
          <w:rtl/>
        </w:rPr>
      </w:pPr>
    </w:p>
    <w:p w14:paraId="632CD4F9" w14:textId="77777777" w:rsidR="0063667B" w:rsidRDefault="0063667B" w:rsidP="0063667B">
      <w:pPr>
        <w:spacing w:line="360" w:lineRule="auto"/>
        <w:jc w:val="both"/>
        <w:rPr>
          <w:rFonts w:ascii="Arial" w:hAnsi="Arial"/>
          <w:b/>
          <w:bCs/>
          <w:u w:val="single"/>
          <w:rtl/>
        </w:rPr>
      </w:pPr>
      <w:r w:rsidRPr="003026EE">
        <w:rPr>
          <w:rFonts w:ascii="Arial" w:hAnsi="Arial" w:hint="cs"/>
          <w:b/>
          <w:bCs/>
          <w:u w:val="single"/>
          <w:rtl/>
        </w:rPr>
        <w:t>הסדר הטיעון</w:t>
      </w:r>
    </w:p>
    <w:p w14:paraId="49F34599" w14:textId="77777777" w:rsidR="0063667B" w:rsidRDefault="0063667B" w:rsidP="0063667B">
      <w:pPr>
        <w:spacing w:line="360" w:lineRule="auto"/>
        <w:jc w:val="both"/>
        <w:rPr>
          <w:rFonts w:ascii="Arial" w:hAnsi="Arial"/>
          <w:rtl/>
        </w:rPr>
      </w:pPr>
      <w:r>
        <w:rPr>
          <w:rFonts w:ascii="Arial" w:hAnsi="Arial" w:hint="cs"/>
          <w:rtl/>
        </w:rPr>
        <w:t>ההסדר לא כלל הסכמה לעניין העונש. עם זאת, הוסכם בין הצדדים כי יוגש תסקיר ביחס לנאשמת.</w:t>
      </w:r>
    </w:p>
    <w:p w14:paraId="14C1E310" w14:textId="77777777" w:rsidR="0063667B" w:rsidRDefault="0063667B" w:rsidP="0063667B">
      <w:pPr>
        <w:spacing w:line="360" w:lineRule="auto"/>
        <w:jc w:val="both"/>
        <w:rPr>
          <w:rFonts w:ascii="Arial" w:hAnsi="Arial"/>
          <w:rtl/>
        </w:rPr>
      </w:pPr>
    </w:p>
    <w:p w14:paraId="6D30A68A" w14:textId="77777777" w:rsidR="0063667B" w:rsidRDefault="0063667B" w:rsidP="0063667B">
      <w:pPr>
        <w:spacing w:line="360" w:lineRule="auto"/>
        <w:jc w:val="both"/>
        <w:rPr>
          <w:rFonts w:ascii="Arial" w:hAnsi="Arial"/>
          <w:b/>
          <w:bCs/>
          <w:u w:val="single"/>
          <w:rtl/>
        </w:rPr>
      </w:pPr>
      <w:r>
        <w:rPr>
          <w:rFonts w:ascii="Arial" w:hAnsi="Arial" w:hint="cs"/>
          <w:b/>
          <w:bCs/>
          <w:u w:val="single"/>
          <w:rtl/>
        </w:rPr>
        <w:t>תסקירי שירות המבחן</w:t>
      </w:r>
    </w:p>
    <w:p w14:paraId="7E71F224" w14:textId="77777777" w:rsidR="0063667B" w:rsidRDefault="0063667B" w:rsidP="0063667B">
      <w:pPr>
        <w:spacing w:line="360" w:lineRule="auto"/>
        <w:jc w:val="both"/>
        <w:rPr>
          <w:rFonts w:ascii="Arial" w:hAnsi="Arial"/>
          <w:rtl/>
        </w:rPr>
      </w:pPr>
      <w:r>
        <w:rPr>
          <w:rFonts w:ascii="Arial" w:hAnsi="Arial" w:hint="cs"/>
          <w:rtl/>
        </w:rPr>
        <w:t xml:space="preserve">מטעם שירות המבחן הוגשו 3 תסקירים אודות הנאשמת: </w:t>
      </w:r>
    </w:p>
    <w:p w14:paraId="74635293" w14:textId="77777777" w:rsidR="0063667B" w:rsidRDefault="0063667B" w:rsidP="0063667B">
      <w:pPr>
        <w:spacing w:line="360" w:lineRule="auto"/>
        <w:jc w:val="both"/>
        <w:rPr>
          <w:rFonts w:ascii="Arial" w:hAnsi="Arial"/>
          <w:rtl/>
        </w:rPr>
      </w:pPr>
    </w:p>
    <w:p w14:paraId="2163C937" w14:textId="77777777" w:rsidR="0063667B" w:rsidRDefault="0063667B" w:rsidP="0063667B">
      <w:pPr>
        <w:spacing w:line="360" w:lineRule="auto"/>
        <w:jc w:val="both"/>
        <w:rPr>
          <w:rFonts w:ascii="Arial" w:hAnsi="Arial"/>
          <w:rtl/>
        </w:rPr>
      </w:pPr>
      <w:r w:rsidRPr="003619F0">
        <w:rPr>
          <w:rFonts w:ascii="Arial" w:hAnsi="Arial" w:hint="cs"/>
          <w:b/>
          <w:bCs/>
          <w:rtl/>
        </w:rPr>
        <w:t>תסקיר ראשון,</w:t>
      </w:r>
      <w:r w:rsidRPr="003619F0">
        <w:rPr>
          <w:rFonts w:hint="cs"/>
          <w:b/>
          <w:bCs/>
          <w:rtl/>
        </w:rPr>
        <w:t xml:space="preserve"> מיום 5.7.17</w:t>
      </w:r>
      <w:r w:rsidRPr="00DD6E8D">
        <w:rPr>
          <w:rFonts w:hint="cs"/>
          <w:rtl/>
        </w:rPr>
        <w:t xml:space="preserve"> </w:t>
      </w:r>
      <w:r w:rsidRPr="00DD6E8D">
        <w:rPr>
          <w:rtl/>
        </w:rPr>
        <w:t>–</w:t>
      </w:r>
      <w:r w:rsidRPr="00DD6E8D">
        <w:rPr>
          <w:rFonts w:hint="cs"/>
          <w:rtl/>
        </w:rPr>
        <w:t xml:space="preserve"> </w:t>
      </w:r>
      <w:r w:rsidRPr="00C84137">
        <w:rPr>
          <w:rtl/>
        </w:rPr>
        <w:t>הת</w:t>
      </w:r>
      <w:r>
        <w:rPr>
          <w:rtl/>
        </w:rPr>
        <w:t xml:space="preserve">ייחס לנסיבותיה האישיות </w:t>
      </w:r>
      <w:r w:rsidRPr="00C84137">
        <w:rPr>
          <w:rtl/>
        </w:rPr>
        <w:t>, בת 36, גרושה, מתגוררת בבית אמה, בעל</w:t>
      </w:r>
      <w:r>
        <w:rPr>
          <w:rtl/>
        </w:rPr>
        <w:t>ת 12 שנות לימוד, שירות צבאי מלא</w:t>
      </w:r>
      <w:r>
        <w:rPr>
          <w:rFonts w:hint="cs"/>
          <w:rtl/>
        </w:rPr>
        <w:t xml:space="preserve"> לרבות שירות מילואים ,</w:t>
      </w:r>
      <w:r w:rsidRPr="00C84137">
        <w:rPr>
          <w:rtl/>
        </w:rPr>
        <w:t xml:space="preserve"> תואר ראשון בניהול מלונאות ותיירות, עבודה במשרה ניהולית, ועוד. כן צוין כי לאחר</w:t>
      </w:r>
      <w:r>
        <w:rPr>
          <w:rtl/>
        </w:rPr>
        <w:t xml:space="preserve"> שסבלה שנים רבות מ</w:t>
      </w:r>
      <w:r>
        <w:rPr>
          <w:rFonts w:hint="cs"/>
          <w:rtl/>
        </w:rPr>
        <w:t>בעיה רפואית מסוימת</w:t>
      </w:r>
      <w:r w:rsidRPr="00C84137">
        <w:rPr>
          <w:rtl/>
        </w:rPr>
        <w:t xml:space="preserve">, עברה </w:t>
      </w:r>
      <w:r>
        <w:rPr>
          <w:rFonts w:hint="cs"/>
          <w:rtl/>
        </w:rPr>
        <w:t>בשנים האחרונות</w:t>
      </w:r>
      <w:r>
        <w:rPr>
          <w:rtl/>
        </w:rPr>
        <w:t xml:space="preserve"> 2 ניתוחים, וסבלה </w:t>
      </w:r>
      <w:r>
        <w:rPr>
          <w:rFonts w:hint="cs"/>
          <w:rtl/>
        </w:rPr>
        <w:t xml:space="preserve">עקב כך </w:t>
      </w:r>
      <w:r w:rsidRPr="00C84137">
        <w:rPr>
          <w:rtl/>
        </w:rPr>
        <w:t>מסיבוכים שונים, נמצאה במעקב ר</w:t>
      </w:r>
      <w:r>
        <w:rPr>
          <w:rtl/>
        </w:rPr>
        <w:t>פואי</w:t>
      </w:r>
      <w:r w:rsidRPr="00C84137">
        <w:rPr>
          <w:rtl/>
        </w:rPr>
        <w:t>, וטופלה במרפאת כאב . באשר לנישואיה בעבר, נטען מפי הנ</w:t>
      </w:r>
      <w:r>
        <w:rPr>
          <w:rtl/>
        </w:rPr>
        <w:t>אשמת כי מערכת היחסים בי</w:t>
      </w:r>
      <w:r>
        <w:rPr>
          <w:rFonts w:hint="cs"/>
          <w:rtl/>
        </w:rPr>
        <w:t xml:space="preserve">נה לבין בעלה לשעבר </w:t>
      </w:r>
      <w:r w:rsidRPr="00C84137">
        <w:rPr>
          <w:rtl/>
        </w:rPr>
        <w:t>אופיינה באלימות מ</w:t>
      </w:r>
      <w:r>
        <w:rPr>
          <w:rtl/>
        </w:rPr>
        <w:t>ילולית ופיזית קשה מצד בעלה</w:t>
      </w:r>
      <w:r>
        <w:rPr>
          <w:rFonts w:hint="cs"/>
          <w:rtl/>
        </w:rPr>
        <w:t xml:space="preserve"> </w:t>
      </w:r>
      <w:r w:rsidRPr="00C84137">
        <w:rPr>
          <w:rtl/>
        </w:rPr>
        <w:t>כלפיה, אשר הובילה בסופו של דבר לגירושין. עוד ציינה הנאשמת כי עזבה את מקום עבודתה בשל תכנית לעבוד בחו"ל, אך תכנית זו לא יצאה אל הפועל, ובהמשך סייעה לאשתו של אביה בהתמודדות עם מחלת הסרטן. שירות המבחן התרשם כי לעניין זה הייתה השפעה על מצ</w:t>
      </w:r>
      <w:r>
        <w:rPr>
          <w:rFonts w:hint="cs"/>
          <w:rtl/>
        </w:rPr>
        <w:t>ב</w:t>
      </w:r>
      <w:r w:rsidRPr="00C84137">
        <w:rPr>
          <w:rtl/>
        </w:rPr>
        <w:t xml:space="preserve">ה הרגשי, כאשר בד בבד התפרנסה הנאשמת מספר חודשים מעבודות מזדמנות וקצבת אבטלה. הנאשמת מסרה כי בתקופה זו </w:t>
      </w:r>
      <w:r w:rsidRPr="001271D9">
        <w:rPr>
          <w:rFonts w:hint="cs"/>
          <w:b/>
          <w:bCs/>
          <w:rtl/>
        </w:rPr>
        <w:t>ובהיותה בת 32</w:t>
      </w:r>
      <w:r>
        <w:rPr>
          <w:rFonts w:hint="cs"/>
          <w:rtl/>
        </w:rPr>
        <w:t xml:space="preserve"> החלה משתמשת בסמים קנבואידים בעקבות השימוש של בעלה אותה עת בסמים מסוג זה. לאחר </w:t>
      </w:r>
      <w:r>
        <w:rPr>
          <w:rFonts w:hint="cs"/>
          <w:rtl/>
        </w:rPr>
        <w:lastRenderedPageBreak/>
        <w:t>גירושיה, חלה נסיגה נוספת במצבה הרגשי, היא החלה משתמשת גם בקוקאין ויצרה קשר עם גורמים שוליים.</w:t>
      </w:r>
      <w:r>
        <w:rPr>
          <w:rtl/>
        </w:rPr>
        <w:t xml:space="preserve"> </w:t>
      </w:r>
    </w:p>
    <w:p w14:paraId="0C2B078B" w14:textId="77777777" w:rsidR="0063667B" w:rsidRPr="0057617C" w:rsidRDefault="0063667B" w:rsidP="0063667B">
      <w:pPr>
        <w:spacing w:line="360" w:lineRule="auto"/>
        <w:rPr>
          <w:rFonts w:ascii="Arial" w:hAnsi="Arial"/>
          <w:rtl/>
        </w:rPr>
      </w:pPr>
    </w:p>
    <w:p w14:paraId="69CD1AB0" w14:textId="77777777" w:rsidR="0063667B" w:rsidRPr="00C84137" w:rsidRDefault="0063667B" w:rsidP="0063667B">
      <w:pPr>
        <w:spacing w:after="160" w:line="360" w:lineRule="auto"/>
        <w:jc w:val="both"/>
        <w:rPr>
          <w:b/>
          <w:bCs/>
          <w:rtl/>
        </w:rPr>
      </w:pPr>
      <w:r w:rsidRPr="00C84137">
        <w:rPr>
          <w:rtl/>
        </w:rPr>
        <w:t>שירות המבחן ציין כי הנאשמת הופנתה לשירות עוד במסגרת הליך המעצר, וכי התרשם מתפקוד נורמטיבי במשך השנים, עד לנסיגה לשימוש בסמים ולמעור</w:t>
      </w:r>
      <w:r>
        <w:rPr>
          <w:rtl/>
        </w:rPr>
        <w:t xml:space="preserve">בות בקשרים שוליים בתחום הסמים, </w:t>
      </w:r>
      <w:r w:rsidRPr="00C84137">
        <w:rPr>
          <w:rtl/>
        </w:rPr>
        <w:t xml:space="preserve">זאת כמענה לצרכים רגשיים וכלכליים. עוד התרשם שירות המבחן כי הנאשמת מבינה את הבעייתיות בהתנהלותה ומעוניינת להשתלב בתהליך טיפולי. </w:t>
      </w:r>
      <w:r w:rsidRPr="001271D9">
        <w:rPr>
          <w:b/>
          <w:bCs/>
          <w:rtl/>
        </w:rPr>
        <w:t>באותה עת</w:t>
      </w:r>
      <w:r w:rsidRPr="00C84137">
        <w:rPr>
          <w:rtl/>
        </w:rPr>
        <w:t xml:space="preserve"> </w:t>
      </w:r>
      <w:r w:rsidRPr="001271D9">
        <w:rPr>
          <w:b/>
          <w:bCs/>
          <w:rtl/>
        </w:rPr>
        <w:t>החלה ביוזמתה בטיפול במסגרת פרטית – "התחלה חדשה".</w:t>
      </w:r>
      <w:r w:rsidRPr="00C84137">
        <w:rPr>
          <w:rtl/>
        </w:rPr>
        <w:t xml:space="preserve"> לפיכך, המליץ שירות המבחן</w:t>
      </w:r>
      <w:r>
        <w:rPr>
          <w:rFonts w:hint="cs"/>
          <w:rtl/>
        </w:rPr>
        <w:t>, במסגרת הליך המעצר,</w:t>
      </w:r>
      <w:r w:rsidRPr="00C84137">
        <w:rPr>
          <w:rtl/>
        </w:rPr>
        <w:t xml:space="preserve"> על הטלת צו פיקוח מעצר ושילוב הנאשמת במסלול של מרכז יום לנשים ביחידה לטיפול בנפגעי סמים – "בית חוסן" בנתניה. בית המשפט קיבל את ההמלצה והחל מיום 06.12</w:t>
      </w:r>
      <w:r>
        <w:rPr>
          <w:rtl/>
        </w:rPr>
        <w:t xml:space="preserve">.16 השתלבה הנאשמת במסגרת זו </w:t>
      </w:r>
      <w:r>
        <w:rPr>
          <w:rFonts w:hint="cs"/>
          <w:rtl/>
        </w:rPr>
        <w:t>.</w:t>
      </w:r>
    </w:p>
    <w:p w14:paraId="7C85BECE" w14:textId="77777777" w:rsidR="0063667B" w:rsidRPr="00C84137" w:rsidRDefault="0063667B" w:rsidP="0063667B">
      <w:pPr>
        <w:spacing w:after="160" w:line="360" w:lineRule="auto"/>
        <w:jc w:val="both"/>
        <w:rPr>
          <w:rtl/>
        </w:rPr>
      </w:pPr>
      <w:r w:rsidRPr="00C84137">
        <w:rPr>
          <w:rtl/>
        </w:rPr>
        <w:t>משיחה עם גורמי הטיפול בבית חוסן עלה כי הנאשמת מתמידה בתהליך הטיפולי, מגל</w:t>
      </w:r>
      <w:r>
        <w:rPr>
          <w:rtl/>
        </w:rPr>
        <w:t xml:space="preserve">ה רצינות, מסירות, ואחריות רבה, </w:t>
      </w:r>
      <w:r w:rsidRPr="00C84137">
        <w:rPr>
          <w:rtl/>
        </w:rPr>
        <w:t>לצד מוטיבציה משמעותית לשיקום ולטיפול. עוד צוין כי במסגרת אפיק התעסוקה ביחידה להתמכרויות החלה הנאשמת קורס תעסוקה טכני, וכי חזרה לתפקד בתחום התעסוקתי והכלכלי.</w:t>
      </w:r>
      <w:r>
        <w:rPr>
          <w:rtl/>
        </w:rPr>
        <w:t xml:space="preserve"> </w:t>
      </w:r>
    </w:p>
    <w:p w14:paraId="31F5E21E" w14:textId="77777777" w:rsidR="0063667B" w:rsidRPr="00C84137" w:rsidRDefault="0063667B" w:rsidP="0063667B">
      <w:pPr>
        <w:spacing w:after="160" w:line="360" w:lineRule="auto"/>
        <w:jc w:val="both"/>
        <w:rPr>
          <w:rtl/>
        </w:rPr>
      </w:pPr>
      <w:r w:rsidRPr="00C84137">
        <w:rPr>
          <w:rtl/>
        </w:rPr>
        <w:t>לבסוף, לאחר שעמד על גורמי הסיכון מחד, ועל הגורמים המגבירים את הסיכוי לשיקום מאידך, ציין שירות המבחן כי הוא מתרשם לחיוב ממצבה של הנאשמת, והמליץ על דחיית הדיון בשלושה חוד</w:t>
      </w:r>
      <w:r>
        <w:rPr>
          <w:rtl/>
        </w:rPr>
        <w:t>שים לצורך בחינת המשך התקדמות</w:t>
      </w:r>
      <w:r>
        <w:rPr>
          <w:rFonts w:hint="cs"/>
          <w:rtl/>
        </w:rPr>
        <w:t>ה</w:t>
      </w:r>
      <w:r w:rsidRPr="00C84137">
        <w:rPr>
          <w:rtl/>
        </w:rPr>
        <w:t xml:space="preserve"> באפיק השיקומי.</w:t>
      </w:r>
    </w:p>
    <w:p w14:paraId="40F06759" w14:textId="77777777" w:rsidR="0063667B" w:rsidRDefault="0063667B" w:rsidP="0063667B">
      <w:pPr>
        <w:spacing w:after="160" w:line="360" w:lineRule="auto"/>
        <w:jc w:val="both"/>
        <w:rPr>
          <w:rtl/>
        </w:rPr>
      </w:pPr>
      <w:r w:rsidRPr="003619F0">
        <w:rPr>
          <w:rFonts w:hint="cs"/>
          <w:b/>
          <w:bCs/>
          <w:rtl/>
        </w:rPr>
        <w:t>תסקיר שני, מיום 25.10.17</w:t>
      </w:r>
      <w:r>
        <w:rPr>
          <w:rFonts w:hint="cs"/>
          <w:rtl/>
        </w:rPr>
        <w:t xml:space="preserve"> </w:t>
      </w:r>
      <w:r>
        <w:rPr>
          <w:rtl/>
        </w:rPr>
        <w:t>–</w:t>
      </w:r>
      <w:r>
        <w:rPr>
          <w:rFonts w:hint="cs"/>
          <w:rtl/>
        </w:rPr>
        <w:t xml:space="preserve"> סוקר את ההליך הטיפולי, לצד שילוב הנאשמת באפיק תעסוקתי. התסקיר נחתם בהמלצה לדחות הדיון ב 3 חודשים נוספים לשם השלמת הטיפול ב"בית חוסן".</w:t>
      </w:r>
    </w:p>
    <w:p w14:paraId="61B9A1FD" w14:textId="77777777" w:rsidR="0063667B" w:rsidRDefault="0063667B" w:rsidP="0063667B">
      <w:pPr>
        <w:spacing w:after="160" w:line="360" w:lineRule="auto"/>
        <w:jc w:val="both"/>
        <w:rPr>
          <w:rtl/>
        </w:rPr>
      </w:pPr>
      <w:r w:rsidRPr="003619F0">
        <w:rPr>
          <w:rFonts w:hint="cs"/>
          <w:b/>
          <w:bCs/>
          <w:rtl/>
        </w:rPr>
        <w:t>תסקיר שלישי ואחרון, מיום 4.2.17</w:t>
      </w:r>
      <w:r>
        <w:rPr>
          <w:rFonts w:hint="cs"/>
          <w:rtl/>
        </w:rPr>
        <w:t xml:space="preserve"> </w:t>
      </w:r>
      <w:r>
        <w:rPr>
          <w:rtl/>
        </w:rPr>
        <w:t>–</w:t>
      </w:r>
      <w:r>
        <w:rPr>
          <w:rFonts w:hint="cs"/>
          <w:rtl/>
        </w:rPr>
        <w:t xml:space="preserve"> מסכם את ההליך הטיפולי במילים הבאות: "נוכח התרשמותנו החיובית ממנה, כשהגיעה להישגים משמעותיים, בין היתר, כאשר מסיימת את התהליך הטיפולי במסגרת מרכז היום ביחידה הטיפולית, ועתידה להמשיך הטיפול הפרטני ולא נפתחו כנגדה תיקי מב"ד חדשים מאז שהחלה בהליך השיקום, </w:t>
      </w:r>
      <w:r w:rsidRPr="006E5FC7">
        <w:rPr>
          <w:rFonts w:hint="cs"/>
          <w:b/>
          <w:bCs/>
          <w:rtl/>
        </w:rPr>
        <w:t xml:space="preserve">אנו סבורים כי </w:t>
      </w:r>
      <w:r>
        <w:rPr>
          <w:rFonts w:hint="cs"/>
          <w:b/>
          <w:bCs/>
          <w:rtl/>
        </w:rPr>
        <w:t xml:space="preserve">יש </w:t>
      </w:r>
      <w:r w:rsidRPr="006E5FC7">
        <w:rPr>
          <w:rFonts w:hint="cs"/>
          <w:b/>
          <w:bCs/>
          <w:rtl/>
        </w:rPr>
        <w:t>לראות בה</w:t>
      </w:r>
      <w:r>
        <w:rPr>
          <w:rFonts w:hint="cs"/>
          <w:rtl/>
        </w:rPr>
        <w:t xml:space="preserve"> </w:t>
      </w:r>
      <w:r w:rsidRPr="006E5FC7">
        <w:rPr>
          <w:rFonts w:hint="cs"/>
          <w:b/>
          <w:bCs/>
          <w:rtl/>
        </w:rPr>
        <w:t>כמי שעברה תהליך שיקומי משמעותי".</w:t>
      </w:r>
    </w:p>
    <w:p w14:paraId="29884CE4" w14:textId="77777777" w:rsidR="0063667B" w:rsidRDefault="0063667B" w:rsidP="0063667B">
      <w:pPr>
        <w:spacing w:after="160" w:line="360" w:lineRule="auto"/>
        <w:jc w:val="both"/>
        <w:rPr>
          <w:rtl/>
        </w:rPr>
      </w:pPr>
      <w:r>
        <w:rPr>
          <w:rFonts w:hint="cs"/>
          <w:rtl/>
        </w:rPr>
        <w:t>משכך, המליצה קצינת המבחן על העמדת הנאשמת בצו מבחן למשך שנה וחצי, לצד ביצוע של"צ בהיקף של 400 שעות.</w:t>
      </w:r>
    </w:p>
    <w:p w14:paraId="6CFA8278" w14:textId="77777777" w:rsidR="0063667B" w:rsidRDefault="0063667B" w:rsidP="0063667B">
      <w:pPr>
        <w:spacing w:line="360" w:lineRule="auto"/>
        <w:jc w:val="both"/>
        <w:rPr>
          <w:rFonts w:ascii="Arial" w:hAnsi="Arial"/>
          <w:b/>
          <w:bCs/>
          <w:u w:val="single"/>
          <w:rtl/>
        </w:rPr>
      </w:pPr>
    </w:p>
    <w:p w14:paraId="616C25E9" w14:textId="77777777" w:rsidR="0063667B" w:rsidRPr="003619F0" w:rsidRDefault="0063667B" w:rsidP="0063667B">
      <w:pPr>
        <w:spacing w:line="360" w:lineRule="auto"/>
        <w:jc w:val="both"/>
        <w:rPr>
          <w:rFonts w:ascii="Arial" w:hAnsi="Arial"/>
          <w:b/>
          <w:bCs/>
          <w:u w:val="single"/>
          <w:rtl/>
        </w:rPr>
      </w:pPr>
      <w:r w:rsidRPr="003619F0">
        <w:rPr>
          <w:rFonts w:ascii="Arial" w:hAnsi="Arial" w:hint="cs"/>
          <w:b/>
          <w:bCs/>
          <w:u w:val="single"/>
          <w:rtl/>
        </w:rPr>
        <w:t>ראיות לעונש</w:t>
      </w:r>
    </w:p>
    <w:p w14:paraId="0CF74047" w14:textId="77777777" w:rsidR="0063667B" w:rsidRPr="008948E9" w:rsidRDefault="0063667B" w:rsidP="0063667B">
      <w:pPr>
        <w:spacing w:after="160" w:line="360" w:lineRule="auto"/>
        <w:jc w:val="both"/>
        <w:rPr>
          <w:rtl/>
        </w:rPr>
      </w:pPr>
      <w:r w:rsidRPr="008948E9">
        <w:rPr>
          <w:rFonts w:hint="cs"/>
          <w:rtl/>
        </w:rPr>
        <w:t>מטעם הנאשמת ה</w:t>
      </w:r>
      <w:r>
        <w:rPr>
          <w:rFonts w:hint="cs"/>
          <w:rtl/>
        </w:rPr>
        <w:t>וגשה שורה ארוכה של מסמכים המעידים</w:t>
      </w:r>
      <w:r w:rsidRPr="008948E9">
        <w:rPr>
          <w:rFonts w:hint="cs"/>
          <w:rtl/>
        </w:rPr>
        <w:t xml:space="preserve"> על תפקוד נורמטיבי </w:t>
      </w:r>
      <w:r>
        <w:rPr>
          <w:rFonts w:hint="cs"/>
          <w:rtl/>
        </w:rPr>
        <w:t>במסלולים שונים של חייה: פעילות והדרכה בתנועת נוער, שירות צבאי מלא ובכלל זה שירות מילואים, חונכות ילדים מרבדי אוכלוסייה מעוטת יכולת, אישורי השכלה (תואר אקדמי), מסמכים רפואיים משנת 2012 אודות ניתוח, לרבות סיבוך אשר הצריך ניתוח נוסף, ואישור אודות הרשעת בעלה לשעבר בתקיפתה בחודש ינואר 2014 ואף חיובו בפיצוי.</w:t>
      </w:r>
    </w:p>
    <w:p w14:paraId="0469951A" w14:textId="77777777" w:rsidR="0063667B" w:rsidRDefault="0063667B" w:rsidP="0063667B">
      <w:pPr>
        <w:spacing w:after="160" w:line="360" w:lineRule="auto"/>
        <w:jc w:val="both"/>
        <w:rPr>
          <w:rtl/>
        </w:rPr>
      </w:pPr>
      <w:r w:rsidRPr="00C84137">
        <w:rPr>
          <w:rtl/>
        </w:rPr>
        <w:t>מטעם הנאשמת העידה אחותה.</w:t>
      </w:r>
      <w:r>
        <w:rPr>
          <w:rFonts w:hint="cs"/>
          <w:rtl/>
        </w:rPr>
        <w:t xml:space="preserve"> בדברים נרגשים היוצאים מן הלב הסבירה האחות את הרקע לביצוע העבירות, רקע אשר מצא ביטויו גם בתסקירי שירות המבחן.</w:t>
      </w:r>
      <w:r w:rsidRPr="00320251">
        <w:rPr>
          <w:rFonts w:hint="cs"/>
          <w:rtl/>
        </w:rPr>
        <w:t xml:space="preserve"> </w:t>
      </w:r>
      <w:r>
        <w:rPr>
          <w:rFonts w:hint="cs"/>
          <w:rtl/>
        </w:rPr>
        <w:t>מפאת חשיבות הדברים אייחד להם פרק במסגרת הדיון וההכרעה.</w:t>
      </w:r>
    </w:p>
    <w:p w14:paraId="6189A77D" w14:textId="77777777" w:rsidR="0063667B" w:rsidRPr="00C84137" w:rsidRDefault="0063667B" w:rsidP="0063667B">
      <w:pPr>
        <w:spacing w:after="160" w:line="360" w:lineRule="auto"/>
        <w:jc w:val="both"/>
      </w:pPr>
    </w:p>
    <w:p w14:paraId="78EB4438" w14:textId="77777777" w:rsidR="0063667B" w:rsidRPr="003619F0" w:rsidRDefault="0063667B" w:rsidP="0063667B">
      <w:pPr>
        <w:spacing w:line="360" w:lineRule="auto"/>
        <w:jc w:val="both"/>
        <w:rPr>
          <w:rFonts w:ascii="Arial" w:hAnsi="Arial"/>
          <w:b/>
          <w:bCs/>
          <w:u w:val="single"/>
          <w:rtl/>
        </w:rPr>
      </w:pPr>
      <w:r w:rsidRPr="003619F0">
        <w:rPr>
          <w:rFonts w:ascii="Arial" w:hAnsi="Arial"/>
          <w:b/>
          <w:bCs/>
          <w:u w:val="single"/>
          <w:rtl/>
        </w:rPr>
        <w:t xml:space="preserve"> טיעוני הצדדים לעונש</w:t>
      </w:r>
      <w:r w:rsidRPr="003619F0">
        <w:rPr>
          <w:rFonts w:ascii="Arial" w:hAnsi="Arial" w:hint="cs"/>
          <w:b/>
          <w:bCs/>
          <w:u w:val="single"/>
          <w:rtl/>
        </w:rPr>
        <w:t xml:space="preserve"> בתמצית</w:t>
      </w:r>
    </w:p>
    <w:p w14:paraId="74A50211" w14:textId="77777777" w:rsidR="0063667B" w:rsidRDefault="0063667B" w:rsidP="0063667B">
      <w:pPr>
        <w:spacing w:after="160" w:line="360" w:lineRule="auto"/>
        <w:jc w:val="both"/>
        <w:rPr>
          <w:rtl/>
        </w:rPr>
      </w:pPr>
      <w:r w:rsidRPr="003A610E">
        <w:rPr>
          <w:rFonts w:hint="cs"/>
          <w:rtl/>
        </w:rPr>
        <w:t xml:space="preserve">בפתח דבריה </w:t>
      </w:r>
      <w:r>
        <w:rPr>
          <w:rFonts w:hint="cs"/>
          <w:rtl/>
        </w:rPr>
        <w:t>עמדה התובעת, ברוב הגינותה, על נתון עובדתי ולפיו הסמים הוחזקו על-ידי הנאשמת עבור מאהר.</w:t>
      </w:r>
    </w:p>
    <w:p w14:paraId="794D2B67" w14:textId="77777777" w:rsidR="0063667B" w:rsidRDefault="0063667B" w:rsidP="0063667B">
      <w:pPr>
        <w:spacing w:after="160" w:line="360" w:lineRule="auto"/>
        <w:jc w:val="both"/>
        <w:rPr>
          <w:rtl/>
        </w:rPr>
      </w:pPr>
      <w:r>
        <w:rPr>
          <w:rFonts w:hint="cs"/>
          <w:rtl/>
        </w:rPr>
        <w:t xml:space="preserve">במסגרת הטיעונים התייחסה התובעת להיות הנאשמת חוליה משמעותית בשרשרת הסם, אשר ניהלה וסחרה בסמים תמורת מגורים חינם. כן התייחסה לערך החברתי שנפגע ולמתחם הענישה אותו ביקשה לקבוע, בין 3 ל </w:t>
      </w:r>
      <w:r>
        <w:rPr>
          <w:rtl/>
        </w:rPr>
        <w:t>–</w:t>
      </w:r>
      <w:r>
        <w:rPr>
          <w:rFonts w:hint="cs"/>
          <w:rtl/>
        </w:rPr>
        <w:t xml:space="preserve"> 6 שנות מאסר בפועל, תוך מיקום הנאשמת בחלקו התחתון נוכח היעדר עבר פלילי ובהתחשב בהליך הטיפולי אותו עברה.</w:t>
      </w:r>
    </w:p>
    <w:p w14:paraId="2086F78B" w14:textId="77777777" w:rsidR="0063667B" w:rsidRDefault="0063667B" w:rsidP="0063667B">
      <w:pPr>
        <w:spacing w:after="160" w:line="360" w:lineRule="auto"/>
        <w:jc w:val="both"/>
        <w:rPr>
          <w:rtl/>
        </w:rPr>
      </w:pPr>
      <w:r>
        <w:rPr>
          <w:rFonts w:hint="cs"/>
          <w:rtl/>
        </w:rPr>
        <w:t xml:space="preserve">הסניגור ייחד רוב דבריו לנסיבות ולהליך השיקומי. לדבריו, שני הקושרים האחרים אשר רכשו את הסם לשם מכירתו לציבור, </w:t>
      </w:r>
      <w:r w:rsidRPr="00DD5EA9">
        <w:rPr>
          <w:rFonts w:hint="cs"/>
          <w:rtl/>
        </w:rPr>
        <w:t>ניצלו אישה מבולבלת אשר בסופו של יום הרוויחה בחינם את שכר הדירה בה התגוררה, בסך כ-4,500 ₪. עוד התייחס לתקופות מעצר של ממש, מעצר בית מלא ומעצר בית עם "חלונות איוורור", הכל מיום 14.11.16. הנאשמת שיתפה פעולה בחקירתה במשטרה, אך בשל תקלה היא פגשה במאהר בהליך מעצר הימים והוא איים עליה בנוכחות השוטרים אשר דיווחו על כך והוא נחקר באזהרה. לעת הזאת, היא חוששת לחייה.</w:t>
      </w:r>
      <w:r>
        <w:rPr>
          <w:rFonts w:hint="cs"/>
          <w:rtl/>
        </w:rPr>
        <w:t xml:space="preserve"> הסניגור ציין כי מאהר, הדמות הדומיננטית בפרשה, נדון במסגרת הסדר טיעון ל </w:t>
      </w:r>
      <w:r>
        <w:rPr>
          <w:rtl/>
        </w:rPr>
        <w:t>–</w:t>
      </w:r>
      <w:r>
        <w:rPr>
          <w:rFonts w:hint="cs"/>
          <w:rtl/>
        </w:rPr>
        <w:t xml:space="preserve"> 3 שנות מאסר בפועל. את דבריו סיכם הסניגור בהפניה לפסיקה המעדיפה את השיקום על פני מתחם הענישה.</w:t>
      </w:r>
    </w:p>
    <w:p w14:paraId="74D36357" w14:textId="77777777" w:rsidR="0063667B" w:rsidRDefault="0063667B" w:rsidP="0063667B">
      <w:pPr>
        <w:spacing w:after="160" w:line="360" w:lineRule="auto"/>
        <w:jc w:val="both"/>
        <w:rPr>
          <w:rtl/>
        </w:rPr>
      </w:pPr>
      <w:r w:rsidRPr="00DD5EA9">
        <w:rPr>
          <w:rFonts w:hint="cs"/>
          <w:rtl/>
        </w:rPr>
        <w:t>את מסכת הראיות לעונש חתמה הנאשמת. בבכי, בהתרגשות ובקול רועד, הביעה הנאשמת חרטה על מעשיה, וביקשה לאפשר לה להשלים את המהלך השיקומי.</w:t>
      </w:r>
      <w:r>
        <w:rPr>
          <w:rtl/>
        </w:rPr>
        <w:t xml:space="preserve"> </w:t>
      </w:r>
    </w:p>
    <w:p w14:paraId="6C96E442" w14:textId="77777777" w:rsidR="0063667B" w:rsidRDefault="0063667B" w:rsidP="0063667B">
      <w:pPr>
        <w:spacing w:line="360" w:lineRule="auto"/>
        <w:jc w:val="both"/>
        <w:rPr>
          <w:rFonts w:ascii="Arial" w:hAnsi="Arial"/>
          <w:b/>
          <w:bCs/>
          <w:u w:val="single"/>
          <w:rtl/>
        </w:rPr>
      </w:pPr>
    </w:p>
    <w:p w14:paraId="73BFA84B" w14:textId="77777777" w:rsidR="0063667B" w:rsidRPr="003619F0" w:rsidRDefault="0063667B" w:rsidP="0063667B">
      <w:pPr>
        <w:spacing w:line="360" w:lineRule="auto"/>
        <w:jc w:val="both"/>
        <w:rPr>
          <w:rFonts w:ascii="Arial" w:hAnsi="Arial"/>
          <w:b/>
          <w:bCs/>
          <w:u w:val="single"/>
          <w:rtl/>
        </w:rPr>
      </w:pPr>
      <w:r w:rsidRPr="003619F0">
        <w:rPr>
          <w:rFonts w:ascii="Arial" w:hAnsi="Arial"/>
          <w:b/>
          <w:bCs/>
          <w:u w:val="single"/>
          <w:rtl/>
        </w:rPr>
        <w:t>דיון והכרעה</w:t>
      </w:r>
    </w:p>
    <w:p w14:paraId="1AA829E1" w14:textId="77777777" w:rsidR="0063667B" w:rsidRPr="00C84137" w:rsidRDefault="0063667B" w:rsidP="0063667B">
      <w:pPr>
        <w:spacing w:after="160" w:line="360" w:lineRule="auto"/>
        <w:jc w:val="both"/>
        <w:rPr>
          <w:rtl/>
        </w:rPr>
      </w:pPr>
      <w:r w:rsidRPr="00C84137">
        <w:rPr>
          <w:rtl/>
        </w:rPr>
        <w:t xml:space="preserve">הנאשמת הורשעה, בעקבות הודאתה, בביצוען של מספר עבירות סמים קשות, וזאת לאחר שקשרה קשר עם אחרים לבצע עבירות סמים, החזיקה בדירתה משקל אלקטרוני וסמים מסוכנים מסוגים שונים ובהיקפים משמעותיים, וסחרה בהם. </w:t>
      </w:r>
    </w:p>
    <w:p w14:paraId="405B4E1E" w14:textId="77777777" w:rsidR="0063667B" w:rsidRPr="00C84137" w:rsidRDefault="0063667B" w:rsidP="0063667B">
      <w:pPr>
        <w:spacing w:after="160" w:line="360" w:lineRule="auto"/>
        <w:jc w:val="both"/>
        <w:rPr>
          <w:rtl/>
        </w:rPr>
      </w:pPr>
      <w:r w:rsidRPr="00C84137">
        <w:rPr>
          <w:rtl/>
        </w:rPr>
        <w:t>עבירות אלה פגעו פגיעה משמעותית בערכים אשר עליהם ביקש המחוקק להגן, ובהם שמירה על שלום הציבור, והגנה עליו מפני הנזקים החברתיים הישירים והעקיפים הנגרמים כתוצאה משימוש בסמים מסוכנים.</w:t>
      </w:r>
      <w:r>
        <w:rPr>
          <w:rtl/>
        </w:rPr>
        <w:t xml:space="preserve"> </w:t>
      </w:r>
      <w:r w:rsidRPr="00C84137">
        <w:rPr>
          <w:rtl/>
        </w:rPr>
        <w:t>וכך נאמר מפי בית המשפט העליון ביחס לחומרתן הרבה של עבירות הסמים, ולנזק החברתי הטמון בהן:</w:t>
      </w:r>
    </w:p>
    <w:p w14:paraId="09D0A347" w14:textId="77777777" w:rsidR="0063667B" w:rsidRPr="00C84137" w:rsidRDefault="0063667B" w:rsidP="0063667B">
      <w:pPr>
        <w:spacing w:after="160" w:line="360" w:lineRule="auto"/>
        <w:jc w:val="both"/>
        <w:rPr>
          <w:rtl/>
        </w:rPr>
      </w:pPr>
      <w:r w:rsidRPr="00C84137">
        <w:rPr>
          <w:color w:val="000000"/>
          <w:rtl/>
        </w:rPr>
        <w:t>"</w:t>
      </w:r>
      <w:r w:rsidRPr="00C84137">
        <w:rPr>
          <w:b/>
          <w:bCs/>
          <w:rtl/>
        </w:rPr>
        <w:t xml:space="preserve">בית משפט זה עמד לא אחת על החומרה הרבה הטמונה בעבירות סחר והפצה של סמים, לא כל שכן סמים מסוכנים המוגדרים 'קשים' (ראו למשל: </w:t>
      </w:r>
      <w:hyperlink r:id="rId29" w:history="1">
        <w:r w:rsidR="00E302D7" w:rsidRPr="00E302D7">
          <w:rPr>
            <w:b/>
            <w:bCs/>
            <w:color w:val="0000FF"/>
            <w:u w:val="single"/>
            <w:rtl/>
          </w:rPr>
          <w:t>ע"פ 6747/11</w:t>
        </w:r>
      </w:hyperlink>
      <w:r w:rsidRPr="00C84137">
        <w:rPr>
          <w:b/>
          <w:bCs/>
          <w:rtl/>
        </w:rPr>
        <w:t xml:space="preserve"> מדינת ישראל נ' אבו רקיק (3.1.2013)), ועל הצורך להיאבק בהן באמצעות ענישה משמעותית ומרתיעה (</w:t>
      </w:r>
      <w:hyperlink r:id="rId30" w:history="1">
        <w:r w:rsidR="00E302D7" w:rsidRPr="00E302D7">
          <w:rPr>
            <w:b/>
            <w:bCs/>
            <w:color w:val="0000FF"/>
            <w:u w:val="single"/>
            <w:rtl/>
          </w:rPr>
          <w:t>ע"פ 9482/09</w:t>
        </w:r>
      </w:hyperlink>
      <w:r w:rsidRPr="00C84137">
        <w:rPr>
          <w:b/>
          <w:bCs/>
          <w:rtl/>
        </w:rPr>
        <w:t xml:space="preserve"> ביטון נ' מדינת ישראל, פסקה 24 (24.7.2011)). זאת, לאור הנזק הרב שהן מסבות לא אך למשתמשים הישירים בסם, אלא לחברה כולה, הסובלת מעבירות רכוש ואלימות מצד העוסקים בסחר ומלקוחותיהם</w:t>
      </w:r>
      <w:r w:rsidRPr="00C84137">
        <w:rPr>
          <w:rtl/>
        </w:rPr>
        <w:t>" (</w:t>
      </w:r>
      <w:hyperlink r:id="rId31" w:history="1">
        <w:r w:rsidR="00E302D7" w:rsidRPr="00E302D7">
          <w:rPr>
            <w:color w:val="0000FF"/>
            <w:u w:val="single"/>
            <w:rtl/>
          </w:rPr>
          <w:t>ע"פ 7952/15</w:t>
        </w:r>
      </w:hyperlink>
      <w:r w:rsidRPr="00C84137">
        <w:rPr>
          <w:rtl/>
        </w:rPr>
        <w:t xml:space="preserve"> </w:t>
      </w:r>
      <w:r w:rsidRPr="00C84137">
        <w:rPr>
          <w:b/>
          <w:bCs/>
          <w:rtl/>
        </w:rPr>
        <w:t>מדינת ישראל נ' שץ</w:t>
      </w:r>
      <w:r w:rsidRPr="00C84137">
        <w:rPr>
          <w:rtl/>
        </w:rPr>
        <w:t xml:space="preserve"> (15.02.16)).</w:t>
      </w:r>
    </w:p>
    <w:p w14:paraId="24148E1F" w14:textId="77777777" w:rsidR="0063667B" w:rsidRPr="00C84137" w:rsidRDefault="0063667B" w:rsidP="0063667B">
      <w:pPr>
        <w:spacing w:after="160" w:line="360" w:lineRule="auto"/>
        <w:jc w:val="both"/>
        <w:rPr>
          <w:rtl/>
        </w:rPr>
      </w:pPr>
      <w:r w:rsidRPr="00C84137">
        <w:rPr>
          <w:rtl/>
        </w:rPr>
        <w:t>אשר לפסיקה הנוהגת, הצדדים הפנו לשורה ארוכה של פסקי דין, אשר יש בהם כדי לתמוך בענישה המוצעת על ידם. מבין אלו ואחרים, ראיתי להתייחס לפסקי הדין הבאים:</w:t>
      </w:r>
    </w:p>
    <w:p w14:paraId="439CFEFF" w14:textId="77777777" w:rsidR="0063667B" w:rsidRPr="00C84137" w:rsidRDefault="00E302D7" w:rsidP="0063667B">
      <w:pPr>
        <w:spacing w:after="160" w:line="360" w:lineRule="auto"/>
        <w:jc w:val="both"/>
        <w:rPr>
          <w:rtl/>
        </w:rPr>
      </w:pPr>
      <w:hyperlink r:id="rId32" w:history="1">
        <w:r w:rsidRPr="00E302D7">
          <w:rPr>
            <w:color w:val="0000FF"/>
            <w:u w:val="single"/>
            <w:rtl/>
          </w:rPr>
          <w:t>ע"פ 6277/14</w:t>
        </w:r>
      </w:hyperlink>
      <w:r w:rsidR="0063667B" w:rsidRPr="00C84137">
        <w:rPr>
          <w:rtl/>
        </w:rPr>
        <w:t xml:space="preserve"> </w:t>
      </w:r>
      <w:r w:rsidR="0063667B" w:rsidRPr="00C84137">
        <w:rPr>
          <w:b/>
          <w:bCs/>
          <w:rtl/>
        </w:rPr>
        <w:t>משלטי נ' מדינת ישראל</w:t>
      </w:r>
      <w:r w:rsidR="0063667B" w:rsidRPr="00C84137">
        <w:rPr>
          <w:rtl/>
        </w:rPr>
        <w:t xml:space="preserve"> (02.02.15) – באותו עניין דובר במערער אשר הורשע, לאחר שהודה בתום שמיעת הראיות, בעבירות של החזקת סם שלא לצריכה עצמית, והחזקת כלים. זאת, לאחר שבדירתו נמצא סם מסוכן מסוג קוקאין במשקל של 51.36 גרם, לצד שקיות ניילון קטנות גזורות ומשקל אלקטרוני. בית המשפט המחוזי קבע כי המתחם נע בין 3 – 5 שנות מאסר, ובהתחשב בין היתר בעברו הפלילי של המערער, גזר עליו 4 שנות מאסר בפועל, לצד הפעלה במצטבר של שנת מאסר נוספת. בית המשפט העליון דחה את הערעור על העונש.</w:t>
      </w:r>
    </w:p>
    <w:p w14:paraId="78EF5E44" w14:textId="77777777" w:rsidR="0063667B" w:rsidRPr="00C84137" w:rsidRDefault="00E302D7" w:rsidP="0063667B">
      <w:pPr>
        <w:spacing w:after="160" w:line="360" w:lineRule="auto"/>
        <w:jc w:val="both"/>
        <w:rPr>
          <w:color w:val="000000"/>
          <w:rtl/>
        </w:rPr>
      </w:pPr>
      <w:hyperlink r:id="rId33" w:history="1">
        <w:r w:rsidRPr="00E302D7">
          <w:rPr>
            <w:color w:val="0000FF"/>
            <w:u w:val="single"/>
            <w:rtl/>
          </w:rPr>
          <w:t>ע"פ 2279/15</w:t>
        </w:r>
      </w:hyperlink>
      <w:r w:rsidR="0063667B">
        <w:rPr>
          <w:color w:val="000000"/>
          <w:rtl/>
        </w:rPr>
        <w:t xml:space="preserve"> </w:t>
      </w:r>
      <w:r w:rsidR="0063667B" w:rsidRPr="00C84137">
        <w:rPr>
          <w:b/>
          <w:bCs/>
          <w:color w:val="000000"/>
          <w:rtl/>
        </w:rPr>
        <w:t>בורוחוב נ' מדינת ישראל</w:t>
      </w:r>
      <w:r w:rsidR="0063667B" w:rsidRPr="00C84137">
        <w:rPr>
          <w:color w:val="000000"/>
          <w:rtl/>
        </w:rPr>
        <w:t xml:space="preserve"> (31.01.16) – באותו עניין דובר במערער אשר הורשע בשני אישומים. במסגרת האישום הראשון הורשע המערער בעבירה של החזקת סמים לצריכה עצמית. במסגרת האישום השני הורשע המערער בעבירה של</w:t>
      </w:r>
      <w:r>
        <w:rPr>
          <w:color w:val="000000"/>
          <w:rtl/>
        </w:rPr>
        <w:t xml:space="preserve"> </w:t>
      </w:r>
      <w:r w:rsidR="0063667B" w:rsidRPr="00C84137">
        <w:rPr>
          <w:color w:val="000000"/>
          <w:rtl/>
        </w:rPr>
        <w:t xml:space="preserve">החזקת כלים לצריכה עצמית, והחזקת סמים שלא לצריכה עצמית, וזאת לאחר שבביתו ובחצרו נמצאו 293 טבליות </w:t>
      </w:r>
      <w:r w:rsidR="0063667B" w:rsidRPr="00C84137">
        <w:rPr>
          <w:color w:val="000000"/>
        </w:rPr>
        <w:t>MDMA</w:t>
      </w:r>
      <w:r w:rsidR="0063667B" w:rsidRPr="00C84137">
        <w:rPr>
          <w:color w:val="000000"/>
          <w:rtl/>
        </w:rPr>
        <w:t xml:space="preserve">, מעל 50 גרם קוקאין, 17.60 גרם חשיש, ומשקל אלקטרוני. בית המשפט המחוזי קבע ביחס לאישום השני מתחם של 24 – 48 חודשי מאסר בפועל, ולבסוף, ביחס לשני האישומים ובהתחשב בין היתר בעברו הפלילי של המערער, גזר עליו 28 חודשי מאסר בפועל. בית המשפט העליון קבע כי העונש שנגזר הוא ראוי ומאוזן, ודחה את הערעור. </w:t>
      </w:r>
    </w:p>
    <w:p w14:paraId="12004A8C" w14:textId="77777777" w:rsidR="0063667B" w:rsidRPr="00C84137" w:rsidRDefault="00E302D7" w:rsidP="0063667B">
      <w:pPr>
        <w:spacing w:after="160" w:line="360" w:lineRule="auto"/>
        <w:jc w:val="both"/>
        <w:rPr>
          <w:color w:val="000000"/>
          <w:rtl/>
        </w:rPr>
      </w:pPr>
      <w:hyperlink r:id="rId34" w:history="1">
        <w:r w:rsidRPr="00E302D7">
          <w:rPr>
            <w:color w:val="0000FF"/>
            <w:u w:val="single"/>
            <w:rtl/>
          </w:rPr>
          <w:t>ע"פ 1932/15</w:t>
        </w:r>
      </w:hyperlink>
      <w:r>
        <w:rPr>
          <w:color w:val="000000"/>
          <w:rtl/>
        </w:rPr>
        <w:t xml:space="preserve"> </w:t>
      </w:r>
      <w:r w:rsidR="0063667B" w:rsidRPr="00C84137">
        <w:rPr>
          <w:b/>
          <w:bCs/>
          <w:color w:val="000000"/>
          <w:rtl/>
        </w:rPr>
        <w:t>בן סעדון נ' מדינת ישראל</w:t>
      </w:r>
      <w:r w:rsidR="0063667B" w:rsidRPr="00C84137">
        <w:rPr>
          <w:color w:val="000000"/>
          <w:rtl/>
        </w:rPr>
        <w:t xml:space="preserve"> (17.04.16) – באותו עניין דובר במערער אשר הורשע, על פי הודאתו, בעבירות של החזקת סם שלא לצריכה עצמית, השמדת ראיה, והפרעה לשוטר במילוי תפקידו. המערער החזיק בביתו סם מסוכן מסוג </w:t>
      </w:r>
      <w:r w:rsidR="0063667B" w:rsidRPr="00C84137">
        <w:rPr>
          <w:color w:val="000000"/>
        </w:rPr>
        <w:t>MDMA</w:t>
      </w:r>
      <w:r w:rsidR="0063667B" w:rsidRPr="00C84137">
        <w:rPr>
          <w:color w:val="000000"/>
          <w:rtl/>
        </w:rPr>
        <w:t xml:space="preserve"> בכמות של 446 כדורים, סם מסוכן מסוג חשיש במשקל של 406.71 גרם, סם מסוכן מסוג קוקאין במשקל של 26.4 גרם, ושני משקלים אלקטרוניים. כשהגיעו שוטרים לבצע חיפוש בביתו, סירב לפתוח את הדלת, והשליך סמים לאסלה. בית המשפט המחוזי קבע כי מתחם העונש ההולם למעשי המערער נע בין 16 – 60 חודשי מאסר בפועל, ולבסוף גזר על המערער 42 חודשי מאסר בפועל, וזאת לאור עברו הפלילי והעובדה שבחר לעזוב מיוזמתו הליך טיפולי. בית המשפט העליון דחה את הערעור.</w:t>
      </w:r>
    </w:p>
    <w:p w14:paraId="30388971" w14:textId="77777777" w:rsidR="0063667B" w:rsidRPr="00C84137" w:rsidRDefault="0063667B" w:rsidP="0063667B">
      <w:pPr>
        <w:spacing w:after="160" w:line="360" w:lineRule="auto"/>
        <w:jc w:val="both"/>
        <w:rPr>
          <w:rtl/>
        </w:rPr>
      </w:pPr>
      <w:r w:rsidRPr="00C84137">
        <w:rPr>
          <w:rtl/>
        </w:rPr>
        <w:t xml:space="preserve">באשר </w:t>
      </w:r>
      <w:r w:rsidRPr="003619F0">
        <w:rPr>
          <w:b/>
          <w:bCs/>
          <w:rtl/>
        </w:rPr>
        <w:t>לנסיבות הקשורות בביצוע העבירה</w:t>
      </w:r>
      <w:r w:rsidRPr="00C84137">
        <w:rPr>
          <w:rtl/>
        </w:rPr>
        <w:t>, נתתי דעתי לנסיבות הבאות:</w:t>
      </w:r>
    </w:p>
    <w:p w14:paraId="03FD90D1" w14:textId="77777777" w:rsidR="0063667B" w:rsidRPr="00C84137" w:rsidRDefault="0063667B" w:rsidP="0063667B">
      <w:pPr>
        <w:spacing w:after="160" w:line="360" w:lineRule="auto"/>
        <w:jc w:val="both"/>
        <w:rPr>
          <w:color w:val="000000"/>
        </w:rPr>
      </w:pPr>
      <w:r w:rsidRPr="00C84137">
        <w:rPr>
          <w:b/>
          <w:bCs/>
          <w:rtl/>
        </w:rPr>
        <w:t>מגוון הסמים, ומשקלם</w:t>
      </w:r>
      <w:r w:rsidRPr="00C84137">
        <w:rPr>
          <w:rtl/>
        </w:rPr>
        <w:t xml:space="preserve"> – בחזקתה של הנאשמת נמצאו סמים מסוכנים מ-5 סוגים שונים, </w:t>
      </w:r>
      <w:r>
        <w:rPr>
          <w:rtl/>
        </w:rPr>
        <w:t>ובמשקלים משמעותיים ביות</w:t>
      </w:r>
      <w:r>
        <w:rPr>
          <w:rFonts w:hint="cs"/>
          <w:rtl/>
        </w:rPr>
        <w:t>ר</w:t>
      </w:r>
      <w:r w:rsidRPr="00C84137">
        <w:rPr>
          <w:rtl/>
        </w:rPr>
        <w:t xml:space="preserve">. כך למשל נתפסו בביתה של הנאשמת </w:t>
      </w:r>
      <w:r w:rsidRPr="00C84137">
        <w:rPr>
          <w:b/>
          <w:bCs/>
          <w:rtl/>
        </w:rPr>
        <w:t>1651 טבליות</w:t>
      </w:r>
      <w:r w:rsidRPr="00C84137">
        <w:rPr>
          <w:rtl/>
        </w:rPr>
        <w:t xml:space="preserve"> של סם מסוכן מסוג </w:t>
      </w:r>
      <w:r w:rsidRPr="00C84137">
        <w:rPr>
          <w:b/>
          <w:bCs/>
        </w:rPr>
        <w:t>MDMA</w:t>
      </w:r>
      <w:r w:rsidRPr="00C84137">
        <w:rPr>
          <w:rtl/>
        </w:rPr>
        <w:t xml:space="preserve"> (לעניין הסכנות הכרוכות בסם זה ראו </w:t>
      </w:r>
      <w:r w:rsidRPr="00C84137">
        <w:rPr>
          <w:color w:val="000000"/>
          <w:rtl/>
        </w:rPr>
        <w:t>ת"פ (ב"ש) 8113/08</w:t>
      </w:r>
      <w:r w:rsidRPr="00C84137">
        <w:rPr>
          <w:color w:val="000000"/>
        </w:rPr>
        <w:t xml:space="preserve"> </w:t>
      </w:r>
      <w:r w:rsidRPr="00C84137">
        <w:rPr>
          <w:b/>
          <w:bCs/>
          <w:color w:val="000000"/>
          <w:rtl/>
        </w:rPr>
        <w:t xml:space="preserve">מדינת ישראל נ' בודרם </w:t>
      </w:r>
      <w:r w:rsidRPr="00C84137">
        <w:rPr>
          <w:color w:val="000000"/>
          <w:rtl/>
        </w:rPr>
        <w:t xml:space="preserve">(19.11.08)); 52.616 גרם </w:t>
      </w:r>
      <w:r w:rsidRPr="00C84137">
        <w:rPr>
          <w:b/>
          <w:bCs/>
          <w:color w:val="000000"/>
          <w:rtl/>
        </w:rPr>
        <w:t>קוקאין</w:t>
      </w:r>
      <w:r w:rsidRPr="00C84137">
        <w:rPr>
          <w:color w:val="000000"/>
          <w:rtl/>
        </w:rPr>
        <w:t xml:space="preserve">; 1,255.48 גרם </w:t>
      </w:r>
      <w:r w:rsidRPr="00C84137">
        <w:rPr>
          <w:b/>
          <w:bCs/>
          <w:color w:val="000000"/>
          <w:rtl/>
        </w:rPr>
        <w:t>קנבוס</w:t>
      </w:r>
      <w:r w:rsidRPr="00C84137">
        <w:rPr>
          <w:color w:val="000000"/>
          <w:rtl/>
        </w:rPr>
        <w:t xml:space="preserve">; 154 בולי </w:t>
      </w:r>
      <w:r w:rsidRPr="00C84137">
        <w:rPr>
          <w:b/>
          <w:bCs/>
          <w:color w:val="000000"/>
        </w:rPr>
        <w:t>LSD</w:t>
      </w:r>
      <w:r w:rsidRPr="00C84137">
        <w:rPr>
          <w:color w:val="000000"/>
          <w:rtl/>
        </w:rPr>
        <w:t xml:space="preserve">; 689.77 גרם </w:t>
      </w:r>
      <w:r w:rsidRPr="00C84137">
        <w:rPr>
          <w:b/>
          <w:bCs/>
          <w:color w:val="000000"/>
          <w:rtl/>
        </w:rPr>
        <w:t>חשיש</w:t>
      </w:r>
      <w:r>
        <w:rPr>
          <w:rFonts w:hint="cs"/>
          <w:color w:val="000000"/>
          <w:rtl/>
        </w:rPr>
        <w:t>,</w:t>
      </w:r>
      <w:r w:rsidRPr="00C84137">
        <w:rPr>
          <w:color w:val="000000"/>
          <w:rtl/>
        </w:rPr>
        <w:t xml:space="preserve"> ועוד. אם כן</w:t>
      </w:r>
      <w:r>
        <w:rPr>
          <w:color w:val="000000"/>
          <w:rtl/>
        </w:rPr>
        <w:t>, המדובר ב</w:t>
      </w:r>
      <w:r>
        <w:rPr>
          <w:rFonts w:hint="cs"/>
          <w:color w:val="000000"/>
          <w:rtl/>
        </w:rPr>
        <w:t xml:space="preserve">כמות גדולה </w:t>
      </w:r>
      <w:r>
        <w:rPr>
          <w:color w:val="000000"/>
          <w:rtl/>
        </w:rPr>
        <w:t>של מנות ס</w:t>
      </w:r>
      <w:r>
        <w:rPr>
          <w:rFonts w:hint="cs"/>
          <w:color w:val="000000"/>
          <w:rtl/>
        </w:rPr>
        <w:t xml:space="preserve">ם מסוכן </w:t>
      </w:r>
      <w:r w:rsidRPr="00C84137">
        <w:rPr>
          <w:color w:val="000000"/>
          <w:rtl/>
        </w:rPr>
        <w:t xml:space="preserve">מסוגים שונים אשר היו אמורים למצוא דרכם לרחובות ולסכן בצורה משמעותית ביותר את הציבור, כאשר בחלקם אף סחרה הנאשמת, כמתואר בכתב האישום (וראו לעניין זה </w:t>
      </w:r>
      <w:hyperlink r:id="rId35" w:history="1">
        <w:r w:rsidR="00066DAF" w:rsidRPr="00066DAF">
          <w:rPr>
            <w:color w:val="0000FF"/>
            <w:u w:val="single"/>
            <w:rtl/>
          </w:rPr>
          <w:t>סעיף 40ט(3)</w:t>
        </w:r>
      </w:hyperlink>
      <w:r w:rsidRPr="00C84137">
        <w:rPr>
          <w:color w:val="000000"/>
          <w:rtl/>
        </w:rPr>
        <w:t xml:space="preserve"> </w:t>
      </w:r>
      <w:r>
        <w:rPr>
          <w:rFonts w:hint="cs"/>
          <w:color w:val="000000"/>
          <w:rtl/>
        </w:rPr>
        <w:t>)</w:t>
      </w:r>
      <w:r w:rsidRPr="00C84137">
        <w:rPr>
          <w:color w:val="000000"/>
          <w:rtl/>
        </w:rPr>
        <w:t>לחוק, בעניין הנזק הצפוי מביצוע העבירה).</w:t>
      </w:r>
    </w:p>
    <w:p w14:paraId="31A95075" w14:textId="77777777" w:rsidR="0063667B" w:rsidRDefault="0063667B" w:rsidP="0063667B">
      <w:pPr>
        <w:spacing w:after="160" w:line="360" w:lineRule="auto"/>
        <w:jc w:val="both"/>
        <w:rPr>
          <w:color w:val="000000"/>
          <w:highlight w:val="yellow"/>
          <w:rtl/>
        </w:rPr>
      </w:pPr>
      <w:r w:rsidRPr="00C84137">
        <w:rPr>
          <w:color w:val="000000"/>
          <w:rtl/>
        </w:rPr>
        <w:t>יחד עם זאת, נתתי דעתי גם לכך שבסופו של יום, נתפסה הכ</w:t>
      </w:r>
      <w:r>
        <w:rPr>
          <w:color w:val="000000"/>
          <w:rtl/>
        </w:rPr>
        <w:t xml:space="preserve">מות </w:t>
      </w:r>
      <w:r w:rsidRPr="00DD5EA9">
        <w:rPr>
          <w:color w:val="000000"/>
          <w:rtl/>
        </w:rPr>
        <w:t>העיקרית</w:t>
      </w:r>
      <w:r>
        <w:rPr>
          <w:color w:val="000000"/>
          <w:rtl/>
        </w:rPr>
        <w:t xml:space="preserve"> של הסמים האמורים</w:t>
      </w:r>
      <w:r>
        <w:rPr>
          <w:rFonts w:hint="cs"/>
          <w:color w:val="000000"/>
          <w:rtl/>
        </w:rPr>
        <w:t xml:space="preserve"> על </w:t>
      </w:r>
      <w:r w:rsidRPr="00C84137">
        <w:rPr>
          <w:color w:val="000000"/>
          <w:rtl/>
        </w:rPr>
        <w:t>י</w:t>
      </w:r>
      <w:r>
        <w:rPr>
          <w:color w:val="000000"/>
          <w:rtl/>
        </w:rPr>
        <w:t xml:space="preserve">די המשטרה, ואלו לא הגיעו ליעדם </w:t>
      </w:r>
      <w:r w:rsidRPr="00C84137">
        <w:rPr>
          <w:color w:val="000000"/>
          <w:rtl/>
        </w:rPr>
        <w:t xml:space="preserve">(וראו לעניין זה </w:t>
      </w:r>
      <w:hyperlink r:id="rId36" w:history="1">
        <w:r w:rsidR="00066DAF" w:rsidRPr="00066DAF">
          <w:rPr>
            <w:color w:val="0000FF"/>
            <w:u w:val="single"/>
            <w:rtl/>
          </w:rPr>
          <w:t>סעיף 40ט(4)</w:t>
        </w:r>
      </w:hyperlink>
      <w:r w:rsidRPr="00C84137">
        <w:rPr>
          <w:color w:val="000000"/>
          <w:rtl/>
        </w:rPr>
        <w:t xml:space="preserve"> לחוק, ביחס לנזק שאירע בפועל נוכח מעשה העבירה).</w:t>
      </w:r>
    </w:p>
    <w:p w14:paraId="47806AA0" w14:textId="77777777" w:rsidR="0063667B" w:rsidRDefault="0063667B" w:rsidP="0063667B">
      <w:pPr>
        <w:spacing w:after="160" w:line="360" w:lineRule="auto"/>
        <w:jc w:val="both"/>
        <w:rPr>
          <w:color w:val="000000"/>
          <w:rtl/>
        </w:rPr>
      </w:pPr>
      <w:r w:rsidRPr="00DD5EA9">
        <w:rPr>
          <w:rFonts w:hint="cs"/>
          <w:color w:val="000000"/>
          <w:rtl/>
        </w:rPr>
        <w:t>יצוין כי שתי עבירות הסחר בוצעו בתוך 24 שעות והניבו תמורה כוללת של סך 1,500 ₪.</w:t>
      </w:r>
    </w:p>
    <w:p w14:paraId="248758F7" w14:textId="77777777" w:rsidR="0063667B" w:rsidRDefault="0063667B" w:rsidP="0063667B">
      <w:pPr>
        <w:spacing w:after="160" w:line="360" w:lineRule="auto"/>
        <w:jc w:val="both"/>
        <w:rPr>
          <w:color w:val="000000"/>
          <w:rtl/>
        </w:rPr>
      </w:pPr>
      <w:r>
        <w:rPr>
          <w:rFonts w:hint="cs"/>
          <w:color w:val="000000"/>
          <w:rtl/>
        </w:rPr>
        <w:t>כמו כן יודגש, כמאמר התובעת, כי הסמים לא היו שייכים לנאשמת, אלא הוחזקו על ידה עבור מאהר.</w:t>
      </w:r>
    </w:p>
    <w:p w14:paraId="776CB13A" w14:textId="77777777" w:rsidR="0063667B" w:rsidRDefault="0063667B" w:rsidP="0063667B">
      <w:pPr>
        <w:spacing w:after="160" w:line="360" w:lineRule="auto"/>
        <w:jc w:val="both"/>
        <w:rPr>
          <w:color w:val="000000"/>
          <w:rtl/>
        </w:rPr>
      </w:pPr>
      <w:r>
        <w:rPr>
          <w:rFonts w:hint="cs"/>
          <w:color w:val="000000"/>
          <w:rtl/>
        </w:rPr>
        <w:t xml:space="preserve">לאור האמור, אני סבור כי מתחם העונש ההולם נע בין 3 </w:t>
      </w:r>
      <w:r>
        <w:rPr>
          <w:color w:val="000000"/>
          <w:rtl/>
        </w:rPr>
        <w:t>–</w:t>
      </w:r>
      <w:r>
        <w:rPr>
          <w:rFonts w:hint="cs"/>
          <w:color w:val="000000"/>
          <w:rtl/>
        </w:rPr>
        <w:t xml:space="preserve"> 6 שנות מאסר, כפי שהציעה התביעה. יצוין כי בא כוח הנאשמת לא נדרש לשאלת המתחם, והסכים כי ברגיל ראויה הייתה הנאשמת למאסר בפועל, הגם שנמוך משמעותית מזה המבוקש על-ידי התביעה, במיוחד בהשוואה לעונש אותו קיבל המחולל והיוזם </w:t>
      </w:r>
      <w:r>
        <w:rPr>
          <w:color w:val="000000"/>
          <w:rtl/>
        </w:rPr>
        <w:t>–</w:t>
      </w:r>
      <w:r>
        <w:rPr>
          <w:rFonts w:hint="cs"/>
          <w:color w:val="000000"/>
          <w:rtl/>
        </w:rPr>
        <w:t xml:space="preserve"> מאהר.</w:t>
      </w:r>
    </w:p>
    <w:p w14:paraId="1FD7F270" w14:textId="77777777" w:rsidR="0063667B" w:rsidRPr="00141FF8" w:rsidRDefault="0063667B" w:rsidP="0063667B">
      <w:pPr>
        <w:spacing w:after="160" w:line="360" w:lineRule="auto"/>
        <w:jc w:val="both"/>
        <w:rPr>
          <w:color w:val="000000"/>
          <w:rtl/>
        </w:rPr>
      </w:pPr>
      <w:r w:rsidRPr="0063667B">
        <w:rPr>
          <w:rFonts w:ascii="Calibri" w:hAnsi="Calibri" w:hint="cs"/>
          <w:rtl/>
        </w:rPr>
        <w:t>יחד עם זאת, בנסיבות המקרה עומד לזכותה של הנאשמת הליך השיקום המשמעותי אותו עברה, ומשכך, על המדוכה ניצבת בכל תוקפה השאלה האם הליך השיקום שעברה הנאשמת מטה את הכף לטובת חריגה ממתחם העונש ההולם.</w:t>
      </w:r>
    </w:p>
    <w:p w14:paraId="3A7C699C" w14:textId="77777777" w:rsidR="0063667B" w:rsidRPr="0063667B" w:rsidRDefault="0063667B" w:rsidP="0063667B">
      <w:pPr>
        <w:spacing w:after="160" w:line="360" w:lineRule="auto"/>
        <w:jc w:val="both"/>
        <w:rPr>
          <w:rFonts w:ascii="Calibri" w:hAnsi="Calibri"/>
          <w:rtl/>
        </w:rPr>
      </w:pPr>
      <w:r w:rsidRPr="008744E9">
        <w:rPr>
          <w:rFonts w:ascii="Arial" w:hAnsi="Arial" w:hint="cs"/>
          <w:rtl/>
        </w:rPr>
        <w:t xml:space="preserve">בין </w:t>
      </w:r>
      <w:r w:rsidRPr="008744E9">
        <w:rPr>
          <w:rFonts w:ascii="Arial" w:hAnsi="Arial"/>
          <w:rtl/>
        </w:rPr>
        <w:t>השיקולים הנשקלים בגדר שיקולי הענישה, נמנים מהותה של העבירה וחומרתה</w:t>
      </w:r>
      <w:r w:rsidRPr="008744E9">
        <w:rPr>
          <w:rFonts w:ascii="Arial" w:hAnsi="Arial" w:hint="cs"/>
          <w:rtl/>
        </w:rPr>
        <w:t>,</w:t>
      </w:r>
      <w:r w:rsidRPr="008744E9">
        <w:rPr>
          <w:rFonts w:ascii="Arial" w:hAnsi="Arial"/>
          <w:rtl/>
        </w:rPr>
        <w:t xml:space="preserve"> וכן קיום מדיניות ענישה אחידה. לצד אלה, קיים קו מנחה בסוגיית הענישה, כי הענישה היא לעולם אינדיבידואלית</w:t>
      </w:r>
      <w:r w:rsidRPr="008744E9">
        <w:rPr>
          <w:rFonts w:ascii="Arial" w:hAnsi="Arial" w:hint="cs"/>
          <w:rtl/>
        </w:rPr>
        <w:t xml:space="preserve"> (וראו לעניין זה </w:t>
      </w:r>
      <w:hyperlink r:id="rId37" w:history="1">
        <w:r w:rsidR="00E302D7" w:rsidRPr="00E302D7">
          <w:rPr>
            <w:rFonts w:ascii="Arial" w:hAnsi="Arial"/>
            <w:color w:val="0000FF"/>
            <w:u w:val="single"/>
            <w:rtl/>
          </w:rPr>
          <w:t>ע"פ 1307/15</w:t>
        </w:r>
      </w:hyperlink>
      <w:r w:rsidRPr="008744E9">
        <w:rPr>
          <w:rFonts w:ascii="Arial" w:hAnsi="Arial"/>
          <w:rtl/>
        </w:rPr>
        <w:t xml:space="preserve"> </w:t>
      </w:r>
      <w:r w:rsidRPr="008744E9">
        <w:rPr>
          <w:rFonts w:ascii="Arial" w:hAnsi="Arial"/>
          <w:b/>
          <w:bCs/>
          <w:rtl/>
        </w:rPr>
        <w:t>פלוני נ' מדינת ישראל</w:t>
      </w:r>
      <w:r w:rsidRPr="008744E9">
        <w:rPr>
          <w:rFonts w:ascii="Arial" w:hAnsi="Arial"/>
          <w:rtl/>
        </w:rPr>
        <w:t xml:space="preserve"> (01/04/2015); </w:t>
      </w:r>
      <w:hyperlink r:id="rId38" w:history="1">
        <w:r w:rsidR="00E302D7" w:rsidRPr="00E302D7">
          <w:rPr>
            <w:rFonts w:ascii="Arial" w:hAnsi="Arial"/>
            <w:color w:val="0000FF"/>
            <w:u w:val="single"/>
            <w:rtl/>
          </w:rPr>
          <w:t>ע"פ 8355/13</w:t>
        </w:r>
      </w:hyperlink>
      <w:r w:rsidRPr="008744E9">
        <w:rPr>
          <w:rFonts w:ascii="Arial" w:hAnsi="Arial"/>
          <w:rtl/>
        </w:rPr>
        <w:t xml:space="preserve"> </w:t>
      </w:r>
      <w:r w:rsidRPr="008744E9">
        <w:rPr>
          <w:rFonts w:ascii="Arial" w:hAnsi="Arial"/>
          <w:b/>
          <w:bCs/>
          <w:rtl/>
        </w:rPr>
        <w:t xml:space="preserve">פלוני </w:t>
      </w:r>
      <w:r w:rsidRPr="00A213DD">
        <w:rPr>
          <w:rFonts w:ascii="Arial" w:hAnsi="Arial"/>
          <w:b/>
          <w:bCs/>
          <w:rtl/>
        </w:rPr>
        <w:t>נ' מדינת ישראל</w:t>
      </w:r>
      <w:r w:rsidRPr="00A213DD">
        <w:rPr>
          <w:rFonts w:ascii="Arial" w:hAnsi="Arial"/>
          <w:rtl/>
        </w:rPr>
        <w:t xml:space="preserve"> (18/11/2014)</w:t>
      </w:r>
      <w:r w:rsidRPr="00A213DD">
        <w:rPr>
          <w:rFonts w:ascii="Arial" w:hAnsi="Arial" w:hint="cs"/>
          <w:rtl/>
        </w:rPr>
        <w:t>)</w:t>
      </w:r>
      <w:r w:rsidRPr="00A213DD">
        <w:rPr>
          <w:rFonts w:ascii="Arial" w:hAnsi="Arial"/>
          <w:rtl/>
        </w:rPr>
        <w:t>.</w:t>
      </w:r>
    </w:p>
    <w:p w14:paraId="51EC64FB" w14:textId="77777777" w:rsidR="0063667B" w:rsidRPr="005C058C" w:rsidRDefault="00066DAF" w:rsidP="0063667B">
      <w:pPr>
        <w:spacing w:after="160" w:line="360" w:lineRule="auto"/>
        <w:jc w:val="both"/>
        <w:rPr>
          <w:rFonts w:ascii="Arial" w:hAnsi="Arial"/>
          <w:rtl/>
        </w:rPr>
      </w:pPr>
      <w:hyperlink r:id="rId39" w:history="1">
        <w:r w:rsidRPr="00066DAF">
          <w:rPr>
            <w:rFonts w:ascii="Arial" w:hAnsi="Arial"/>
            <w:color w:val="0000FF"/>
            <w:u w:val="single"/>
            <w:rtl/>
          </w:rPr>
          <w:t>סעיף 40ג(ב)</w:t>
        </w:r>
      </w:hyperlink>
      <w:r w:rsidR="0063667B" w:rsidRPr="00A213DD">
        <w:rPr>
          <w:rFonts w:ascii="Arial" w:hAnsi="Arial"/>
          <w:rtl/>
        </w:rPr>
        <w:t xml:space="preserve"> לחוק קובע כי בית </w:t>
      </w:r>
      <w:r w:rsidR="0063667B" w:rsidRPr="00A213DD">
        <w:rPr>
          <w:rFonts w:ascii="Arial" w:hAnsi="Arial" w:hint="cs"/>
          <w:rtl/>
        </w:rPr>
        <w:t>ה</w:t>
      </w:r>
      <w:r w:rsidR="0063667B" w:rsidRPr="00A213DD">
        <w:rPr>
          <w:rFonts w:ascii="Arial" w:hAnsi="Arial"/>
          <w:rtl/>
        </w:rPr>
        <w:t xml:space="preserve">משפט רשאי לחרוג ממתחם העונש ההולם, </w:t>
      </w:r>
      <w:r w:rsidR="0063667B" w:rsidRPr="00A213DD">
        <w:rPr>
          <w:rFonts w:ascii="Arial" w:hAnsi="Arial" w:hint="cs"/>
          <w:rtl/>
        </w:rPr>
        <w:t xml:space="preserve">וזאת </w:t>
      </w:r>
      <w:r w:rsidR="0063667B" w:rsidRPr="00A213DD">
        <w:rPr>
          <w:rFonts w:ascii="Arial" w:hAnsi="Arial"/>
          <w:rtl/>
        </w:rPr>
        <w:t xml:space="preserve">בשל שיקולי שיקום או הגנה על שלום הציבור לפי הוראת </w:t>
      </w:r>
      <w:hyperlink r:id="rId40" w:history="1">
        <w:r w:rsidRPr="00066DAF">
          <w:rPr>
            <w:rFonts w:ascii="Arial" w:hAnsi="Arial"/>
            <w:color w:val="0000FF"/>
            <w:u w:val="single"/>
            <w:rtl/>
          </w:rPr>
          <w:t>סעיפים 40ד'</w:t>
        </w:r>
      </w:hyperlink>
      <w:r w:rsidR="0063667B" w:rsidRPr="00A213DD">
        <w:rPr>
          <w:rFonts w:ascii="Arial" w:hAnsi="Arial"/>
          <w:rtl/>
        </w:rPr>
        <w:t xml:space="preserve"> ו-</w:t>
      </w:r>
      <w:hyperlink r:id="rId41" w:history="1">
        <w:r w:rsidRPr="00066DAF">
          <w:rPr>
            <w:rFonts w:ascii="Arial" w:hAnsi="Arial"/>
            <w:color w:val="0000FF"/>
            <w:u w:val="single"/>
            <w:rtl/>
          </w:rPr>
          <w:t>40ה</w:t>
        </w:r>
      </w:hyperlink>
      <w:r w:rsidR="0063667B" w:rsidRPr="00A213DD">
        <w:rPr>
          <w:rFonts w:ascii="Arial" w:hAnsi="Arial"/>
          <w:rtl/>
        </w:rPr>
        <w:t xml:space="preserve">' לחוק .על פי </w:t>
      </w:r>
      <w:hyperlink r:id="rId42" w:history="1">
        <w:r w:rsidRPr="00066DAF">
          <w:rPr>
            <w:rFonts w:ascii="Arial" w:hAnsi="Arial"/>
            <w:color w:val="0000FF"/>
            <w:u w:val="single"/>
            <w:rtl/>
          </w:rPr>
          <w:t>סעיף 40ד(א)</w:t>
        </w:r>
      </w:hyperlink>
      <w:r w:rsidR="0063667B" w:rsidRPr="00A213DD">
        <w:rPr>
          <w:rFonts w:ascii="Arial" w:hAnsi="Arial"/>
          <w:rtl/>
        </w:rPr>
        <w:t xml:space="preserve"> לחוק, לאחר קביעת מתחם העונש ההולם וככל שבית המשפט מצא כי הנאשם השתקם או כי יש סיכוי של ממש </w:t>
      </w:r>
      <w:r w:rsidR="0063667B" w:rsidRPr="005C058C">
        <w:rPr>
          <w:rFonts w:ascii="Arial" w:hAnsi="Arial"/>
          <w:rtl/>
        </w:rPr>
        <w:t xml:space="preserve">שישתקם, רשאי הוא לחרוג ממתחם העונש ההולם ולקבוע את עונשו בהתאם לשיקולי שיקומו, תוך מתן הוראות בדבר נקיטת אמצעים שיקומיים כלפי הנאשם, לרבות העמדתו בפיקוח שירות המבחן, לפי </w:t>
      </w:r>
      <w:hyperlink r:id="rId43" w:history="1">
        <w:r w:rsidR="00E302D7" w:rsidRPr="00E302D7">
          <w:rPr>
            <w:rFonts w:ascii="Arial" w:hAnsi="Arial"/>
            <w:color w:val="0000FF"/>
            <w:u w:val="single"/>
            <w:rtl/>
          </w:rPr>
          <w:t>פקודת המבחן</w:t>
        </w:r>
      </w:hyperlink>
      <w:r w:rsidR="0063667B" w:rsidRPr="005C058C">
        <w:rPr>
          <w:rFonts w:ascii="Arial" w:hAnsi="Arial"/>
          <w:rtl/>
        </w:rPr>
        <w:t xml:space="preserve"> [נוסח חדש], התשכ"ט-1969.</w:t>
      </w:r>
    </w:p>
    <w:p w14:paraId="74EACCD1" w14:textId="77777777" w:rsidR="0063667B" w:rsidRPr="005C058C" w:rsidRDefault="0063667B" w:rsidP="0063667B">
      <w:pPr>
        <w:spacing w:after="160" w:line="360" w:lineRule="auto"/>
        <w:jc w:val="both"/>
        <w:rPr>
          <w:rFonts w:ascii="Arial" w:hAnsi="Arial"/>
          <w:rtl/>
        </w:rPr>
      </w:pPr>
      <w:r w:rsidRPr="005C058C">
        <w:rPr>
          <w:rFonts w:ascii="Arial" w:hAnsi="Arial" w:hint="cs"/>
          <w:rtl/>
        </w:rPr>
        <w:t xml:space="preserve">הנאשמת נעדרת עבר פלילי כלשהו, ותפקדה בכל רובד אפשרי באורח נורמטיבי ואף למעלה מכך, כמפורט </w:t>
      </w:r>
      <w:r>
        <w:rPr>
          <w:rFonts w:ascii="Arial" w:hAnsi="Arial" w:hint="cs"/>
          <w:rtl/>
        </w:rPr>
        <w:t>בתסקירים ו</w:t>
      </w:r>
      <w:r w:rsidRPr="005C058C">
        <w:rPr>
          <w:rFonts w:ascii="Arial" w:hAnsi="Arial" w:hint="cs"/>
          <w:rtl/>
        </w:rPr>
        <w:t>במסמכים אשר הוגשו כראיות מטעם ההגנה. נסיבות ייחודיות ויוצאות דופן הוליכו אותה לתקופה משברית בחייה</w:t>
      </w:r>
      <w:r>
        <w:rPr>
          <w:rFonts w:ascii="Arial" w:hAnsi="Arial" w:hint="cs"/>
          <w:rtl/>
        </w:rPr>
        <w:t>, בשלוש השנים שקדמו לביצוע העבירות,</w:t>
      </w:r>
      <w:r w:rsidRPr="005C058C">
        <w:rPr>
          <w:rFonts w:ascii="Arial" w:hAnsi="Arial" w:hint="cs"/>
          <w:rtl/>
        </w:rPr>
        <w:t xml:space="preserve"> עד כי הייתה לטרף קל לשני האחרים שהפעילו אותה. קצינת המבחן עמדה בתסקיריה על הרקע למעורבות הנאשמת בחברה שולית וכפועל יוצא בביצוע העבירות, וכך גם אחותה של הנאשמת אשר סיפרה אודותיה: דימוי עצמי נמוך, מצב רפואי מורכב ,נישואין כושלים מלווים באלימות רצופה </w:t>
      </w:r>
      <w:r w:rsidRPr="005C058C">
        <w:rPr>
          <w:rFonts w:ascii="Arial" w:hAnsi="Arial"/>
          <w:rtl/>
        </w:rPr>
        <w:t>–</w:t>
      </w:r>
      <w:r w:rsidRPr="005C058C">
        <w:rPr>
          <w:rFonts w:ascii="Arial" w:hAnsi="Arial" w:hint="cs"/>
          <w:rtl/>
        </w:rPr>
        <w:t xml:space="preserve"> האחות העידה כי הבחינה לא אחת בסימני חניקה על צוואר </w:t>
      </w:r>
      <w:r>
        <w:rPr>
          <w:rFonts w:ascii="Arial" w:hAnsi="Arial" w:hint="cs"/>
          <w:rtl/>
        </w:rPr>
        <w:t>הנאשמת זאת לבד מהרשעת הבעל בתקיפתה</w:t>
      </w:r>
      <w:r w:rsidRPr="005C058C">
        <w:rPr>
          <w:rFonts w:ascii="Arial" w:hAnsi="Arial" w:hint="cs"/>
          <w:rtl/>
        </w:rPr>
        <w:t xml:space="preserve"> </w:t>
      </w:r>
      <w:r w:rsidRPr="005C058C">
        <w:rPr>
          <w:rFonts w:ascii="Arial" w:hAnsi="Arial"/>
          <w:rtl/>
        </w:rPr>
        <w:t>–</w:t>
      </w:r>
      <w:r w:rsidRPr="005C058C">
        <w:rPr>
          <w:rFonts w:ascii="Arial" w:hAnsi="Arial" w:hint="cs"/>
          <w:rtl/>
        </w:rPr>
        <w:t xml:space="preserve"> והתמכרות לסמים בהשראת הבעל עד אשר העתיקה מקום מגוריה לתל אביב לאחר גירושיה. מכאן, העמיקה התמכרותה לסמים קשים, מצבה הכלכלי התדרדר, ונסללה הדרך לניצולה על ידי אחרים.</w:t>
      </w:r>
      <w:r>
        <w:rPr>
          <w:rFonts w:ascii="Arial" w:hAnsi="Arial" w:hint="cs"/>
          <w:rtl/>
        </w:rPr>
        <w:t xml:space="preserve"> האחות לא הסתירה  דבר ועל כך יעידו המילים הבאות </w:t>
      </w:r>
      <w:r>
        <w:rPr>
          <w:rFonts w:hint="cs"/>
          <w:rtl/>
        </w:rPr>
        <w:t xml:space="preserve">: "המעצר הציל לה את החיים...עצרו את זה בזמן. אני פוחדת לחשוב איזה טלפון הייתי מקבלת מאבו כביר האחר (המכון לרפואה משפטית </w:t>
      </w:r>
      <w:r>
        <w:rPr>
          <w:rtl/>
        </w:rPr>
        <w:t>–</w:t>
      </w:r>
      <w:r>
        <w:rPr>
          <w:rFonts w:hint="cs"/>
          <w:rtl/>
        </w:rPr>
        <w:t>צ.ק)".</w:t>
      </w:r>
      <w:r w:rsidRPr="00320251">
        <w:rPr>
          <w:rFonts w:hint="cs"/>
          <w:rtl/>
        </w:rPr>
        <w:t xml:space="preserve"> </w:t>
      </w:r>
      <w:r w:rsidRPr="005C058C">
        <w:rPr>
          <w:rFonts w:ascii="Arial" w:hAnsi="Arial" w:hint="cs"/>
          <w:rtl/>
        </w:rPr>
        <w:t>המעצר, כדברי האחות, גדע את ההתדרדרות.</w:t>
      </w:r>
    </w:p>
    <w:p w14:paraId="6EC073BF" w14:textId="77777777" w:rsidR="0063667B" w:rsidRPr="005C058C" w:rsidRDefault="0063667B" w:rsidP="0063667B">
      <w:pPr>
        <w:spacing w:after="160" w:line="360" w:lineRule="auto"/>
        <w:jc w:val="both"/>
        <w:rPr>
          <w:rFonts w:ascii="Arial" w:hAnsi="Arial"/>
          <w:rtl/>
        </w:rPr>
      </w:pPr>
      <w:r w:rsidRPr="001F5B4A">
        <w:rPr>
          <w:rFonts w:ascii="Arial" w:hAnsi="Arial" w:hint="cs"/>
          <w:rtl/>
        </w:rPr>
        <w:t>שתי עבירות הסחר בוצעו, כאמור לעיל, בפרק זמן של 24 שעות, וכנגד תמורה כוללת של 1,500 ₪ אשר הועברו למפעיליה.</w:t>
      </w:r>
    </w:p>
    <w:p w14:paraId="6825501C" w14:textId="77777777" w:rsidR="0063667B" w:rsidRPr="005C058C" w:rsidRDefault="0063667B" w:rsidP="0063667B">
      <w:pPr>
        <w:spacing w:after="160" w:line="360" w:lineRule="auto"/>
        <w:jc w:val="both"/>
        <w:rPr>
          <w:rFonts w:ascii="Arial" w:hAnsi="Arial"/>
          <w:rtl/>
        </w:rPr>
      </w:pPr>
      <w:r w:rsidRPr="001F5B4A">
        <w:rPr>
          <w:rFonts w:ascii="Arial" w:hAnsi="Arial" w:hint="cs"/>
          <w:rtl/>
        </w:rPr>
        <w:t xml:space="preserve">לא נעלמו מעיניי הוראות </w:t>
      </w:r>
      <w:hyperlink r:id="rId44" w:history="1">
        <w:r w:rsidR="00066DAF" w:rsidRPr="00066DAF">
          <w:rPr>
            <w:rFonts w:ascii="Arial" w:hAnsi="Arial"/>
            <w:color w:val="0000FF"/>
            <w:u w:val="single"/>
            <w:rtl/>
          </w:rPr>
          <w:t>סעיף 40ד(ב)</w:t>
        </w:r>
      </w:hyperlink>
      <w:r w:rsidRPr="001F5B4A">
        <w:rPr>
          <w:rFonts w:ascii="Arial" w:hAnsi="Arial" w:hint="cs"/>
          <w:rtl/>
        </w:rPr>
        <w:t xml:space="preserve"> לחוק, מהן עולה </w:t>
      </w:r>
      <w:r w:rsidRPr="001F5B4A">
        <w:rPr>
          <w:rFonts w:ascii="Arial" w:hAnsi="Arial"/>
          <w:rtl/>
        </w:rPr>
        <w:t>כי עיקרון השיקום נסוג במקרים בהם מעשה העבירה ומידת אשמו של הנאשם הינם בעלי חומרה יתרה</w:t>
      </w:r>
      <w:r w:rsidRPr="001F5B4A">
        <w:rPr>
          <w:rFonts w:ascii="Arial" w:hAnsi="Arial" w:hint="cs"/>
          <w:rtl/>
        </w:rPr>
        <w:t xml:space="preserve"> אלא אם כן קיימות נסיבות מיוחדות ויוצאות דופן</w:t>
      </w:r>
      <w:r w:rsidRPr="001F5B4A">
        <w:rPr>
          <w:rFonts w:ascii="Arial" w:hAnsi="Arial"/>
          <w:rtl/>
        </w:rPr>
        <w:t>.</w:t>
      </w:r>
      <w:r w:rsidRPr="001F5B4A">
        <w:rPr>
          <w:rFonts w:ascii="Arial" w:hAnsi="Arial" w:hint="cs"/>
          <w:rtl/>
        </w:rPr>
        <w:t xml:space="preserve"> העבירות והנסיבות החריגות לא הוגדרו על-ידי המחוקק. ראו לעניין זה </w:t>
      </w:r>
      <w:hyperlink r:id="rId45" w:history="1">
        <w:r w:rsidR="00E302D7" w:rsidRPr="00E302D7">
          <w:rPr>
            <w:rFonts w:ascii="Arial" w:hAnsi="Arial"/>
            <w:color w:val="0000FF"/>
            <w:u w:val="single"/>
            <w:rtl/>
          </w:rPr>
          <w:t>ע"פ 5936/13</w:t>
        </w:r>
      </w:hyperlink>
      <w:r w:rsidRPr="001F5B4A">
        <w:rPr>
          <w:rFonts w:ascii="Arial" w:hAnsi="Arial"/>
          <w:rtl/>
        </w:rPr>
        <w:t xml:space="preserve"> </w:t>
      </w:r>
      <w:r w:rsidRPr="001F5B4A">
        <w:rPr>
          <w:rFonts w:ascii="Arial" w:hAnsi="Arial"/>
          <w:b/>
          <w:bCs/>
          <w:rtl/>
        </w:rPr>
        <w:t>פלוני נ' מדינת ישראל</w:t>
      </w:r>
      <w:r w:rsidRPr="001F5B4A">
        <w:rPr>
          <w:rFonts w:ascii="Arial" w:hAnsi="Arial"/>
          <w:rtl/>
        </w:rPr>
        <w:t xml:space="preserve"> (14/01/2015)</w:t>
      </w:r>
      <w:r w:rsidRPr="001F5B4A">
        <w:rPr>
          <w:rFonts w:ascii="Arial" w:hAnsi="Arial" w:hint="cs"/>
          <w:rtl/>
        </w:rPr>
        <w:t>,</w:t>
      </w:r>
      <w:r w:rsidRPr="001F5B4A">
        <w:rPr>
          <w:rFonts w:ascii="Arial" w:hAnsi="Arial"/>
          <w:rtl/>
        </w:rPr>
        <w:t xml:space="preserve"> שם </w:t>
      </w:r>
      <w:r w:rsidRPr="001F5B4A">
        <w:rPr>
          <w:rFonts w:ascii="Arial" w:hAnsi="Arial" w:hint="cs"/>
          <w:rtl/>
        </w:rPr>
        <w:t>נפסק</w:t>
      </w:r>
      <w:r w:rsidRPr="001F5B4A">
        <w:rPr>
          <w:rFonts w:ascii="Arial" w:hAnsi="Arial"/>
          <w:rtl/>
        </w:rPr>
        <w:t xml:space="preserve"> כי "</w:t>
      </w:r>
      <w:r w:rsidRPr="001F5B4A">
        <w:rPr>
          <w:rFonts w:ascii="Arial" w:hAnsi="Arial"/>
          <w:b/>
          <w:bCs/>
          <w:rtl/>
        </w:rPr>
        <w:t>ככל שהעבירה ונסיבותיה חמורות יותר</w:t>
      </w:r>
      <w:r w:rsidRPr="001F5B4A">
        <w:rPr>
          <w:rFonts w:ascii="Arial" w:hAnsi="Arial" w:hint="cs"/>
          <w:b/>
          <w:bCs/>
          <w:rtl/>
        </w:rPr>
        <w:t xml:space="preserve"> </w:t>
      </w:r>
      <w:r w:rsidRPr="001F5B4A">
        <w:rPr>
          <w:rFonts w:ascii="Arial" w:hAnsi="Arial"/>
          <w:b/>
          <w:bCs/>
          <w:rtl/>
        </w:rPr>
        <w:t>–</w:t>
      </w:r>
      <w:r w:rsidRPr="001F5B4A">
        <w:rPr>
          <w:rFonts w:ascii="Arial" w:hAnsi="Arial" w:hint="cs"/>
          <w:b/>
          <w:bCs/>
          <w:rtl/>
        </w:rPr>
        <w:t xml:space="preserve"> </w:t>
      </w:r>
      <w:r w:rsidRPr="001F5B4A">
        <w:rPr>
          <w:rFonts w:ascii="Arial" w:hAnsi="Arial"/>
          <w:b/>
          <w:bCs/>
          <w:rtl/>
        </w:rPr>
        <w:t>גובר הנטל על הטוען להקלה בשל שיקולי שיקום</w:t>
      </w:r>
      <w:r w:rsidRPr="001F5B4A">
        <w:rPr>
          <w:rFonts w:ascii="Arial" w:hAnsi="Arial"/>
          <w:rtl/>
        </w:rPr>
        <w:t>".</w:t>
      </w:r>
    </w:p>
    <w:p w14:paraId="7A7F2766" w14:textId="77777777" w:rsidR="0063667B" w:rsidRPr="005C058C" w:rsidRDefault="0063667B" w:rsidP="0063667B">
      <w:pPr>
        <w:spacing w:after="160" w:line="360" w:lineRule="auto"/>
        <w:jc w:val="both"/>
        <w:rPr>
          <w:rFonts w:ascii="Arial" w:hAnsi="Arial"/>
          <w:rtl/>
        </w:rPr>
      </w:pPr>
      <w:r>
        <w:rPr>
          <w:rFonts w:ascii="Arial" w:hAnsi="Arial" w:hint="cs"/>
          <w:rtl/>
        </w:rPr>
        <w:t xml:space="preserve">מעשי הנאשמת, הגם שחמורים </w:t>
      </w:r>
      <w:r w:rsidRPr="0035176B">
        <w:rPr>
          <w:rFonts w:ascii="Arial" w:hAnsi="Arial" w:hint="cs"/>
          <w:rtl/>
        </w:rPr>
        <w:t>הם, לא נושאים אופי של "חומרה יתרה" וגם לא נטען כך מצד התביעה. מן העבר השני, נסיבות המקרה מיוחדות ויוצאות דופן: חלקה של הנאשמת ומקומה בהתארגנות הפלילית, גילה ו</w:t>
      </w:r>
      <w:r w:rsidRPr="0035176B">
        <w:rPr>
          <w:rFonts w:ascii="Arial" w:hAnsi="Arial"/>
          <w:rtl/>
        </w:rPr>
        <w:t>נסיבות</w:t>
      </w:r>
      <w:r w:rsidRPr="0035176B">
        <w:rPr>
          <w:rFonts w:ascii="Arial" w:hAnsi="Arial" w:hint="cs"/>
          <w:rtl/>
        </w:rPr>
        <w:t xml:space="preserve">יה </w:t>
      </w:r>
      <w:r w:rsidRPr="0035176B">
        <w:rPr>
          <w:rFonts w:ascii="Arial" w:hAnsi="Arial"/>
          <w:rtl/>
        </w:rPr>
        <w:t>האישיות</w:t>
      </w:r>
      <w:r w:rsidRPr="0035176B">
        <w:rPr>
          <w:rFonts w:ascii="Arial" w:hAnsi="Arial" w:hint="cs"/>
          <w:rtl/>
        </w:rPr>
        <w:t>, כמפורט לעיל, וההליך השיקומי המשמעותי אותו עברה ובו מתעתדת להמשיך. לפיכך, אני סבור כי יש מקום להקל בעונש מטעמי שיקום, מבלי להקל ראש בחומרת העבירות.</w:t>
      </w:r>
    </w:p>
    <w:p w14:paraId="7B175D1A" w14:textId="77777777" w:rsidR="0063667B" w:rsidRPr="005C058C" w:rsidRDefault="0063667B" w:rsidP="0063667B">
      <w:pPr>
        <w:spacing w:after="160" w:line="360" w:lineRule="auto"/>
        <w:jc w:val="both"/>
        <w:rPr>
          <w:rFonts w:ascii="Arial" w:hAnsi="Arial"/>
          <w:rtl/>
        </w:rPr>
      </w:pPr>
      <w:r w:rsidRPr="005C058C">
        <w:rPr>
          <w:rFonts w:ascii="Arial" w:hAnsi="Arial" w:hint="cs"/>
          <w:rtl/>
        </w:rPr>
        <w:t xml:space="preserve">הנאשמת עשתה כברת דרך משמעותית בתוואי השיקומי </w:t>
      </w:r>
      <w:r w:rsidRPr="005C058C">
        <w:rPr>
          <w:rFonts w:ascii="Arial" w:hAnsi="Arial" w:hint="cs"/>
          <w:b/>
          <w:bCs/>
          <w:rtl/>
        </w:rPr>
        <w:t>שהחל ביוזמתה שלה</w:t>
      </w:r>
      <w:r w:rsidRPr="005C058C">
        <w:rPr>
          <w:rFonts w:ascii="Arial" w:hAnsi="Arial" w:hint="cs"/>
          <w:rtl/>
        </w:rPr>
        <w:t xml:space="preserve">. לא בכדי המליץ </w:t>
      </w:r>
      <w:r w:rsidRPr="005C058C">
        <w:rPr>
          <w:rFonts w:ascii="Arial" w:hAnsi="Arial"/>
          <w:rtl/>
        </w:rPr>
        <w:t>שירות המבחן</w:t>
      </w:r>
      <w:r w:rsidRPr="005C058C">
        <w:rPr>
          <w:rFonts w:ascii="Arial" w:hAnsi="Arial" w:hint="cs"/>
          <w:rtl/>
        </w:rPr>
        <w:t xml:space="preserve"> על הטלת צו של"צ לצד תקופת מבחן. תפקודה הנורמטיבי, נסיבות חייה הקשות, וה</w:t>
      </w:r>
      <w:r w:rsidRPr="005C058C">
        <w:rPr>
          <w:rFonts w:ascii="Arial" w:hAnsi="Arial"/>
          <w:rtl/>
        </w:rPr>
        <w:t>הליך השיקו</w:t>
      </w:r>
      <w:r w:rsidRPr="005C058C">
        <w:rPr>
          <w:rFonts w:ascii="Arial" w:hAnsi="Arial" w:hint="cs"/>
          <w:rtl/>
        </w:rPr>
        <w:t xml:space="preserve">מי שעברה במשך תקופה ארוכה מאז שחרורה מן המעצר מפחיתים את </w:t>
      </w:r>
      <w:r w:rsidRPr="005C058C">
        <w:rPr>
          <w:rFonts w:ascii="Arial" w:hAnsi="Arial"/>
          <w:rtl/>
        </w:rPr>
        <w:t>הסיכון להישנות ביצוע עבירות דומות</w:t>
      </w:r>
      <w:r w:rsidRPr="005C058C">
        <w:rPr>
          <w:rFonts w:ascii="Arial" w:hAnsi="Arial" w:hint="cs"/>
          <w:rtl/>
        </w:rPr>
        <w:t xml:space="preserve"> (על השיקולים אשר יצדיקו סטייה ממתחם העונש ההולם והעדפת הפן השיקומי ראו </w:t>
      </w:r>
      <w:hyperlink r:id="rId46" w:history="1">
        <w:r w:rsidR="00E302D7" w:rsidRPr="00E302D7">
          <w:rPr>
            <w:rFonts w:ascii="Arial" w:hAnsi="Arial"/>
            <w:color w:val="0000FF"/>
            <w:u w:val="single"/>
            <w:rtl/>
          </w:rPr>
          <w:t>ע"פ 1903/13</w:t>
        </w:r>
      </w:hyperlink>
      <w:r w:rsidRPr="005C058C">
        <w:rPr>
          <w:rFonts w:ascii="Arial" w:hAnsi="Arial"/>
          <w:rtl/>
        </w:rPr>
        <w:t xml:space="preserve"> </w:t>
      </w:r>
      <w:r w:rsidRPr="005C058C">
        <w:rPr>
          <w:rFonts w:ascii="Arial" w:hAnsi="Arial"/>
          <w:b/>
          <w:bCs/>
          <w:rtl/>
        </w:rPr>
        <w:t>חמודה</w:t>
      </w:r>
      <w:r w:rsidRPr="005C058C">
        <w:rPr>
          <w:rFonts w:ascii="Arial" w:hAnsi="Arial"/>
          <w:rtl/>
        </w:rPr>
        <w:t xml:space="preserve"> </w:t>
      </w:r>
      <w:r w:rsidRPr="005C058C">
        <w:rPr>
          <w:rFonts w:ascii="Arial" w:hAnsi="Arial"/>
          <w:b/>
          <w:bCs/>
          <w:rtl/>
        </w:rPr>
        <w:t>עיאשה נ' מדינת ישראל</w:t>
      </w:r>
      <w:r w:rsidRPr="005C058C">
        <w:rPr>
          <w:rFonts w:ascii="Arial" w:hAnsi="Arial"/>
          <w:rtl/>
        </w:rPr>
        <w:t xml:space="preserve"> (14/07/2013)</w:t>
      </w:r>
      <w:r w:rsidRPr="005C058C">
        <w:rPr>
          <w:rFonts w:ascii="Arial" w:hAnsi="Arial" w:hint="cs"/>
          <w:rtl/>
        </w:rPr>
        <w:t xml:space="preserve">; </w:t>
      </w:r>
      <w:hyperlink r:id="rId47" w:history="1">
        <w:r w:rsidR="00E302D7" w:rsidRPr="00E302D7">
          <w:rPr>
            <w:rFonts w:ascii="Arial" w:hAnsi="Arial"/>
            <w:color w:val="0000FF"/>
            <w:u w:val="single"/>
            <w:rtl/>
          </w:rPr>
          <w:t>ע"פ 5146/14</w:t>
        </w:r>
      </w:hyperlink>
      <w:r w:rsidRPr="005C058C">
        <w:rPr>
          <w:rFonts w:ascii="Arial" w:hAnsi="Arial"/>
          <w:rtl/>
        </w:rPr>
        <w:t xml:space="preserve"> </w:t>
      </w:r>
      <w:r w:rsidRPr="005C058C">
        <w:rPr>
          <w:rFonts w:ascii="Arial" w:hAnsi="Arial"/>
          <w:b/>
          <w:bCs/>
          <w:rtl/>
        </w:rPr>
        <w:t>עדי</w:t>
      </w:r>
      <w:r w:rsidRPr="005C058C">
        <w:rPr>
          <w:rFonts w:ascii="Arial" w:hAnsi="Arial"/>
          <w:rtl/>
        </w:rPr>
        <w:t xml:space="preserve"> </w:t>
      </w:r>
      <w:r w:rsidRPr="005C058C">
        <w:rPr>
          <w:rFonts w:ascii="Arial" w:hAnsi="Arial"/>
          <w:b/>
          <w:bCs/>
          <w:rtl/>
        </w:rPr>
        <w:t>אורן נ' מדינת ישראל</w:t>
      </w:r>
      <w:r w:rsidRPr="005C058C">
        <w:rPr>
          <w:rFonts w:ascii="Arial" w:hAnsi="Arial"/>
          <w:rtl/>
        </w:rPr>
        <w:t xml:space="preserve"> (05/02/2015</w:t>
      </w:r>
      <w:r w:rsidRPr="005C058C">
        <w:rPr>
          <w:rFonts w:ascii="Arial" w:hAnsi="Arial" w:hint="cs"/>
          <w:rtl/>
        </w:rPr>
        <w:t xml:space="preserve">)) .לטעמי, </w:t>
      </w:r>
      <w:r w:rsidRPr="0035176B">
        <w:rPr>
          <w:rFonts w:ascii="Arial" w:hAnsi="Arial" w:hint="cs"/>
          <w:rtl/>
        </w:rPr>
        <w:t>הנאשמת עמדה באמות המידה שהתווה בית המשפט העליון לעניין חריגה ממתחם העונש בשל שיקולי שיקום.</w:t>
      </w:r>
    </w:p>
    <w:p w14:paraId="4A5BA1C2" w14:textId="77777777" w:rsidR="0063667B" w:rsidRPr="0063667B" w:rsidRDefault="0063667B" w:rsidP="0063667B">
      <w:pPr>
        <w:spacing w:after="160" w:line="360" w:lineRule="auto"/>
        <w:jc w:val="both"/>
        <w:rPr>
          <w:rFonts w:ascii="Calibri" w:hAnsi="Calibri"/>
          <w:rtl/>
        </w:rPr>
      </w:pPr>
      <w:r w:rsidRPr="005C058C">
        <w:rPr>
          <w:rFonts w:ascii="Arial" w:hAnsi="Arial" w:hint="cs"/>
          <w:rtl/>
        </w:rPr>
        <w:t xml:space="preserve">צו המבחן יעמיד התנהגות הנאשמת במבחן הזמן. ככל שהנאשמת תתמיד בדרכה החדשה, ייצאו הכל </w:t>
      </w:r>
      <w:r w:rsidRPr="005C058C">
        <w:rPr>
          <w:rFonts w:ascii="Arial" w:hAnsi="Arial"/>
          <w:rtl/>
        </w:rPr>
        <w:t>–</w:t>
      </w:r>
      <w:r w:rsidRPr="005C058C">
        <w:rPr>
          <w:rFonts w:ascii="Arial" w:hAnsi="Arial" w:hint="cs"/>
          <w:rtl/>
        </w:rPr>
        <w:t xml:space="preserve">היא והציבור </w:t>
      </w:r>
      <w:r w:rsidRPr="005C058C">
        <w:rPr>
          <w:rFonts w:ascii="Arial" w:hAnsi="Arial"/>
          <w:rtl/>
        </w:rPr>
        <w:t>–</w:t>
      </w:r>
      <w:r w:rsidRPr="005C058C">
        <w:rPr>
          <w:rFonts w:ascii="Arial" w:hAnsi="Arial" w:hint="cs"/>
          <w:rtl/>
        </w:rPr>
        <w:t xml:space="preserve"> נשכרים. אם חלילה תמעד, ניתן יהיה לשוב ולגזור דינה בשנית, כאשר זאת הפעם יושת עליה מאסר בפועל משמעותי. גורלה ועתידה מצויים אפוא בידיה. </w:t>
      </w:r>
    </w:p>
    <w:p w14:paraId="38597E4C" w14:textId="77777777" w:rsidR="0063667B" w:rsidRDefault="0063667B" w:rsidP="0063667B">
      <w:pPr>
        <w:spacing w:line="360" w:lineRule="auto"/>
        <w:jc w:val="both"/>
        <w:rPr>
          <w:rtl/>
        </w:rPr>
      </w:pPr>
      <w:r w:rsidRPr="0063667B">
        <w:rPr>
          <w:rFonts w:ascii="Calibri" w:hAnsi="Calibri" w:hint="cs"/>
          <w:rtl/>
        </w:rPr>
        <w:t xml:space="preserve">קצינת המבחן סבורה כי יש להימנע מהטלת עונש מאסר ולו בדרך של עבודות שירות, לפי שענישה מסוג זה תביא לנסיגה במצב הנאשמת, היא תתקשה לפרנס עצמה, וכפועל יוצא ייפגע ההליך השיקומי. אינני סבור כי מלאכת הענישה נושאת אופי טכני של התוויות מחייבות. קרי, כי יש לגזור על הנאשמת בכל מקרה עונש שכותרתו מאסר בפועל , גם אם בדרך של עבודות שירות. </w:t>
      </w:r>
      <w:hyperlink r:id="rId48" w:history="1">
        <w:r w:rsidR="00066DAF" w:rsidRPr="00066DAF">
          <w:rPr>
            <w:rFonts w:ascii="Calibri" w:hAnsi="Calibri" w:hint="eastAsia"/>
            <w:color w:val="0000FF"/>
            <w:u w:val="single"/>
            <w:rtl/>
          </w:rPr>
          <w:t>סעיף</w:t>
        </w:r>
        <w:r w:rsidR="00066DAF" w:rsidRPr="00066DAF">
          <w:rPr>
            <w:rFonts w:ascii="Calibri" w:hAnsi="Calibri"/>
            <w:color w:val="0000FF"/>
            <w:u w:val="single"/>
            <w:rtl/>
          </w:rPr>
          <w:t xml:space="preserve"> 40</w:t>
        </w:r>
        <w:r w:rsidR="00066DAF" w:rsidRPr="00066DAF">
          <w:rPr>
            <w:rFonts w:ascii="Calibri" w:hAnsi="Calibri" w:hint="eastAsia"/>
            <w:color w:val="0000FF"/>
            <w:u w:val="single"/>
            <w:rtl/>
          </w:rPr>
          <w:t>ד</w:t>
        </w:r>
        <w:r w:rsidR="00066DAF" w:rsidRPr="00066DAF">
          <w:rPr>
            <w:rFonts w:ascii="Calibri" w:hAnsi="Calibri"/>
            <w:color w:val="0000FF"/>
            <w:u w:val="single"/>
            <w:rtl/>
          </w:rPr>
          <w:t>(</w:t>
        </w:r>
        <w:r w:rsidR="00066DAF" w:rsidRPr="00066DAF">
          <w:rPr>
            <w:rFonts w:ascii="Calibri" w:hAnsi="Calibri" w:hint="eastAsia"/>
            <w:color w:val="0000FF"/>
            <w:u w:val="single"/>
            <w:rtl/>
          </w:rPr>
          <w:t>א</w:t>
        </w:r>
        <w:r w:rsidR="00066DAF" w:rsidRPr="00066DAF">
          <w:rPr>
            <w:rFonts w:ascii="Calibri" w:hAnsi="Calibri"/>
            <w:color w:val="0000FF"/>
            <w:u w:val="single"/>
            <w:rtl/>
          </w:rPr>
          <w:t>)</w:t>
        </w:r>
      </w:hyperlink>
      <w:r w:rsidRPr="0063667B">
        <w:rPr>
          <w:rFonts w:ascii="Calibri" w:hAnsi="Calibri" w:hint="cs"/>
          <w:rtl/>
        </w:rPr>
        <w:t xml:space="preserve"> לחוק קובע כי בית המשפט </w:t>
      </w:r>
      <w:r w:rsidRPr="005C058C">
        <w:rPr>
          <w:rFonts w:hint="cs"/>
          <w:rtl/>
        </w:rPr>
        <w:t>"</w:t>
      </w:r>
      <w:r w:rsidRPr="005C058C">
        <w:rPr>
          <w:rtl/>
        </w:rPr>
        <w:t>רשאי</w:t>
      </w:r>
      <w:r w:rsidRPr="005C058C">
        <w:t xml:space="preserve"> </w:t>
      </w:r>
      <w:r w:rsidRPr="005C058C">
        <w:rPr>
          <w:rtl/>
        </w:rPr>
        <w:t>לחרוג</w:t>
      </w:r>
      <w:r w:rsidRPr="005C058C">
        <w:t xml:space="preserve"> </w:t>
      </w:r>
      <w:r w:rsidRPr="005C058C">
        <w:rPr>
          <w:rtl/>
        </w:rPr>
        <w:t>ממתחם</w:t>
      </w:r>
      <w:r w:rsidRPr="005C058C">
        <w:t xml:space="preserve"> </w:t>
      </w:r>
      <w:r w:rsidRPr="005C058C">
        <w:rPr>
          <w:rtl/>
        </w:rPr>
        <w:t>העונש</w:t>
      </w:r>
      <w:r w:rsidRPr="005C058C">
        <w:t xml:space="preserve"> </w:t>
      </w:r>
      <w:r w:rsidRPr="005C058C">
        <w:rPr>
          <w:rtl/>
        </w:rPr>
        <w:t>ההולם</w:t>
      </w:r>
      <w:r w:rsidRPr="005C058C">
        <w:t xml:space="preserve"> </w:t>
      </w:r>
      <w:r w:rsidRPr="005C058C">
        <w:rPr>
          <w:rtl/>
        </w:rPr>
        <w:t>ולקבוע</w:t>
      </w:r>
      <w:r w:rsidRPr="005C058C">
        <w:t xml:space="preserve"> </w:t>
      </w:r>
      <w:r w:rsidRPr="005C058C">
        <w:rPr>
          <w:rtl/>
        </w:rPr>
        <w:t>את</w:t>
      </w:r>
      <w:r w:rsidRPr="005C058C">
        <w:t xml:space="preserve"> </w:t>
      </w:r>
      <w:r w:rsidRPr="005C058C">
        <w:rPr>
          <w:rtl/>
        </w:rPr>
        <w:t>עונשו</w:t>
      </w:r>
      <w:r w:rsidRPr="005C058C">
        <w:t xml:space="preserve"> </w:t>
      </w:r>
      <w:r w:rsidRPr="005C058C">
        <w:rPr>
          <w:rtl/>
        </w:rPr>
        <w:t>של</w:t>
      </w:r>
      <w:r w:rsidRPr="005C058C">
        <w:t xml:space="preserve"> </w:t>
      </w:r>
      <w:r w:rsidRPr="005C058C">
        <w:rPr>
          <w:rtl/>
        </w:rPr>
        <w:t>הנאשם</w:t>
      </w:r>
      <w:r w:rsidRPr="005C058C">
        <w:t xml:space="preserve"> </w:t>
      </w:r>
      <w:r w:rsidRPr="004E7757">
        <w:rPr>
          <w:b/>
          <w:bCs/>
          <w:rtl/>
        </w:rPr>
        <w:t>לפי</w:t>
      </w:r>
      <w:r w:rsidRPr="004E7757">
        <w:rPr>
          <w:b/>
          <w:bCs/>
        </w:rPr>
        <w:t xml:space="preserve"> </w:t>
      </w:r>
      <w:r w:rsidRPr="004E7757">
        <w:rPr>
          <w:b/>
          <w:bCs/>
          <w:rtl/>
        </w:rPr>
        <w:t>שיקולי</w:t>
      </w:r>
      <w:r w:rsidRPr="004E7757">
        <w:rPr>
          <w:b/>
          <w:bCs/>
        </w:rPr>
        <w:t xml:space="preserve"> </w:t>
      </w:r>
      <w:r w:rsidRPr="004E7757">
        <w:rPr>
          <w:b/>
          <w:bCs/>
          <w:rtl/>
        </w:rPr>
        <w:t>שיקו</w:t>
      </w:r>
      <w:r w:rsidRPr="004E7757">
        <w:rPr>
          <w:rFonts w:hint="cs"/>
          <w:b/>
          <w:bCs/>
          <w:rtl/>
        </w:rPr>
        <w:t>מו"</w:t>
      </w:r>
      <w:r>
        <w:rPr>
          <w:rFonts w:hint="cs"/>
          <w:rtl/>
        </w:rPr>
        <w:t xml:space="preserve"> (ה</w:t>
      </w:r>
      <w:r w:rsidRPr="005C058C">
        <w:rPr>
          <w:rFonts w:hint="cs"/>
          <w:rtl/>
        </w:rPr>
        <w:t xml:space="preserve">הדגשה </w:t>
      </w:r>
      <w:r>
        <w:rPr>
          <w:rFonts w:hint="cs"/>
          <w:rtl/>
        </w:rPr>
        <w:t xml:space="preserve">הוספה </w:t>
      </w:r>
      <w:r>
        <w:rPr>
          <w:rtl/>
        </w:rPr>
        <w:t>–</w:t>
      </w:r>
      <w:r>
        <w:rPr>
          <w:rFonts w:hint="cs"/>
          <w:rtl/>
        </w:rPr>
        <w:t xml:space="preserve"> </w:t>
      </w:r>
      <w:r w:rsidRPr="005C058C">
        <w:rPr>
          <w:rFonts w:hint="cs"/>
          <w:rtl/>
        </w:rPr>
        <w:t>צ.ק).</w:t>
      </w:r>
    </w:p>
    <w:p w14:paraId="5C4EF5E3" w14:textId="77777777" w:rsidR="0063667B" w:rsidRPr="005C058C" w:rsidRDefault="0063667B" w:rsidP="0063667B">
      <w:pPr>
        <w:spacing w:line="360" w:lineRule="auto"/>
        <w:jc w:val="both"/>
        <w:rPr>
          <w:rtl/>
        </w:rPr>
      </w:pPr>
    </w:p>
    <w:p w14:paraId="5C3BDBDB" w14:textId="77777777" w:rsidR="0063667B" w:rsidRPr="005C058C" w:rsidRDefault="0063667B" w:rsidP="0063667B">
      <w:pPr>
        <w:spacing w:line="360" w:lineRule="auto"/>
        <w:jc w:val="both"/>
        <w:rPr>
          <w:rtl/>
        </w:rPr>
      </w:pPr>
      <w:r w:rsidRPr="0035176B">
        <w:rPr>
          <w:rFonts w:hint="cs"/>
          <w:rtl/>
        </w:rPr>
        <w:t>מה טעם אפוא לקבוע תוואי עונשי-שיקומי ובה בעת לסכל אותו על-ידי גזירת עונש אשר לא יעלה בקנה אחד עם תוואי זה.</w:t>
      </w:r>
    </w:p>
    <w:p w14:paraId="7F6E4AF4" w14:textId="77777777" w:rsidR="0063667B" w:rsidRPr="0063667B" w:rsidRDefault="0063667B" w:rsidP="0063667B">
      <w:pPr>
        <w:spacing w:after="160" w:line="360" w:lineRule="auto"/>
        <w:jc w:val="both"/>
        <w:rPr>
          <w:rFonts w:ascii="Calibri" w:hAnsi="Calibri"/>
          <w:b/>
          <w:bCs/>
          <w:rtl/>
        </w:rPr>
      </w:pPr>
    </w:p>
    <w:p w14:paraId="453E7025" w14:textId="77777777" w:rsidR="0063667B" w:rsidRPr="0063667B" w:rsidRDefault="0063667B" w:rsidP="0063667B">
      <w:pPr>
        <w:spacing w:after="160" w:line="360" w:lineRule="auto"/>
        <w:jc w:val="both"/>
        <w:rPr>
          <w:rFonts w:ascii="Calibri" w:hAnsi="Calibri"/>
          <w:b/>
          <w:bCs/>
          <w:rtl/>
        </w:rPr>
      </w:pPr>
      <w:r w:rsidRPr="0063667B">
        <w:rPr>
          <w:rFonts w:ascii="Calibri" w:hAnsi="Calibri" w:hint="cs"/>
          <w:b/>
          <w:bCs/>
          <w:rtl/>
        </w:rPr>
        <w:t xml:space="preserve">אשר על כן, ומתוך שראיתי לאמץ את המלצות שירות המבחן, אני גוזר על הנאשמת את העונשים הבאים: </w:t>
      </w:r>
    </w:p>
    <w:p w14:paraId="07611EE0" w14:textId="77777777" w:rsidR="0063667B" w:rsidRPr="0063667B" w:rsidRDefault="0063667B" w:rsidP="0063667B">
      <w:pPr>
        <w:spacing w:after="160" w:line="360" w:lineRule="auto"/>
        <w:jc w:val="both"/>
        <w:rPr>
          <w:rFonts w:ascii="Calibri" w:hAnsi="Calibri"/>
          <w:rtl/>
        </w:rPr>
      </w:pPr>
      <w:r w:rsidRPr="0063667B">
        <w:rPr>
          <w:rFonts w:ascii="Calibri" w:hAnsi="Calibri" w:hint="cs"/>
          <w:rtl/>
        </w:rPr>
        <w:t>1. של"צ בהיקף של 400 שעות כמדריכה ב"חצר נשית";</w:t>
      </w:r>
    </w:p>
    <w:p w14:paraId="33EA2C47" w14:textId="77777777" w:rsidR="0063667B" w:rsidRPr="0063667B" w:rsidRDefault="0063667B" w:rsidP="0063667B">
      <w:pPr>
        <w:spacing w:after="160" w:line="360" w:lineRule="auto"/>
        <w:jc w:val="both"/>
        <w:rPr>
          <w:rFonts w:ascii="Calibri" w:hAnsi="Calibri"/>
          <w:rtl/>
        </w:rPr>
      </w:pPr>
      <w:r w:rsidRPr="0063667B">
        <w:rPr>
          <w:rFonts w:ascii="Calibri" w:hAnsi="Calibri" w:hint="cs"/>
          <w:rtl/>
        </w:rPr>
        <w:t xml:space="preserve">2. מאסר על תנאי של 18 ח' למשך 3 שנים והתנאי הוא שלא תעבור עבירה של קשירת קשר לביצוע פשע לפי סעיף </w:t>
      </w:r>
      <w:hyperlink r:id="rId49" w:history="1">
        <w:r w:rsidR="00066DAF" w:rsidRPr="00066DAF">
          <w:rPr>
            <w:rFonts w:ascii="Calibri" w:hAnsi="Calibri"/>
            <w:color w:val="0000FF"/>
            <w:u w:val="single"/>
            <w:rtl/>
          </w:rPr>
          <w:t>499 (</w:t>
        </w:r>
        <w:r w:rsidR="00066DAF" w:rsidRPr="00066DAF">
          <w:rPr>
            <w:rFonts w:ascii="Calibri" w:hAnsi="Calibri" w:hint="eastAsia"/>
            <w:color w:val="0000FF"/>
            <w:u w:val="single"/>
            <w:rtl/>
          </w:rPr>
          <w:t>א</w:t>
        </w:r>
        <w:r w:rsidR="00066DAF" w:rsidRPr="00066DAF">
          <w:rPr>
            <w:rFonts w:ascii="Calibri" w:hAnsi="Calibri"/>
            <w:color w:val="0000FF"/>
            <w:u w:val="single"/>
            <w:rtl/>
          </w:rPr>
          <w:t>)(1)</w:t>
        </w:r>
      </w:hyperlink>
      <w:r w:rsidRPr="0063667B">
        <w:rPr>
          <w:rFonts w:ascii="Calibri" w:hAnsi="Calibri" w:hint="cs"/>
          <w:rtl/>
        </w:rPr>
        <w:t xml:space="preserve"> ל</w:t>
      </w:r>
      <w:hyperlink r:id="rId50" w:history="1">
        <w:r w:rsidR="00E302D7" w:rsidRPr="00E302D7">
          <w:rPr>
            <w:rFonts w:ascii="Calibri" w:hAnsi="Calibri" w:hint="eastAsia"/>
            <w:color w:val="0000FF"/>
            <w:u w:val="single"/>
            <w:rtl/>
          </w:rPr>
          <w:t>חוק</w:t>
        </w:r>
        <w:r w:rsidR="00E302D7" w:rsidRPr="00E302D7">
          <w:rPr>
            <w:rFonts w:ascii="Calibri" w:hAnsi="Calibri"/>
            <w:color w:val="0000FF"/>
            <w:u w:val="single"/>
            <w:rtl/>
          </w:rPr>
          <w:t xml:space="preserve"> </w:t>
        </w:r>
        <w:r w:rsidR="00E302D7" w:rsidRPr="00E302D7">
          <w:rPr>
            <w:rFonts w:ascii="Calibri" w:hAnsi="Calibri" w:hint="eastAsia"/>
            <w:color w:val="0000FF"/>
            <w:u w:val="single"/>
            <w:rtl/>
          </w:rPr>
          <w:t>העונשין</w:t>
        </w:r>
      </w:hyperlink>
      <w:r w:rsidRPr="0063667B">
        <w:rPr>
          <w:rFonts w:ascii="Calibri" w:hAnsi="Calibri" w:hint="cs"/>
          <w:rtl/>
        </w:rPr>
        <w:t xml:space="preserve"> או עבירה מסוג פשע על </w:t>
      </w:r>
      <w:hyperlink r:id="rId51" w:history="1">
        <w:r w:rsidR="00E302D7" w:rsidRPr="00E302D7">
          <w:rPr>
            <w:rFonts w:ascii="Calibri" w:hAnsi="Calibri" w:hint="eastAsia"/>
            <w:color w:val="0000FF"/>
            <w:u w:val="single"/>
            <w:rtl/>
          </w:rPr>
          <w:t>פקודת</w:t>
        </w:r>
        <w:r w:rsidR="00E302D7" w:rsidRPr="00E302D7">
          <w:rPr>
            <w:rFonts w:ascii="Calibri" w:hAnsi="Calibri"/>
            <w:color w:val="0000FF"/>
            <w:u w:val="single"/>
            <w:rtl/>
          </w:rPr>
          <w:t xml:space="preserve"> </w:t>
        </w:r>
        <w:r w:rsidR="00E302D7" w:rsidRPr="00E302D7">
          <w:rPr>
            <w:rFonts w:ascii="Calibri" w:hAnsi="Calibri" w:hint="eastAsia"/>
            <w:color w:val="0000FF"/>
            <w:u w:val="single"/>
            <w:rtl/>
          </w:rPr>
          <w:t>הסמים</w:t>
        </w:r>
        <w:r w:rsidR="00E302D7" w:rsidRPr="00E302D7">
          <w:rPr>
            <w:rFonts w:ascii="Calibri" w:hAnsi="Calibri"/>
            <w:color w:val="0000FF"/>
            <w:u w:val="single"/>
            <w:rtl/>
          </w:rPr>
          <w:t xml:space="preserve"> </w:t>
        </w:r>
        <w:r w:rsidR="00E302D7" w:rsidRPr="00E302D7">
          <w:rPr>
            <w:rFonts w:ascii="Calibri" w:hAnsi="Calibri" w:hint="eastAsia"/>
            <w:color w:val="0000FF"/>
            <w:u w:val="single"/>
            <w:rtl/>
          </w:rPr>
          <w:t>המסוכנים</w:t>
        </w:r>
      </w:hyperlink>
      <w:r w:rsidRPr="0063667B">
        <w:rPr>
          <w:rFonts w:ascii="Calibri" w:hAnsi="Calibri" w:hint="cs"/>
          <w:rtl/>
        </w:rPr>
        <w:t>;</w:t>
      </w:r>
    </w:p>
    <w:p w14:paraId="39B15C69" w14:textId="77777777" w:rsidR="0063667B" w:rsidRPr="0063667B" w:rsidRDefault="0063667B" w:rsidP="0063667B">
      <w:pPr>
        <w:spacing w:after="160" w:line="360" w:lineRule="auto"/>
        <w:jc w:val="both"/>
        <w:rPr>
          <w:rFonts w:ascii="Calibri" w:hAnsi="Calibri"/>
          <w:rtl/>
        </w:rPr>
      </w:pPr>
      <w:r w:rsidRPr="0063667B">
        <w:rPr>
          <w:rFonts w:ascii="Calibri" w:hAnsi="Calibri" w:hint="cs"/>
          <w:rtl/>
        </w:rPr>
        <w:t xml:space="preserve">3. מאסר על תנאי של 9 ח' למשך 3 שנים והתנאי שלא תעבור עבירה של קשירת קשר לביצוע עוון לפי סעיף </w:t>
      </w:r>
      <w:hyperlink r:id="rId52" w:history="1">
        <w:r w:rsidR="00066DAF" w:rsidRPr="00066DAF">
          <w:rPr>
            <w:rFonts w:ascii="Calibri" w:hAnsi="Calibri"/>
            <w:color w:val="0000FF"/>
            <w:u w:val="single"/>
            <w:rtl/>
          </w:rPr>
          <w:t>499 (</w:t>
        </w:r>
        <w:r w:rsidR="00066DAF" w:rsidRPr="00066DAF">
          <w:rPr>
            <w:rFonts w:ascii="Calibri" w:hAnsi="Calibri" w:hint="eastAsia"/>
            <w:color w:val="0000FF"/>
            <w:u w:val="single"/>
            <w:rtl/>
          </w:rPr>
          <w:t>א</w:t>
        </w:r>
        <w:r w:rsidR="00066DAF" w:rsidRPr="00066DAF">
          <w:rPr>
            <w:rFonts w:ascii="Calibri" w:hAnsi="Calibri"/>
            <w:color w:val="0000FF"/>
            <w:u w:val="single"/>
            <w:rtl/>
          </w:rPr>
          <w:t>)(2)</w:t>
        </w:r>
      </w:hyperlink>
      <w:r w:rsidRPr="0063667B">
        <w:rPr>
          <w:rFonts w:ascii="Calibri" w:hAnsi="Calibri" w:hint="cs"/>
          <w:rtl/>
        </w:rPr>
        <w:t xml:space="preserve"> ל</w:t>
      </w:r>
      <w:hyperlink r:id="rId53" w:history="1">
        <w:r w:rsidR="00E302D7" w:rsidRPr="00E302D7">
          <w:rPr>
            <w:rFonts w:ascii="Calibri" w:hAnsi="Calibri" w:hint="eastAsia"/>
            <w:color w:val="0000FF"/>
            <w:u w:val="single"/>
            <w:rtl/>
          </w:rPr>
          <w:t>חוק</w:t>
        </w:r>
        <w:r w:rsidR="00E302D7" w:rsidRPr="00E302D7">
          <w:rPr>
            <w:rFonts w:ascii="Calibri" w:hAnsi="Calibri"/>
            <w:color w:val="0000FF"/>
            <w:u w:val="single"/>
            <w:rtl/>
          </w:rPr>
          <w:t xml:space="preserve"> </w:t>
        </w:r>
        <w:r w:rsidR="00E302D7" w:rsidRPr="00E302D7">
          <w:rPr>
            <w:rFonts w:ascii="Calibri" w:hAnsi="Calibri" w:hint="eastAsia"/>
            <w:color w:val="0000FF"/>
            <w:u w:val="single"/>
            <w:rtl/>
          </w:rPr>
          <w:t>העונשין</w:t>
        </w:r>
      </w:hyperlink>
      <w:r w:rsidRPr="0063667B">
        <w:rPr>
          <w:rFonts w:ascii="Calibri" w:hAnsi="Calibri" w:hint="cs"/>
          <w:rtl/>
        </w:rPr>
        <w:t xml:space="preserve"> או עבירה מסוג עוון על </w:t>
      </w:r>
      <w:hyperlink r:id="rId54" w:history="1">
        <w:r w:rsidR="00E302D7" w:rsidRPr="00E302D7">
          <w:rPr>
            <w:rFonts w:ascii="Calibri" w:hAnsi="Calibri" w:hint="eastAsia"/>
            <w:color w:val="0000FF"/>
            <w:u w:val="single"/>
            <w:rtl/>
          </w:rPr>
          <w:t>פקודת</w:t>
        </w:r>
        <w:r w:rsidR="00E302D7" w:rsidRPr="00E302D7">
          <w:rPr>
            <w:rFonts w:ascii="Calibri" w:hAnsi="Calibri"/>
            <w:color w:val="0000FF"/>
            <w:u w:val="single"/>
            <w:rtl/>
          </w:rPr>
          <w:t xml:space="preserve"> </w:t>
        </w:r>
        <w:r w:rsidR="00E302D7" w:rsidRPr="00E302D7">
          <w:rPr>
            <w:rFonts w:ascii="Calibri" w:hAnsi="Calibri" w:hint="eastAsia"/>
            <w:color w:val="0000FF"/>
            <w:u w:val="single"/>
            <w:rtl/>
          </w:rPr>
          <w:t>הסמים</w:t>
        </w:r>
        <w:r w:rsidR="00E302D7" w:rsidRPr="00E302D7">
          <w:rPr>
            <w:rFonts w:ascii="Calibri" w:hAnsi="Calibri"/>
            <w:color w:val="0000FF"/>
            <w:u w:val="single"/>
            <w:rtl/>
          </w:rPr>
          <w:t xml:space="preserve"> </w:t>
        </w:r>
        <w:r w:rsidR="00E302D7" w:rsidRPr="00E302D7">
          <w:rPr>
            <w:rFonts w:ascii="Calibri" w:hAnsi="Calibri" w:hint="eastAsia"/>
            <w:color w:val="0000FF"/>
            <w:u w:val="single"/>
            <w:rtl/>
          </w:rPr>
          <w:t>המסוכנים</w:t>
        </w:r>
      </w:hyperlink>
      <w:r w:rsidRPr="0063667B">
        <w:rPr>
          <w:rFonts w:ascii="Calibri" w:hAnsi="Calibri" w:hint="cs"/>
          <w:rtl/>
        </w:rPr>
        <w:t>;</w:t>
      </w:r>
    </w:p>
    <w:p w14:paraId="6432FFF5" w14:textId="77777777" w:rsidR="0063667B" w:rsidRPr="0063667B" w:rsidRDefault="0063667B" w:rsidP="0063667B">
      <w:pPr>
        <w:spacing w:after="160" w:line="360" w:lineRule="auto"/>
        <w:jc w:val="both"/>
        <w:rPr>
          <w:rFonts w:ascii="Calibri" w:hAnsi="Calibri"/>
          <w:rtl/>
        </w:rPr>
      </w:pPr>
      <w:r w:rsidRPr="0063667B">
        <w:rPr>
          <w:rFonts w:ascii="Calibri" w:hAnsi="Calibri" w:hint="cs"/>
          <w:rtl/>
        </w:rPr>
        <w:t xml:space="preserve">4. בהסכמת הצדדים אני מורה על חילוט סך 3,140 </w:t>
      </w:r>
      <w:r w:rsidRPr="0063667B">
        <w:rPr>
          <w:rFonts w:ascii="Calibri" w:hAnsi="Calibri" w:hint="eastAsia"/>
          <w:rtl/>
        </w:rPr>
        <w:t>₪</w:t>
      </w:r>
      <w:r w:rsidRPr="0063667B">
        <w:rPr>
          <w:rFonts w:ascii="Calibri" w:hAnsi="Calibri" w:hint="cs"/>
          <w:rtl/>
        </w:rPr>
        <w:t xml:space="preserve"> אשר נתפס ברשות הנאשמת, לטובת אוצר המדינה.</w:t>
      </w:r>
    </w:p>
    <w:p w14:paraId="139255B7" w14:textId="77777777" w:rsidR="0063667B" w:rsidRPr="0063667B" w:rsidRDefault="0063667B" w:rsidP="0063667B">
      <w:pPr>
        <w:spacing w:after="160" w:line="360" w:lineRule="auto"/>
        <w:jc w:val="both"/>
        <w:rPr>
          <w:rFonts w:ascii="Calibri" w:hAnsi="Calibri"/>
          <w:rtl/>
        </w:rPr>
      </w:pPr>
      <w:r w:rsidRPr="0063667B">
        <w:rPr>
          <w:rFonts w:ascii="Calibri" w:hAnsi="Calibri" w:hint="cs"/>
          <w:rtl/>
        </w:rPr>
        <w:t>כמו כן, אני מעמיד הנאשמת בתקופת מבחן של שנה וחצי מהיום.</w:t>
      </w:r>
    </w:p>
    <w:p w14:paraId="6FEEFCAF" w14:textId="77777777" w:rsidR="0063667B" w:rsidRPr="0063667B" w:rsidRDefault="0063667B" w:rsidP="0063667B">
      <w:pPr>
        <w:spacing w:after="160" w:line="360" w:lineRule="auto"/>
        <w:jc w:val="both"/>
        <w:rPr>
          <w:rFonts w:ascii="Calibri" w:hAnsi="Calibri"/>
          <w:rtl/>
        </w:rPr>
      </w:pPr>
      <w:r w:rsidRPr="0063667B">
        <w:rPr>
          <w:rFonts w:ascii="Calibri" w:hAnsi="Calibri" w:hint="cs"/>
          <w:rtl/>
        </w:rPr>
        <w:t xml:space="preserve">הנאשמת מוזהרת בכל לשון של אזהרה כי אם לא תבצע השל"צ או אם לא תעמוד בתנאי מתנאי המבחן </w:t>
      </w:r>
      <w:r w:rsidRPr="0063667B">
        <w:rPr>
          <w:rFonts w:ascii="Calibri" w:hAnsi="Calibri"/>
          <w:rtl/>
        </w:rPr>
        <w:t>–</w:t>
      </w:r>
      <w:r w:rsidRPr="0063667B">
        <w:rPr>
          <w:rFonts w:ascii="Calibri" w:hAnsi="Calibri" w:hint="cs"/>
          <w:rtl/>
        </w:rPr>
        <w:t xml:space="preserve">  אהיה רשאי לשוב ולגזור את דינה לרבות כליאתה מאחורי סורג ובריח.</w:t>
      </w:r>
    </w:p>
    <w:p w14:paraId="3E60B00C" w14:textId="77777777" w:rsidR="0063667B" w:rsidRPr="0063667B" w:rsidRDefault="0063667B" w:rsidP="0063667B">
      <w:pPr>
        <w:spacing w:after="160"/>
        <w:jc w:val="both"/>
        <w:rPr>
          <w:rFonts w:ascii="Calibri" w:hAnsi="Calibri"/>
          <w:b/>
          <w:bCs/>
          <w:sz w:val="16"/>
          <w:szCs w:val="16"/>
          <w:rtl/>
        </w:rPr>
      </w:pPr>
    </w:p>
    <w:p w14:paraId="1E4E9A8C" w14:textId="77777777" w:rsidR="0063667B" w:rsidRPr="0063667B" w:rsidRDefault="0063667B" w:rsidP="0063667B">
      <w:pPr>
        <w:spacing w:after="160" w:line="276" w:lineRule="auto"/>
        <w:jc w:val="both"/>
        <w:rPr>
          <w:rFonts w:ascii="Calibri" w:hAnsi="Calibri"/>
          <w:b/>
          <w:bCs/>
          <w:rtl/>
        </w:rPr>
      </w:pPr>
      <w:r w:rsidRPr="0063667B">
        <w:rPr>
          <w:rFonts w:ascii="Calibri" w:hAnsi="Calibri" w:hint="cs"/>
          <w:b/>
          <w:bCs/>
          <w:rtl/>
        </w:rPr>
        <w:t>העתק גזה"ד לשירות המבחן.</w:t>
      </w:r>
    </w:p>
    <w:p w14:paraId="488BACB3" w14:textId="77777777" w:rsidR="0063667B" w:rsidRDefault="0063667B" w:rsidP="0063667B">
      <w:pPr>
        <w:spacing w:after="160" w:line="276" w:lineRule="auto"/>
        <w:jc w:val="both"/>
        <w:rPr>
          <w:rtl/>
        </w:rPr>
      </w:pPr>
      <w:r w:rsidRPr="0063667B">
        <w:rPr>
          <w:rFonts w:ascii="Calibri" w:hAnsi="Calibri" w:hint="cs"/>
          <w:rtl/>
        </w:rPr>
        <w:t>זכות ערעור כחוק.</w:t>
      </w:r>
    </w:p>
    <w:p w14:paraId="316D1F94" w14:textId="77777777" w:rsidR="0063667B" w:rsidRPr="00E302D7" w:rsidRDefault="00E302D7" w:rsidP="0063667B">
      <w:pPr>
        <w:spacing w:after="160" w:line="276" w:lineRule="auto"/>
        <w:jc w:val="both"/>
        <w:rPr>
          <w:color w:val="FFFFFF"/>
          <w:sz w:val="2"/>
          <w:szCs w:val="2"/>
          <w:rtl/>
        </w:rPr>
      </w:pPr>
      <w:r w:rsidRPr="00E302D7">
        <w:rPr>
          <w:color w:val="FFFFFF"/>
          <w:sz w:val="2"/>
          <w:szCs w:val="2"/>
          <w:rtl/>
        </w:rPr>
        <w:t>5129371</w:t>
      </w:r>
    </w:p>
    <w:p w14:paraId="42612E5B" w14:textId="77777777" w:rsidR="0063667B" w:rsidRPr="00250B83" w:rsidRDefault="00E302D7" w:rsidP="0063667B">
      <w:pPr>
        <w:rPr>
          <w:rtl/>
        </w:rPr>
      </w:pPr>
      <w:r w:rsidRPr="00E302D7">
        <w:rPr>
          <w:rFonts w:ascii="Arial" w:hAnsi="Arial"/>
          <w:color w:val="FFFFFF"/>
          <w:sz w:val="2"/>
          <w:szCs w:val="2"/>
          <w:rtl/>
        </w:rPr>
        <w:t>54678313</w:t>
      </w:r>
      <w:r>
        <w:rPr>
          <w:rFonts w:ascii="Arial" w:hAnsi="Arial"/>
          <w:rtl/>
        </w:rPr>
        <w:t xml:space="preserve">ניתן היום, כ"ב שבט תשע"ח, 7 בפברואר 2018  במעמד הצדדים. </w:t>
      </w:r>
    </w:p>
    <w:p w14:paraId="253C3EBD" w14:textId="77777777" w:rsidR="0063667B" w:rsidRPr="00250B83" w:rsidRDefault="0063667B" w:rsidP="0063667B">
      <w:pPr>
        <w:jc w:val="center"/>
      </w:pPr>
      <w:r>
        <w:rPr>
          <w:rFonts w:hint="cs"/>
          <w:rtl/>
        </w:rPr>
        <w:t xml:space="preserve"> </w:t>
      </w:r>
      <w:r w:rsidRPr="00250B83">
        <w:rPr>
          <w:rFonts w:hint="cs"/>
          <w:rtl/>
        </w:rPr>
        <w:t xml:space="preserve"> </w:t>
      </w:r>
      <w:r w:rsidRPr="00250B83">
        <w:rPr>
          <w:rFonts w:hint="cs"/>
          <w:rtl/>
        </w:rPr>
        <w:tab/>
      </w:r>
      <w:r w:rsidRPr="00250B83">
        <w:rPr>
          <w:rFonts w:hint="cs"/>
          <w:rtl/>
        </w:rPr>
        <w:tab/>
      </w:r>
      <w:r w:rsidRPr="00250B83">
        <w:rPr>
          <w:rFonts w:hint="cs"/>
          <w:rtl/>
        </w:rPr>
        <w:tab/>
      </w:r>
      <w:r w:rsidRPr="00250B83">
        <w:rPr>
          <w:rFonts w:hint="cs"/>
          <w:rtl/>
        </w:rPr>
        <w:tab/>
      </w:r>
      <w:r w:rsidRPr="00250B83">
        <w:rPr>
          <w:rFonts w:hint="cs"/>
          <w:rtl/>
        </w:rPr>
        <w:tab/>
      </w:r>
      <w:r>
        <w:rPr>
          <w:rtl/>
        </w:rPr>
        <w:t xml:space="preserve">     </w:t>
      </w:r>
    </w:p>
    <w:p w14:paraId="133F9ECC" w14:textId="77777777" w:rsidR="0063667B" w:rsidRPr="00250B83" w:rsidRDefault="0063667B" w:rsidP="0063667B">
      <w:pPr>
        <w:jc w:val="center"/>
        <w:rPr>
          <w:rFonts w:ascii="Arial" w:hAnsi="Arial"/>
          <w:rtl/>
        </w:rPr>
      </w:pPr>
    </w:p>
    <w:p w14:paraId="0ABBAC30" w14:textId="77777777" w:rsidR="0063667B" w:rsidRPr="00250B83" w:rsidRDefault="0063667B" w:rsidP="0063667B">
      <w:pPr>
        <w:rPr>
          <w:rtl/>
        </w:rPr>
      </w:pPr>
    </w:p>
    <w:p w14:paraId="5CC96A21" w14:textId="77777777" w:rsidR="0063667B" w:rsidRPr="00066DAF" w:rsidRDefault="00066DAF" w:rsidP="0063667B">
      <w:pPr>
        <w:pStyle w:val="a3"/>
        <w:jc w:val="center"/>
        <w:rPr>
          <w:color w:val="FFFFFF"/>
          <w:sz w:val="2"/>
          <w:szCs w:val="2"/>
          <w:rtl/>
        </w:rPr>
      </w:pPr>
      <w:r w:rsidRPr="00066DAF">
        <w:rPr>
          <w:color w:val="FFFFFF"/>
          <w:sz w:val="2"/>
          <w:szCs w:val="2"/>
          <w:rtl/>
        </w:rPr>
        <w:t>5129371</w:t>
      </w:r>
    </w:p>
    <w:p w14:paraId="35F952C6" w14:textId="77777777" w:rsidR="002D7B2F" w:rsidRPr="00066DAF" w:rsidRDefault="00066DAF" w:rsidP="00E302D7">
      <w:pPr>
        <w:keepNext/>
        <w:rPr>
          <w:rFonts w:ascii="David" w:hAnsi="David"/>
          <w:color w:val="FFFFFF"/>
          <w:sz w:val="2"/>
          <w:szCs w:val="2"/>
          <w:rtl/>
        </w:rPr>
      </w:pPr>
      <w:r w:rsidRPr="00066DAF">
        <w:rPr>
          <w:rFonts w:ascii="David" w:hAnsi="David"/>
          <w:color w:val="FFFFFF"/>
          <w:sz w:val="2"/>
          <w:szCs w:val="2"/>
          <w:rtl/>
        </w:rPr>
        <w:t>54678313</w:t>
      </w:r>
    </w:p>
    <w:p w14:paraId="38E94727" w14:textId="77777777" w:rsidR="00E302D7" w:rsidRPr="00E302D7" w:rsidRDefault="00E302D7" w:rsidP="00E302D7">
      <w:pPr>
        <w:keepNext/>
        <w:rPr>
          <w:rFonts w:ascii="David" w:hAnsi="David"/>
          <w:color w:val="000000"/>
          <w:sz w:val="22"/>
          <w:szCs w:val="22"/>
          <w:rtl/>
        </w:rPr>
      </w:pPr>
      <w:r w:rsidRPr="00E302D7">
        <w:rPr>
          <w:rFonts w:ascii="David" w:hAnsi="David"/>
          <w:color w:val="000000"/>
          <w:sz w:val="22"/>
          <w:szCs w:val="22"/>
          <w:rtl/>
        </w:rPr>
        <w:t>ציון קאפח 54678313</w:t>
      </w:r>
    </w:p>
    <w:p w14:paraId="685B791C" w14:textId="77777777" w:rsidR="00E302D7" w:rsidRDefault="00E302D7" w:rsidP="00E302D7">
      <w:r w:rsidRPr="00E302D7">
        <w:rPr>
          <w:color w:val="000000"/>
          <w:rtl/>
        </w:rPr>
        <w:t>נוסח מסמך זה כפוף לשינויי ניסוח ועריכה</w:t>
      </w:r>
    </w:p>
    <w:p w14:paraId="18420E20" w14:textId="77777777" w:rsidR="00E302D7" w:rsidRDefault="00E302D7" w:rsidP="00E302D7">
      <w:pPr>
        <w:rPr>
          <w:rtl/>
        </w:rPr>
      </w:pPr>
    </w:p>
    <w:p w14:paraId="3924AB21" w14:textId="77777777" w:rsidR="00E302D7" w:rsidRDefault="00E302D7" w:rsidP="00E302D7">
      <w:pPr>
        <w:jc w:val="center"/>
        <w:rPr>
          <w:color w:val="0000FF"/>
          <w:u w:val="single"/>
        </w:rPr>
      </w:pPr>
      <w:hyperlink r:id="rId55" w:history="1">
        <w:r>
          <w:rPr>
            <w:color w:val="0000FF"/>
            <w:u w:val="single"/>
            <w:rtl/>
          </w:rPr>
          <w:t>בעניין עריכה ושינויים במסמכי פסיקה, חקיקה ועוד באתר נבו – הקש כאן</w:t>
        </w:r>
      </w:hyperlink>
    </w:p>
    <w:p w14:paraId="4EC5F218" w14:textId="77777777" w:rsidR="00066DAF" w:rsidRPr="00066DAF" w:rsidRDefault="00066DAF" w:rsidP="00066DAF">
      <w:pPr>
        <w:keepNext/>
        <w:rPr>
          <w:rFonts w:ascii="David" w:hAnsi="David"/>
          <w:color w:val="000000"/>
          <w:sz w:val="22"/>
          <w:szCs w:val="22"/>
          <w:rtl/>
        </w:rPr>
      </w:pPr>
    </w:p>
    <w:sectPr w:rsidR="00066DAF" w:rsidRPr="00066DAF" w:rsidSect="00066DAF">
      <w:headerReference w:type="even" r:id="rId56"/>
      <w:headerReference w:type="default" r:id="rId57"/>
      <w:footerReference w:type="even" r:id="rId58"/>
      <w:footerReference w:type="default" r:id="rId59"/>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D3A6FD3" w14:textId="77777777" w:rsidR="00A11B6B" w:rsidRDefault="00A11B6B" w:rsidP="009F306B">
      <w:r>
        <w:separator/>
      </w:r>
    </w:p>
  </w:endnote>
  <w:endnote w:type="continuationSeparator" w:id="0">
    <w:p w14:paraId="082E5484" w14:textId="77777777" w:rsidR="00A11B6B" w:rsidRDefault="00A11B6B" w:rsidP="009F30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43E12D" w14:textId="77777777" w:rsidR="00A11B6B" w:rsidRDefault="00A11B6B" w:rsidP="00066DAF">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5D22321E" w14:textId="77777777" w:rsidR="00A11B6B" w:rsidRPr="00066DAF" w:rsidRDefault="00A11B6B" w:rsidP="00066DAF">
    <w:pPr>
      <w:pStyle w:val="a5"/>
      <w:pBdr>
        <w:top w:val="single" w:sz="4" w:space="1" w:color="auto"/>
        <w:between w:val="single" w:sz="4" w:space="0" w:color="auto"/>
      </w:pBdr>
      <w:spacing w:after="60"/>
      <w:jc w:val="center"/>
      <w:rPr>
        <w:rFonts w:ascii="FrankRuehl" w:hAnsi="FrankRuehl" w:cs="FrankRuehl"/>
        <w:color w:val="000000"/>
      </w:rPr>
    </w:pPr>
    <w:r w:rsidRPr="00066DAF">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C44ABB" w14:textId="77777777" w:rsidR="00A11B6B" w:rsidRDefault="00A11B6B" w:rsidP="00066DAF">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9F5BAB">
      <w:rPr>
        <w:rFonts w:ascii="FrankRuehl" w:hAnsi="FrankRuehl" w:cs="FrankRuehl"/>
        <w:noProof/>
        <w:rtl/>
      </w:rPr>
      <w:t>1</w:t>
    </w:r>
    <w:r>
      <w:rPr>
        <w:rFonts w:ascii="FrankRuehl" w:hAnsi="FrankRuehl" w:cs="FrankRuehl"/>
        <w:rtl/>
      </w:rPr>
      <w:fldChar w:fldCharType="end"/>
    </w:r>
  </w:p>
  <w:p w14:paraId="6973C6A4" w14:textId="77777777" w:rsidR="00A11B6B" w:rsidRPr="00066DAF" w:rsidRDefault="00A11B6B" w:rsidP="00066DAF">
    <w:pPr>
      <w:pStyle w:val="a5"/>
      <w:pBdr>
        <w:top w:val="single" w:sz="4" w:space="1" w:color="auto"/>
        <w:between w:val="single" w:sz="4" w:space="0" w:color="auto"/>
      </w:pBdr>
      <w:spacing w:after="60"/>
      <w:jc w:val="center"/>
      <w:rPr>
        <w:rFonts w:ascii="FrankRuehl" w:hAnsi="FrankRuehl" w:cs="FrankRuehl"/>
        <w:color w:val="000000"/>
      </w:rPr>
    </w:pPr>
    <w:r w:rsidRPr="00066DAF">
      <w:rPr>
        <w:rFonts w:ascii="FrankRuehl" w:hAnsi="FrankRuehl" w:cs="FrankRuehl"/>
        <w:color w:val="000000"/>
      </w:rPr>
      <w:pict w14:anchorId="296511A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E7290B8" w14:textId="77777777" w:rsidR="00A11B6B" w:rsidRDefault="00A11B6B" w:rsidP="009F306B">
      <w:r>
        <w:separator/>
      </w:r>
    </w:p>
  </w:footnote>
  <w:footnote w:type="continuationSeparator" w:id="0">
    <w:p w14:paraId="38D5ECA5" w14:textId="77777777" w:rsidR="00A11B6B" w:rsidRDefault="00A11B6B" w:rsidP="009F306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924DFA" w14:textId="77777777" w:rsidR="00A11B6B" w:rsidRPr="00066DAF" w:rsidRDefault="00A11B6B" w:rsidP="00066DAF">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(ת"א) 63255-11-16</w:t>
    </w:r>
    <w:r>
      <w:rPr>
        <w:rFonts w:ascii="David" w:hAnsi="David"/>
        <w:color w:val="000000"/>
        <w:sz w:val="22"/>
        <w:szCs w:val="22"/>
        <w:rtl/>
      </w:rPr>
      <w:tab/>
      <w:t xml:space="preserve"> מדינת ישראל נ' איילת טורג'מן</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6FDED4" w14:textId="77777777" w:rsidR="00A11B6B" w:rsidRPr="00066DAF" w:rsidRDefault="00A11B6B" w:rsidP="00066DAF">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(ת"א) 63255-11-16</w:t>
    </w:r>
    <w:r>
      <w:rPr>
        <w:rFonts w:ascii="David" w:hAnsi="David"/>
        <w:color w:val="000000"/>
        <w:sz w:val="22"/>
        <w:szCs w:val="22"/>
        <w:rtl/>
      </w:rPr>
      <w:tab/>
      <w:t xml:space="preserve"> מדינת ישראל נ' איילת טורג'מן</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D5F0001"/>
    <w:multiLevelType w:val="hybridMultilevel"/>
    <w:tmpl w:val="CC1CC1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EEC4C05"/>
    <w:multiLevelType w:val="hybridMultilevel"/>
    <w:tmpl w:val="62BE96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4110529">
    <w:abstractNumId w:val="0"/>
  </w:num>
  <w:num w:numId="2" w16cid:durableId="197868487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63667B"/>
    <w:rsid w:val="00066DAF"/>
    <w:rsid w:val="002D7B2F"/>
    <w:rsid w:val="00594302"/>
    <w:rsid w:val="0063667B"/>
    <w:rsid w:val="00771286"/>
    <w:rsid w:val="00945558"/>
    <w:rsid w:val="009F306B"/>
    <w:rsid w:val="009F5BAB"/>
    <w:rsid w:val="00A11B6B"/>
    <w:rsid w:val="00BA16A0"/>
    <w:rsid w:val="00D32905"/>
    <w:rsid w:val="00E302D7"/>
    <w:rsid w:val="00E5520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4:docId w14:val="5C5EBE3A"/>
  <w15:chartTrackingRefBased/>
  <w15:docId w15:val="{6CC49A96-2546-4B20-A9EC-F610F565F9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63667B"/>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63667B"/>
    <w:pPr>
      <w:tabs>
        <w:tab w:val="center" w:pos="4153"/>
        <w:tab w:val="right" w:pos="8306"/>
      </w:tabs>
    </w:pPr>
  </w:style>
  <w:style w:type="character" w:customStyle="1" w:styleId="a4">
    <w:name w:val="כותרת עליונה תו"/>
    <w:link w:val="a3"/>
    <w:rsid w:val="0063667B"/>
    <w:rPr>
      <w:rFonts w:ascii="Times New Roman" w:eastAsia="Times New Roman" w:hAnsi="Times New Roman" w:cs="David"/>
      <w:sz w:val="24"/>
      <w:szCs w:val="24"/>
    </w:rPr>
  </w:style>
  <w:style w:type="paragraph" w:styleId="a5">
    <w:name w:val="footer"/>
    <w:basedOn w:val="a"/>
    <w:link w:val="a6"/>
    <w:rsid w:val="0063667B"/>
    <w:pPr>
      <w:tabs>
        <w:tab w:val="center" w:pos="4153"/>
        <w:tab w:val="right" w:pos="8306"/>
      </w:tabs>
    </w:pPr>
  </w:style>
  <w:style w:type="character" w:customStyle="1" w:styleId="a6">
    <w:name w:val="כותרת תחתונה תו"/>
    <w:link w:val="a5"/>
    <w:rsid w:val="0063667B"/>
    <w:rPr>
      <w:rFonts w:ascii="Times New Roman" w:eastAsia="Times New Roman" w:hAnsi="Times New Roman" w:cs="David"/>
      <w:sz w:val="24"/>
      <w:szCs w:val="24"/>
    </w:rPr>
  </w:style>
  <w:style w:type="table" w:styleId="a7">
    <w:name w:val="Table Grid"/>
    <w:basedOn w:val="a1"/>
    <w:rsid w:val="0063667B"/>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63667B"/>
  </w:style>
  <w:style w:type="paragraph" w:styleId="a9">
    <w:name w:val="List Paragraph"/>
    <w:basedOn w:val="a"/>
    <w:qFormat/>
    <w:rsid w:val="0063667B"/>
    <w:pPr>
      <w:ind w:left="720"/>
      <w:contextualSpacing/>
    </w:pPr>
  </w:style>
  <w:style w:type="character" w:styleId="Hyperlink">
    <w:name w:val="Hyperlink"/>
    <w:rsid w:val="00E302D7"/>
    <w:rPr>
      <w:color w:val="0563C1"/>
      <w:u w:val="single"/>
    </w:rPr>
  </w:style>
  <w:style w:type="character" w:styleId="aa">
    <w:name w:val="Unresolved Mention"/>
    <w:rsid w:val="00E302D7"/>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40i.3" TargetMode="External"/><Relationship Id="rId18" Type="http://schemas.openxmlformats.org/officeDocument/2006/relationships/hyperlink" Target="http://www.nevo.co.il/law/4216/7.a." TargetMode="External"/><Relationship Id="rId26" Type="http://schemas.openxmlformats.org/officeDocument/2006/relationships/hyperlink" Target="http://www.nevo.co.il/law/4216" TargetMode="External"/><Relationship Id="rId39" Type="http://schemas.openxmlformats.org/officeDocument/2006/relationships/hyperlink" Target="http://www.nevo.co.il/law/70301/40c.b" TargetMode="External"/><Relationship Id="rId21" Type="http://schemas.openxmlformats.org/officeDocument/2006/relationships/hyperlink" Target="http://www.nevo.co.il/law/4216/13" TargetMode="External"/><Relationship Id="rId34" Type="http://schemas.openxmlformats.org/officeDocument/2006/relationships/hyperlink" Target="http://www.nevo.co.il/case/20118363" TargetMode="External"/><Relationship Id="rId42" Type="http://schemas.openxmlformats.org/officeDocument/2006/relationships/hyperlink" Target="http://www.nevo.co.il/law/70301/40d.a" TargetMode="External"/><Relationship Id="rId47" Type="http://schemas.openxmlformats.org/officeDocument/2006/relationships/hyperlink" Target="http://www.nevo.co.il/case/17089471" TargetMode="External"/><Relationship Id="rId50" Type="http://schemas.openxmlformats.org/officeDocument/2006/relationships/hyperlink" Target="http://www.nevo.co.il/law/70301" TargetMode="External"/><Relationship Id="rId55" Type="http://schemas.openxmlformats.org/officeDocument/2006/relationships/hyperlink" Target="http://www.nevo.co.il/advertisements/nevo-100.doc" TargetMode="External"/><Relationship Id="rId7" Type="http://schemas.openxmlformats.org/officeDocument/2006/relationships/hyperlink" Target="http://www.nevo.co.il/law/70301" TargetMode="External"/><Relationship Id="rId2" Type="http://schemas.openxmlformats.org/officeDocument/2006/relationships/styles" Target="styles.xml"/><Relationship Id="rId16" Type="http://schemas.openxmlformats.org/officeDocument/2006/relationships/hyperlink" Target="http://www.nevo.co.il/law/70301/499.a.2" TargetMode="External"/><Relationship Id="rId29" Type="http://schemas.openxmlformats.org/officeDocument/2006/relationships/hyperlink" Target="http://www.nevo.co.il/case/5585052" TargetMode="External"/><Relationship Id="rId11" Type="http://schemas.openxmlformats.org/officeDocument/2006/relationships/hyperlink" Target="http://www.nevo.co.il/law/70301/40d.b" TargetMode="External"/><Relationship Id="rId24" Type="http://schemas.openxmlformats.org/officeDocument/2006/relationships/hyperlink" Target="http://www.nevo.co.il/law/70301" TargetMode="External"/><Relationship Id="rId32" Type="http://schemas.openxmlformats.org/officeDocument/2006/relationships/hyperlink" Target="http://www.nevo.co.il/case/17947582" TargetMode="External"/><Relationship Id="rId37" Type="http://schemas.openxmlformats.org/officeDocument/2006/relationships/hyperlink" Target="http://www.nevo.co.il/case/20154414" TargetMode="External"/><Relationship Id="rId40" Type="http://schemas.openxmlformats.org/officeDocument/2006/relationships/hyperlink" Target="http://www.nevo.co.il/law/70301/40d" TargetMode="External"/><Relationship Id="rId45" Type="http://schemas.openxmlformats.org/officeDocument/2006/relationships/hyperlink" Target="http://www.nevo.co.il/case/10442671" TargetMode="External"/><Relationship Id="rId53" Type="http://schemas.openxmlformats.org/officeDocument/2006/relationships/hyperlink" Target="http://www.nevo.co.il/law/70301" TargetMode="External"/><Relationship Id="rId58" Type="http://schemas.openxmlformats.org/officeDocument/2006/relationships/footer" Target="footer1.xml"/><Relationship Id="rId5" Type="http://schemas.openxmlformats.org/officeDocument/2006/relationships/footnotes" Target="footnotes.xml"/><Relationship Id="rId61" Type="http://schemas.openxmlformats.org/officeDocument/2006/relationships/theme" Target="theme/theme1.xml"/><Relationship Id="rId19" Type="http://schemas.openxmlformats.org/officeDocument/2006/relationships/hyperlink" Target="http://www.nevo.co.il/law/4216/7.c" TargetMode="External"/><Relationship Id="rId14" Type="http://schemas.openxmlformats.org/officeDocument/2006/relationships/hyperlink" Target="http://www.nevo.co.il/law/70301/40i.4" TargetMode="External"/><Relationship Id="rId22" Type="http://schemas.openxmlformats.org/officeDocument/2006/relationships/hyperlink" Target="http://www.nevo.co.il/law/71553" TargetMode="External"/><Relationship Id="rId27" Type="http://schemas.openxmlformats.org/officeDocument/2006/relationships/hyperlink" Target="http://www.nevo.co.il/law/4216/7.a.;7.c" TargetMode="External"/><Relationship Id="rId30" Type="http://schemas.openxmlformats.org/officeDocument/2006/relationships/hyperlink" Target="http://www.nevo.co.il/case/5726579" TargetMode="External"/><Relationship Id="rId35" Type="http://schemas.openxmlformats.org/officeDocument/2006/relationships/hyperlink" Target="http://www.nevo.co.il/law/70301/40i.3" TargetMode="External"/><Relationship Id="rId43" Type="http://schemas.openxmlformats.org/officeDocument/2006/relationships/hyperlink" Target="http://www.nevo.co.il/law/71553" TargetMode="External"/><Relationship Id="rId48" Type="http://schemas.openxmlformats.org/officeDocument/2006/relationships/hyperlink" Target="http://www.nevo.co.il/law/70301/40d.a" TargetMode="External"/><Relationship Id="rId56" Type="http://schemas.openxmlformats.org/officeDocument/2006/relationships/header" Target="header1.xml"/><Relationship Id="rId8" Type="http://schemas.openxmlformats.org/officeDocument/2006/relationships/hyperlink" Target="http://www.nevo.co.il/law/70301/40c.b" TargetMode="External"/><Relationship Id="rId51" Type="http://schemas.openxmlformats.org/officeDocument/2006/relationships/hyperlink" Target="http://www.nevo.co.il/law/4216" TargetMode="External"/><Relationship Id="rId3" Type="http://schemas.openxmlformats.org/officeDocument/2006/relationships/settings" Target="settings.xml"/><Relationship Id="rId12" Type="http://schemas.openxmlformats.org/officeDocument/2006/relationships/hyperlink" Target="http://www.nevo.co.il/law/70301/40e" TargetMode="External"/><Relationship Id="rId17" Type="http://schemas.openxmlformats.org/officeDocument/2006/relationships/hyperlink" Target="http://www.nevo.co.il/law/4216" TargetMode="External"/><Relationship Id="rId25" Type="http://schemas.openxmlformats.org/officeDocument/2006/relationships/hyperlink" Target="http://www.nevo.co.il/law/4216/13" TargetMode="External"/><Relationship Id="rId33" Type="http://schemas.openxmlformats.org/officeDocument/2006/relationships/hyperlink" Target="http://www.nevo.co.il/case/20151395" TargetMode="External"/><Relationship Id="rId38" Type="http://schemas.openxmlformats.org/officeDocument/2006/relationships/hyperlink" Target="http://www.nevo.co.il/case/18653890" TargetMode="External"/><Relationship Id="rId46" Type="http://schemas.openxmlformats.org/officeDocument/2006/relationships/hyperlink" Target="http://www.nevo.co.il/case/6824952" TargetMode="External"/><Relationship Id="rId59" Type="http://schemas.openxmlformats.org/officeDocument/2006/relationships/footer" Target="footer2.xml"/><Relationship Id="rId20" Type="http://schemas.openxmlformats.org/officeDocument/2006/relationships/hyperlink" Target="http://www.nevo.co.il/law/4216/10" TargetMode="External"/><Relationship Id="rId41" Type="http://schemas.openxmlformats.org/officeDocument/2006/relationships/hyperlink" Target="http://www.nevo.co.il/law/70301/40e" TargetMode="External"/><Relationship Id="rId54" Type="http://schemas.openxmlformats.org/officeDocument/2006/relationships/hyperlink" Target="http://www.nevo.co.il/law/4216"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70301/499.a.1" TargetMode="External"/><Relationship Id="rId23" Type="http://schemas.openxmlformats.org/officeDocument/2006/relationships/hyperlink" Target="http://www.nevo.co.il/law/70301/499.a.1" TargetMode="External"/><Relationship Id="rId28" Type="http://schemas.openxmlformats.org/officeDocument/2006/relationships/hyperlink" Target="http://www.nevo.co.il/law/4216/10" TargetMode="External"/><Relationship Id="rId36" Type="http://schemas.openxmlformats.org/officeDocument/2006/relationships/hyperlink" Target="http://www.nevo.co.il/law/70301/40i.4" TargetMode="External"/><Relationship Id="rId49" Type="http://schemas.openxmlformats.org/officeDocument/2006/relationships/hyperlink" Target="http://www.nevo.co.il/law/70301/499.a.1" TargetMode="External"/><Relationship Id="rId57" Type="http://schemas.openxmlformats.org/officeDocument/2006/relationships/header" Target="header2.xml"/><Relationship Id="rId10" Type="http://schemas.openxmlformats.org/officeDocument/2006/relationships/hyperlink" Target="http://www.nevo.co.il/law/70301/40d.a" TargetMode="External"/><Relationship Id="rId31" Type="http://schemas.openxmlformats.org/officeDocument/2006/relationships/hyperlink" Target="http://www.nevo.co.il/case/20683594" TargetMode="External"/><Relationship Id="rId44" Type="http://schemas.openxmlformats.org/officeDocument/2006/relationships/hyperlink" Target="http://www.nevo.co.il/law/70301/40d.b" TargetMode="External"/><Relationship Id="rId52" Type="http://schemas.openxmlformats.org/officeDocument/2006/relationships/hyperlink" Target="http://www.nevo.co.il/law/70301/499.a.2" TargetMode="External"/><Relationship Id="rId6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nevo.co.il/law/70301/40d"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3050</Words>
  <Characters>15250</Characters>
  <Application>Microsoft Office Word</Application>
  <DocSecurity>0</DocSecurity>
  <Lines>127</Lines>
  <Paragraphs>36</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18264</CharactersWithSpaces>
  <SharedDoc>false</SharedDoc>
  <HLinks>
    <vt:vector size="294" baseType="variant">
      <vt:variant>
        <vt:i4>393283</vt:i4>
      </vt:variant>
      <vt:variant>
        <vt:i4>144</vt:i4>
      </vt:variant>
      <vt:variant>
        <vt:i4>0</vt:i4>
      </vt:variant>
      <vt:variant>
        <vt:i4>5</vt:i4>
      </vt:variant>
      <vt:variant>
        <vt:lpwstr>http://www.nevo.co.il/advertisements/nevo-100.doc</vt:lpwstr>
      </vt:variant>
      <vt:variant>
        <vt:lpwstr/>
      </vt:variant>
      <vt:variant>
        <vt:i4>8257637</vt:i4>
      </vt:variant>
      <vt:variant>
        <vt:i4>141</vt:i4>
      </vt:variant>
      <vt:variant>
        <vt:i4>0</vt:i4>
      </vt:variant>
      <vt:variant>
        <vt:i4>5</vt:i4>
      </vt:variant>
      <vt:variant>
        <vt:lpwstr>http://www.nevo.co.il/law/4216</vt:lpwstr>
      </vt:variant>
      <vt:variant>
        <vt:lpwstr/>
      </vt:variant>
      <vt:variant>
        <vt:i4>7995492</vt:i4>
      </vt:variant>
      <vt:variant>
        <vt:i4>138</vt:i4>
      </vt:variant>
      <vt:variant>
        <vt:i4>0</vt:i4>
      </vt:variant>
      <vt:variant>
        <vt:i4>5</vt:i4>
      </vt:variant>
      <vt:variant>
        <vt:lpwstr>http://www.nevo.co.il/law/70301</vt:lpwstr>
      </vt:variant>
      <vt:variant>
        <vt:lpwstr/>
      </vt:variant>
      <vt:variant>
        <vt:i4>7077945</vt:i4>
      </vt:variant>
      <vt:variant>
        <vt:i4>135</vt:i4>
      </vt:variant>
      <vt:variant>
        <vt:i4>0</vt:i4>
      </vt:variant>
      <vt:variant>
        <vt:i4>5</vt:i4>
      </vt:variant>
      <vt:variant>
        <vt:lpwstr>http://www.nevo.co.il/law/70301/499.a.2</vt:lpwstr>
      </vt:variant>
      <vt:variant>
        <vt:lpwstr/>
      </vt:variant>
      <vt:variant>
        <vt:i4>8257637</vt:i4>
      </vt:variant>
      <vt:variant>
        <vt:i4>132</vt:i4>
      </vt:variant>
      <vt:variant>
        <vt:i4>0</vt:i4>
      </vt:variant>
      <vt:variant>
        <vt:i4>5</vt:i4>
      </vt:variant>
      <vt:variant>
        <vt:lpwstr>http://www.nevo.co.il/law/4216</vt:lpwstr>
      </vt:variant>
      <vt:variant>
        <vt:lpwstr/>
      </vt:variant>
      <vt:variant>
        <vt:i4>7995492</vt:i4>
      </vt:variant>
      <vt:variant>
        <vt:i4>129</vt:i4>
      </vt:variant>
      <vt:variant>
        <vt:i4>0</vt:i4>
      </vt:variant>
      <vt:variant>
        <vt:i4>5</vt:i4>
      </vt:variant>
      <vt:variant>
        <vt:lpwstr>http://www.nevo.co.il/law/70301</vt:lpwstr>
      </vt:variant>
      <vt:variant>
        <vt:lpwstr/>
      </vt:variant>
      <vt:variant>
        <vt:i4>7077945</vt:i4>
      </vt:variant>
      <vt:variant>
        <vt:i4>126</vt:i4>
      </vt:variant>
      <vt:variant>
        <vt:i4>0</vt:i4>
      </vt:variant>
      <vt:variant>
        <vt:i4>5</vt:i4>
      </vt:variant>
      <vt:variant>
        <vt:lpwstr>http://www.nevo.co.il/law/70301/499.a.1</vt:lpwstr>
      </vt:variant>
      <vt:variant>
        <vt:lpwstr/>
      </vt:variant>
      <vt:variant>
        <vt:i4>4915205</vt:i4>
      </vt:variant>
      <vt:variant>
        <vt:i4>123</vt:i4>
      </vt:variant>
      <vt:variant>
        <vt:i4>0</vt:i4>
      </vt:variant>
      <vt:variant>
        <vt:i4>5</vt:i4>
      </vt:variant>
      <vt:variant>
        <vt:lpwstr>http://www.nevo.co.il/law/70301/40d.a</vt:lpwstr>
      </vt:variant>
      <vt:variant>
        <vt:lpwstr/>
      </vt:variant>
      <vt:variant>
        <vt:i4>4128895</vt:i4>
      </vt:variant>
      <vt:variant>
        <vt:i4>120</vt:i4>
      </vt:variant>
      <vt:variant>
        <vt:i4>0</vt:i4>
      </vt:variant>
      <vt:variant>
        <vt:i4>5</vt:i4>
      </vt:variant>
      <vt:variant>
        <vt:lpwstr>http://www.nevo.co.il/case/17089471</vt:lpwstr>
      </vt:variant>
      <vt:variant>
        <vt:lpwstr/>
      </vt:variant>
      <vt:variant>
        <vt:i4>4128893</vt:i4>
      </vt:variant>
      <vt:variant>
        <vt:i4>117</vt:i4>
      </vt:variant>
      <vt:variant>
        <vt:i4>0</vt:i4>
      </vt:variant>
      <vt:variant>
        <vt:i4>5</vt:i4>
      </vt:variant>
      <vt:variant>
        <vt:lpwstr>http://www.nevo.co.il/case/6824952</vt:lpwstr>
      </vt:variant>
      <vt:variant>
        <vt:lpwstr/>
      </vt:variant>
      <vt:variant>
        <vt:i4>3145846</vt:i4>
      </vt:variant>
      <vt:variant>
        <vt:i4>114</vt:i4>
      </vt:variant>
      <vt:variant>
        <vt:i4>0</vt:i4>
      </vt:variant>
      <vt:variant>
        <vt:i4>5</vt:i4>
      </vt:variant>
      <vt:variant>
        <vt:lpwstr>http://www.nevo.co.il/case/10442671</vt:lpwstr>
      </vt:variant>
      <vt:variant>
        <vt:lpwstr/>
      </vt:variant>
      <vt:variant>
        <vt:i4>4915205</vt:i4>
      </vt:variant>
      <vt:variant>
        <vt:i4>111</vt:i4>
      </vt:variant>
      <vt:variant>
        <vt:i4>0</vt:i4>
      </vt:variant>
      <vt:variant>
        <vt:i4>5</vt:i4>
      </vt:variant>
      <vt:variant>
        <vt:lpwstr>http://www.nevo.co.il/law/70301/40d.b</vt:lpwstr>
      </vt:variant>
      <vt:variant>
        <vt:lpwstr/>
      </vt:variant>
      <vt:variant>
        <vt:i4>8257634</vt:i4>
      </vt:variant>
      <vt:variant>
        <vt:i4>108</vt:i4>
      </vt:variant>
      <vt:variant>
        <vt:i4>0</vt:i4>
      </vt:variant>
      <vt:variant>
        <vt:i4>5</vt:i4>
      </vt:variant>
      <vt:variant>
        <vt:lpwstr>http://www.nevo.co.il/law/71553</vt:lpwstr>
      </vt:variant>
      <vt:variant>
        <vt:lpwstr/>
      </vt:variant>
      <vt:variant>
        <vt:i4>4915205</vt:i4>
      </vt:variant>
      <vt:variant>
        <vt:i4>105</vt:i4>
      </vt:variant>
      <vt:variant>
        <vt:i4>0</vt:i4>
      </vt:variant>
      <vt:variant>
        <vt:i4>5</vt:i4>
      </vt:variant>
      <vt:variant>
        <vt:lpwstr>http://www.nevo.co.il/law/70301/40d.a</vt:lpwstr>
      </vt:variant>
      <vt:variant>
        <vt:lpwstr/>
      </vt:variant>
      <vt:variant>
        <vt:i4>6619233</vt:i4>
      </vt:variant>
      <vt:variant>
        <vt:i4>102</vt:i4>
      </vt:variant>
      <vt:variant>
        <vt:i4>0</vt:i4>
      </vt:variant>
      <vt:variant>
        <vt:i4>5</vt:i4>
      </vt:variant>
      <vt:variant>
        <vt:lpwstr>http://www.nevo.co.il/law/70301/40e</vt:lpwstr>
      </vt:variant>
      <vt:variant>
        <vt:lpwstr/>
      </vt:variant>
      <vt:variant>
        <vt:i4>6619233</vt:i4>
      </vt:variant>
      <vt:variant>
        <vt:i4>99</vt:i4>
      </vt:variant>
      <vt:variant>
        <vt:i4>0</vt:i4>
      </vt:variant>
      <vt:variant>
        <vt:i4>5</vt:i4>
      </vt:variant>
      <vt:variant>
        <vt:lpwstr>http://www.nevo.co.il/law/70301/40d</vt:lpwstr>
      </vt:variant>
      <vt:variant>
        <vt:lpwstr/>
      </vt:variant>
      <vt:variant>
        <vt:i4>4915202</vt:i4>
      </vt:variant>
      <vt:variant>
        <vt:i4>96</vt:i4>
      </vt:variant>
      <vt:variant>
        <vt:i4>0</vt:i4>
      </vt:variant>
      <vt:variant>
        <vt:i4>5</vt:i4>
      </vt:variant>
      <vt:variant>
        <vt:lpwstr>http://www.nevo.co.il/law/70301/40c.b</vt:lpwstr>
      </vt:variant>
      <vt:variant>
        <vt:lpwstr/>
      </vt:variant>
      <vt:variant>
        <vt:i4>3997809</vt:i4>
      </vt:variant>
      <vt:variant>
        <vt:i4>93</vt:i4>
      </vt:variant>
      <vt:variant>
        <vt:i4>0</vt:i4>
      </vt:variant>
      <vt:variant>
        <vt:i4>5</vt:i4>
      </vt:variant>
      <vt:variant>
        <vt:lpwstr>http://www.nevo.co.il/case/18653890</vt:lpwstr>
      </vt:variant>
      <vt:variant>
        <vt:lpwstr/>
      </vt:variant>
      <vt:variant>
        <vt:i4>3539061</vt:i4>
      </vt:variant>
      <vt:variant>
        <vt:i4>90</vt:i4>
      </vt:variant>
      <vt:variant>
        <vt:i4>0</vt:i4>
      </vt:variant>
      <vt:variant>
        <vt:i4>5</vt:i4>
      </vt:variant>
      <vt:variant>
        <vt:lpwstr>http://www.nevo.co.il/case/20154414</vt:lpwstr>
      </vt:variant>
      <vt:variant>
        <vt:lpwstr/>
      </vt:variant>
      <vt:variant>
        <vt:i4>4915208</vt:i4>
      </vt:variant>
      <vt:variant>
        <vt:i4>87</vt:i4>
      </vt:variant>
      <vt:variant>
        <vt:i4>0</vt:i4>
      </vt:variant>
      <vt:variant>
        <vt:i4>5</vt:i4>
      </vt:variant>
      <vt:variant>
        <vt:lpwstr>http://www.nevo.co.il/law/70301/40i.4</vt:lpwstr>
      </vt:variant>
      <vt:variant>
        <vt:lpwstr/>
      </vt:variant>
      <vt:variant>
        <vt:i4>4915208</vt:i4>
      </vt:variant>
      <vt:variant>
        <vt:i4>84</vt:i4>
      </vt:variant>
      <vt:variant>
        <vt:i4>0</vt:i4>
      </vt:variant>
      <vt:variant>
        <vt:i4>5</vt:i4>
      </vt:variant>
      <vt:variant>
        <vt:lpwstr>http://www.nevo.co.il/law/70301/40i.3</vt:lpwstr>
      </vt:variant>
      <vt:variant>
        <vt:lpwstr/>
      </vt:variant>
      <vt:variant>
        <vt:i4>3997814</vt:i4>
      </vt:variant>
      <vt:variant>
        <vt:i4>81</vt:i4>
      </vt:variant>
      <vt:variant>
        <vt:i4>0</vt:i4>
      </vt:variant>
      <vt:variant>
        <vt:i4>5</vt:i4>
      </vt:variant>
      <vt:variant>
        <vt:lpwstr>http://www.nevo.co.il/case/20118363</vt:lpwstr>
      </vt:variant>
      <vt:variant>
        <vt:lpwstr/>
      </vt:variant>
      <vt:variant>
        <vt:i4>3866738</vt:i4>
      </vt:variant>
      <vt:variant>
        <vt:i4>78</vt:i4>
      </vt:variant>
      <vt:variant>
        <vt:i4>0</vt:i4>
      </vt:variant>
      <vt:variant>
        <vt:i4>5</vt:i4>
      </vt:variant>
      <vt:variant>
        <vt:lpwstr>http://www.nevo.co.il/case/20151395</vt:lpwstr>
      </vt:variant>
      <vt:variant>
        <vt:lpwstr/>
      </vt:variant>
      <vt:variant>
        <vt:i4>3604594</vt:i4>
      </vt:variant>
      <vt:variant>
        <vt:i4>75</vt:i4>
      </vt:variant>
      <vt:variant>
        <vt:i4>0</vt:i4>
      </vt:variant>
      <vt:variant>
        <vt:i4>5</vt:i4>
      </vt:variant>
      <vt:variant>
        <vt:lpwstr>http://www.nevo.co.il/case/17947582</vt:lpwstr>
      </vt:variant>
      <vt:variant>
        <vt:lpwstr/>
      </vt:variant>
      <vt:variant>
        <vt:i4>4063353</vt:i4>
      </vt:variant>
      <vt:variant>
        <vt:i4>72</vt:i4>
      </vt:variant>
      <vt:variant>
        <vt:i4>0</vt:i4>
      </vt:variant>
      <vt:variant>
        <vt:i4>5</vt:i4>
      </vt:variant>
      <vt:variant>
        <vt:lpwstr>http://www.nevo.co.il/case/20683594</vt:lpwstr>
      </vt:variant>
      <vt:variant>
        <vt:lpwstr/>
      </vt:variant>
      <vt:variant>
        <vt:i4>3866738</vt:i4>
      </vt:variant>
      <vt:variant>
        <vt:i4>69</vt:i4>
      </vt:variant>
      <vt:variant>
        <vt:i4>0</vt:i4>
      </vt:variant>
      <vt:variant>
        <vt:i4>5</vt:i4>
      </vt:variant>
      <vt:variant>
        <vt:lpwstr>http://www.nevo.co.il/case/5726579</vt:lpwstr>
      </vt:variant>
      <vt:variant>
        <vt:lpwstr/>
      </vt:variant>
      <vt:variant>
        <vt:i4>4128881</vt:i4>
      </vt:variant>
      <vt:variant>
        <vt:i4>66</vt:i4>
      </vt:variant>
      <vt:variant>
        <vt:i4>0</vt:i4>
      </vt:variant>
      <vt:variant>
        <vt:i4>5</vt:i4>
      </vt:variant>
      <vt:variant>
        <vt:lpwstr>http://www.nevo.co.il/case/5585052</vt:lpwstr>
      </vt:variant>
      <vt:variant>
        <vt:lpwstr/>
      </vt:variant>
      <vt:variant>
        <vt:i4>5177418</vt:i4>
      </vt:variant>
      <vt:variant>
        <vt:i4>63</vt:i4>
      </vt:variant>
      <vt:variant>
        <vt:i4>0</vt:i4>
      </vt:variant>
      <vt:variant>
        <vt:i4>5</vt:i4>
      </vt:variant>
      <vt:variant>
        <vt:lpwstr>http://www.nevo.co.il/law/4216/10</vt:lpwstr>
      </vt:variant>
      <vt:variant>
        <vt:lpwstr/>
      </vt:variant>
      <vt:variant>
        <vt:i4>3997821</vt:i4>
      </vt:variant>
      <vt:variant>
        <vt:i4>60</vt:i4>
      </vt:variant>
      <vt:variant>
        <vt:i4>0</vt:i4>
      </vt:variant>
      <vt:variant>
        <vt:i4>5</vt:i4>
      </vt:variant>
      <vt:variant>
        <vt:lpwstr>http://www.nevo.co.il/law/4216/7.a.;7.c</vt:lpwstr>
      </vt:variant>
      <vt:variant>
        <vt:lpwstr/>
      </vt:variant>
      <vt:variant>
        <vt:i4>8257637</vt:i4>
      </vt:variant>
      <vt:variant>
        <vt:i4>57</vt:i4>
      </vt:variant>
      <vt:variant>
        <vt:i4>0</vt:i4>
      </vt:variant>
      <vt:variant>
        <vt:i4>5</vt:i4>
      </vt:variant>
      <vt:variant>
        <vt:lpwstr>http://www.nevo.co.il/law/4216</vt:lpwstr>
      </vt:variant>
      <vt:variant>
        <vt:lpwstr/>
      </vt:variant>
      <vt:variant>
        <vt:i4>5177418</vt:i4>
      </vt:variant>
      <vt:variant>
        <vt:i4>54</vt:i4>
      </vt:variant>
      <vt:variant>
        <vt:i4>0</vt:i4>
      </vt:variant>
      <vt:variant>
        <vt:i4>5</vt:i4>
      </vt:variant>
      <vt:variant>
        <vt:lpwstr>http://www.nevo.co.il/law/4216/13</vt:lpwstr>
      </vt:variant>
      <vt:variant>
        <vt:lpwstr/>
      </vt:variant>
      <vt:variant>
        <vt:i4>7995492</vt:i4>
      </vt:variant>
      <vt:variant>
        <vt:i4>51</vt:i4>
      </vt:variant>
      <vt:variant>
        <vt:i4>0</vt:i4>
      </vt:variant>
      <vt:variant>
        <vt:i4>5</vt:i4>
      </vt:variant>
      <vt:variant>
        <vt:lpwstr>http://www.nevo.co.il/law/70301</vt:lpwstr>
      </vt:variant>
      <vt:variant>
        <vt:lpwstr/>
      </vt:variant>
      <vt:variant>
        <vt:i4>7077945</vt:i4>
      </vt:variant>
      <vt:variant>
        <vt:i4>48</vt:i4>
      </vt:variant>
      <vt:variant>
        <vt:i4>0</vt:i4>
      </vt:variant>
      <vt:variant>
        <vt:i4>5</vt:i4>
      </vt:variant>
      <vt:variant>
        <vt:lpwstr>http://www.nevo.co.il/law/70301/499.a.1</vt:lpwstr>
      </vt:variant>
      <vt:variant>
        <vt:lpwstr/>
      </vt:variant>
      <vt:variant>
        <vt:i4>8257634</vt:i4>
      </vt:variant>
      <vt:variant>
        <vt:i4>45</vt:i4>
      </vt:variant>
      <vt:variant>
        <vt:i4>0</vt:i4>
      </vt:variant>
      <vt:variant>
        <vt:i4>5</vt:i4>
      </vt:variant>
      <vt:variant>
        <vt:lpwstr>http://www.nevo.co.il/law/71553</vt:lpwstr>
      </vt:variant>
      <vt:variant>
        <vt:lpwstr/>
      </vt:variant>
      <vt:variant>
        <vt:i4>5177418</vt:i4>
      </vt:variant>
      <vt:variant>
        <vt:i4>42</vt:i4>
      </vt:variant>
      <vt:variant>
        <vt:i4>0</vt:i4>
      </vt:variant>
      <vt:variant>
        <vt:i4>5</vt:i4>
      </vt:variant>
      <vt:variant>
        <vt:lpwstr>http://www.nevo.co.il/law/4216/13</vt:lpwstr>
      </vt:variant>
      <vt:variant>
        <vt:lpwstr/>
      </vt:variant>
      <vt:variant>
        <vt:i4>5177418</vt:i4>
      </vt:variant>
      <vt:variant>
        <vt:i4>39</vt:i4>
      </vt:variant>
      <vt:variant>
        <vt:i4>0</vt:i4>
      </vt:variant>
      <vt:variant>
        <vt:i4>5</vt:i4>
      </vt:variant>
      <vt:variant>
        <vt:lpwstr>http://www.nevo.co.il/law/4216/10</vt:lpwstr>
      </vt:variant>
      <vt:variant>
        <vt:lpwstr/>
      </vt:variant>
      <vt:variant>
        <vt:i4>2752612</vt:i4>
      </vt:variant>
      <vt:variant>
        <vt:i4>36</vt:i4>
      </vt:variant>
      <vt:variant>
        <vt:i4>0</vt:i4>
      </vt:variant>
      <vt:variant>
        <vt:i4>5</vt:i4>
      </vt:variant>
      <vt:variant>
        <vt:lpwstr>http://www.nevo.co.il/law/4216/7.c</vt:lpwstr>
      </vt:variant>
      <vt:variant>
        <vt:lpwstr/>
      </vt:variant>
      <vt:variant>
        <vt:i4>2621540</vt:i4>
      </vt:variant>
      <vt:variant>
        <vt:i4>33</vt:i4>
      </vt:variant>
      <vt:variant>
        <vt:i4>0</vt:i4>
      </vt:variant>
      <vt:variant>
        <vt:i4>5</vt:i4>
      </vt:variant>
      <vt:variant>
        <vt:lpwstr>http://www.nevo.co.il/law/4216/7.a.</vt:lpwstr>
      </vt:variant>
      <vt:variant>
        <vt:lpwstr/>
      </vt:variant>
      <vt:variant>
        <vt:i4>8257637</vt:i4>
      </vt:variant>
      <vt:variant>
        <vt:i4>30</vt:i4>
      </vt:variant>
      <vt:variant>
        <vt:i4>0</vt:i4>
      </vt:variant>
      <vt:variant>
        <vt:i4>5</vt:i4>
      </vt:variant>
      <vt:variant>
        <vt:lpwstr>http://www.nevo.co.il/law/4216</vt:lpwstr>
      </vt:variant>
      <vt:variant>
        <vt:lpwstr/>
      </vt:variant>
      <vt:variant>
        <vt:i4>7077945</vt:i4>
      </vt:variant>
      <vt:variant>
        <vt:i4>27</vt:i4>
      </vt:variant>
      <vt:variant>
        <vt:i4>0</vt:i4>
      </vt:variant>
      <vt:variant>
        <vt:i4>5</vt:i4>
      </vt:variant>
      <vt:variant>
        <vt:lpwstr>http://www.nevo.co.il/law/70301/499.a.2</vt:lpwstr>
      </vt:variant>
      <vt:variant>
        <vt:lpwstr/>
      </vt:variant>
      <vt:variant>
        <vt:i4>7077945</vt:i4>
      </vt:variant>
      <vt:variant>
        <vt:i4>24</vt:i4>
      </vt:variant>
      <vt:variant>
        <vt:i4>0</vt:i4>
      </vt:variant>
      <vt:variant>
        <vt:i4>5</vt:i4>
      </vt:variant>
      <vt:variant>
        <vt:lpwstr>http://www.nevo.co.il/law/70301/499.a.1</vt:lpwstr>
      </vt:variant>
      <vt:variant>
        <vt:lpwstr/>
      </vt:variant>
      <vt:variant>
        <vt:i4>4915208</vt:i4>
      </vt:variant>
      <vt:variant>
        <vt:i4>21</vt:i4>
      </vt:variant>
      <vt:variant>
        <vt:i4>0</vt:i4>
      </vt:variant>
      <vt:variant>
        <vt:i4>5</vt:i4>
      </vt:variant>
      <vt:variant>
        <vt:lpwstr>http://www.nevo.co.il/law/70301/40i.4</vt:lpwstr>
      </vt:variant>
      <vt:variant>
        <vt:lpwstr/>
      </vt:variant>
      <vt:variant>
        <vt:i4>4915208</vt:i4>
      </vt:variant>
      <vt:variant>
        <vt:i4>18</vt:i4>
      </vt:variant>
      <vt:variant>
        <vt:i4>0</vt:i4>
      </vt:variant>
      <vt:variant>
        <vt:i4>5</vt:i4>
      </vt:variant>
      <vt:variant>
        <vt:lpwstr>http://www.nevo.co.il/law/70301/40i.3</vt:lpwstr>
      </vt:variant>
      <vt:variant>
        <vt:lpwstr/>
      </vt:variant>
      <vt:variant>
        <vt:i4>6619233</vt:i4>
      </vt:variant>
      <vt:variant>
        <vt:i4>15</vt:i4>
      </vt:variant>
      <vt:variant>
        <vt:i4>0</vt:i4>
      </vt:variant>
      <vt:variant>
        <vt:i4>5</vt:i4>
      </vt:variant>
      <vt:variant>
        <vt:lpwstr>http://www.nevo.co.il/law/70301/40e</vt:lpwstr>
      </vt:variant>
      <vt:variant>
        <vt:lpwstr/>
      </vt:variant>
      <vt:variant>
        <vt:i4>4915205</vt:i4>
      </vt:variant>
      <vt:variant>
        <vt:i4>12</vt:i4>
      </vt:variant>
      <vt:variant>
        <vt:i4>0</vt:i4>
      </vt:variant>
      <vt:variant>
        <vt:i4>5</vt:i4>
      </vt:variant>
      <vt:variant>
        <vt:lpwstr>http://www.nevo.co.il/law/70301/40d.b</vt:lpwstr>
      </vt:variant>
      <vt:variant>
        <vt:lpwstr/>
      </vt:variant>
      <vt:variant>
        <vt:i4>4915205</vt:i4>
      </vt:variant>
      <vt:variant>
        <vt:i4>9</vt:i4>
      </vt:variant>
      <vt:variant>
        <vt:i4>0</vt:i4>
      </vt:variant>
      <vt:variant>
        <vt:i4>5</vt:i4>
      </vt:variant>
      <vt:variant>
        <vt:lpwstr>http://www.nevo.co.il/law/70301/40d.a</vt:lpwstr>
      </vt:variant>
      <vt:variant>
        <vt:lpwstr/>
      </vt:variant>
      <vt:variant>
        <vt:i4>6619233</vt:i4>
      </vt:variant>
      <vt:variant>
        <vt:i4>6</vt:i4>
      </vt:variant>
      <vt:variant>
        <vt:i4>0</vt:i4>
      </vt:variant>
      <vt:variant>
        <vt:i4>5</vt:i4>
      </vt:variant>
      <vt:variant>
        <vt:lpwstr>http://www.nevo.co.il/law/70301/40d</vt:lpwstr>
      </vt:variant>
      <vt:variant>
        <vt:lpwstr/>
      </vt:variant>
      <vt:variant>
        <vt:i4>4915202</vt:i4>
      </vt:variant>
      <vt:variant>
        <vt:i4>3</vt:i4>
      </vt:variant>
      <vt:variant>
        <vt:i4>0</vt:i4>
      </vt:variant>
      <vt:variant>
        <vt:i4>5</vt:i4>
      </vt:variant>
      <vt:variant>
        <vt:lpwstr>http://www.nevo.co.il/law/70301/40c.b</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2025-04-22T20:48:00Z</dcterms:created>
  <dcterms:modified xsi:type="dcterms:W3CDTF">2025-04-22T20:48:00Z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63255</vt:lpwstr>
  </property>
  <property fmtid="{D5CDD505-2E9C-101B-9397-08002B2CF9AE}" pid="6" name="NEWPARTB">
    <vt:lpwstr>11</vt:lpwstr>
  </property>
  <property fmtid="{D5CDD505-2E9C-101B-9397-08002B2CF9AE}" pid="7" name="NEWPARTC">
    <vt:lpwstr>16</vt:lpwstr>
  </property>
  <property fmtid="{D5CDD505-2E9C-101B-9397-08002B2CF9AE}" pid="8" name="APPELLANT">
    <vt:lpwstr>מדינת ישראל</vt:lpwstr>
  </property>
  <property fmtid="{D5CDD505-2E9C-101B-9397-08002B2CF9AE}" pid="9" name="APPELLEE">
    <vt:lpwstr>איילת טורג'מן</vt:lpwstr>
  </property>
  <property fmtid="{D5CDD505-2E9C-101B-9397-08002B2CF9AE}" pid="10" name="LAWYER">
    <vt:lpwstr>טל בנאי גת;מיכאל כרמל</vt:lpwstr>
  </property>
  <property fmtid="{D5CDD505-2E9C-101B-9397-08002B2CF9AE}" pid="11" name="JUDGE">
    <vt:lpwstr>ציון קאפח</vt:lpwstr>
  </property>
  <property fmtid="{D5CDD505-2E9C-101B-9397-08002B2CF9AE}" pid="12" name="CITY">
    <vt:lpwstr>ת"א</vt:lpwstr>
  </property>
  <property fmtid="{D5CDD505-2E9C-101B-9397-08002B2CF9AE}" pid="13" name="DATE">
    <vt:lpwstr>20180207</vt:lpwstr>
  </property>
  <property fmtid="{D5CDD505-2E9C-101B-9397-08002B2CF9AE}" pid="14" name="TYPE_N_DATE">
    <vt:lpwstr>39020180207</vt:lpwstr>
  </property>
  <property fmtid="{D5CDD505-2E9C-101B-9397-08002B2CF9AE}" pid="15" name="CASESLISTTMP1">
    <vt:lpwstr>5585052;5726579;20683594;17947582;20151395;20118363;20154414;18653890;10442671;6824952;17089471</vt:lpwstr>
  </property>
  <property fmtid="{D5CDD505-2E9C-101B-9397-08002B2CF9AE}" pid="16" name="CASENOTES1">
    <vt:lpwstr>ProcID=209&amp;PartA=8113&amp;PartC=08</vt:lpwstr>
  </property>
  <property fmtid="{D5CDD505-2E9C-101B-9397-08002B2CF9AE}" pid="17" name="WORDNUMPAGES">
    <vt:lpwstr>9</vt:lpwstr>
  </property>
  <property fmtid="{D5CDD505-2E9C-101B-9397-08002B2CF9AE}" pid="18" name="TYPE_ABS_DATE">
    <vt:lpwstr>390020180207</vt:lpwstr>
  </property>
  <property fmtid="{D5CDD505-2E9C-101B-9397-08002B2CF9AE}" pid="19" name="ISABSTRACT">
    <vt:lpwstr>Y</vt:lpwstr>
  </property>
  <property fmtid="{D5CDD505-2E9C-101B-9397-08002B2CF9AE}" pid="20" name="APPELLANT1">
    <vt:lpwstr/>
  </property>
  <property fmtid="{D5CDD505-2E9C-101B-9397-08002B2CF9AE}" pid="21" name="APPELLANT2">
    <vt:lpwstr/>
  </property>
  <property fmtid="{D5CDD505-2E9C-101B-9397-08002B2CF9AE}" pid="22" name="APPELLEE1">
    <vt:lpwstr/>
  </property>
  <property fmtid="{D5CDD505-2E9C-101B-9397-08002B2CF9AE}" pid="23" name="APPELLEE2">
    <vt:lpwstr/>
  </property>
  <property fmtid="{D5CDD505-2E9C-101B-9397-08002B2CF9AE}" pid="24" name="PROCESS">
    <vt:lpwstr/>
  </property>
  <property fmtid="{D5CDD505-2E9C-101B-9397-08002B2CF9AE}" pid="25" name="PROCNUM">
    <vt:lpwstr/>
  </property>
  <property fmtid="{D5CDD505-2E9C-101B-9397-08002B2CF9AE}" pid="26" name="PROCYEAR">
    <vt:lpwstr/>
  </property>
  <property fmtid="{D5CDD505-2E9C-101B-9397-08002B2CF9AE}" pid="27" name="VOLUME">
    <vt:lpwstr/>
  </property>
  <property fmtid="{D5CDD505-2E9C-101B-9397-08002B2CF9AE}" pid="28" name="PART">
    <vt:lpwstr/>
  </property>
  <property fmtid="{D5CDD505-2E9C-101B-9397-08002B2CF9AE}" pid="29" name="PAGE">
    <vt:lpwstr/>
  </property>
  <property fmtid="{D5CDD505-2E9C-101B-9397-08002B2CF9AE}" pid="30" name="PADIMAIL">
    <vt:lpwstr/>
  </property>
  <property fmtid="{D5CDD505-2E9C-101B-9397-08002B2CF9AE}" pid="31" name="DELEMATA">
    <vt:lpwstr/>
  </property>
  <property fmtid="{D5CDD505-2E9C-101B-9397-08002B2CF9AE}" pid="32" name="LINKK1">
    <vt:lpwstr/>
  </property>
  <property fmtid="{D5CDD505-2E9C-101B-9397-08002B2CF9AE}" pid="33" name="LINKK2">
    <vt:lpwstr/>
  </property>
  <property fmtid="{D5CDD505-2E9C-101B-9397-08002B2CF9AE}" pid="34" name="LINKK3">
    <vt:lpwstr/>
  </property>
  <property fmtid="{D5CDD505-2E9C-101B-9397-08002B2CF9AE}" pid="35" name="LINKK4">
    <vt:lpwstr/>
  </property>
  <property fmtid="{D5CDD505-2E9C-101B-9397-08002B2CF9AE}" pid="36" name="LINKK5">
    <vt:lpwstr/>
  </property>
  <property fmtid="{D5CDD505-2E9C-101B-9397-08002B2CF9AE}" pid="37" name="LAWLISTTMP1">
    <vt:lpwstr>70301/499.a.1:2;040i.3;040i.4;040c.b;040d;040e;040d.a:2;040d.b;499.a.2</vt:lpwstr>
  </property>
  <property fmtid="{D5CDD505-2E9C-101B-9397-08002B2CF9AE}" pid="38" name="LAWLISTTMP2">
    <vt:lpwstr>4216/013;007.a;007.c;010</vt:lpwstr>
  </property>
  <property fmtid="{D5CDD505-2E9C-101B-9397-08002B2CF9AE}" pid="39" name="LAWLISTTMP3">
    <vt:lpwstr>71553</vt:lpwstr>
  </property>
</Properties>
</file>