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903A2B" w:rsidRPr="008E1C4B" w14:paraId="1BE89B55" w14:textId="77777777" w:rsidTr="00551E38">
        <w:trPr>
          <w:trHeight w:hRule="exact" w:val="418"/>
          <w:jc w:val="center"/>
        </w:trPr>
        <w:tc>
          <w:tcPr>
            <w:tcW w:w="8861" w:type="dxa"/>
            <w:gridSpan w:val="2"/>
          </w:tcPr>
          <w:p w14:paraId="3F78E4A6" w14:textId="77777777" w:rsidR="00903A2B" w:rsidRPr="008E1C4B" w:rsidRDefault="00903A2B" w:rsidP="00551E38">
            <w:pPr>
              <w:pStyle w:val="a3"/>
              <w:jc w:val="center"/>
              <w:rPr>
                <w:rFonts w:ascii="Tahoma" w:hAnsi="Tahoma"/>
                <w:color w:val="000080"/>
                <w:sz w:val="32"/>
                <w:szCs w:val="32"/>
                <w:rtl/>
              </w:rPr>
            </w:pPr>
            <w:bookmarkStart w:id="0" w:name="LastJudge"/>
            <w:r w:rsidRPr="008E1C4B">
              <w:rPr>
                <w:rFonts w:ascii="Tahoma" w:hAnsi="Tahoma"/>
                <w:b/>
                <w:bCs/>
                <w:color w:val="000080"/>
                <w:sz w:val="32"/>
                <w:szCs w:val="32"/>
                <w:rtl/>
              </w:rPr>
              <w:t>בית המשפט המחוזי בתל אביב - יפו</w:t>
            </w:r>
          </w:p>
        </w:tc>
      </w:tr>
      <w:tr w:rsidR="00903A2B" w:rsidRPr="008E1C4B" w14:paraId="58154ED9" w14:textId="77777777" w:rsidTr="00551E38">
        <w:trPr>
          <w:trHeight w:val="337"/>
          <w:jc w:val="center"/>
        </w:trPr>
        <w:tc>
          <w:tcPr>
            <w:tcW w:w="5131" w:type="dxa"/>
          </w:tcPr>
          <w:p w14:paraId="459BDC5A" w14:textId="77777777" w:rsidR="00903A2B" w:rsidRPr="008E1C4B" w:rsidRDefault="00903A2B" w:rsidP="00551E38">
            <w:pPr>
              <w:rPr>
                <w:b/>
                <w:bCs/>
                <w:rtl/>
              </w:rPr>
            </w:pPr>
            <w:r w:rsidRPr="008E1C4B">
              <w:rPr>
                <w:b/>
                <w:bCs/>
                <w:rtl/>
              </w:rPr>
              <w:t>ת"פ</w:t>
            </w:r>
            <w:r w:rsidRPr="008E1C4B">
              <w:rPr>
                <w:rFonts w:hint="cs"/>
                <w:b/>
                <w:bCs/>
                <w:rtl/>
              </w:rPr>
              <w:t xml:space="preserve"> </w:t>
            </w:r>
            <w:r w:rsidRPr="008E1C4B">
              <w:rPr>
                <w:b/>
                <w:bCs/>
                <w:rtl/>
              </w:rPr>
              <w:t>7970-11-16</w:t>
            </w:r>
            <w:r w:rsidRPr="008E1C4B">
              <w:rPr>
                <w:rFonts w:hint="cs"/>
                <w:b/>
                <w:bCs/>
                <w:rtl/>
              </w:rPr>
              <w:t xml:space="preserve"> </w:t>
            </w:r>
            <w:r w:rsidRPr="008E1C4B">
              <w:rPr>
                <w:b/>
                <w:bCs/>
                <w:rtl/>
              </w:rPr>
              <w:t>מדינת ישראל נ' קדוש</w:t>
            </w:r>
          </w:p>
          <w:p w14:paraId="076145AF" w14:textId="77777777" w:rsidR="00903A2B" w:rsidRPr="008E1C4B" w:rsidRDefault="00903A2B" w:rsidP="00551E38">
            <w:pPr>
              <w:pStyle w:val="a3"/>
              <w:rPr>
                <w:b/>
                <w:bCs/>
                <w:rtl/>
              </w:rPr>
            </w:pPr>
          </w:p>
        </w:tc>
        <w:tc>
          <w:tcPr>
            <w:tcW w:w="3730" w:type="dxa"/>
          </w:tcPr>
          <w:p w14:paraId="39BB0E03" w14:textId="77777777" w:rsidR="00903A2B" w:rsidRPr="008E1C4B" w:rsidRDefault="00903A2B" w:rsidP="00551E38">
            <w:pPr>
              <w:pStyle w:val="a3"/>
              <w:jc w:val="right"/>
              <w:rPr>
                <w:b/>
                <w:bCs/>
                <w:rtl/>
              </w:rPr>
            </w:pPr>
            <w:r w:rsidRPr="008E1C4B">
              <w:rPr>
                <w:rFonts w:hint="cs"/>
                <w:b/>
                <w:bCs/>
                <w:rtl/>
              </w:rPr>
              <w:t>17 במאי 2018</w:t>
            </w:r>
          </w:p>
        </w:tc>
      </w:tr>
    </w:tbl>
    <w:p w14:paraId="447EB8CB" w14:textId="77777777" w:rsidR="00903A2B" w:rsidRPr="008E1C4B" w:rsidRDefault="00903A2B" w:rsidP="00903A2B">
      <w:pPr>
        <w:pStyle w:val="a3"/>
        <w:rPr>
          <w:rtl/>
        </w:rPr>
      </w:pPr>
      <w:r w:rsidRPr="008E1C4B">
        <w:rPr>
          <w:rFonts w:hint="cs"/>
          <w:rtl/>
        </w:rPr>
        <w:t xml:space="preserve"> </w:t>
      </w:r>
    </w:p>
    <w:p w14:paraId="4C84150B" w14:textId="77777777" w:rsidR="00903A2B" w:rsidRPr="008E1C4B" w:rsidRDefault="00903A2B" w:rsidP="00903A2B">
      <w:pPr>
        <w:spacing w:line="360" w:lineRule="auto"/>
        <w:jc w:val="both"/>
        <w:rPr>
          <w:rtl/>
        </w:rPr>
      </w:pPr>
    </w:p>
    <w:tbl>
      <w:tblPr>
        <w:bidiVisual/>
        <w:tblW w:w="0" w:type="auto"/>
        <w:jc w:val="center"/>
        <w:tblLook w:val="04A0" w:firstRow="1" w:lastRow="0" w:firstColumn="1" w:lastColumn="0" w:noHBand="0" w:noVBand="1"/>
      </w:tblPr>
      <w:tblGrid>
        <w:gridCol w:w="8504"/>
      </w:tblGrid>
      <w:tr w:rsidR="00903A2B" w:rsidRPr="008E1C4B" w14:paraId="7E85486A" w14:textId="77777777" w:rsidTr="00551E38">
        <w:trPr>
          <w:trHeight w:val="337"/>
          <w:jc w:val="center"/>
        </w:trPr>
        <w:tc>
          <w:tcPr>
            <w:tcW w:w="8504" w:type="dxa"/>
          </w:tcPr>
          <w:p w14:paraId="022823E9" w14:textId="77777777" w:rsidR="00903A2B" w:rsidRPr="008E1C4B" w:rsidRDefault="00903A2B" w:rsidP="00551E38">
            <w:pPr>
              <w:pStyle w:val="a3"/>
              <w:rPr>
                <w:b/>
                <w:bCs/>
                <w:sz w:val="26"/>
                <w:szCs w:val="26"/>
                <w:rtl/>
              </w:rPr>
            </w:pPr>
            <w:r w:rsidRPr="008E1C4B">
              <w:rPr>
                <w:rFonts w:hint="cs"/>
                <w:b/>
                <w:bCs/>
                <w:sz w:val="26"/>
                <w:szCs w:val="26"/>
                <w:rtl/>
              </w:rPr>
              <w:t>לפני כב' השופט בני שגיא</w:t>
            </w:r>
          </w:p>
          <w:p w14:paraId="58F65E1C" w14:textId="77777777" w:rsidR="00903A2B" w:rsidRPr="008E1C4B" w:rsidRDefault="00903A2B" w:rsidP="00551E38">
            <w:pPr>
              <w:pStyle w:val="a3"/>
              <w:rPr>
                <w:b/>
                <w:bCs/>
                <w:sz w:val="26"/>
                <w:szCs w:val="26"/>
                <w:rtl/>
              </w:rPr>
            </w:pPr>
          </w:p>
        </w:tc>
      </w:tr>
    </w:tbl>
    <w:p w14:paraId="5A37FF18" w14:textId="77777777" w:rsidR="00903A2B" w:rsidRPr="008E1C4B" w:rsidRDefault="00903A2B" w:rsidP="00903A2B">
      <w:pPr>
        <w:spacing w:line="360" w:lineRule="auto"/>
        <w:jc w:val="both"/>
        <w:rPr>
          <w:rtl/>
        </w:rPr>
      </w:pPr>
    </w:p>
    <w:tbl>
      <w:tblPr>
        <w:bidiVisual/>
        <w:tblW w:w="8530" w:type="dxa"/>
        <w:tblInd w:w="244" w:type="dxa"/>
        <w:tblLook w:val="01E0" w:firstRow="1" w:lastRow="1" w:firstColumn="1" w:lastColumn="1" w:noHBand="0" w:noVBand="0"/>
      </w:tblPr>
      <w:tblGrid>
        <w:gridCol w:w="1303"/>
        <w:gridCol w:w="7227"/>
      </w:tblGrid>
      <w:tr w:rsidR="00903A2B" w:rsidRPr="008E1C4B" w14:paraId="1A598542" w14:textId="77777777" w:rsidTr="00903A2B">
        <w:trPr>
          <w:cantSplit/>
          <w:trHeight w:val="724"/>
        </w:trPr>
        <w:tc>
          <w:tcPr>
            <w:tcW w:w="1303" w:type="dxa"/>
            <w:shd w:val="clear" w:color="auto" w:fill="auto"/>
          </w:tcPr>
          <w:p w14:paraId="31422DD6" w14:textId="77777777" w:rsidR="00903A2B" w:rsidRPr="008E1C4B" w:rsidRDefault="00903A2B" w:rsidP="00551E38">
            <w:pPr>
              <w:rPr>
                <w:b/>
                <w:bCs/>
                <w:sz w:val="26"/>
                <w:szCs w:val="26"/>
                <w:rtl/>
              </w:rPr>
            </w:pPr>
            <w:bookmarkStart w:id="1" w:name="FirstAppellant"/>
            <w:bookmarkStart w:id="2" w:name="FirstLawyer"/>
          </w:p>
          <w:p w14:paraId="52E536B8" w14:textId="77777777" w:rsidR="00903A2B" w:rsidRPr="008E1C4B" w:rsidRDefault="00903A2B" w:rsidP="00551E38">
            <w:pPr>
              <w:rPr>
                <w:b/>
                <w:bCs/>
                <w:sz w:val="26"/>
                <w:szCs w:val="26"/>
              </w:rPr>
            </w:pPr>
            <w:r w:rsidRPr="008E1C4B">
              <w:rPr>
                <w:rFonts w:hint="cs"/>
                <w:b/>
                <w:bCs/>
                <w:sz w:val="26"/>
                <w:szCs w:val="26"/>
                <w:rtl/>
              </w:rPr>
              <w:t>המאשימה</w:t>
            </w:r>
          </w:p>
        </w:tc>
        <w:tc>
          <w:tcPr>
            <w:tcW w:w="7227" w:type="dxa"/>
            <w:shd w:val="clear" w:color="auto" w:fill="auto"/>
          </w:tcPr>
          <w:p w14:paraId="3E7111BA" w14:textId="77777777" w:rsidR="00903A2B" w:rsidRPr="008E1C4B" w:rsidRDefault="00903A2B" w:rsidP="00551E38">
            <w:pPr>
              <w:rPr>
                <w:sz w:val="26"/>
                <w:szCs w:val="26"/>
                <w:rtl/>
              </w:rPr>
            </w:pPr>
          </w:p>
          <w:p w14:paraId="12C1E118" w14:textId="77777777" w:rsidR="00903A2B" w:rsidRPr="008E1C4B" w:rsidRDefault="00903A2B" w:rsidP="00903A2B">
            <w:pPr>
              <w:spacing w:line="360" w:lineRule="auto"/>
              <w:rPr>
                <w:b/>
                <w:bCs/>
                <w:sz w:val="26"/>
                <w:szCs w:val="26"/>
                <w:rtl/>
              </w:rPr>
            </w:pPr>
            <w:r w:rsidRPr="008E1C4B">
              <w:rPr>
                <w:rFonts w:hint="cs"/>
                <w:b/>
                <w:bCs/>
                <w:sz w:val="26"/>
                <w:szCs w:val="26"/>
                <w:rtl/>
              </w:rPr>
              <w:t>מדינת ישראל</w:t>
            </w:r>
          </w:p>
          <w:p w14:paraId="32E50500" w14:textId="77777777" w:rsidR="00903A2B" w:rsidRPr="008E1C4B" w:rsidRDefault="00903A2B" w:rsidP="00903A2B">
            <w:pPr>
              <w:spacing w:line="360" w:lineRule="auto"/>
              <w:rPr>
                <w:b/>
                <w:bCs/>
                <w:sz w:val="26"/>
                <w:szCs w:val="26"/>
                <w:rtl/>
              </w:rPr>
            </w:pPr>
          </w:p>
          <w:p w14:paraId="16FD9C15" w14:textId="77777777" w:rsidR="00903A2B" w:rsidRPr="008E1C4B" w:rsidRDefault="00903A2B" w:rsidP="00903A2B">
            <w:pPr>
              <w:pStyle w:val="12"/>
              <w:spacing w:line="360" w:lineRule="auto"/>
              <w:rPr>
                <w:b w:val="0"/>
                <w:bCs w:val="0"/>
                <w:u w:val="none"/>
                <w:rtl/>
              </w:rPr>
            </w:pPr>
            <w:r w:rsidRPr="008E1C4B">
              <w:rPr>
                <w:rFonts w:hint="cs"/>
                <w:b w:val="0"/>
                <w:bCs w:val="0"/>
                <w:u w:val="none"/>
                <w:rtl/>
              </w:rPr>
              <w:t>על-ידי ב"כ עו"ד אלירם גלעם</w:t>
            </w:r>
          </w:p>
        </w:tc>
      </w:tr>
      <w:bookmarkEnd w:id="1"/>
      <w:bookmarkEnd w:id="2"/>
      <w:tr w:rsidR="00903A2B" w:rsidRPr="008E1C4B" w14:paraId="6E1C6559" w14:textId="77777777" w:rsidTr="00903A2B">
        <w:tc>
          <w:tcPr>
            <w:tcW w:w="8530" w:type="dxa"/>
            <w:gridSpan w:val="2"/>
            <w:shd w:val="clear" w:color="auto" w:fill="auto"/>
            <w:vAlign w:val="center"/>
          </w:tcPr>
          <w:p w14:paraId="7759EE38" w14:textId="77777777" w:rsidR="00903A2B" w:rsidRPr="008E1C4B" w:rsidRDefault="00903A2B" w:rsidP="00903A2B">
            <w:pPr>
              <w:jc w:val="center"/>
              <w:rPr>
                <w:rFonts w:ascii="Arial" w:hAnsi="Arial"/>
                <w:b/>
                <w:bCs/>
                <w:sz w:val="26"/>
                <w:szCs w:val="26"/>
                <w:rtl/>
              </w:rPr>
            </w:pPr>
          </w:p>
          <w:p w14:paraId="5014D1DB" w14:textId="77777777" w:rsidR="00903A2B" w:rsidRPr="008E1C4B" w:rsidRDefault="00903A2B" w:rsidP="00903A2B">
            <w:pPr>
              <w:jc w:val="center"/>
              <w:rPr>
                <w:rFonts w:ascii="Arial" w:hAnsi="Arial"/>
                <w:b/>
                <w:bCs/>
                <w:sz w:val="26"/>
                <w:szCs w:val="26"/>
                <w:rtl/>
              </w:rPr>
            </w:pPr>
            <w:r w:rsidRPr="008E1C4B">
              <w:rPr>
                <w:rFonts w:ascii="Arial" w:hAnsi="Arial" w:hint="cs"/>
                <w:b/>
                <w:bCs/>
                <w:sz w:val="26"/>
                <w:szCs w:val="26"/>
                <w:rtl/>
              </w:rPr>
              <w:t>נגד</w:t>
            </w:r>
          </w:p>
          <w:p w14:paraId="49C38D9C" w14:textId="77777777" w:rsidR="00903A2B" w:rsidRPr="008E1C4B" w:rsidRDefault="00903A2B" w:rsidP="00903A2B">
            <w:pPr>
              <w:jc w:val="center"/>
              <w:rPr>
                <w:rFonts w:ascii="Arial" w:hAnsi="Arial"/>
                <w:b/>
                <w:bCs/>
                <w:sz w:val="26"/>
                <w:szCs w:val="26"/>
                <w:rtl/>
              </w:rPr>
            </w:pPr>
          </w:p>
        </w:tc>
      </w:tr>
      <w:tr w:rsidR="00903A2B" w:rsidRPr="008E1C4B" w14:paraId="085E042C" w14:textId="77777777" w:rsidTr="00903A2B">
        <w:tc>
          <w:tcPr>
            <w:tcW w:w="1303" w:type="dxa"/>
            <w:shd w:val="clear" w:color="auto" w:fill="auto"/>
          </w:tcPr>
          <w:p w14:paraId="5268F2B4" w14:textId="77777777" w:rsidR="00903A2B" w:rsidRPr="008E1C4B" w:rsidRDefault="00903A2B" w:rsidP="00551E38">
            <w:pPr>
              <w:rPr>
                <w:b/>
                <w:bCs/>
                <w:sz w:val="26"/>
                <w:szCs w:val="26"/>
                <w:rtl/>
              </w:rPr>
            </w:pPr>
            <w:r w:rsidRPr="008E1C4B">
              <w:rPr>
                <w:rFonts w:hint="cs"/>
                <w:b/>
                <w:bCs/>
                <w:sz w:val="26"/>
                <w:szCs w:val="26"/>
                <w:rtl/>
              </w:rPr>
              <w:t>הנאשם</w:t>
            </w:r>
          </w:p>
        </w:tc>
        <w:tc>
          <w:tcPr>
            <w:tcW w:w="7227" w:type="dxa"/>
            <w:shd w:val="clear" w:color="auto" w:fill="auto"/>
          </w:tcPr>
          <w:p w14:paraId="1F33C879" w14:textId="77777777" w:rsidR="00903A2B" w:rsidRPr="008E1C4B" w:rsidRDefault="00903A2B" w:rsidP="00903A2B">
            <w:pPr>
              <w:spacing w:line="360" w:lineRule="auto"/>
              <w:rPr>
                <w:b/>
                <w:bCs/>
                <w:sz w:val="26"/>
                <w:szCs w:val="26"/>
                <w:rtl/>
              </w:rPr>
            </w:pPr>
            <w:r w:rsidRPr="008E1C4B">
              <w:rPr>
                <w:rFonts w:hint="cs"/>
                <w:b/>
                <w:bCs/>
                <w:sz w:val="26"/>
                <w:szCs w:val="26"/>
                <w:rtl/>
              </w:rPr>
              <w:t xml:space="preserve">חיים קדוש </w:t>
            </w:r>
          </w:p>
          <w:p w14:paraId="209E7EB5" w14:textId="77777777" w:rsidR="00903A2B" w:rsidRPr="008E1C4B" w:rsidRDefault="00903A2B" w:rsidP="00903A2B">
            <w:pPr>
              <w:spacing w:line="360" w:lineRule="auto"/>
              <w:rPr>
                <w:b/>
                <w:bCs/>
                <w:sz w:val="26"/>
                <w:szCs w:val="26"/>
                <w:rtl/>
              </w:rPr>
            </w:pPr>
          </w:p>
          <w:p w14:paraId="7B6FBACB" w14:textId="77777777" w:rsidR="00903A2B" w:rsidRPr="008E1C4B" w:rsidRDefault="00903A2B" w:rsidP="00551E38">
            <w:pPr>
              <w:rPr>
                <w:sz w:val="26"/>
                <w:szCs w:val="26"/>
                <w:rtl/>
              </w:rPr>
            </w:pPr>
            <w:r w:rsidRPr="008E1C4B">
              <w:rPr>
                <w:rFonts w:hint="cs"/>
                <w:rtl/>
              </w:rPr>
              <w:t>על-ידי ב"כ עו"ד תמיר סננס וב"כ עו"ד ניר אייזנברג</w:t>
            </w:r>
          </w:p>
        </w:tc>
      </w:tr>
    </w:tbl>
    <w:p w14:paraId="19D2BA5E" w14:textId="77777777" w:rsidR="0064060C" w:rsidRDefault="0064060C" w:rsidP="00903A2B">
      <w:pPr>
        <w:rPr>
          <w:rtl/>
        </w:rPr>
      </w:pPr>
      <w:bookmarkStart w:id="3" w:name="LawTable"/>
      <w:bookmarkEnd w:id="3"/>
    </w:p>
    <w:p w14:paraId="44446C55" w14:textId="77777777" w:rsidR="0064060C" w:rsidRPr="0064060C" w:rsidRDefault="0064060C" w:rsidP="0064060C">
      <w:pPr>
        <w:spacing w:after="120" w:line="240" w:lineRule="exact"/>
        <w:ind w:left="283" w:hanging="283"/>
        <w:jc w:val="both"/>
        <w:rPr>
          <w:rFonts w:ascii="FrankRuehl" w:hAnsi="FrankRuehl" w:cs="FrankRuehl"/>
          <w:rtl/>
        </w:rPr>
      </w:pPr>
      <w:r w:rsidRPr="0064060C">
        <w:rPr>
          <w:rFonts w:ascii="FrankRuehl" w:hAnsi="FrankRuehl" w:cs="FrankRuehl"/>
          <w:rtl/>
        </w:rPr>
        <w:t xml:space="preserve">חקיקה שאוזכרה: </w:t>
      </w:r>
    </w:p>
    <w:p w14:paraId="0FFCDDF6" w14:textId="77777777" w:rsidR="0064060C" w:rsidRPr="0064060C" w:rsidRDefault="0064060C" w:rsidP="0064060C">
      <w:pPr>
        <w:spacing w:after="120" w:line="240" w:lineRule="exact"/>
        <w:ind w:left="283" w:hanging="283"/>
        <w:jc w:val="both"/>
        <w:rPr>
          <w:rFonts w:ascii="FrankRuehl" w:hAnsi="FrankRuehl" w:cs="FrankRuehl"/>
          <w:rtl/>
        </w:rPr>
      </w:pPr>
      <w:hyperlink r:id="rId6" w:history="1">
        <w:r w:rsidRPr="0064060C">
          <w:rPr>
            <w:rFonts w:ascii="FrankRuehl" w:hAnsi="FrankRuehl" w:cs="FrankRuehl"/>
            <w:color w:val="0000FF"/>
            <w:u w:val="single"/>
            <w:rtl/>
          </w:rPr>
          <w:t>חוק העונשין, תשל"ז-1977</w:t>
        </w:r>
      </w:hyperlink>
      <w:r w:rsidRPr="0064060C">
        <w:rPr>
          <w:rFonts w:ascii="FrankRuehl" w:hAnsi="FrankRuehl" w:cs="FrankRuehl"/>
          <w:rtl/>
        </w:rPr>
        <w:t xml:space="preserve">: סע'  </w:t>
      </w:r>
      <w:hyperlink r:id="rId7" w:history="1">
        <w:r w:rsidRPr="0064060C">
          <w:rPr>
            <w:rFonts w:ascii="FrankRuehl" w:hAnsi="FrankRuehl" w:cs="FrankRuehl"/>
            <w:color w:val="0000FF"/>
            <w:u w:val="single"/>
            <w:rtl/>
          </w:rPr>
          <w:t>499(א)(1)</w:t>
        </w:r>
      </w:hyperlink>
    </w:p>
    <w:p w14:paraId="72DBDB1D" w14:textId="77777777" w:rsidR="0064060C" w:rsidRPr="0064060C" w:rsidRDefault="0064060C" w:rsidP="0064060C">
      <w:pPr>
        <w:spacing w:after="120" w:line="240" w:lineRule="exact"/>
        <w:ind w:left="283" w:hanging="283"/>
        <w:jc w:val="both"/>
        <w:rPr>
          <w:rFonts w:ascii="FrankRuehl" w:hAnsi="FrankRuehl" w:cs="FrankRuehl"/>
          <w:rtl/>
        </w:rPr>
      </w:pPr>
      <w:hyperlink r:id="rId8" w:history="1">
        <w:r w:rsidRPr="0064060C">
          <w:rPr>
            <w:rFonts w:ascii="FrankRuehl" w:hAnsi="FrankRuehl" w:cs="FrankRuehl"/>
            <w:color w:val="0000FF"/>
            <w:u w:val="single"/>
            <w:rtl/>
          </w:rPr>
          <w:t>פקודת הסמים המסוכנים [נוסח חדש], תשל"ג-1973</w:t>
        </w:r>
      </w:hyperlink>
      <w:r w:rsidRPr="0064060C">
        <w:rPr>
          <w:rFonts w:ascii="FrankRuehl" w:hAnsi="FrankRuehl" w:cs="FrankRuehl"/>
          <w:rtl/>
        </w:rPr>
        <w:t xml:space="preserve">: סע'  </w:t>
      </w:r>
      <w:hyperlink r:id="rId9" w:history="1">
        <w:r w:rsidRPr="0064060C">
          <w:rPr>
            <w:rFonts w:ascii="FrankRuehl" w:hAnsi="FrankRuehl" w:cs="FrankRuehl"/>
            <w:color w:val="0000FF"/>
            <w:u w:val="single"/>
            <w:rtl/>
          </w:rPr>
          <w:t>7.א.</w:t>
        </w:r>
      </w:hyperlink>
      <w:r w:rsidRPr="0064060C">
        <w:rPr>
          <w:rFonts w:ascii="FrankRuehl" w:hAnsi="FrankRuehl" w:cs="FrankRuehl"/>
          <w:rtl/>
        </w:rPr>
        <w:t xml:space="preserve">, </w:t>
      </w:r>
      <w:hyperlink r:id="rId10" w:history="1">
        <w:r w:rsidRPr="0064060C">
          <w:rPr>
            <w:rFonts w:ascii="FrankRuehl" w:hAnsi="FrankRuehl" w:cs="FrankRuehl"/>
            <w:color w:val="0000FF"/>
            <w:u w:val="single"/>
            <w:rtl/>
          </w:rPr>
          <w:t>7.ג</w:t>
        </w:r>
      </w:hyperlink>
      <w:r w:rsidRPr="0064060C">
        <w:rPr>
          <w:rFonts w:ascii="FrankRuehl" w:hAnsi="FrankRuehl" w:cs="FrankRuehl"/>
          <w:rtl/>
        </w:rPr>
        <w:t xml:space="preserve">, </w:t>
      </w:r>
      <w:hyperlink r:id="rId11" w:history="1">
        <w:r w:rsidRPr="0064060C">
          <w:rPr>
            <w:rFonts w:ascii="FrankRuehl" w:hAnsi="FrankRuehl" w:cs="FrankRuehl"/>
            <w:color w:val="0000FF"/>
            <w:u w:val="single"/>
            <w:rtl/>
          </w:rPr>
          <w:t>13</w:t>
        </w:r>
      </w:hyperlink>
    </w:p>
    <w:p w14:paraId="7771E2F0" w14:textId="77777777" w:rsidR="0064060C" w:rsidRPr="0064060C" w:rsidRDefault="0064060C" w:rsidP="0064060C">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03A2B" w14:paraId="206EA714" w14:textId="77777777" w:rsidTr="00903A2B">
        <w:trPr>
          <w:trHeight w:val="355"/>
          <w:jc w:val="center"/>
        </w:trPr>
        <w:tc>
          <w:tcPr>
            <w:tcW w:w="8820" w:type="dxa"/>
            <w:tcBorders>
              <w:top w:val="nil"/>
              <w:left w:val="nil"/>
              <w:bottom w:val="nil"/>
              <w:right w:val="nil"/>
            </w:tcBorders>
            <w:shd w:val="clear" w:color="auto" w:fill="auto"/>
          </w:tcPr>
          <w:p w14:paraId="671C17AF" w14:textId="77777777" w:rsidR="008E1C4B" w:rsidRPr="008E1C4B" w:rsidRDefault="008E1C4B" w:rsidP="008E1C4B">
            <w:pPr>
              <w:jc w:val="center"/>
              <w:rPr>
                <w:rFonts w:ascii="Arial" w:hAnsi="Arial"/>
                <w:b/>
                <w:bCs/>
                <w:sz w:val="28"/>
                <w:szCs w:val="28"/>
                <w:u w:val="single"/>
                <w:rtl/>
              </w:rPr>
            </w:pPr>
            <w:bookmarkStart w:id="4" w:name="LawTable_End"/>
            <w:bookmarkStart w:id="5" w:name="PsakDin" w:colFirst="0" w:colLast="0"/>
            <w:bookmarkEnd w:id="0"/>
            <w:bookmarkEnd w:id="4"/>
            <w:r w:rsidRPr="008E1C4B">
              <w:rPr>
                <w:rFonts w:ascii="Arial" w:hAnsi="Arial"/>
                <w:b/>
                <w:bCs/>
                <w:sz w:val="28"/>
                <w:szCs w:val="28"/>
                <w:u w:val="single"/>
                <w:rtl/>
              </w:rPr>
              <w:t>גזר דין</w:t>
            </w:r>
          </w:p>
          <w:p w14:paraId="3BC57036" w14:textId="77777777" w:rsidR="00903A2B" w:rsidRPr="008E1C4B" w:rsidRDefault="00903A2B" w:rsidP="008E1C4B">
            <w:pPr>
              <w:jc w:val="center"/>
              <w:rPr>
                <w:rFonts w:ascii="Arial" w:hAnsi="Arial"/>
                <w:bCs/>
                <w:sz w:val="28"/>
                <w:szCs w:val="28"/>
                <w:u w:val="single"/>
                <w:rtl/>
              </w:rPr>
            </w:pPr>
          </w:p>
        </w:tc>
      </w:tr>
      <w:bookmarkEnd w:id="5"/>
    </w:tbl>
    <w:p w14:paraId="500C6D7A" w14:textId="77777777" w:rsidR="00903A2B" w:rsidRPr="00B05847" w:rsidRDefault="00903A2B" w:rsidP="00903A2B">
      <w:pPr>
        <w:rPr>
          <w:rFonts w:ascii="Arial" w:hAnsi="Arial"/>
          <w:rtl/>
        </w:rPr>
      </w:pPr>
    </w:p>
    <w:p w14:paraId="07D0B88A" w14:textId="77777777" w:rsidR="00903A2B" w:rsidRPr="00B05847" w:rsidRDefault="00903A2B" w:rsidP="00903A2B">
      <w:pPr>
        <w:spacing w:line="360" w:lineRule="auto"/>
        <w:rPr>
          <w:rtl/>
        </w:rPr>
      </w:pPr>
    </w:p>
    <w:p w14:paraId="6D444A17" w14:textId="77777777" w:rsidR="00903A2B" w:rsidRDefault="00903A2B" w:rsidP="00903A2B">
      <w:pPr>
        <w:spacing w:line="360" w:lineRule="auto"/>
        <w:rPr>
          <w:rtl/>
        </w:rPr>
      </w:pPr>
      <w:r>
        <w:rPr>
          <w:rtl/>
        </w:rPr>
        <w:tab/>
      </w:r>
      <w:r>
        <w:rPr>
          <w:rFonts w:hint="cs"/>
          <w:u w:val="single"/>
          <w:rtl/>
        </w:rPr>
        <w:t>כללי</w:t>
      </w:r>
    </w:p>
    <w:p w14:paraId="6FDB4AE4" w14:textId="77777777" w:rsidR="00903A2B" w:rsidRDefault="00903A2B" w:rsidP="00903A2B">
      <w:pPr>
        <w:spacing w:line="360" w:lineRule="auto"/>
        <w:rPr>
          <w:rtl/>
        </w:rPr>
      </w:pPr>
    </w:p>
    <w:p w14:paraId="4AD4F474" w14:textId="77777777" w:rsidR="00903A2B" w:rsidRDefault="00903A2B" w:rsidP="00903A2B">
      <w:pPr>
        <w:spacing w:line="360" w:lineRule="auto"/>
        <w:ind w:left="720" w:hanging="720"/>
        <w:jc w:val="both"/>
        <w:rPr>
          <w:rtl/>
        </w:rPr>
      </w:pPr>
      <w:r>
        <w:rPr>
          <w:rFonts w:hint="cs"/>
          <w:rtl/>
        </w:rPr>
        <w:t>1.</w:t>
      </w:r>
      <w:r>
        <w:rPr>
          <w:rtl/>
        </w:rPr>
        <w:tab/>
      </w:r>
      <w:bookmarkStart w:id="6" w:name="ABSTRACT_START"/>
      <w:bookmarkEnd w:id="6"/>
      <w:r>
        <w:rPr>
          <w:rFonts w:hint="cs"/>
          <w:rtl/>
        </w:rPr>
        <w:t xml:space="preserve">הנאשם הורשע על יסוד הודאתו במסגרת הסדר טיעון בעבירות של קשירת קשר לביצוע פשע (ייבוא וסחר בסם מסוכן), עבירה לפי </w:t>
      </w:r>
      <w:hyperlink r:id="rId12" w:history="1">
        <w:r w:rsidR="0064060C" w:rsidRPr="0064060C">
          <w:rPr>
            <w:color w:val="0000FF"/>
            <w:u w:val="single"/>
            <w:rtl/>
          </w:rPr>
          <w:t>סעיף 499(א)(1)</w:t>
        </w:r>
      </w:hyperlink>
      <w:r>
        <w:rPr>
          <w:rFonts w:hint="cs"/>
          <w:rtl/>
        </w:rPr>
        <w:t xml:space="preserve"> ל</w:t>
      </w:r>
      <w:hyperlink r:id="rId13" w:history="1">
        <w:r w:rsidR="008E1C4B" w:rsidRPr="008E1C4B">
          <w:rPr>
            <w:color w:val="0000FF"/>
            <w:u w:val="single"/>
            <w:rtl/>
          </w:rPr>
          <w:t>חוק העונשין</w:t>
        </w:r>
      </w:hyperlink>
      <w:r>
        <w:rPr>
          <w:rFonts w:hint="cs"/>
          <w:rtl/>
        </w:rPr>
        <w:t xml:space="preserve">; ייבוא סם מסוכן, עבירה לפי </w:t>
      </w:r>
      <w:hyperlink r:id="rId14" w:history="1">
        <w:r w:rsidR="0064060C" w:rsidRPr="0064060C">
          <w:rPr>
            <w:color w:val="0000FF"/>
            <w:u w:val="single"/>
            <w:rtl/>
          </w:rPr>
          <w:t>סעיף 13</w:t>
        </w:r>
      </w:hyperlink>
      <w:r>
        <w:rPr>
          <w:rFonts w:hint="cs"/>
          <w:rtl/>
        </w:rPr>
        <w:t xml:space="preserve"> ל</w:t>
      </w:r>
      <w:hyperlink r:id="rId15" w:history="1">
        <w:r w:rsidR="008E1C4B" w:rsidRPr="008E1C4B">
          <w:rPr>
            <w:color w:val="0000FF"/>
            <w:u w:val="single"/>
            <w:rtl/>
          </w:rPr>
          <w:t>פקודת הסמים המסוכנים</w:t>
        </w:r>
      </w:hyperlink>
      <w:r>
        <w:rPr>
          <w:rFonts w:hint="cs"/>
          <w:rtl/>
        </w:rPr>
        <w:t xml:space="preserve"> והחזקת סם מסוכן שלא לצריכה עצמית, עבירה לפי </w:t>
      </w:r>
      <w:hyperlink r:id="rId16" w:history="1">
        <w:r w:rsidR="0064060C" w:rsidRPr="0064060C">
          <w:rPr>
            <w:color w:val="0000FF"/>
            <w:u w:val="single"/>
            <w:rtl/>
          </w:rPr>
          <w:t>סעיף 7(א) +(ג)</w:t>
        </w:r>
      </w:hyperlink>
      <w:r>
        <w:rPr>
          <w:rFonts w:hint="cs"/>
          <w:rtl/>
        </w:rPr>
        <w:t xml:space="preserve"> רישא לפקודת הסמים המסוכנים. </w:t>
      </w:r>
    </w:p>
    <w:p w14:paraId="66B2E812" w14:textId="77777777" w:rsidR="00903A2B" w:rsidRDefault="00903A2B" w:rsidP="00903A2B">
      <w:pPr>
        <w:spacing w:line="360" w:lineRule="auto"/>
        <w:ind w:left="720" w:hanging="720"/>
        <w:jc w:val="both"/>
        <w:rPr>
          <w:rtl/>
        </w:rPr>
      </w:pPr>
    </w:p>
    <w:p w14:paraId="787DE3E3" w14:textId="77777777" w:rsidR="00903A2B" w:rsidRDefault="00903A2B" w:rsidP="00903A2B">
      <w:pPr>
        <w:spacing w:line="360" w:lineRule="auto"/>
        <w:ind w:left="720" w:hanging="720"/>
        <w:jc w:val="both"/>
        <w:rPr>
          <w:rtl/>
        </w:rPr>
      </w:pPr>
      <w:r>
        <w:rPr>
          <w:rtl/>
        </w:rPr>
        <w:tab/>
      </w:r>
      <w:r>
        <w:rPr>
          <w:rFonts w:hint="cs"/>
          <w:rtl/>
        </w:rPr>
        <w:t xml:space="preserve">במסגרת הסדר הטיעון שנקשר בין הצדדים תוקנו עובדות כתב האישום, וסוכם כי התביעה תגביל עתירתה לעונש של 30 חודשי מאסר ומאסר מותנה, ואילו הסנגור יוכל לטעון באופן חופשי ביחס לרכיבי ענישה אלה. עוד סוכם על חילוט בסך 1,000,000 ₪ מתוך כלל הסכומים שנתפסו במהלך החקירה. </w:t>
      </w:r>
    </w:p>
    <w:p w14:paraId="109C6425" w14:textId="77777777" w:rsidR="00903A2B" w:rsidRDefault="00903A2B" w:rsidP="00903A2B">
      <w:pPr>
        <w:spacing w:line="360" w:lineRule="auto"/>
        <w:ind w:left="720" w:hanging="720"/>
        <w:jc w:val="both"/>
        <w:rPr>
          <w:rtl/>
        </w:rPr>
      </w:pPr>
      <w:bookmarkStart w:id="7" w:name="ABSTRACT_END"/>
      <w:bookmarkEnd w:id="7"/>
    </w:p>
    <w:p w14:paraId="5ABA897A" w14:textId="77777777" w:rsidR="00903A2B" w:rsidRDefault="00903A2B" w:rsidP="00903A2B">
      <w:pPr>
        <w:spacing w:line="360" w:lineRule="auto"/>
        <w:ind w:left="720" w:hanging="720"/>
        <w:jc w:val="both"/>
        <w:rPr>
          <w:rtl/>
        </w:rPr>
      </w:pPr>
      <w:r>
        <w:rPr>
          <w:rtl/>
        </w:rPr>
        <w:tab/>
      </w:r>
      <w:r>
        <w:rPr>
          <w:rFonts w:hint="cs"/>
          <w:u w:val="single"/>
          <w:rtl/>
        </w:rPr>
        <w:t>עובדות כתב האישום המתוקן</w:t>
      </w:r>
    </w:p>
    <w:p w14:paraId="4138E357" w14:textId="77777777" w:rsidR="00903A2B" w:rsidRDefault="00903A2B" w:rsidP="00903A2B">
      <w:pPr>
        <w:spacing w:line="360" w:lineRule="auto"/>
        <w:ind w:left="720" w:hanging="720"/>
        <w:jc w:val="both"/>
        <w:rPr>
          <w:rtl/>
        </w:rPr>
      </w:pPr>
    </w:p>
    <w:p w14:paraId="3E76482A" w14:textId="77777777" w:rsidR="00903A2B" w:rsidRDefault="00903A2B" w:rsidP="00903A2B">
      <w:pPr>
        <w:spacing w:line="360" w:lineRule="auto"/>
        <w:ind w:left="720" w:hanging="720"/>
        <w:jc w:val="both"/>
        <w:rPr>
          <w:rtl/>
        </w:rPr>
      </w:pPr>
      <w:r>
        <w:rPr>
          <w:rFonts w:hint="cs"/>
          <w:rtl/>
        </w:rPr>
        <w:t>2.</w:t>
      </w:r>
      <w:r>
        <w:rPr>
          <w:rFonts w:hint="cs"/>
          <w:rtl/>
        </w:rPr>
        <w:tab/>
        <w:t xml:space="preserve">על-פי עובדות כתב האישום המתוקן, במהלך חודש מאי 2006, קשר הנאשם קשר עם א.א (לימים </w:t>
      </w:r>
      <w:r>
        <w:rPr>
          <w:rtl/>
        </w:rPr>
        <w:t>–</w:t>
      </w:r>
      <w:r>
        <w:rPr>
          <w:rFonts w:hint="cs"/>
          <w:rtl/>
        </w:rPr>
        <w:t xml:space="preserve"> עד המדינה בפרשה) לייבוא סם מסוכן מסוג קוקאין מפרו, וצירף לתכנית הקשר אדם בשם דוד מיליק (להלן </w:t>
      </w:r>
      <w:r>
        <w:rPr>
          <w:rtl/>
        </w:rPr>
        <w:lastRenderedPageBreak/>
        <w:t>–</w:t>
      </w:r>
      <w:r>
        <w:rPr>
          <w:rFonts w:hint="cs"/>
          <w:rtl/>
        </w:rPr>
        <w:t xml:space="preserve"> </w:t>
      </w:r>
      <w:r>
        <w:rPr>
          <w:rFonts w:hint="cs"/>
          <w:b/>
          <w:bCs/>
          <w:rtl/>
        </w:rPr>
        <w:t>מיליק</w:t>
      </w:r>
      <w:r>
        <w:rPr>
          <w:rFonts w:hint="cs"/>
          <w:rtl/>
        </w:rPr>
        <w:t xml:space="preserve">) על-מנת שהאחרון ימצא עבורם בלדר. מיליק צירף לתכנית את שמעון בן ניסן, אשר תפקידו היה להביא את הסמים מפרו לישראל (להלן </w:t>
      </w:r>
      <w:r>
        <w:rPr>
          <w:rtl/>
        </w:rPr>
        <w:t>–</w:t>
      </w:r>
      <w:r>
        <w:rPr>
          <w:rFonts w:hint="cs"/>
          <w:rtl/>
        </w:rPr>
        <w:t xml:space="preserve"> </w:t>
      </w:r>
      <w:r>
        <w:rPr>
          <w:rFonts w:hint="cs"/>
          <w:b/>
          <w:bCs/>
          <w:rtl/>
        </w:rPr>
        <w:t>בן ניסן</w:t>
      </w:r>
      <w:r>
        <w:rPr>
          <w:rFonts w:hint="cs"/>
          <w:rtl/>
        </w:rPr>
        <w:t xml:space="preserve">). תפקידו של א.א היה לרכוש את הסמים בפרו ולהעבירם לבן ניסן. </w:t>
      </w:r>
    </w:p>
    <w:p w14:paraId="5ABB38A4" w14:textId="77777777" w:rsidR="00903A2B" w:rsidRDefault="00903A2B" w:rsidP="00903A2B">
      <w:pPr>
        <w:spacing w:line="360" w:lineRule="auto"/>
        <w:ind w:left="720" w:hanging="720"/>
        <w:jc w:val="both"/>
        <w:rPr>
          <w:rtl/>
        </w:rPr>
      </w:pPr>
    </w:p>
    <w:p w14:paraId="5B78CD0F" w14:textId="77777777" w:rsidR="00903A2B" w:rsidRDefault="00903A2B" w:rsidP="00903A2B">
      <w:pPr>
        <w:spacing w:line="360" w:lineRule="auto"/>
        <w:ind w:left="720" w:hanging="720"/>
        <w:jc w:val="both"/>
        <w:rPr>
          <w:rtl/>
        </w:rPr>
      </w:pPr>
      <w:r>
        <w:rPr>
          <w:rtl/>
        </w:rPr>
        <w:tab/>
      </w:r>
      <w:r>
        <w:rPr>
          <w:rFonts w:hint="cs"/>
          <w:rtl/>
        </w:rPr>
        <w:t xml:space="preserve">במסגרת הקשר ביצעו מיליק ובן ניסן שורה של פעולות זיוף על-מנת לאפשר לבן ניסן לצאת מהארץ בזהות בדויה לצורך הבאת הסמים מפרו, תוך שהנאשם מממן את רכישת הסמים והוצאות העסקה בסכום של 24,000 דולר (20,000 דולר לטובת רכישת הסמים ו- 4,000 דולר לטובת הוצאות הנסיעה והשהייה של א.א ובן ניסן בפרו). </w:t>
      </w:r>
    </w:p>
    <w:p w14:paraId="445F9E5A" w14:textId="77777777" w:rsidR="00903A2B" w:rsidRDefault="00903A2B" w:rsidP="00903A2B">
      <w:pPr>
        <w:spacing w:line="360" w:lineRule="auto"/>
        <w:ind w:left="720" w:hanging="720"/>
        <w:jc w:val="both"/>
        <w:rPr>
          <w:rtl/>
        </w:rPr>
      </w:pPr>
    </w:p>
    <w:p w14:paraId="234ABDBC" w14:textId="77777777" w:rsidR="00903A2B" w:rsidRDefault="00903A2B" w:rsidP="00903A2B">
      <w:pPr>
        <w:spacing w:line="360" w:lineRule="auto"/>
        <w:ind w:left="720" w:hanging="720"/>
        <w:jc w:val="both"/>
        <w:rPr>
          <w:rtl/>
        </w:rPr>
      </w:pPr>
      <w:r>
        <w:rPr>
          <w:rtl/>
        </w:rPr>
        <w:tab/>
      </w:r>
      <w:r>
        <w:rPr>
          <w:rFonts w:hint="cs"/>
          <w:rtl/>
        </w:rPr>
        <w:t xml:space="preserve">לאחר ש-א.א רכש בפרו 10 ק"ג סם מסוכן מסוג קוקאין, חבר א.א לבן ניסן, אשר קיבל את הסמים לידיו, וטס לישראל כשהסמים נמצאים בתוך מזוודה בעלת תחתית כפולה. מיליק עודכן ביחס להעברת הסם מ-א.א לבן ניסן, ובדבר הגעתו הצפויה של בן ניסן לישראל, ואף הסביר לבן ניסן כי אנשי קשר העובדים בנמל התעופה בלימה, יאפשרו לו מעבר בטוח עם הסם המסוכן בידיו. </w:t>
      </w:r>
    </w:p>
    <w:p w14:paraId="055DA360" w14:textId="77777777" w:rsidR="00903A2B" w:rsidRDefault="00903A2B" w:rsidP="00903A2B">
      <w:pPr>
        <w:spacing w:line="360" w:lineRule="auto"/>
        <w:ind w:left="720" w:hanging="720"/>
        <w:jc w:val="both"/>
        <w:rPr>
          <w:rtl/>
        </w:rPr>
      </w:pPr>
    </w:p>
    <w:p w14:paraId="745157B0" w14:textId="77777777" w:rsidR="00903A2B" w:rsidRDefault="00903A2B" w:rsidP="00903A2B">
      <w:pPr>
        <w:spacing w:line="360" w:lineRule="auto"/>
        <w:ind w:left="720" w:hanging="720"/>
        <w:jc w:val="both"/>
        <w:rPr>
          <w:rtl/>
        </w:rPr>
      </w:pPr>
      <w:r>
        <w:rPr>
          <w:rtl/>
        </w:rPr>
        <w:tab/>
      </w:r>
      <w:r>
        <w:rPr>
          <w:rFonts w:hint="cs"/>
          <w:rtl/>
        </w:rPr>
        <w:t xml:space="preserve">אין חולק כי עם הגעתו של בן ניסן לישראל, ביום 16.6.06, נתפס הוא על-ידי משטרת ישראל, ובכך נמנעה הפצתו של הסם המסוכן. </w:t>
      </w:r>
    </w:p>
    <w:p w14:paraId="6F9DF585" w14:textId="77777777" w:rsidR="00903A2B" w:rsidRDefault="00903A2B" w:rsidP="00903A2B">
      <w:pPr>
        <w:spacing w:line="360" w:lineRule="auto"/>
        <w:ind w:left="720" w:hanging="720"/>
        <w:jc w:val="both"/>
        <w:rPr>
          <w:rtl/>
        </w:rPr>
      </w:pPr>
    </w:p>
    <w:p w14:paraId="19E0CF74" w14:textId="77777777" w:rsidR="00903A2B" w:rsidRDefault="00903A2B" w:rsidP="00903A2B">
      <w:pPr>
        <w:spacing w:line="360" w:lineRule="auto"/>
        <w:ind w:left="720" w:hanging="720"/>
        <w:jc w:val="both"/>
        <w:rPr>
          <w:rtl/>
        </w:rPr>
      </w:pPr>
      <w:r>
        <w:rPr>
          <w:rtl/>
        </w:rPr>
        <w:tab/>
      </w:r>
      <w:r>
        <w:rPr>
          <w:rFonts w:hint="cs"/>
          <w:u w:val="single"/>
          <w:rtl/>
        </w:rPr>
        <w:t>מהלך המשפט והעונשים שנגזרו על מיליק ובן ניסן</w:t>
      </w:r>
    </w:p>
    <w:p w14:paraId="60834A6A" w14:textId="77777777" w:rsidR="00903A2B" w:rsidRDefault="00903A2B" w:rsidP="00903A2B">
      <w:pPr>
        <w:spacing w:line="360" w:lineRule="auto"/>
        <w:ind w:left="720" w:hanging="720"/>
        <w:jc w:val="both"/>
        <w:rPr>
          <w:rtl/>
        </w:rPr>
      </w:pPr>
    </w:p>
    <w:p w14:paraId="27CAA3F8" w14:textId="77777777" w:rsidR="00903A2B" w:rsidRDefault="00903A2B" w:rsidP="00903A2B">
      <w:pPr>
        <w:spacing w:line="360" w:lineRule="auto"/>
        <w:ind w:left="720" w:hanging="720"/>
        <w:jc w:val="both"/>
        <w:rPr>
          <w:rtl/>
        </w:rPr>
      </w:pPr>
      <w:r>
        <w:rPr>
          <w:rFonts w:hint="cs"/>
          <w:rtl/>
        </w:rPr>
        <w:t>3.</w:t>
      </w:r>
      <w:r>
        <w:rPr>
          <w:rFonts w:hint="cs"/>
          <w:rtl/>
        </w:rPr>
        <w:tab/>
        <w:t xml:space="preserve">הנאשם כפר במיוחס לו, ועל כן החלו להישמע ראיות עד לסיום פרשת התביעה. במסגרת זו, העיד אף עד המדינה, וכן העידו מיליק ובן ניסן, שהורשעו בגין מעורבותם בפרשה עוד בשנת 2007, ודינם נגזר ל-6 ו-4 שנות מאסר, בהתאמה. </w:t>
      </w:r>
    </w:p>
    <w:p w14:paraId="2401244E" w14:textId="77777777" w:rsidR="00903A2B" w:rsidRDefault="00903A2B" w:rsidP="00903A2B">
      <w:pPr>
        <w:spacing w:line="360" w:lineRule="auto"/>
        <w:ind w:left="720" w:hanging="720"/>
        <w:jc w:val="both"/>
        <w:rPr>
          <w:rtl/>
        </w:rPr>
      </w:pPr>
    </w:p>
    <w:p w14:paraId="5ADA9B8D" w14:textId="77777777" w:rsidR="00903A2B" w:rsidRDefault="00903A2B" w:rsidP="00903A2B">
      <w:pPr>
        <w:spacing w:line="360" w:lineRule="auto"/>
        <w:ind w:left="720" w:hanging="720"/>
        <w:jc w:val="both"/>
        <w:rPr>
          <w:rtl/>
        </w:rPr>
      </w:pPr>
      <w:r>
        <w:rPr>
          <w:rtl/>
        </w:rPr>
        <w:tab/>
      </w:r>
      <w:r>
        <w:rPr>
          <w:rFonts w:hint="cs"/>
          <w:u w:val="single"/>
          <w:rtl/>
        </w:rPr>
        <w:t>טיעוני התביעה</w:t>
      </w:r>
    </w:p>
    <w:p w14:paraId="0F8E5A8D" w14:textId="77777777" w:rsidR="00903A2B" w:rsidRDefault="00903A2B" w:rsidP="00903A2B">
      <w:pPr>
        <w:spacing w:line="360" w:lineRule="auto"/>
        <w:ind w:left="720" w:hanging="720"/>
        <w:jc w:val="both"/>
        <w:rPr>
          <w:rtl/>
        </w:rPr>
      </w:pPr>
    </w:p>
    <w:p w14:paraId="63347D08" w14:textId="77777777" w:rsidR="00903A2B" w:rsidRDefault="00903A2B" w:rsidP="00903A2B">
      <w:pPr>
        <w:spacing w:line="360" w:lineRule="auto"/>
        <w:ind w:left="720" w:hanging="720"/>
        <w:jc w:val="both"/>
        <w:rPr>
          <w:rtl/>
        </w:rPr>
      </w:pPr>
      <w:r>
        <w:rPr>
          <w:rFonts w:hint="cs"/>
          <w:rtl/>
        </w:rPr>
        <w:t>4.</w:t>
      </w:r>
      <w:r>
        <w:rPr>
          <w:rFonts w:hint="cs"/>
          <w:rtl/>
        </w:rPr>
        <w:tab/>
        <w:t>התביעה עמדה בטיעוניה על חומרת מעשיו של הנאשם הן ביחס לעצם ייבוא הסם למדינת ישראל, הן ביחס לסוג הסם, והן ביחס לכמות הסם המשמעותית. נטען כי אלמלא חלוף הזמן המשמעותי מאז מועד ביצוע העבירות, והשינוי שערך הנאשם בחייו מאז אותה תקופה, הענישה הראויה בתיק זה הייתה צריכה לעמוד על שנות מאסר רבות, אף מעבר לעונשים שהוטלו על מיליק ובן ניסן. לשיטת התביעה, יש לראות ברף העליון של הסדר הטיעון ככזה המשקף באופן מתון ומאוזן את כלל הנתונים, ואין מקום לחרוג ממנו לקולא בשל אותם טעמים ששוקללו בו ממילא.</w:t>
      </w:r>
    </w:p>
    <w:p w14:paraId="6FAD8361" w14:textId="77777777" w:rsidR="00903A2B" w:rsidRDefault="00903A2B" w:rsidP="00903A2B">
      <w:pPr>
        <w:spacing w:line="360" w:lineRule="auto"/>
        <w:ind w:left="720" w:hanging="720"/>
        <w:jc w:val="both"/>
        <w:rPr>
          <w:rtl/>
        </w:rPr>
      </w:pPr>
    </w:p>
    <w:p w14:paraId="6E961A85" w14:textId="77777777" w:rsidR="00903A2B" w:rsidRDefault="00903A2B" w:rsidP="00903A2B">
      <w:pPr>
        <w:spacing w:line="360" w:lineRule="auto"/>
        <w:ind w:left="720" w:hanging="720"/>
        <w:jc w:val="both"/>
        <w:rPr>
          <w:rtl/>
        </w:rPr>
      </w:pPr>
      <w:r>
        <w:rPr>
          <w:rtl/>
        </w:rPr>
        <w:tab/>
      </w:r>
      <w:r>
        <w:rPr>
          <w:rFonts w:hint="cs"/>
          <w:u w:val="single"/>
          <w:rtl/>
        </w:rPr>
        <w:t>טיעוני ההגנה</w:t>
      </w:r>
    </w:p>
    <w:p w14:paraId="0F844AF1" w14:textId="77777777" w:rsidR="00903A2B" w:rsidRPr="00850F27" w:rsidRDefault="00903A2B" w:rsidP="00903A2B">
      <w:pPr>
        <w:spacing w:line="360" w:lineRule="auto"/>
        <w:ind w:left="720" w:hanging="720"/>
        <w:jc w:val="both"/>
        <w:rPr>
          <w:rtl/>
        </w:rPr>
      </w:pPr>
    </w:p>
    <w:p w14:paraId="613BC54F" w14:textId="77777777" w:rsidR="00903A2B" w:rsidRDefault="00903A2B" w:rsidP="00903A2B">
      <w:pPr>
        <w:spacing w:line="360" w:lineRule="auto"/>
        <w:ind w:left="720" w:hanging="720"/>
        <w:jc w:val="both"/>
        <w:rPr>
          <w:rtl/>
        </w:rPr>
      </w:pPr>
      <w:r>
        <w:rPr>
          <w:rFonts w:hint="cs"/>
          <w:rtl/>
        </w:rPr>
        <w:t>5.</w:t>
      </w:r>
      <w:r>
        <w:rPr>
          <w:rFonts w:hint="cs"/>
          <w:rtl/>
        </w:rPr>
        <w:tab/>
        <w:t xml:space="preserve">ההגנה עמדה בטיעוניה על חלוף הזמן המשמעותי מאז מועד ביצוע העבירות, והוסבר כי הנאשם אשר ביצע את העבירות בגיל 23, עת גדל בסביבה מורכבת, אינו אותו אדם אשר נותן את הדין היום, כ-12 שנה מאוחר יותר, לאחר שהתחתן ונולדו לו שבעה ילדים (וראה באותו הקשר, גם המסמך שסומן על ידי נע/1). </w:t>
      </w:r>
    </w:p>
    <w:p w14:paraId="4D0D45A9" w14:textId="77777777" w:rsidR="00903A2B" w:rsidRDefault="00903A2B" w:rsidP="00903A2B">
      <w:pPr>
        <w:spacing w:line="360" w:lineRule="auto"/>
        <w:ind w:left="720" w:hanging="720"/>
        <w:jc w:val="both"/>
        <w:rPr>
          <w:rtl/>
        </w:rPr>
      </w:pPr>
    </w:p>
    <w:p w14:paraId="113635B2" w14:textId="77777777" w:rsidR="00903A2B" w:rsidRDefault="00903A2B" w:rsidP="00903A2B">
      <w:pPr>
        <w:spacing w:line="360" w:lineRule="auto"/>
        <w:ind w:left="720" w:hanging="720"/>
        <w:jc w:val="both"/>
        <w:rPr>
          <w:rtl/>
        </w:rPr>
      </w:pPr>
      <w:r>
        <w:rPr>
          <w:rtl/>
        </w:rPr>
        <w:lastRenderedPageBreak/>
        <w:tab/>
      </w:r>
      <w:r>
        <w:rPr>
          <w:rFonts w:hint="cs"/>
          <w:rtl/>
        </w:rPr>
        <w:t xml:space="preserve">נטען כי העמדתו של הנאשם לדין לאחר פרק זמן כה ממושך, ומספר חודשים טרם התיישנו העבירות היא אפשרית על-פי דין, אך יש לראותה ככזו שאינה מתיישבת עם העקרונות העומדים ביסוד התיישנות העבירות, דהיינו </w:t>
      </w:r>
      <w:r>
        <w:rPr>
          <w:rtl/>
        </w:rPr>
        <w:t>–</w:t>
      </w:r>
      <w:r>
        <w:rPr>
          <w:rFonts w:hint="cs"/>
          <w:rtl/>
        </w:rPr>
        <w:t xml:space="preserve"> שיכחה, מחילה, והזכות לסיום מהיר של ההליך הפלילי על כל שלביו [וראה </w:t>
      </w:r>
      <w:hyperlink r:id="rId17" w:history="1">
        <w:r w:rsidR="008E1C4B" w:rsidRPr="008E1C4B">
          <w:rPr>
            <w:color w:val="0000FF"/>
            <w:u w:val="single"/>
            <w:rtl/>
          </w:rPr>
          <w:t>בג"צ 6972/96</w:t>
        </w:r>
      </w:hyperlink>
      <w:r>
        <w:rPr>
          <w:rFonts w:hint="cs"/>
          <w:rtl/>
        </w:rPr>
        <w:t xml:space="preserve"> </w:t>
      </w:r>
      <w:r>
        <w:rPr>
          <w:rFonts w:hint="cs"/>
          <w:b/>
          <w:bCs/>
          <w:rtl/>
        </w:rPr>
        <w:t>התנועה למען איכות השלטון בישראל נ' היועץ המשפטי לממשלה ואח'</w:t>
      </w:r>
      <w:r>
        <w:rPr>
          <w:rFonts w:hint="cs"/>
          <w:rtl/>
        </w:rPr>
        <w:t xml:space="preserve"> (9.6.1997) אליו הפנתה ההגנה בטיעוניה].</w:t>
      </w:r>
    </w:p>
    <w:p w14:paraId="67B6A436" w14:textId="77777777" w:rsidR="00903A2B" w:rsidRDefault="00903A2B" w:rsidP="00903A2B">
      <w:pPr>
        <w:spacing w:line="360" w:lineRule="auto"/>
        <w:ind w:left="720" w:hanging="720"/>
        <w:jc w:val="both"/>
        <w:rPr>
          <w:rtl/>
        </w:rPr>
      </w:pPr>
    </w:p>
    <w:p w14:paraId="64C68E72" w14:textId="77777777" w:rsidR="00903A2B" w:rsidRDefault="00903A2B" w:rsidP="00903A2B">
      <w:pPr>
        <w:spacing w:line="360" w:lineRule="auto"/>
        <w:ind w:left="720" w:hanging="720"/>
        <w:jc w:val="both"/>
        <w:rPr>
          <w:rtl/>
        </w:rPr>
      </w:pPr>
      <w:r>
        <w:rPr>
          <w:rtl/>
        </w:rPr>
        <w:tab/>
      </w:r>
      <w:r>
        <w:rPr>
          <w:rFonts w:hint="cs"/>
          <w:rtl/>
        </w:rPr>
        <w:t xml:space="preserve">עוד הפנתה ההגנה לעדויות העדים שהעידו לעניין העונש, אשר תיארו את התנהלותו הנורמטיבית של הנאשם בכל התקופה מאז מועד ביצוע העבירה, וכן את הקשר למשפחתו ולקהילה. </w:t>
      </w:r>
    </w:p>
    <w:p w14:paraId="30539BA8" w14:textId="77777777" w:rsidR="00903A2B" w:rsidRDefault="00903A2B" w:rsidP="00903A2B">
      <w:pPr>
        <w:spacing w:line="360" w:lineRule="auto"/>
        <w:ind w:left="720" w:hanging="720"/>
        <w:jc w:val="both"/>
        <w:rPr>
          <w:rtl/>
        </w:rPr>
      </w:pPr>
    </w:p>
    <w:p w14:paraId="1287599F" w14:textId="77777777" w:rsidR="00903A2B" w:rsidRDefault="00903A2B" w:rsidP="00903A2B">
      <w:pPr>
        <w:spacing w:line="360" w:lineRule="auto"/>
        <w:ind w:left="720" w:hanging="720"/>
        <w:jc w:val="both"/>
        <w:rPr>
          <w:rtl/>
        </w:rPr>
      </w:pPr>
      <w:r>
        <w:rPr>
          <w:rtl/>
        </w:rPr>
        <w:tab/>
      </w:r>
      <w:r>
        <w:rPr>
          <w:rFonts w:hint="cs"/>
          <w:rtl/>
        </w:rPr>
        <w:t xml:space="preserve">הסנגור הפנה לעונש שנגזר על מיליק (6 שנות מאסר), וציין כי לאור עברו הפלילי של אותו מיליק, ובהינתן הפער בין מועדי הגשת כתב האישום, יש להסיק כי העונש הראוי לנאשם נמוך באופן משמעותי מהרף העליון של הסדר הטיעון. </w:t>
      </w:r>
    </w:p>
    <w:p w14:paraId="6D85D737" w14:textId="77777777" w:rsidR="00903A2B" w:rsidRDefault="00903A2B" w:rsidP="00903A2B">
      <w:pPr>
        <w:spacing w:line="360" w:lineRule="auto"/>
        <w:ind w:left="720" w:hanging="720"/>
        <w:jc w:val="both"/>
        <w:rPr>
          <w:rtl/>
        </w:rPr>
      </w:pPr>
    </w:p>
    <w:p w14:paraId="429E4A7F" w14:textId="77777777" w:rsidR="00903A2B" w:rsidRDefault="00903A2B" w:rsidP="00903A2B">
      <w:pPr>
        <w:spacing w:line="360" w:lineRule="auto"/>
        <w:ind w:left="720" w:hanging="720"/>
        <w:jc w:val="both"/>
        <w:rPr>
          <w:rtl/>
        </w:rPr>
      </w:pPr>
      <w:r>
        <w:rPr>
          <w:rtl/>
        </w:rPr>
        <w:tab/>
      </w:r>
      <w:r>
        <w:rPr>
          <w:rFonts w:hint="cs"/>
          <w:rtl/>
        </w:rPr>
        <w:t xml:space="preserve">הסניגור התייחס להשפעת העונש על ילדיו הקטינים של הנאשם, אשר מבחינתם, התנהלות אביהם לאורך השנים הייתה נורמטיבית, וחלקם צפויים לעבור משבר ככל שייגזר על הנאשם עונש מאסר בגין מעשים שבוצעו עוד טרם נולדו. </w:t>
      </w:r>
    </w:p>
    <w:p w14:paraId="4D9CCB2B" w14:textId="77777777" w:rsidR="00903A2B" w:rsidRDefault="00903A2B" w:rsidP="00903A2B">
      <w:pPr>
        <w:spacing w:line="360" w:lineRule="auto"/>
        <w:ind w:left="720" w:hanging="720"/>
        <w:jc w:val="both"/>
        <w:rPr>
          <w:rtl/>
        </w:rPr>
      </w:pPr>
    </w:p>
    <w:p w14:paraId="132B1314" w14:textId="77777777" w:rsidR="00903A2B" w:rsidRDefault="00903A2B" w:rsidP="00903A2B">
      <w:pPr>
        <w:spacing w:line="360" w:lineRule="auto"/>
        <w:ind w:left="720" w:hanging="720"/>
        <w:jc w:val="both"/>
        <w:rPr>
          <w:rtl/>
        </w:rPr>
      </w:pPr>
      <w:r>
        <w:rPr>
          <w:rtl/>
        </w:rPr>
        <w:tab/>
      </w:r>
      <w:r>
        <w:rPr>
          <w:rFonts w:hint="cs"/>
          <w:rtl/>
        </w:rPr>
        <w:t xml:space="preserve">התנהלותו של עד המדינה זכתה אף היא לפרק בטיעוני הסנגור, וכן להתייחסות בעדות אשת הנאשם ובדברי הנאשם עצמו. הובהר, כי לאורך השנים איים עד המדינה על הנאשם (ודברים ברוח זו עלו אף בעדותו של עד המדינה), וניתן לראות באימה שהייתה מנת חלקם של הנאשם ומשפחתו, ככזו המצדיקה, כשלעצמה, הקלה בעונש. </w:t>
      </w:r>
    </w:p>
    <w:p w14:paraId="7687B3AA" w14:textId="77777777" w:rsidR="00903A2B" w:rsidRDefault="00903A2B" w:rsidP="00903A2B">
      <w:pPr>
        <w:spacing w:line="360" w:lineRule="auto"/>
        <w:ind w:left="720" w:hanging="720"/>
        <w:jc w:val="both"/>
        <w:rPr>
          <w:rtl/>
        </w:rPr>
      </w:pPr>
    </w:p>
    <w:p w14:paraId="4F0472F3" w14:textId="77777777" w:rsidR="00903A2B" w:rsidRDefault="00903A2B" w:rsidP="00903A2B">
      <w:pPr>
        <w:spacing w:line="360" w:lineRule="auto"/>
        <w:ind w:left="720" w:hanging="720"/>
        <w:jc w:val="both"/>
        <w:rPr>
          <w:rtl/>
        </w:rPr>
      </w:pPr>
      <w:r>
        <w:rPr>
          <w:rtl/>
        </w:rPr>
        <w:tab/>
      </w:r>
      <w:r>
        <w:rPr>
          <w:rFonts w:hint="cs"/>
          <w:rtl/>
        </w:rPr>
        <w:t xml:space="preserve">הסנגור ביקש ליתן משקל להודאת הנאשם וכן לתקופה ממושכת בה היה נתון בתנאים מגבילים - 13 חודשים במעצר בפיקוח אלקטרוני. </w:t>
      </w:r>
    </w:p>
    <w:p w14:paraId="78BAA738" w14:textId="77777777" w:rsidR="00903A2B" w:rsidRDefault="00903A2B" w:rsidP="00903A2B">
      <w:pPr>
        <w:spacing w:line="360" w:lineRule="auto"/>
        <w:ind w:left="720" w:hanging="720"/>
        <w:jc w:val="both"/>
        <w:rPr>
          <w:rtl/>
        </w:rPr>
      </w:pPr>
      <w:r>
        <w:rPr>
          <w:rtl/>
        </w:rPr>
        <w:br/>
      </w:r>
      <w:r>
        <w:rPr>
          <w:rFonts w:hint="cs"/>
          <w:rtl/>
        </w:rPr>
        <w:t xml:space="preserve">הרכיב הכספי המשמעותי שסוכם במסגרת ההסדר מצדיק אף הוא, לשיטת ההגנה, התחשבות בענישה בשים לב לגובהו של הסכום. </w:t>
      </w:r>
    </w:p>
    <w:p w14:paraId="2BAE1278" w14:textId="77777777" w:rsidR="00903A2B" w:rsidRDefault="00903A2B" w:rsidP="00903A2B">
      <w:pPr>
        <w:spacing w:line="360" w:lineRule="auto"/>
        <w:ind w:left="720" w:hanging="720"/>
        <w:jc w:val="both"/>
        <w:rPr>
          <w:rtl/>
        </w:rPr>
      </w:pPr>
    </w:p>
    <w:p w14:paraId="50075AA3" w14:textId="77777777" w:rsidR="00903A2B" w:rsidRDefault="00903A2B" w:rsidP="00903A2B">
      <w:pPr>
        <w:spacing w:line="360" w:lineRule="auto"/>
        <w:ind w:left="720" w:hanging="720"/>
        <w:jc w:val="both"/>
        <w:rPr>
          <w:rtl/>
        </w:rPr>
      </w:pPr>
      <w:r>
        <w:rPr>
          <w:rtl/>
        </w:rPr>
        <w:tab/>
      </w:r>
      <w:r>
        <w:rPr>
          <w:rFonts w:hint="cs"/>
          <w:rtl/>
        </w:rPr>
        <w:t xml:space="preserve">על יסוד כלל השיקולים שפורטו לעיל, סבר הסנגור כי ראוי להטיל על הנאשם עונש אותו ניתן לרצות בדרך של עבודות שרות ולא מעבר לכך. </w:t>
      </w:r>
    </w:p>
    <w:p w14:paraId="452CFF46" w14:textId="77777777" w:rsidR="00903A2B" w:rsidRDefault="00903A2B" w:rsidP="00903A2B">
      <w:pPr>
        <w:spacing w:line="360" w:lineRule="auto"/>
        <w:ind w:left="720" w:hanging="720"/>
        <w:jc w:val="both"/>
        <w:rPr>
          <w:rtl/>
        </w:rPr>
      </w:pPr>
    </w:p>
    <w:p w14:paraId="6A49F505" w14:textId="77777777" w:rsidR="00903A2B" w:rsidRDefault="00903A2B" w:rsidP="00903A2B">
      <w:pPr>
        <w:spacing w:line="360" w:lineRule="auto"/>
        <w:ind w:left="720" w:hanging="720"/>
        <w:jc w:val="both"/>
        <w:rPr>
          <w:rtl/>
        </w:rPr>
      </w:pPr>
      <w:r>
        <w:rPr>
          <w:rtl/>
        </w:rPr>
        <w:tab/>
      </w:r>
      <w:r>
        <w:rPr>
          <w:rFonts w:hint="cs"/>
          <w:rtl/>
        </w:rPr>
        <w:t xml:space="preserve">הנאשם בדברו האחרון ציין את הדברים הבאים: </w:t>
      </w:r>
    </w:p>
    <w:p w14:paraId="3249C3CB" w14:textId="77777777" w:rsidR="00903A2B" w:rsidRDefault="00903A2B" w:rsidP="00903A2B">
      <w:pPr>
        <w:spacing w:line="360" w:lineRule="auto"/>
        <w:ind w:left="720" w:hanging="720"/>
        <w:jc w:val="both"/>
        <w:rPr>
          <w:rtl/>
        </w:rPr>
      </w:pPr>
    </w:p>
    <w:p w14:paraId="52E909B4" w14:textId="77777777" w:rsidR="00903A2B" w:rsidRPr="00903A2B" w:rsidRDefault="00903A2B" w:rsidP="00903A2B">
      <w:pPr>
        <w:spacing w:line="360" w:lineRule="auto"/>
        <w:ind w:left="720" w:hanging="720"/>
        <w:jc w:val="both"/>
        <w:rPr>
          <w:rFonts w:ascii="Calibri" w:hAnsi="Calibri"/>
          <w:rtl/>
        </w:rPr>
      </w:pPr>
      <w:r w:rsidRPr="00EC675B">
        <w:rPr>
          <w:rtl/>
        </w:rPr>
        <w:tab/>
      </w:r>
      <w:r w:rsidRPr="00903A2B">
        <w:rPr>
          <w:rFonts w:ascii="Calibri" w:hAnsi="Calibri" w:hint="cs"/>
          <w:rtl/>
        </w:rPr>
        <w:t>"</w:t>
      </w:r>
      <w:r w:rsidRPr="00903A2B">
        <w:rPr>
          <w:rFonts w:ascii="Calibri" w:hAnsi="Calibri" w:hint="cs"/>
          <w:b/>
          <w:bCs/>
          <w:rtl/>
        </w:rPr>
        <w:t>אני היום בן 36, אב לשבעה ילדים, גדלתי במשפחה של ארבע נפשות. בגיל 6-7 נלקחנו אני ואחותי לפנימייה. אמא שלי לא יכלה לגדל אותנו ואבא היה בבית הסוהר. אמא שלי הכירה חבר. אחרי שנה הוציאו אותנו מהפנימייה וגדלנו בבית בחולון. לא היינו עשירים אך גם לא עניים. מצב הכלכלי שלנו השתנה בהיותי בגיל 15. מגיל 16 פירנסתי את הבית וזה תפקידי עד היום. אני תומך באימי, באחותי, גם מאוד התדרדרתי והסתובבתי בחברה לא טובה. אני לא יודע מה קרה בשנת 2006, אם זו החברה ממנה הגעתי, אני הלכתי משם. אני פרשתי מהחיים האלה. חלק מהחברים לא קיבלו את זה שאני הולך. ... אני לוקח אחריות על כל מה שעשיתי. המצב הכלכלי שלי היום לא טוב, המעצר ומעצר הבית הכל באשמתי. הילדים שלי סובלים היום ממה שעשיתי כשהייתי צעיר יותר. במשפט הזה, אני רוצה להגיד שהרגשתי שאני כמעט מתנהג כמו שהתנהגתי פעם. הייתי צריך להיות חזק, ולעשות פרצופים זה לא נכון וזה לא אני. זה החזיר אותי קצת לילדות שלי. הילדים שלי לא גדלו עם אבא עבריין ולא יודעים מה זה. אין לי חברים עבריינים ואין לי כלום. ... את הטעות שלי הבנתי לפני 12 שנה ולא היום. הדרך שלי התחילה לפני 12 שנה ולא היום עם כתב האישום. התיק הזה קרה בצומת הדרכים שלי, שאני פורש וחוזר אחורה. אני מבקש מבית המשפט שלא להחזיר אותי אחורה</w:t>
      </w:r>
      <w:r w:rsidRPr="00903A2B">
        <w:rPr>
          <w:rFonts w:ascii="Calibri" w:hAnsi="Calibri" w:hint="cs"/>
          <w:rtl/>
        </w:rPr>
        <w:t xml:space="preserve">". </w:t>
      </w:r>
    </w:p>
    <w:p w14:paraId="512618C1" w14:textId="77777777" w:rsidR="00903A2B" w:rsidRPr="00903A2B" w:rsidRDefault="00903A2B" w:rsidP="00903A2B">
      <w:pPr>
        <w:spacing w:line="360" w:lineRule="auto"/>
        <w:ind w:left="720" w:hanging="720"/>
        <w:jc w:val="both"/>
        <w:rPr>
          <w:rFonts w:ascii="Calibri" w:hAnsi="Calibri"/>
          <w:rtl/>
        </w:rPr>
      </w:pPr>
    </w:p>
    <w:p w14:paraId="3D908033" w14:textId="77777777" w:rsidR="00903A2B" w:rsidRPr="00903A2B" w:rsidRDefault="00903A2B" w:rsidP="00903A2B">
      <w:pPr>
        <w:spacing w:line="360" w:lineRule="auto"/>
        <w:ind w:left="720" w:hanging="720"/>
        <w:jc w:val="both"/>
        <w:rPr>
          <w:rFonts w:ascii="Calibri" w:hAnsi="Calibri"/>
          <w:rtl/>
        </w:rPr>
      </w:pPr>
      <w:r w:rsidRPr="00903A2B">
        <w:rPr>
          <w:rFonts w:ascii="Calibri" w:hAnsi="Calibri"/>
          <w:rtl/>
        </w:rPr>
        <w:tab/>
      </w:r>
      <w:r w:rsidRPr="00903A2B">
        <w:rPr>
          <w:rFonts w:ascii="Calibri" w:hAnsi="Calibri" w:hint="cs"/>
          <w:u w:val="single"/>
          <w:rtl/>
        </w:rPr>
        <w:t>דיון והכרעה</w:t>
      </w:r>
    </w:p>
    <w:p w14:paraId="6B93076E" w14:textId="77777777" w:rsidR="00903A2B" w:rsidRPr="00EC675B" w:rsidRDefault="00903A2B" w:rsidP="00903A2B">
      <w:pPr>
        <w:spacing w:line="360" w:lineRule="auto"/>
        <w:ind w:left="720" w:hanging="720"/>
        <w:jc w:val="both"/>
        <w:rPr>
          <w:b/>
          <w:bCs/>
          <w:rtl/>
        </w:rPr>
      </w:pPr>
    </w:p>
    <w:p w14:paraId="0290FE2D" w14:textId="77777777" w:rsidR="00903A2B" w:rsidRDefault="00903A2B" w:rsidP="00903A2B">
      <w:pPr>
        <w:spacing w:line="360" w:lineRule="auto"/>
        <w:ind w:left="720" w:hanging="720"/>
        <w:jc w:val="both"/>
        <w:rPr>
          <w:rtl/>
        </w:rPr>
      </w:pPr>
      <w:r>
        <w:rPr>
          <w:rFonts w:hint="cs"/>
          <w:rtl/>
        </w:rPr>
        <w:t>6.</w:t>
      </w:r>
      <w:r>
        <w:rPr>
          <w:rFonts w:hint="cs"/>
          <w:rtl/>
        </w:rPr>
        <w:tab/>
        <w:t xml:space="preserve">אין חולק כי מעשיו של הנאשם חמורים הן בהינתן סוג העבירה, הן בהינתן כמות הסם האדירה והן בהינתן סוג הסם. בתי המשפט עמדו לא אחת על החומרה הרבה הטמונה בעבירות סמים, בוודאי במקרים של ייבוא סמים, ודומה כי אין צורך להרחיב בעניין זה. </w:t>
      </w:r>
    </w:p>
    <w:p w14:paraId="0F73B787" w14:textId="77777777" w:rsidR="00903A2B" w:rsidRDefault="00903A2B" w:rsidP="00903A2B">
      <w:pPr>
        <w:spacing w:line="360" w:lineRule="auto"/>
        <w:ind w:left="720" w:hanging="720"/>
        <w:jc w:val="both"/>
        <w:rPr>
          <w:rtl/>
        </w:rPr>
      </w:pPr>
    </w:p>
    <w:p w14:paraId="65546BD8" w14:textId="77777777" w:rsidR="00903A2B" w:rsidRDefault="00903A2B" w:rsidP="00903A2B">
      <w:pPr>
        <w:spacing w:line="360" w:lineRule="auto"/>
        <w:ind w:left="720" w:hanging="720"/>
        <w:jc w:val="both"/>
        <w:rPr>
          <w:rtl/>
        </w:rPr>
      </w:pPr>
      <w:r>
        <w:rPr>
          <w:rFonts w:hint="cs"/>
          <w:rtl/>
        </w:rPr>
        <w:tab/>
        <w:t xml:space="preserve">לטעמי, יש לראות את הרף העליון של הסדר הטיעון, ככזה ההולך כברת דרך משמעותית לקראת הנאשם, תוך שקלול הנתונים הרבים עליהם עמד הסנגור בטיעוניו, שאם לא כן, העונש לו היה צפוי הנאשם היה חמור באופן משמעותי. אפנה בעניין זה לעונשים שנגזרו על מיליק ובן ניסן, ואציין כי מעמדו של הנאשם בביצוע העסקה היה, לכל הפחות, כמעמדו של מיליק, אם לא למעלה מכך. </w:t>
      </w:r>
    </w:p>
    <w:p w14:paraId="72BA17FB" w14:textId="77777777" w:rsidR="00903A2B" w:rsidRDefault="00903A2B" w:rsidP="00903A2B">
      <w:pPr>
        <w:spacing w:line="360" w:lineRule="auto"/>
        <w:ind w:left="720" w:hanging="720"/>
        <w:jc w:val="both"/>
        <w:rPr>
          <w:rtl/>
        </w:rPr>
      </w:pPr>
    </w:p>
    <w:p w14:paraId="6836E234" w14:textId="77777777" w:rsidR="00903A2B" w:rsidRDefault="00903A2B" w:rsidP="00903A2B">
      <w:pPr>
        <w:spacing w:line="360" w:lineRule="auto"/>
        <w:ind w:left="720"/>
        <w:jc w:val="both"/>
        <w:rPr>
          <w:rtl/>
        </w:rPr>
      </w:pPr>
      <w:r>
        <w:rPr>
          <w:rFonts w:hint="cs"/>
          <w:rtl/>
        </w:rPr>
        <w:t xml:space="preserve">יתרה מכך, ניתן לראות כי פסיקת בתי המשפט בשנים האחרונות בעבירות של ייבוא סמים, משקפת אף עונשים חמורים יותר מזה שנגזרו על מיליק ובן ניסן, וראה בהקשר לאמור את פסקי הדין הבאים: </w:t>
      </w:r>
    </w:p>
    <w:p w14:paraId="1C90E5FF" w14:textId="77777777" w:rsidR="00903A2B" w:rsidRDefault="00903A2B" w:rsidP="00903A2B">
      <w:pPr>
        <w:spacing w:line="360" w:lineRule="auto"/>
        <w:ind w:left="720"/>
        <w:jc w:val="both"/>
        <w:rPr>
          <w:rtl/>
        </w:rPr>
      </w:pPr>
    </w:p>
    <w:p w14:paraId="7DD419D6" w14:textId="77777777" w:rsidR="00903A2B" w:rsidRDefault="008E1C4B" w:rsidP="00903A2B">
      <w:pPr>
        <w:spacing w:line="360" w:lineRule="auto"/>
        <w:ind w:left="720"/>
        <w:jc w:val="both"/>
        <w:rPr>
          <w:rtl/>
        </w:rPr>
      </w:pPr>
      <w:hyperlink r:id="rId18" w:history="1">
        <w:r w:rsidRPr="008E1C4B">
          <w:rPr>
            <w:color w:val="0000FF"/>
            <w:u w:val="single"/>
            <w:rtl/>
          </w:rPr>
          <w:t>ע"פ 1720/14</w:t>
        </w:r>
      </w:hyperlink>
      <w:r w:rsidR="00903A2B">
        <w:rPr>
          <w:rFonts w:hint="cs"/>
          <w:rtl/>
        </w:rPr>
        <w:t xml:space="preserve"> </w:t>
      </w:r>
      <w:r w:rsidR="00903A2B">
        <w:rPr>
          <w:rFonts w:hint="cs"/>
          <w:b/>
          <w:bCs/>
          <w:rtl/>
        </w:rPr>
        <w:t xml:space="preserve">טורו נ' מדינת ישראל </w:t>
      </w:r>
      <w:r w:rsidR="00903A2B">
        <w:rPr>
          <w:rFonts w:hint="cs"/>
          <w:rtl/>
        </w:rPr>
        <w:t xml:space="preserve">(30.4.2015) שם נגזר על הנאשם עונש של 4.5 שנות מאסר לאחר שהורשע בקשירת קשר לייבוא סם מסוג קוקאין במשקל 1.2 ק"ג. ברור כי ככל שהיה מדובר בכמות גדולה משמעותית כפי ענייננו, עונשו של הנאשם היה חמור יותר. </w:t>
      </w:r>
    </w:p>
    <w:p w14:paraId="4CF01B68" w14:textId="77777777" w:rsidR="00903A2B" w:rsidRDefault="00903A2B" w:rsidP="00903A2B">
      <w:pPr>
        <w:spacing w:line="360" w:lineRule="auto"/>
        <w:ind w:left="720"/>
        <w:jc w:val="both"/>
        <w:rPr>
          <w:rtl/>
        </w:rPr>
      </w:pPr>
    </w:p>
    <w:p w14:paraId="32583794" w14:textId="77777777" w:rsidR="00903A2B" w:rsidRDefault="008E1C4B" w:rsidP="00903A2B">
      <w:pPr>
        <w:spacing w:line="360" w:lineRule="auto"/>
        <w:ind w:left="720"/>
        <w:jc w:val="both"/>
        <w:rPr>
          <w:rtl/>
        </w:rPr>
      </w:pPr>
      <w:hyperlink r:id="rId19" w:history="1">
        <w:r w:rsidRPr="008E1C4B">
          <w:rPr>
            <w:color w:val="0000FF"/>
            <w:u w:val="single"/>
            <w:rtl/>
          </w:rPr>
          <w:t>ע"פ 2661/13</w:t>
        </w:r>
      </w:hyperlink>
      <w:r w:rsidR="00903A2B">
        <w:rPr>
          <w:rFonts w:hint="cs"/>
          <w:rtl/>
        </w:rPr>
        <w:t xml:space="preserve"> </w:t>
      </w:r>
      <w:r w:rsidR="00903A2B">
        <w:rPr>
          <w:rFonts w:hint="cs"/>
          <w:b/>
          <w:bCs/>
          <w:rtl/>
        </w:rPr>
        <w:t xml:space="preserve">יחייב נ' מדינת ישראל </w:t>
      </w:r>
      <w:r w:rsidR="00903A2B">
        <w:rPr>
          <w:rFonts w:hint="cs"/>
          <w:rtl/>
        </w:rPr>
        <w:t xml:space="preserve">(18.2.2014) שם הורשעו שני מערערים בעבירה של ייבוא סם וקשירת קשר לביצוע פשע (880 גרם קוקאין) ונגזרו עליהם, בהתאמה, 54 ו- 42 חודשי מאסר. כמות הסם שייבאו אותם נאשמים משקפת פחות מעשירית מכמות הסם שהובאה לישראל בענייננו. </w:t>
      </w:r>
    </w:p>
    <w:p w14:paraId="7D58F796" w14:textId="77777777" w:rsidR="00903A2B" w:rsidRDefault="00903A2B" w:rsidP="00903A2B">
      <w:pPr>
        <w:spacing w:line="360" w:lineRule="auto"/>
        <w:ind w:left="720"/>
        <w:jc w:val="both"/>
        <w:rPr>
          <w:rtl/>
        </w:rPr>
      </w:pPr>
    </w:p>
    <w:p w14:paraId="591F38FD" w14:textId="77777777" w:rsidR="00903A2B" w:rsidRDefault="008E1C4B" w:rsidP="00903A2B">
      <w:pPr>
        <w:spacing w:line="360" w:lineRule="auto"/>
        <w:ind w:left="720"/>
        <w:jc w:val="both"/>
        <w:rPr>
          <w:rtl/>
        </w:rPr>
      </w:pPr>
      <w:hyperlink r:id="rId20" w:history="1">
        <w:r w:rsidRPr="008E1C4B">
          <w:rPr>
            <w:color w:val="0000FF"/>
            <w:u w:val="single"/>
            <w:rtl/>
          </w:rPr>
          <w:t>ת.פ. (מחוזי מרכז לוד) 41280-09-16</w:t>
        </w:r>
      </w:hyperlink>
      <w:r w:rsidR="00903A2B">
        <w:rPr>
          <w:rFonts w:hint="cs"/>
          <w:rtl/>
        </w:rPr>
        <w:t xml:space="preserve"> </w:t>
      </w:r>
      <w:r w:rsidR="00903A2B">
        <w:rPr>
          <w:rFonts w:hint="cs"/>
          <w:b/>
          <w:bCs/>
          <w:rtl/>
        </w:rPr>
        <w:t>מדינת ישראל נ' טאקץ</w:t>
      </w:r>
      <w:r w:rsidR="00903A2B">
        <w:rPr>
          <w:rFonts w:hint="cs"/>
          <w:rtl/>
        </w:rPr>
        <w:t xml:space="preserve"> (12.11.2017) שם נגזר על נאשם שהורשע בייבוא 6 ק"ג קוקאין עונש של 6.5 שנות מאסר. ערעור שהגיש הנאשם תלוי ועומד. </w:t>
      </w:r>
    </w:p>
    <w:p w14:paraId="1DDA39B9" w14:textId="77777777" w:rsidR="00903A2B" w:rsidRDefault="00903A2B" w:rsidP="00903A2B">
      <w:pPr>
        <w:spacing w:line="360" w:lineRule="auto"/>
        <w:ind w:left="720"/>
        <w:jc w:val="both"/>
        <w:rPr>
          <w:rtl/>
        </w:rPr>
      </w:pPr>
    </w:p>
    <w:p w14:paraId="57E532B1" w14:textId="77777777" w:rsidR="00903A2B" w:rsidRDefault="008E1C4B" w:rsidP="00903A2B">
      <w:pPr>
        <w:spacing w:line="360" w:lineRule="auto"/>
        <w:ind w:left="720"/>
        <w:jc w:val="both"/>
        <w:rPr>
          <w:rtl/>
        </w:rPr>
      </w:pPr>
      <w:hyperlink r:id="rId21" w:history="1">
        <w:r w:rsidRPr="008E1C4B">
          <w:rPr>
            <w:color w:val="0000FF"/>
            <w:u w:val="single"/>
            <w:rtl/>
          </w:rPr>
          <w:t>ת.פ. (מחוזי ת"א) 40667-12-16</w:t>
        </w:r>
      </w:hyperlink>
      <w:r w:rsidR="00903A2B">
        <w:rPr>
          <w:rFonts w:hint="cs"/>
          <w:rtl/>
        </w:rPr>
        <w:t xml:space="preserve"> </w:t>
      </w:r>
      <w:r w:rsidR="00903A2B">
        <w:rPr>
          <w:rFonts w:hint="cs"/>
          <w:b/>
          <w:bCs/>
          <w:rtl/>
        </w:rPr>
        <w:t xml:space="preserve">מדינת ישראל נ' שלמה כהן </w:t>
      </w:r>
      <w:r w:rsidR="00903A2B">
        <w:rPr>
          <w:rFonts w:hint="cs"/>
          <w:rtl/>
        </w:rPr>
        <w:t xml:space="preserve">(27.3.2018) שם נגזר על נאשם שהורשע בייבוא 3.7 ק"ג סם מסוכן מסוג קוקאין, עונש של 7 שנות מאסר. פסק הדין טרם חלוט. </w:t>
      </w:r>
    </w:p>
    <w:p w14:paraId="0ED68AE4" w14:textId="77777777" w:rsidR="00903A2B" w:rsidRDefault="00903A2B" w:rsidP="00903A2B">
      <w:pPr>
        <w:spacing w:line="360" w:lineRule="auto"/>
        <w:ind w:left="720"/>
        <w:jc w:val="both"/>
        <w:rPr>
          <w:rtl/>
        </w:rPr>
      </w:pPr>
    </w:p>
    <w:p w14:paraId="579B1775" w14:textId="77777777" w:rsidR="00903A2B" w:rsidRPr="00FF6C9B" w:rsidRDefault="00903A2B" w:rsidP="00903A2B">
      <w:pPr>
        <w:spacing w:line="360" w:lineRule="auto"/>
        <w:ind w:left="720"/>
        <w:jc w:val="both"/>
      </w:pPr>
      <w:r>
        <w:rPr>
          <w:rFonts w:hint="cs"/>
          <w:rtl/>
        </w:rPr>
        <w:t>יוצא אפוא כי אלמלא חלוף הזמן המשמעותי, קבלת האחריות ויתר השיקולים העומדים לזכותו של הנאשם, עונשו הצפוי צריך היה לנוע בין 6 ל- 9 שנות מאסר, ומכאן המסקנה כי ההקלה לה זכה הנאשם במסגרת הרף העליון של הסדר הטיעון, היא הקלה משמעותית.</w:t>
      </w:r>
    </w:p>
    <w:p w14:paraId="73DFBA0B" w14:textId="77777777" w:rsidR="00903A2B" w:rsidRDefault="00903A2B" w:rsidP="00903A2B">
      <w:pPr>
        <w:spacing w:line="360" w:lineRule="auto"/>
        <w:jc w:val="both"/>
        <w:rPr>
          <w:rtl/>
        </w:rPr>
      </w:pPr>
    </w:p>
    <w:p w14:paraId="68F13054" w14:textId="77777777" w:rsidR="00903A2B" w:rsidRDefault="00903A2B" w:rsidP="00903A2B">
      <w:pPr>
        <w:spacing w:line="360" w:lineRule="auto"/>
        <w:ind w:left="720" w:hanging="720"/>
        <w:jc w:val="both"/>
        <w:rPr>
          <w:rtl/>
        </w:rPr>
      </w:pPr>
      <w:r>
        <w:rPr>
          <w:rtl/>
        </w:rPr>
        <w:tab/>
      </w:r>
      <w:r>
        <w:rPr>
          <w:rFonts w:hint="cs"/>
          <w:rtl/>
        </w:rPr>
        <w:t xml:space="preserve">השאלה העומדת לבחינה כעת, היא האם יש מקום להתחשבות </w:t>
      </w:r>
      <w:r w:rsidRPr="00E0337E">
        <w:rPr>
          <w:rFonts w:hint="cs"/>
          <w:u w:val="single"/>
          <w:rtl/>
        </w:rPr>
        <w:t>נוספת</w:t>
      </w:r>
      <w:r>
        <w:rPr>
          <w:rFonts w:hint="cs"/>
          <w:rtl/>
        </w:rPr>
        <w:t xml:space="preserve"> בנאשם מעבר להתחשבות המשמעותית לה זכה בהסדר הטיעון, ודומני כי יש מקום לעשות כן, אך באופן מידתי המשקף הפחתה של 6 חודשים מהרף העליון של ההסדר. משאמרתי דברים אלה, אמרתי כי אין בידי לקבל את עמדת ההגנה, לפיה יש לגזור על הנאשם עונש מאסר לריצוי בדרך של עבודות שרות, שכן לטעמי, ובהינתן כמות הסם, סוג הסם וסוג העבירה, לא יהיה בעונש המוצע כדי לשקף, ולו במקצת, את האינטרס הציבורי במלחמה בעבירות הסמים ואת עקרון ההלימה, הוא העקרון המנחה כפי שנקבע בתיקון 113 ל</w:t>
      </w:r>
      <w:hyperlink r:id="rId22" w:history="1">
        <w:r w:rsidR="008E1C4B" w:rsidRPr="008E1C4B">
          <w:rPr>
            <w:color w:val="0000FF"/>
            <w:u w:val="single"/>
            <w:rtl/>
          </w:rPr>
          <w:t>חוק העונשין</w:t>
        </w:r>
      </w:hyperlink>
      <w:r>
        <w:rPr>
          <w:rFonts w:hint="cs"/>
          <w:rtl/>
        </w:rPr>
        <w:t>.</w:t>
      </w:r>
    </w:p>
    <w:p w14:paraId="07D7FBEF" w14:textId="77777777" w:rsidR="00903A2B" w:rsidRDefault="00903A2B" w:rsidP="00903A2B">
      <w:pPr>
        <w:spacing w:line="360" w:lineRule="auto"/>
        <w:ind w:left="720" w:hanging="720"/>
        <w:jc w:val="both"/>
        <w:rPr>
          <w:rtl/>
        </w:rPr>
      </w:pPr>
    </w:p>
    <w:p w14:paraId="03E8A524" w14:textId="77777777" w:rsidR="00903A2B" w:rsidRDefault="00903A2B" w:rsidP="00903A2B">
      <w:pPr>
        <w:spacing w:line="360" w:lineRule="auto"/>
        <w:ind w:left="720" w:hanging="720"/>
        <w:jc w:val="both"/>
        <w:rPr>
          <w:rtl/>
        </w:rPr>
      </w:pPr>
      <w:r>
        <w:rPr>
          <w:rtl/>
        </w:rPr>
        <w:tab/>
      </w:r>
      <w:r>
        <w:rPr>
          <w:rFonts w:hint="cs"/>
          <w:rtl/>
        </w:rPr>
        <w:t>אם בכל זאת ראיתי להקל במעט מהרף העליון של ההסדר, עשיתי כן על יסוד ההנמקות הבאות:</w:t>
      </w:r>
    </w:p>
    <w:p w14:paraId="0F141B17" w14:textId="77777777" w:rsidR="00903A2B" w:rsidRDefault="00903A2B" w:rsidP="00903A2B">
      <w:pPr>
        <w:spacing w:line="360" w:lineRule="auto"/>
        <w:ind w:left="720" w:hanging="720"/>
        <w:jc w:val="both"/>
        <w:rPr>
          <w:rtl/>
        </w:rPr>
      </w:pPr>
    </w:p>
    <w:p w14:paraId="11600000" w14:textId="77777777" w:rsidR="00903A2B" w:rsidRDefault="00903A2B" w:rsidP="00903A2B">
      <w:pPr>
        <w:spacing w:line="360" w:lineRule="auto"/>
        <w:ind w:left="720" w:hanging="720"/>
        <w:jc w:val="both"/>
        <w:rPr>
          <w:rtl/>
        </w:rPr>
      </w:pPr>
      <w:r>
        <w:rPr>
          <w:rtl/>
        </w:rPr>
        <w:tab/>
      </w:r>
      <w:r>
        <w:rPr>
          <w:rFonts w:hint="cs"/>
          <w:rtl/>
        </w:rPr>
        <w:t xml:space="preserve">מצאתי טעם בטיעון הסנגור בדבר הפער המשמעותי בהתנהלות הנאשם בין התקופה בה ביצע את העבירה לבין התקופה בה אנו נמצאים היום. אין ספק כי 12 שנים הן פרק זמן משמעותי מאוד בחייו של אדם, וכאשר נותנים את הדעת לשינוי שערך הנאשם בחייו, הדברים יפים על אחת כמה וכמה. דברים אלה משתקפים גם מעדויות עדי ההגנה לעונש, אשר תיארו את התנהלותו הנורמטיבית של הנאשם, את פעולות ההתנדבות המבוצעות על ידו, ואת השתלבותו החברתית בקהילה הנורמטיבית. בהקשר זה, נתתי משקל גם לאותן הנמקות העומדות ביסוד קביעת תקופת התיישנות כפי שעמד עליהן הסנגור בטיעוניו. העובדה כי הנאשם לא ביצע עבירות כלשהן משנת 2006 ועד היום, מהווה חיזוק נוסף לאותה תמורה שערך בחייו. </w:t>
      </w:r>
    </w:p>
    <w:p w14:paraId="2AECADC8" w14:textId="77777777" w:rsidR="00903A2B" w:rsidRDefault="00903A2B" w:rsidP="00903A2B">
      <w:pPr>
        <w:spacing w:line="360" w:lineRule="auto"/>
        <w:ind w:left="720" w:hanging="720"/>
        <w:jc w:val="both"/>
        <w:rPr>
          <w:rtl/>
        </w:rPr>
      </w:pPr>
    </w:p>
    <w:p w14:paraId="54D3AAD2" w14:textId="77777777" w:rsidR="00903A2B" w:rsidRDefault="00903A2B" w:rsidP="00903A2B">
      <w:pPr>
        <w:spacing w:line="360" w:lineRule="auto"/>
        <w:ind w:left="720" w:hanging="720"/>
        <w:jc w:val="both"/>
        <w:rPr>
          <w:rtl/>
        </w:rPr>
      </w:pPr>
      <w:r>
        <w:rPr>
          <w:rtl/>
        </w:rPr>
        <w:tab/>
      </w:r>
      <w:r>
        <w:rPr>
          <w:rFonts w:hint="cs"/>
          <w:rtl/>
        </w:rPr>
        <w:t xml:space="preserve">מעבר לשיקולים בדבר חלוף הזמן והתנהלותו הנורמטיבית של הנאשם ב- 12 השנים האחרונות, נתתי משקל אף לנסיבות חייו המורכבות, למצבו המשפחתי ולהשפעת העונש של ילדיו, אשר ניתן לשער כי חלקם ייקלעו למשבר בתקופת מאסרו של הנאשם. </w:t>
      </w:r>
    </w:p>
    <w:p w14:paraId="574D19F9" w14:textId="77777777" w:rsidR="00903A2B" w:rsidRDefault="00903A2B" w:rsidP="00903A2B">
      <w:pPr>
        <w:spacing w:line="360" w:lineRule="auto"/>
        <w:ind w:left="720" w:hanging="720"/>
        <w:jc w:val="both"/>
        <w:rPr>
          <w:rtl/>
        </w:rPr>
      </w:pPr>
    </w:p>
    <w:p w14:paraId="43EA3D93" w14:textId="77777777" w:rsidR="00903A2B" w:rsidRDefault="00903A2B" w:rsidP="00903A2B">
      <w:pPr>
        <w:spacing w:line="360" w:lineRule="auto"/>
        <w:ind w:left="720" w:hanging="720"/>
        <w:jc w:val="both"/>
        <w:rPr>
          <w:rtl/>
        </w:rPr>
      </w:pPr>
      <w:r>
        <w:rPr>
          <w:rtl/>
        </w:rPr>
        <w:tab/>
      </w:r>
      <w:r>
        <w:rPr>
          <w:rFonts w:hint="cs"/>
          <w:rtl/>
        </w:rPr>
        <w:t xml:space="preserve">נתון נוסף העומד ביסוד החלטתי לגזור על הנאשם עונש הנמוך מהרף העליון של ההסדר קשור בתנאים המגבילים בהם שהה הנאשם. מדובר בשלושה עשר חודשי מעצר בפיקוח אלקטרוני </w:t>
      </w:r>
      <w:r>
        <w:rPr>
          <w:rtl/>
        </w:rPr>
        <w:t>–</w:t>
      </w:r>
      <w:r>
        <w:rPr>
          <w:rFonts w:hint="cs"/>
          <w:rtl/>
        </w:rPr>
        <w:t xml:space="preserve"> תקופה ארוכה לכל הדעות. יחד עם זאת, אציין כי רובה המכריע של התקופה היא תולדה של כפירת הנאשם במיוחס לו, כך שניתן לומר כי ככל שהנאשם היה מגיע להסדר הטיעון בשלב מוקדם של משפטו, ומבלי שיישמעו העדים, תקופה זו הייתה מתקצרת משמעותית.</w:t>
      </w:r>
    </w:p>
    <w:p w14:paraId="0C48FB42" w14:textId="77777777" w:rsidR="00903A2B" w:rsidRDefault="00903A2B" w:rsidP="00903A2B">
      <w:pPr>
        <w:spacing w:line="360" w:lineRule="auto"/>
        <w:ind w:left="720" w:hanging="720"/>
        <w:jc w:val="both"/>
        <w:rPr>
          <w:rtl/>
        </w:rPr>
      </w:pPr>
    </w:p>
    <w:p w14:paraId="66DBD80F" w14:textId="77777777" w:rsidR="00903A2B" w:rsidRDefault="00903A2B" w:rsidP="00903A2B">
      <w:pPr>
        <w:spacing w:line="360" w:lineRule="auto"/>
        <w:ind w:left="720" w:hanging="720"/>
        <w:jc w:val="both"/>
        <w:rPr>
          <w:rtl/>
        </w:rPr>
      </w:pPr>
      <w:r>
        <w:rPr>
          <w:rtl/>
        </w:rPr>
        <w:tab/>
      </w:r>
      <w:r>
        <w:rPr>
          <w:rFonts w:hint="cs"/>
          <w:rtl/>
        </w:rPr>
        <w:t xml:space="preserve">הגם שהודאת הנאשם באה לאחר סיום פרשת התביעה, ראיתי ליתן לה משקל, ככזו המשקפת את הפנמת הפסול, וככזו אשר הובילה לחסכון מסוים בזמן ציבורי אף שלא חסכה את עדויות עד התביעה (ובכלל זה </w:t>
      </w:r>
      <w:r>
        <w:rPr>
          <w:rtl/>
        </w:rPr>
        <w:t>–</w:t>
      </w:r>
      <w:r>
        <w:rPr>
          <w:rFonts w:hint="cs"/>
          <w:rtl/>
        </w:rPr>
        <w:t xml:space="preserve"> את עדותו של עד המדינה). </w:t>
      </w:r>
    </w:p>
    <w:p w14:paraId="1AFCA36C" w14:textId="77777777" w:rsidR="00903A2B" w:rsidRDefault="00903A2B" w:rsidP="00903A2B">
      <w:pPr>
        <w:spacing w:line="360" w:lineRule="auto"/>
        <w:ind w:left="720" w:hanging="720"/>
        <w:jc w:val="both"/>
        <w:rPr>
          <w:rtl/>
        </w:rPr>
      </w:pPr>
    </w:p>
    <w:p w14:paraId="69163641" w14:textId="77777777" w:rsidR="00903A2B" w:rsidRDefault="00903A2B" w:rsidP="00903A2B">
      <w:pPr>
        <w:spacing w:line="360" w:lineRule="auto"/>
        <w:ind w:left="720"/>
        <w:jc w:val="both"/>
        <w:rPr>
          <w:rtl/>
        </w:rPr>
      </w:pPr>
      <w:r>
        <w:rPr>
          <w:rFonts w:hint="cs"/>
          <w:rtl/>
        </w:rPr>
        <w:t xml:space="preserve">נתתי משקל גם לעובדה כי הסמים נתפסו על-ידי המשטרה ולא הגיעו לציבור, וכן לרכיב החילוט המשמעותי עליו סוכם במסגרת ההסדר. </w:t>
      </w:r>
    </w:p>
    <w:p w14:paraId="142C5B85" w14:textId="77777777" w:rsidR="00903A2B" w:rsidRDefault="00903A2B" w:rsidP="00903A2B">
      <w:pPr>
        <w:spacing w:line="360" w:lineRule="auto"/>
        <w:ind w:left="720"/>
        <w:jc w:val="both"/>
        <w:rPr>
          <w:rtl/>
        </w:rPr>
      </w:pPr>
    </w:p>
    <w:p w14:paraId="04BFB31E" w14:textId="77777777" w:rsidR="00903A2B" w:rsidRDefault="00903A2B" w:rsidP="00903A2B">
      <w:pPr>
        <w:spacing w:line="360" w:lineRule="auto"/>
        <w:ind w:left="720"/>
        <w:jc w:val="both"/>
        <w:rPr>
          <w:rtl/>
        </w:rPr>
      </w:pPr>
      <w:r>
        <w:rPr>
          <w:rFonts w:hint="cs"/>
          <w:rtl/>
        </w:rPr>
        <w:t>התנהלות עד המדינה אל מול הנאשם, כפי שזו תוארה על-ידי עד המדינה עצמו, ומצאה ביטוי גם בעדות אשת הנאשם ובדברי הנאשם, מצדיקה אף היא התחשבות מסויימת. אין ספק כי מדובר בהתנהלות פסולה, וניתן להבין את הפחד בו היו נתונים הנאשם ואשתו לאורך חלק מהזמן.</w:t>
      </w:r>
    </w:p>
    <w:p w14:paraId="49474969" w14:textId="77777777" w:rsidR="00903A2B" w:rsidRDefault="00903A2B" w:rsidP="00903A2B">
      <w:pPr>
        <w:spacing w:line="360" w:lineRule="auto"/>
        <w:ind w:left="720" w:hanging="720"/>
        <w:jc w:val="both"/>
        <w:rPr>
          <w:rtl/>
        </w:rPr>
      </w:pPr>
    </w:p>
    <w:p w14:paraId="4ED80DDF" w14:textId="77777777" w:rsidR="00903A2B" w:rsidRDefault="00903A2B" w:rsidP="00903A2B">
      <w:pPr>
        <w:spacing w:line="360" w:lineRule="auto"/>
        <w:ind w:left="720" w:hanging="720"/>
        <w:jc w:val="both"/>
        <w:rPr>
          <w:rtl/>
        </w:rPr>
      </w:pPr>
      <w:r>
        <w:rPr>
          <w:rtl/>
        </w:rPr>
        <w:tab/>
      </w:r>
      <w:r>
        <w:rPr>
          <w:rFonts w:hint="cs"/>
          <w:rtl/>
        </w:rPr>
        <w:t>על יסוד כלל השיקולים שפורטו, אשר כאמור, קיבלו ביטוי לא מבוטל גם במסגרת הסדר הטיעון, ראיתי לגזור את עונשו של הנאשם כדלקמן:</w:t>
      </w:r>
    </w:p>
    <w:p w14:paraId="5198FDDA" w14:textId="77777777" w:rsidR="00903A2B" w:rsidRDefault="00903A2B" w:rsidP="00903A2B">
      <w:pPr>
        <w:spacing w:line="360" w:lineRule="auto"/>
        <w:ind w:left="720" w:hanging="720"/>
        <w:jc w:val="both"/>
        <w:rPr>
          <w:rtl/>
        </w:rPr>
      </w:pPr>
    </w:p>
    <w:p w14:paraId="754F65DD" w14:textId="77777777" w:rsidR="00903A2B" w:rsidRDefault="00903A2B" w:rsidP="00903A2B">
      <w:pPr>
        <w:spacing w:line="360" w:lineRule="auto"/>
        <w:ind w:left="720" w:hanging="720"/>
        <w:jc w:val="both"/>
        <w:rPr>
          <w:rtl/>
        </w:rPr>
      </w:pPr>
      <w:r>
        <w:rPr>
          <w:rFonts w:hint="cs"/>
          <w:rtl/>
        </w:rPr>
        <w:t>א.</w:t>
      </w:r>
      <w:r>
        <w:rPr>
          <w:rFonts w:hint="cs"/>
          <w:rtl/>
        </w:rPr>
        <w:tab/>
        <w:t>24 חודשי מאסר לריצוי בפועל בניכוי תקופת מעצרו שמיום 25.10.16 ועד ליום 10.1.17.</w:t>
      </w:r>
    </w:p>
    <w:p w14:paraId="0203CF0B" w14:textId="77777777" w:rsidR="00903A2B" w:rsidRDefault="00903A2B" w:rsidP="00903A2B">
      <w:pPr>
        <w:spacing w:line="360" w:lineRule="auto"/>
        <w:ind w:left="720" w:hanging="720"/>
        <w:jc w:val="both"/>
        <w:rPr>
          <w:rtl/>
        </w:rPr>
      </w:pPr>
    </w:p>
    <w:p w14:paraId="672A80EE" w14:textId="77777777" w:rsidR="00903A2B" w:rsidRDefault="00903A2B" w:rsidP="00903A2B">
      <w:pPr>
        <w:spacing w:line="360" w:lineRule="auto"/>
        <w:ind w:left="720" w:hanging="720"/>
        <w:jc w:val="both"/>
        <w:rPr>
          <w:rtl/>
        </w:rPr>
      </w:pPr>
      <w:r>
        <w:rPr>
          <w:rFonts w:hint="cs"/>
          <w:rtl/>
        </w:rPr>
        <w:t>ב.</w:t>
      </w:r>
      <w:r>
        <w:rPr>
          <w:rFonts w:hint="cs"/>
          <w:rtl/>
        </w:rPr>
        <w:tab/>
        <w:t xml:space="preserve">9 חודשי מאסר אולם הנאשם לא יישא עונש זה אלא אם יעבור תוך שלוש שנים מיום שחרורו עבירה לפי פקודת הסמים מסוג פשע. </w:t>
      </w:r>
    </w:p>
    <w:p w14:paraId="64A1238C" w14:textId="77777777" w:rsidR="00903A2B" w:rsidRDefault="00903A2B" w:rsidP="00903A2B">
      <w:pPr>
        <w:spacing w:line="360" w:lineRule="auto"/>
        <w:ind w:left="720" w:hanging="720"/>
        <w:jc w:val="both"/>
        <w:rPr>
          <w:rtl/>
        </w:rPr>
      </w:pPr>
    </w:p>
    <w:p w14:paraId="14DD90B9" w14:textId="77777777" w:rsidR="00903A2B" w:rsidRDefault="00903A2B" w:rsidP="00903A2B">
      <w:pPr>
        <w:spacing w:line="360" w:lineRule="auto"/>
        <w:ind w:left="720" w:hanging="720"/>
        <w:jc w:val="both"/>
        <w:rPr>
          <w:rtl/>
        </w:rPr>
      </w:pPr>
      <w:r>
        <w:rPr>
          <w:rFonts w:hint="cs"/>
          <w:rtl/>
        </w:rPr>
        <w:t>ג.</w:t>
      </w:r>
      <w:r>
        <w:rPr>
          <w:rFonts w:hint="cs"/>
          <w:rtl/>
        </w:rPr>
        <w:tab/>
        <w:t xml:space="preserve">4 חודשי מאסר אולם הנאשם לא יישא עונש זה אלא אם יעבור תוך שלוש שנים מיום שחרורו עבירה לפי פקודת הסמים מסוג עוון. </w:t>
      </w:r>
    </w:p>
    <w:p w14:paraId="1305BB0A" w14:textId="77777777" w:rsidR="00903A2B" w:rsidRDefault="00903A2B" w:rsidP="00903A2B">
      <w:pPr>
        <w:spacing w:line="360" w:lineRule="auto"/>
        <w:ind w:left="720" w:hanging="720"/>
        <w:jc w:val="both"/>
        <w:rPr>
          <w:rtl/>
        </w:rPr>
      </w:pPr>
    </w:p>
    <w:p w14:paraId="5DE51A17" w14:textId="77777777" w:rsidR="00903A2B" w:rsidRDefault="00903A2B" w:rsidP="00903A2B">
      <w:pPr>
        <w:spacing w:line="360" w:lineRule="auto"/>
        <w:ind w:left="720" w:hanging="720"/>
        <w:jc w:val="both"/>
        <w:rPr>
          <w:rtl/>
        </w:rPr>
      </w:pPr>
      <w:r>
        <w:rPr>
          <w:rFonts w:hint="cs"/>
          <w:rtl/>
        </w:rPr>
        <w:t>ד.</w:t>
      </w:r>
      <w:r>
        <w:rPr>
          <w:rFonts w:hint="cs"/>
          <w:rtl/>
        </w:rPr>
        <w:tab/>
        <w:t xml:space="preserve">חילוט בסך 1,000,000 ₪ מתוך הכספים שנתפסו במהלך החקירה. יתר הכספים יושבו לנאשם. </w:t>
      </w:r>
    </w:p>
    <w:p w14:paraId="3926CBAF" w14:textId="77777777" w:rsidR="00903A2B" w:rsidRDefault="00903A2B" w:rsidP="00903A2B">
      <w:pPr>
        <w:spacing w:line="360" w:lineRule="auto"/>
        <w:ind w:left="720" w:hanging="720"/>
        <w:jc w:val="both"/>
        <w:rPr>
          <w:rtl/>
        </w:rPr>
      </w:pPr>
    </w:p>
    <w:p w14:paraId="2060BE8F" w14:textId="77777777" w:rsidR="00903A2B" w:rsidRDefault="00903A2B" w:rsidP="00903A2B">
      <w:pPr>
        <w:spacing w:line="360" w:lineRule="auto"/>
        <w:ind w:left="720" w:hanging="720"/>
        <w:jc w:val="both"/>
        <w:rPr>
          <w:rtl/>
        </w:rPr>
      </w:pPr>
      <w:r>
        <w:rPr>
          <w:rFonts w:hint="cs"/>
          <w:rtl/>
        </w:rPr>
        <w:t>ניתן צו כללי למוצגים לשיקול דעת קצין משטרה ו/או התביעה.</w:t>
      </w:r>
    </w:p>
    <w:p w14:paraId="3A7B4074" w14:textId="77777777" w:rsidR="00903A2B" w:rsidRDefault="00903A2B" w:rsidP="00903A2B">
      <w:pPr>
        <w:spacing w:line="360" w:lineRule="auto"/>
        <w:ind w:left="720" w:hanging="720"/>
        <w:jc w:val="both"/>
        <w:rPr>
          <w:rtl/>
        </w:rPr>
      </w:pPr>
    </w:p>
    <w:p w14:paraId="25646714" w14:textId="77777777" w:rsidR="00903A2B" w:rsidRDefault="00903A2B" w:rsidP="00903A2B">
      <w:pPr>
        <w:spacing w:line="360" w:lineRule="auto"/>
        <w:ind w:left="720" w:hanging="720"/>
        <w:jc w:val="both"/>
        <w:rPr>
          <w:rtl/>
        </w:rPr>
      </w:pPr>
      <w:r>
        <w:rPr>
          <w:rFonts w:hint="cs"/>
          <w:rtl/>
        </w:rPr>
        <w:t xml:space="preserve">זכות ערעור כחוק. </w:t>
      </w:r>
    </w:p>
    <w:p w14:paraId="17D321F1" w14:textId="77777777" w:rsidR="00903A2B" w:rsidRDefault="00903A2B" w:rsidP="00903A2B">
      <w:pPr>
        <w:rPr>
          <w:rtl/>
        </w:rPr>
      </w:pPr>
    </w:p>
    <w:p w14:paraId="19C9CC75" w14:textId="77777777" w:rsidR="00903A2B" w:rsidRPr="00B05847" w:rsidRDefault="00903A2B" w:rsidP="00903A2B">
      <w:pPr>
        <w:rPr>
          <w:rtl/>
        </w:rPr>
      </w:pPr>
    </w:p>
    <w:p w14:paraId="6DB556EE" w14:textId="77777777" w:rsidR="00903A2B" w:rsidRPr="008F4E9F" w:rsidRDefault="008E1C4B" w:rsidP="00903A2B">
      <w:pPr>
        <w:rPr>
          <w:rtl/>
        </w:rPr>
      </w:pPr>
      <w:r>
        <w:rPr>
          <w:rFonts w:ascii="Arial" w:hAnsi="Arial"/>
          <w:b/>
          <w:bCs/>
          <w:rtl/>
        </w:rPr>
        <w:t xml:space="preserve">ניתן היום,  ג' סיוון תשע"ח, 17 מאי 2018, במעמד הצדדים. </w:t>
      </w:r>
    </w:p>
    <w:p w14:paraId="60D4CBAA" w14:textId="77777777" w:rsidR="00903A2B" w:rsidRPr="00250B83" w:rsidRDefault="00903A2B" w:rsidP="00903A2B">
      <w:pPr>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5E96257A" w14:textId="77777777" w:rsidR="00903A2B" w:rsidRPr="008E1C4B" w:rsidRDefault="008E1C4B" w:rsidP="00903A2B">
      <w:pPr>
        <w:rPr>
          <w:color w:val="FFFFFF"/>
          <w:sz w:val="2"/>
          <w:szCs w:val="2"/>
          <w:rtl/>
        </w:rPr>
      </w:pPr>
      <w:r w:rsidRPr="008E1C4B">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267"/>
      </w:tblGrid>
      <w:tr w:rsidR="00903A2B" w14:paraId="2CDD13B0" w14:textId="77777777" w:rsidTr="00903A2B">
        <w:trPr>
          <w:trHeight w:val="316"/>
          <w:jc w:val="right"/>
        </w:trPr>
        <w:tc>
          <w:tcPr>
            <w:tcW w:w="3267" w:type="dxa"/>
            <w:tcBorders>
              <w:top w:val="nil"/>
              <w:left w:val="nil"/>
              <w:bottom w:val="single" w:sz="4" w:space="0" w:color="auto"/>
              <w:right w:val="nil"/>
            </w:tcBorders>
            <w:shd w:val="clear" w:color="auto" w:fill="auto"/>
            <w:vAlign w:val="bottom"/>
          </w:tcPr>
          <w:p w14:paraId="4128A8AA" w14:textId="77777777" w:rsidR="00903A2B" w:rsidRPr="008E1C4B" w:rsidRDefault="008E1C4B" w:rsidP="00903A2B">
            <w:pPr>
              <w:jc w:val="center"/>
              <w:rPr>
                <w:color w:val="FFFFFF"/>
                <w:sz w:val="2"/>
                <w:szCs w:val="2"/>
                <w:rtl/>
              </w:rPr>
            </w:pPr>
            <w:r w:rsidRPr="008E1C4B">
              <w:rPr>
                <w:rFonts w:cs="Times New Roman"/>
                <w:color w:val="FFFFFF"/>
                <w:sz w:val="2"/>
                <w:szCs w:val="2"/>
                <w:rtl/>
              </w:rPr>
              <w:t>54678313</w:t>
            </w:r>
            <w:r w:rsidR="00903A2B" w:rsidRPr="008E1C4B">
              <w:rPr>
                <w:rFonts w:cs="Times New Roman"/>
                <w:color w:val="FFFFFF"/>
                <w:sz w:val="2"/>
                <w:szCs w:val="2"/>
                <w:rtl/>
              </w:rPr>
              <w:t xml:space="preserve">     </w:t>
            </w:r>
          </w:p>
          <w:p w14:paraId="4FDB5873" w14:textId="77777777" w:rsidR="00903A2B" w:rsidRDefault="00903A2B" w:rsidP="00903A2B">
            <w:pPr>
              <w:jc w:val="center"/>
            </w:pPr>
          </w:p>
        </w:tc>
      </w:tr>
      <w:tr w:rsidR="00903A2B" w14:paraId="659B6512" w14:textId="77777777" w:rsidTr="00903A2B">
        <w:trPr>
          <w:trHeight w:val="361"/>
          <w:jc w:val="right"/>
        </w:trPr>
        <w:tc>
          <w:tcPr>
            <w:tcW w:w="3267" w:type="dxa"/>
            <w:tcBorders>
              <w:top w:val="single" w:sz="4" w:space="0" w:color="auto"/>
              <w:left w:val="nil"/>
              <w:bottom w:val="nil"/>
              <w:right w:val="nil"/>
            </w:tcBorders>
            <w:shd w:val="clear" w:color="auto" w:fill="auto"/>
          </w:tcPr>
          <w:p w14:paraId="38490D98" w14:textId="77777777" w:rsidR="00903A2B" w:rsidRPr="00903A2B" w:rsidRDefault="00903A2B" w:rsidP="00903A2B">
            <w:pPr>
              <w:jc w:val="center"/>
              <w:rPr>
                <w:b/>
                <w:bCs/>
                <w:rtl/>
              </w:rPr>
            </w:pPr>
            <w:r w:rsidRPr="00903A2B">
              <w:rPr>
                <w:rFonts w:hint="cs"/>
                <w:b/>
                <w:bCs/>
                <w:rtl/>
              </w:rPr>
              <w:t>בני שגיא, שופט</w:t>
            </w:r>
          </w:p>
        </w:tc>
      </w:tr>
    </w:tbl>
    <w:p w14:paraId="1581501D" w14:textId="77777777" w:rsidR="00903A2B" w:rsidRPr="00B05847" w:rsidRDefault="00903A2B" w:rsidP="00903A2B">
      <w:pPr>
        <w:spacing w:line="360" w:lineRule="auto"/>
        <w:rPr>
          <w:rtl/>
        </w:rPr>
      </w:pPr>
    </w:p>
    <w:p w14:paraId="1CEB2395" w14:textId="77777777" w:rsidR="008E1C4B" w:rsidRDefault="008E1C4B" w:rsidP="008E1C4B">
      <w:pPr>
        <w:rPr>
          <w:rtl/>
        </w:rPr>
      </w:pPr>
    </w:p>
    <w:p w14:paraId="03C0C3B4" w14:textId="77777777" w:rsidR="008E1C4B" w:rsidRDefault="008E1C4B" w:rsidP="008E1C4B">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15208930" w14:textId="77777777" w:rsidR="0064060C" w:rsidRPr="0064060C" w:rsidRDefault="0064060C" w:rsidP="0064060C">
      <w:pPr>
        <w:keepNext/>
        <w:rPr>
          <w:rFonts w:ascii="David" w:hAnsi="David"/>
          <w:color w:val="000000"/>
          <w:sz w:val="22"/>
          <w:szCs w:val="22"/>
          <w:rtl/>
        </w:rPr>
      </w:pPr>
    </w:p>
    <w:p w14:paraId="1C3BC424" w14:textId="77777777" w:rsidR="0064060C" w:rsidRPr="0064060C" w:rsidRDefault="0064060C" w:rsidP="0064060C">
      <w:pPr>
        <w:keepNext/>
        <w:rPr>
          <w:rFonts w:ascii="David" w:hAnsi="David"/>
          <w:color w:val="000000"/>
          <w:sz w:val="22"/>
          <w:szCs w:val="22"/>
          <w:rtl/>
        </w:rPr>
      </w:pPr>
      <w:r w:rsidRPr="0064060C">
        <w:rPr>
          <w:rFonts w:ascii="David" w:hAnsi="David"/>
          <w:color w:val="000000"/>
          <w:sz w:val="22"/>
          <w:szCs w:val="22"/>
          <w:rtl/>
        </w:rPr>
        <w:t>בני שגיא 54678313-/</w:t>
      </w:r>
    </w:p>
    <w:p w14:paraId="3BE05A6B" w14:textId="77777777" w:rsidR="008E1C4B" w:rsidRPr="008E1C4B" w:rsidRDefault="0064060C" w:rsidP="0064060C">
      <w:pPr>
        <w:rPr>
          <w:color w:val="0000FF"/>
          <w:u w:val="single"/>
        </w:rPr>
      </w:pPr>
      <w:r w:rsidRPr="0064060C">
        <w:rPr>
          <w:color w:val="000000"/>
          <w:u w:val="single"/>
          <w:rtl/>
        </w:rPr>
        <w:t>נוסח מסמך זה כפוף לשינויי ניסוח ועריכה</w:t>
      </w:r>
    </w:p>
    <w:sectPr w:rsidR="008E1C4B" w:rsidRPr="008E1C4B" w:rsidSect="0064060C">
      <w:headerReference w:type="even" r:id="rId24"/>
      <w:headerReference w:type="default" r:id="rId25"/>
      <w:footerReference w:type="even" r:id="rId26"/>
      <w:footerReference w:type="default" r:id="rId27"/>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2BEB0" w14:textId="77777777" w:rsidR="00C5375B" w:rsidRDefault="00C5375B" w:rsidP="00E267DD">
      <w:r>
        <w:separator/>
      </w:r>
    </w:p>
  </w:endnote>
  <w:endnote w:type="continuationSeparator" w:id="0">
    <w:p w14:paraId="41388A12" w14:textId="77777777" w:rsidR="00C5375B" w:rsidRDefault="00C5375B" w:rsidP="00E2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D9B94" w14:textId="77777777" w:rsidR="0064060C" w:rsidRDefault="0064060C" w:rsidP="0064060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D063D6E" w14:textId="77777777" w:rsidR="00551E38" w:rsidRPr="0064060C" w:rsidRDefault="0064060C" w:rsidP="0064060C">
    <w:pPr>
      <w:pStyle w:val="a5"/>
      <w:pBdr>
        <w:top w:val="single" w:sz="4" w:space="1" w:color="auto"/>
        <w:between w:val="single" w:sz="4" w:space="0" w:color="auto"/>
      </w:pBdr>
      <w:spacing w:after="60"/>
      <w:jc w:val="center"/>
      <w:rPr>
        <w:rFonts w:ascii="FrankRuehl" w:hAnsi="FrankRuehl" w:cs="FrankRuehl"/>
        <w:color w:val="000000"/>
      </w:rPr>
    </w:pPr>
    <w:r w:rsidRPr="0064060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9004F" w14:textId="77777777" w:rsidR="0064060C" w:rsidRDefault="0064060C" w:rsidP="0064060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9394B">
      <w:rPr>
        <w:rFonts w:ascii="FrankRuehl" w:hAnsi="FrankRuehl" w:cs="FrankRuehl"/>
        <w:noProof/>
        <w:rtl/>
      </w:rPr>
      <w:t>1</w:t>
    </w:r>
    <w:r>
      <w:rPr>
        <w:rFonts w:ascii="FrankRuehl" w:hAnsi="FrankRuehl" w:cs="FrankRuehl"/>
        <w:rtl/>
      </w:rPr>
      <w:fldChar w:fldCharType="end"/>
    </w:r>
  </w:p>
  <w:p w14:paraId="4C8DC07F" w14:textId="77777777" w:rsidR="00551E38" w:rsidRPr="0064060C" w:rsidRDefault="0064060C" w:rsidP="0064060C">
    <w:pPr>
      <w:pStyle w:val="a5"/>
      <w:pBdr>
        <w:top w:val="single" w:sz="4" w:space="1" w:color="auto"/>
        <w:between w:val="single" w:sz="4" w:space="0" w:color="auto"/>
      </w:pBdr>
      <w:spacing w:after="60"/>
      <w:jc w:val="center"/>
      <w:rPr>
        <w:rFonts w:ascii="FrankRuehl" w:hAnsi="FrankRuehl" w:cs="FrankRuehl"/>
        <w:color w:val="000000"/>
      </w:rPr>
    </w:pPr>
    <w:r w:rsidRPr="0064060C">
      <w:rPr>
        <w:rFonts w:ascii="FrankRuehl" w:hAnsi="FrankRuehl" w:cs="FrankRuehl"/>
        <w:color w:val="000000"/>
      </w:rPr>
      <w:pict w14:anchorId="3F1A39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A0424" w14:textId="77777777" w:rsidR="00C5375B" w:rsidRDefault="00C5375B" w:rsidP="00E267DD">
      <w:r>
        <w:separator/>
      </w:r>
    </w:p>
  </w:footnote>
  <w:footnote w:type="continuationSeparator" w:id="0">
    <w:p w14:paraId="343B93E5" w14:textId="77777777" w:rsidR="00C5375B" w:rsidRDefault="00C5375B" w:rsidP="00E26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16D9F" w14:textId="77777777" w:rsidR="008E1C4B" w:rsidRPr="0064060C" w:rsidRDefault="0064060C" w:rsidP="0064060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7970-11-16</w:t>
    </w:r>
    <w:r>
      <w:rPr>
        <w:rFonts w:ascii="David" w:hAnsi="David"/>
        <w:color w:val="000000"/>
        <w:sz w:val="22"/>
        <w:szCs w:val="22"/>
        <w:rtl/>
      </w:rPr>
      <w:tab/>
      <w:t xml:space="preserve"> מדינת ישראל נ' חיים קדוש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ADE7C" w14:textId="77777777" w:rsidR="008E1C4B" w:rsidRPr="0064060C" w:rsidRDefault="0064060C" w:rsidP="0064060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7970-11-16</w:t>
    </w:r>
    <w:r>
      <w:rPr>
        <w:rFonts w:ascii="David" w:hAnsi="David"/>
        <w:color w:val="000000"/>
        <w:sz w:val="22"/>
        <w:szCs w:val="22"/>
        <w:rtl/>
      </w:rPr>
      <w:tab/>
      <w:t xml:space="preserve"> מדינת ישראל נ' חיים קדוש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03A2B"/>
    <w:rsid w:val="002D7B2F"/>
    <w:rsid w:val="002E6303"/>
    <w:rsid w:val="00551E38"/>
    <w:rsid w:val="0064060C"/>
    <w:rsid w:val="008E1C4B"/>
    <w:rsid w:val="00903A2B"/>
    <w:rsid w:val="00A64C6B"/>
    <w:rsid w:val="00BA16A0"/>
    <w:rsid w:val="00C5375B"/>
    <w:rsid w:val="00C9394B"/>
    <w:rsid w:val="00E267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B9C3B9D"/>
  <w15:chartTrackingRefBased/>
  <w15:docId w15:val="{075F07AE-887C-4C4D-B702-7F8705A8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3A2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03A2B"/>
    <w:pPr>
      <w:tabs>
        <w:tab w:val="center" w:pos="4153"/>
        <w:tab w:val="right" w:pos="8306"/>
      </w:tabs>
    </w:pPr>
  </w:style>
  <w:style w:type="character" w:customStyle="1" w:styleId="a4">
    <w:name w:val="כותרת עליונה תו"/>
    <w:link w:val="a3"/>
    <w:rsid w:val="00903A2B"/>
    <w:rPr>
      <w:rFonts w:ascii="Times New Roman" w:eastAsia="Times New Roman" w:hAnsi="Times New Roman" w:cs="David"/>
      <w:sz w:val="24"/>
      <w:szCs w:val="24"/>
    </w:rPr>
  </w:style>
  <w:style w:type="paragraph" w:styleId="a5">
    <w:name w:val="footer"/>
    <w:basedOn w:val="a"/>
    <w:link w:val="a6"/>
    <w:rsid w:val="00903A2B"/>
    <w:pPr>
      <w:tabs>
        <w:tab w:val="center" w:pos="4153"/>
        <w:tab w:val="right" w:pos="8306"/>
      </w:tabs>
    </w:pPr>
  </w:style>
  <w:style w:type="character" w:customStyle="1" w:styleId="a6">
    <w:name w:val="כותרת תחתונה תו"/>
    <w:link w:val="a5"/>
    <w:rsid w:val="00903A2B"/>
    <w:rPr>
      <w:rFonts w:ascii="Times New Roman" w:eastAsia="Times New Roman" w:hAnsi="Times New Roman" w:cs="David"/>
      <w:sz w:val="24"/>
      <w:szCs w:val="24"/>
    </w:rPr>
  </w:style>
  <w:style w:type="table" w:styleId="a7">
    <w:name w:val="Table Grid"/>
    <w:basedOn w:val="a1"/>
    <w:rsid w:val="00903A2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03A2B"/>
  </w:style>
  <w:style w:type="paragraph" w:customStyle="1" w:styleId="12">
    <w:name w:val="רגיל + ‏12 נק'"/>
    <w:aliases w:val="מיושר לשני הצדדים,מרווח בין שורות:  שורה וחצי"/>
    <w:basedOn w:val="a"/>
    <w:rsid w:val="00903A2B"/>
    <w:rPr>
      <w:b/>
      <w:bCs/>
      <w:u w:val="single"/>
    </w:rPr>
  </w:style>
  <w:style w:type="character" w:styleId="Hyperlink">
    <w:name w:val="Hyperlink"/>
    <w:rsid w:val="008E1C4B"/>
    <w:rPr>
      <w:color w:val="0563C1"/>
      <w:u w:val="single"/>
    </w:rPr>
  </w:style>
  <w:style w:type="character" w:styleId="a9">
    <w:name w:val="Unresolved Mention"/>
    <w:rsid w:val="008E1C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13048300"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21802683" TargetMode="External"/><Relationship Id="rId7" Type="http://schemas.openxmlformats.org/officeDocument/2006/relationships/hyperlink" Target="http://www.nevo.co.il/law/70301/499.a.1" TargetMode="External"/><Relationship Id="rId12" Type="http://schemas.openxmlformats.org/officeDocument/2006/relationships/hyperlink" Target="http://www.nevo.co.il/law/70301/499.a.1" TargetMode="External"/><Relationship Id="rId17" Type="http://schemas.openxmlformats.org/officeDocument/2006/relationships/hyperlink" Target="http://www.nevo.co.il/case/6091957"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4216/7.a.;7.c" TargetMode="External"/><Relationship Id="rId20" Type="http://schemas.openxmlformats.org/officeDocument/2006/relationships/hyperlink" Target="http://www.nevo.co.il/case/21751310"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13"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7.c" TargetMode="External"/><Relationship Id="rId19" Type="http://schemas.openxmlformats.org/officeDocument/2006/relationships/hyperlink" Target="http://www.nevo.co.il/case/6887622" TargetMode="Externa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70301"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1971</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11808</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7995492</vt:i4>
      </vt:variant>
      <vt:variant>
        <vt:i4>48</vt:i4>
      </vt:variant>
      <vt:variant>
        <vt:i4>0</vt:i4>
      </vt:variant>
      <vt:variant>
        <vt:i4>5</vt:i4>
      </vt:variant>
      <vt:variant>
        <vt:lpwstr>http://www.nevo.co.il/law/70301</vt:lpwstr>
      </vt:variant>
      <vt:variant>
        <vt:lpwstr/>
      </vt:variant>
      <vt:variant>
        <vt:i4>3145843</vt:i4>
      </vt:variant>
      <vt:variant>
        <vt:i4>45</vt:i4>
      </vt:variant>
      <vt:variant>
        <vt:i4>0</vt:i4>
      </vt:variant>
      <vt:variant>
        <vt:i4>5</vt:i4>
      </vt:variant>
      <vt:variant>
        <vt:lpwstr>http://www.nevo.co.il/case/21802683</vt:lpwstr>
      </vt:variant>
      <vt:variant>
        <vt:lpwstr/>
      </vt:variant>
      <vt:variant>
        <vt:i4>3473523</vt:i4>
      </vt:variant>
      <vt:variant>
        <vt:i4>42</vt:i4>
      </vt:variant>
      <vt:variant>
        <vt:i4>0</vt:i4>
      </vt:variant>
      <vt:variant>
        <vt:i4>5</vt:i4>
      </vt:variant>
      <vt:variant>
        <vt:lpwstr>http://www.nevo.co.il/case/21751310</vt:lpwstr>
      </vt:variant>
      <vt:variant>
        <vt:lpwstr/>
      </vt:variant>
      <vt:variant>
        <vt:i4>3801209</vt:i4>
      </vt:variant>
      <vt:variant>
        <vt:i4>39</vt:i4>
      </vt:variant>
      <vt:variant>
        <vt:i4>0</vt:i4>
      </vt:variant>
      <vt:variant>
        <vt:i4>5</vt:i4>
      </vt:variant>
      <vt:variant>
        <vt:lpwstr>http://www.nevo.co.il/case/6887622</vt:lpwstr>
      </vt:variant>
      <vt:variant>
        <vt:lpwstr/>
      </vt:variant>
      <vt:variant>
        <vt:i4>3735664</vt:i4>
      </vt:variant>
      <vt:variant>
        <vt:i4>36</vt:i4>
      </vt:variant>
      <vt:variant>
        <vt:i4>0</vt:i4>
      </vt:variant>
      <vt:variant>
        <vt:i4>5</vt:i4>
      </vt:variant>
      <vt:variant>
        <vt:lpwstr>http://www.nevo.co.il/case/13048300</vt:lpwstr>
      </vt:variant>
      <vt:variant>
        <vt:lpwstr/>
      </vt:variant>
      <vt:variant>
        <vt:i4>3211376</vt:i4>
      </vt:variant>
      <vt:variant>
        <vt:i4>33</vt:i4>
      </vt:variant>
      <vt:variant>
        <vt:i4>0</vt:i4>
      </vt:variant>
      <vt:variant>
        <vt:i4>5</vt:i4>
      </vt:variant>
      <vt:variant>
        <vt:lpwstr>http://www.nevo.co.il/case/6091957</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5177418</vt:i4>
      </vt:variant>
      <vt:variant>
        <vt:i4>24</vt:i4>
      </vt:variant>
      <vt:variant>
        <vt:i4>0</vt:i4>
      </vt:variant>
      <vt:variant>
        <vt:i4>5</vt:i4>
      </vt:variant>
      <vt:variant>
        <vt:lpwstr>http://www.nevo.co.il/law/4216/13</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5177418</vt:i4>
      </vt:variant>
      <vt:variant>
        <vt:i4>15</vt:i4>
      </vt:variant>
      <vt:variant>
        <vt:i4>0</vt:i4>
      </vt:variant>
      <vt:variant>
        <vt:i4>5</vt:i4>
      </vt:variant>
      <vt:variant>
        <vt:lpwstr>http://www.nevo.co.il/law/4216/13</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7077945</vt:i4>
      </vt:variant>
      <vt:variant>
        <vt:i4>3</vt:i4>
      </vt:variant>
      <vt:variant>
        <vt:i4>0</vt:i4>
      </vt:variant>
      <vt:variant>
        <vt:i4>5</vt:i4>
      </vt:variant>
      <vt:variant>
        <vt:lpwstr>http://www.nevo.co.il/law/70301/499.a.1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2025-04-22T20:48:00Z</dcterms:created>
  <dcterms:modified xsi:type="dcterms:W3CDTF">2025-04-22T20:48:00Z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7970</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חיים קדוש</vt:lpwstr>
  </property>
  <property fmtid="{D5CDD505-2E9C-101B-9397-08002B2CF9AE}" pid="10" name="LAWYER">
    <vt:lpwstr>אלירם גלעם;תמיר סננס;ניר אייזנברג</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20180517</vt:lpwstr>
  </property>
  <property fmtid="{D5CDD505-2E9C-101B-9397-08002B2CF9AE}" pid="14" name="TYPE_N_DATE">
    <vt:lpwstr>39020180517</vt:lpwstr>
  </property>
  <property fmtid="{D5CDD505-2E9C-101B-9397-08002B2CF9AE}" pid="15" name="CASESLISTTMP1">
    <vt:lpwstr>6091957;13048300;6887622;21751310;21802683</vt:lpwstr>
  </property>
  <property fmtid="{D5CDD505-2E9C-101B-9397-08002B2CF9AE}" pid="16" name="WORDNUMPAGES">
    <vt:lpwstr>6</vt:lpwstr>
  </property>
  <property fmtid="{D5CDD505-2E9C-101B-9397-08002B2CF9AE}" pid="17" name="TYPE_ABS_DATE">
    <vt:lpwstr>390020180517</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70301/499.a.1</vt:lpwstr>
  </property>
  <property fmtid="{D5CDD505-2E9C-101B-9397-08002B2CF9AE}" pid="37" name="LAWLISTTMP2">
    <vt:lpwstr>4216/013;007.a;007.c</vt:lpwstr>
  </property>
</Properties>
</file>