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3337B" w:rsidRPr="00421334" w14:paraId="602DACE6" w14:textId="77777777" w:rsidTr="00647E78">
        <w:trPr>
          <w:trHeight w:hRule="exact" w:val="418"/>
          <w:jc w:val="center"/>
        </w:trPr>
        <w:tc>
          <w:tcPr>
            <w:tcW w:w="8721" w:type="dxa"/>
            <w:gridSpan w:val="2"/>
          </w:tcPr>
          <w:p w14:paraId="6C85B2EA" w14:textId="77777777" w:rsidR="0043337B" w:rsidRPr="00421334" w:rsidRDefault="0043337B" w:rsidP="00421334">
            <w:pPr>
              <w:pStyle w:val="a3"/>
              <w:jc w:val="center"/>
              <w:rPr>
                <w:rFonts w:ascii="Tahoma" w:hAnsi="Tahoma" w:cs="Tahoma"/>
                <w:color w:val="000080"/>
                <w:rtl/>
              </w:rPr>
            </w:pPr>
            <w:r w:rsidRPr="00421334">
              <w:rPr>
                <w:rFonts w:ascii="Tahoma" w:hAnsi="Tahoma" w:cs="Tahoma"/>
                <w:b/>
                <w:bCs/>
                <w:color w:val="000080"/>
                <w:rtl/>
              </w:rPr>
              <w:t>בית המשפט המחוזי בבאר שבע</w:t>
            </w:r>
          </w:p>
        </w:tc>
      </w:tr>
      <w:tr w:rsidR="0043337B" w:rsidRPr="00421334" w14:paraId="2BBC304F" w14:textId="77777777" w:rsidTr="00647E78">
        <w:trPr>
          <w:trHeight w:val="337"/>
          <w:jc w:val="center"/>
        </w:trPr>
        <w:tc>
          <w:tcPr>
            <w:tcW w:w="5057" w:type="dxa"/>
          </w:tcPr>
          <w:p w14:paraId="534ED0FD" w14:textId="77777777" w:rsidR="0043337B" w:rsidRPr="00421334" w:rsidRDefault="0043337B" w:rsidP="00421334">
            <w:pPr>
              <w:rPr>
                <w:rFonts w:cs="FrankRuehl"/>
                <w:sz w:val="28"/>
                <w:szCs w:val="28"/>
                <w:rtl/>
              </w:rPr>
            </w:pPr>
            <w:r w:rsidRPr="00421334">
              <w:rPr>
                <w:rFonts w:cs="FrankRuehl"/>
                <w:sz w:val="28"/>
                <w:szCs w:val="28"/>
                <w:rtl/>
              </w:rPr>
              <w:t>ת"פ</w:t>
            </w:r>
            <w:r w:rsidRPr="00421334">
              <w:rPr>
                <w:rFonts w:cs="FrankRuehl" w:hint="cs"/>
                <w:sz w:val="28"/>
                <w:szCs w:val="28"/>
                <w:rtl/>
              </w:rPr>
              <w:t xml:space="preserve"> </w:t>
            </w:r>
            <w:r w:rsidRPr="00421334">
              <w:rPr>
                <w:rFonts w:cs="FrankRuehl"/>
                <w:sz w:val="28"/>
                <w:szCs w:val="28"/>
                <w:rtl/>
              </w:rPr>
              <w:t>32002-12-16</w:t>
            </w:r>
            <w:r w:rsidRPr="00421334">
              <w:rPr>
                <w:rFonts w:cs="FrankRuehl" w:hint="cs"/>
                <w:sz w:val="28"/>
                <w:szCs w:val="28"/>
                <w:rtl/>
              </w:rPr>
              <w:t xml:space="preserve"> </w:t>
            </w:r>
            <w:r w:rsidRPr="00421334">
              <w:rPr>
                <w:rFonts w:cs="FrankRuehl"/>
                <w:sz w:val="28"/>
                <w:szCs w:val="28"/>
                <w:rtl/>
              </w:rPr>
              <w:t>מדינת ישראל נ' עמר(עציר)</w:t>
            </w:r>
          </w:p>
          <w:p w14:paraId="11B46729" w14:textId="77777777" w:rsidR="0043337B" w:rsidRPr="00421334" w:rsidRDefault="0043337B" w:rsidP="00421334">
            <w:pPr>
              <w:pStyle w:val="a3"/>
              <w:rPr>
                <w:rFonts w:cs="FrankRuehl"/>
                <w:sz w:val="28"/>
                <w:szCs w:val="28"/>
                <w:rtl/>
              </w:rPr>
            </w:pPr>
          </w:p>
        </w:tc>
        <w:tc>
          <w:tcPr>
            <w:tcW w:w="3664" w:type="dxa"/>
          </w:tcPr>
          <w:p w14:paraId="50E63CED" w14:textId="77777777" w:rsidR="0043337B" w:rsidRPr="00421334" w:rsidRDefault="0043337B" w:rsidP="00421334">
            <w:pPr>
              <w:pStyle w:val="a3"/>
              <w:jc w:val="right"/>
              <w:rPr>
                <w:rFonts w:cs="FrankRuehl"/>
                <w:sz w:val="28"/>
                <w:szCs w:val="28"/>
                <w:rtl/>
              </w:rPr>
            </w:pPr>
          </w:p>
        </w:tc>
      </w:tr>
    </w:tbl>
    <w:p w14:paraId="6D9602DD" w14:textId="77777777" w:rsidR="0043337B" w:rsidRPr="00421334" w:rsidRDefault="0043337B" w:rsidP="0043337B">
      <w:pPr>
        <w:pStyle w:val="a3"/>
        <w:rPr>
          <w:rtl/>
        </w:rPr>
      </w:pPr>
      <w:r w:rsidRPr="00421334">
        <w:rPr>
          <w:rFonts w:hint="cs"/>
          <w:rtl/>
        </w:rPr>
        <w:t xml:space="preserve"> </w:t>
      </w:r>
    </w:p>
    <w:p w14:paraId="2EF8D305" w14:textId="77777777" w:rsidR="0043337B" w:rsidRPr="00421334" w:rsidRDefault="0043337B" w:rsidP="0043337B">
      <w:pPr>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3947"/>
        <w:gridCol w:w="2744"/>
        <w:gridCol w:w="882"/>
      </w:tblGrid>
      <w:tr w:rsidR="00421334" w:rsidRPr="00421334" w14:paraId="60FC1305" w14:textId="77777777" w:rsidTr="0043337B">
        <w:trPr>
          <w:gridAfter w:val="1"/>
          <w:wAfter w:w="882" w:type="dxa"/>
          <w:trHeight w:val="361"/>
          <w:jc w:val="center"/>
        </w:trPr>
        <w:tc>
          <w:tcPr>
            <w:tcW w:w="7938" w:type="dxa"/>
            <w:gridSpan w:val="3"/>
            <w:tcBorders>
              <w:top w:val="nil"/>
              <w:left w:val="nil"/>
              <w:bottom w:val="nil"/>
              <w:right w:val="nil"/>
            </w:tcBorders>
            <w:shd w:val="clear" w:color="auto" w:fill="auto"/>
          </w:tcPr>
          <w:p w14:paraId="1AC42EAD" w14:textId="77777777" w:rsidR="0043337B" w:rsidRPr="00421334" w:rsidRDefault="0043337B" w:rsidP="00421334">
            <w:pPr>
              <w:rPr>
                <w:rFonts w:ascii="Arial" w:hAnsi="Arial"/>
                <w:b/>
                <w:bCs/>
                <w:rtl/>
              </w:rPr>
            </w:pPr>
            <w:r w:rsidRPr="00421334">
              <w:rPr>
                <w:rFonts w:ascii="Arial" w:hAnsi="Arial" w:hint="cs"/>
                <w:b/>
                <w:bCs/>
                <w:rtl/>
              </w:rPr>
              <w:t>בפני כב' סגן הנשיאה, השופט אליהו ביתן</w:t>
            </w:r>
          </w:p>
          <w:p w14:paraId="733F5DBD" w14:textId="77777777" w:rsidR="0043337B" w:rsidRPr="00421334" w:rsidRDefault="0043337B" w:rsidP="00421334">
            <w:pPr>
              <w:rPr>
                <w:rFonts w:ascii="Arial" w:hAnsi="Arial"/>
                <w:b/>
                <w:bCs/>
              </w:rPr>
            </w:pPr>
          </w:p>
        </w:tc>
      </w:tr>
      <w:tr w:rsidR="00421334" w:rsidRPr="00421334" w14:paraId="54A603C9" w14:textId="77777777" w:rsidTr="0043337B">
        <w:trPr>
          <w:trHeight w:val="355"/>
          <w:jc w:val="center"/>
        </w:trPr>
        <w:tc>
          <w:tcPr>
            <w:tcW w:w="1247" w:type="dxa"/>
            <w:tcBorders>
              <w:top w:val="nil"/>
              <w:left w:val="nil"/>
              <w:bottom w:val="nil"/>
              <w:right w:val="nil"/>
            </w:tcBorders>
            <w:shd w:val="clear" w:color="auto" w:fill="auto"/>
          </w:tcPr>
          <w:p w14:paraId="41728E4B" w14:textId="77777777" w:rsidR="0043337B" w:rsidRPr="00421334" w:rsidRDefault="0043337B" w:rsidP="0043337B">
            <w:pPr>
              <w:jc w:val="both"/>
              <w:rPr>
                <w:rFonts w:ascii="Arial" w:hAnsi="Arial"/>
                <w:b/>
                <w:bCs/>
              </w:rPr>
            </w:pPr>
            <w:bookmarkStart w:id="0" w:name="LastJudge"/>
            <w:bookmarkEnd w:id="0"/>
            <w:r w:rsidRPr="00421334">
              <w:rPr>
                <w:rFonts w:ascii="Arial" w:hAnsi="Arial" w:hint="cs"/>
                <w:b/>
                <w:bCs/>
                <w:rtl/>
              </w:rPr>
              <w:t>בעניין:</w:t>
            </w:r>
          </w:p>
        </w:tc>
        <w:tc>
          <w:tcPr>
            <w:tcW w:w="3947" w:type="dxa"/>
            <w:tcBorders>
              <w:top w:val="nil"/>
              <w:left w:val="nil"/>
              <w:bottom w:val="nil"/>
              <w:right w:val="nil"/>
            </w:tcBorders>
            <w:shd w:val="clear" w:color="auto" w:fill="auto"/>
          </w:tcPr>
          <w:p w14:paraId="62C9A72A" w14:textId="77777777" w:rsidR="0043337B" w:rsidRPr="00421334" w:rsidRDefault="0043337B" w:rsidP="00421334">
            <w:pPr>
              <w:rPr>
                <w:rFonts w:ascii="Arial" w:hAnsi="Arial"/>
                <w:b/>
                <w:bCs/>
              </w:rPr>
            </w:pPr>
            <w:r w:rsidRPr="00421334">
              <w:rPr>
                <w:rFonts w:ascii="Arial" w:hAnsi="Arial"/>
                <w:b/>
                <w:bCs/>
                <w:rtl/>
              </w:rPr>
              <w:t xml:space="preserve">     </w:t>
            </w:r>
          </w:p>
        </w:tc>
        <w:tc>
          <w:tcPr>
            <w:tcW w:w="3626" w:type="dxa"/>
            <w:gridSpan w:val="2"/>
            <w:tcBorders>
              <w:top w:val="nil"/>
              <w:left w:val="nil"/>
              <w:bottom w:val="nil"/>
              <w:right w:val="nil"/>
            </w:tcBorders>
            <w:shd w:val="clear" w:color="auto" w:fill="auto"/>
          </w:tcPr>
          <w:p w14:paraId="6D1EE0E1" w14:textId="77777777" w:rsidR="0043337B" w:rsidRPr="00421334" w:rsidRDefault="0043337B" w:rsidP="0043337B">
            <w:pPr>
              <w:jc w:val="both"/>
              <w:rPr>
                <w:rFonts w:ascii="Arial" w:hAnsi="Arial"/>
                <w:b/>
                <w:bCs/>
              </w:rPr>
            </w:pPr>
          </w:p>
        </w:tc>
      </w:tr>
      <w:tr w:rsidR="00421334" w:rsidRPr="00421334" w14:paraId="2DCBE357" w14:textId="77777777" w:rsidTr="0043337B">
        <w:trPr>
          <w:trHeight w:val="355"/>
          <w:jc w:val="center"/>
        </w:trPr>
        <w:tc>
          <w:tcPr>
            <w:tcW w:w="1247" w:type="dxa"/>
            <w:tcBorders>
              <w:top w:val="nil"/>
              <w:left w:val="nil"/>
              <w:bottom w:val="nil"/>
              <w:right w:val="nil"/>
            </w:tcBorders>
            <w:shd w:val="clear" w:color="auto" w:fill="auto"/>
          </w:tcPr>
          <w:p w14:paraId="7FEC0D28" w14:textId="77777777" w:rsidR="0043337B" w:rsidRPr="00421334" w:rsidRDefault="0043337B" w:rsidP="0043337B">
            <w:pPr>
              <w:jc w:val="both"/>
              <w:rPr>
                <w:rFonts w:ascii="Arial" w:hAnsi="Arial"/>
                <w:b/>
                <w:bCs/>
                <w:rtl/>
              </w:rPr>
            </w:pPr>
            <w:bookmarkStart w:id="1" w:name="FirstAppellant"/>
            <w:r w:rsidRPr="00421334">
              <w:rPr>
                <w:rFonts w:ascii="Arial" w:hAnsi="Arial" w:hint="cs"/>
                <w:b/>
                <w:bCs/>
                <w:rtl/>
              </w:rPr>
              <w:t>המאשימה:</w:t>
            </w:r>
          </w:p>
        </w:tc>
        <w:tc>
          <w:tcPr>
            <w:tcW w:w="3947" w:type="dxa"/>
            <w:tcBorders>
              <w:top w:val="nil"/>
              <w:left w:val="nil"/>
              <w:bottom w:val="nil"/>
              <w:right w:val="nil"/>
            </w:tcBorders>
            <w:shd w:val="clear" w:color="auto" w:fill="auto"/>
          </w:tcPr>
          <w:p w14:paraId="1DC1C140" w14:textId="77777777" w:rsidR="0043337B" w:rsidRPr="00421334" w:rsidRDefault="0043337B" w:rsidP="0043337B">
            <w:pPr>
              <w:jc w:val="both"/>
              <w:rPr>
                <w:rFonts w:ascii="Arial" w:hAnsi="Arial"/>
                <w:b/>
                <w:bCs/>
                <w:rtl/>
              </w:rPr>
            </w:pPr>
            <w:r w:rsidRPr="00421334">
              <w:rPr>
                <w:rFonts w:ascii="Arial" w:hAnsi="Arial" w:hint="cs"/>
                <w:b/>
                <w:bCs/>
                <w:rtl/>
              </w:rPr>
              <w:t xml:space="preserve">מדינת ישראל </w:t>
            </w:r>
          </w:p>
        </w:tc>
        <w:tc>
          <w:tcPr>
            <w:tcW w:w="3626" w:type="dxa"/>
            <w:gridSpan w:val="2"/>
            <w:tcBorders>
              <w:top w:val="nil"/>
              <w:left w:val="nil"/>
              <w:bottom w:val="nil"/>
              <w:right w:val="nil"/>
            </w:tcBorders>
            <w:shd w:val="clear" w:color="auto" w:fill="auto"/>
          </w:tcPr>
          <w:p w14:paraId="2D1F88B2" w14:textId="77777777" w:rsidR="0043337B" w:rsidRPr="00421334" w:rsidRDefault="0043337B" w:rsidP="0043337B">
            <w:pPr>
              <w:jc w:val="right"/>
              <w:rPr>
                <w:rFonts w:ascii="Arial" w:hAnsi="Arial"/>
                <w:b/>
                <w:bCs/>
                <w:rtl/>
              </w:rPr>
            </w:pPr>
          </w:p>
        </w:tc>
      </w:tr>
      <w:bookmarkEnd w:id="1"/>
      <w:tr w:rsidR="00421334" w:rsidRPr="00421334" w14:paraId="4265FDE9" w14:textId="77777777" w:rsidTr="0043337B">
        <w:trPr>
          <w:trHeight w:val="355"/>
          <w:jc w:val="center"/>
        </w:trPr>
        <w:tc>
          <w:tcPr>
            <w:tcW w:w="1247" w:type="dxa"/>
            <w:tcBorders>
              <w:top w:val="nil"/>
              <w:left w:val="nil"/>
              <w:bottom w:val="nil"/>
              <w:right w:val="nil"/>
            </w:tcBorders>
            <w:shd w:val="clear" w:color="auto" w:fill="auto"/>
          </w:tcPr>
          <w:p w14:paraId="01DD4FCF" w14:textId="77777777" w:rsidR="0043337B" w:rsidRPr="00421334" w:rsidRDefault="0043337B" w:rsidP="0043337B">
            <w:pPr>
              <w:jc w:val="both"/>
              <w:rPr>
                <w:rFonts w:ascii="Arial" w:hAnsi="Arial"/>
                <w:b/>
                <w:bCs/>
                <w:rtl/>
              </w:rPr>
            </w:pPr>
          </w:p>
        </w:tc>
        <w:tc>
          <w:tcPr>
            <w:tcW w:w="7573" w:type="dxa"/>
            <w:gridSpan w:val="3"/>
            <w:tcBorders>
              <w:top w:val="nil"/>
              <w:left w:val="nil"/>
              <w:bottom w:val="nil"/>
              <w:right w:val="nil"/>
            </w:tcBorders>
            <w:shd w:val="clear" w:color="auto" w:fill="auto"/>
          </w:tcPr>
          <w:p w14:paraId="224B6B74" w14:textId="77777777" w:rsidR="0043337B" w:rsidRPr="00421334" w:rsidRDefault="0043337B" w:rsidP="0043337B">
            <w:pPr>
              <w:jc w:val="center"/>
              <w:rPr>
                <w:rFonts w:ascii="Arial" w:hAnsi="Arial"/>
                <w:b/>
                <w:bCs/>
              </w:rPr>
            </w:pPr>
            <w:r w:rsidRPr="00421334">
              <w:rPr>
                <w:rFonts w:ascii="Arial" w:hAnsi="Arial"/>
                <w:b/>
                <w:bCs/>
                <w:sz w:val="28"/>
                <w:szCs w:val="28"/>
                <w:rtl/>
              </w:rPr>
              <w:t>נגד</w:t>
            </w:r>
          </w:p>
        </w:tc>
      </w:tr>
      <w:tr w:rsidR="00421334" w:rsidRPr="00421334" w14:paraId="382915B2" w14:textId="77777777" w:rsidTr="0043337B">
        <w:trPr>
          <w:trHeight w:val="355"/>
          <w:jc w:val="center"/>
        </w:trPr>
        <w:tc>
          <w:tcPr>
            <w:tcW w:w="1247" w:type="dxa"/>
            <w:tcBorders>
              <w:top w:val="nil"/>
              <w:left w:val="nil"/>
              <w:bottom w:val="nil"/>
              <w:right w:val="nil"/>
            </w:tcBorders>
            <w:shd w:val="clear" w:color="auto" w:fill="auto"/>
          </w:tcPr>
          <w:p w14:paraId="5DCAAA09" w14:textId="77777777" w:rsidR="0043337B" w:rsidRPr="00421334" w:rsidRDefault="0043337B" w:rsidP="00421334">
            <w:pPr>
              <w:rPr>
                <w:rFonts w:ascii="Arial" w:hAnsi="Arial"/>
                <w:b/>
                <w:bCs/>
                <w:rtl/>
              </w:rPr>
            </w:pPr>
            <w:r w:rsidRPr="00421334">
              <w:rPr>
                <w:rFonts w:ascii="Arial" w:hAnsi="Arial" w:hint="cs"/>
                <w:b/>
                <w:bCs/>
                <w:rtl/>
              </w:rPr>
              <w:t>הנאשם:</w:t>
            </w:r>
          </w:p>
        </w:tc>
        <w:tc>
          <w:tcPr>
            <w:tcW w:w="3947" w:type="dxa"/>
            <w:tcBorders>
              <w:top w:val="nil"/>
              <w:left w:val="nil"/>
              <w:bottom w:val="nil"/>
              <w:right w:val="nil"/>
            </w:tcBorders>
            <w:shd w:val="clear" w:color="auto" w:fill="auto"/>
          </w:tcPr>
          <w:p w14:paraId="42EA05AB" w14:textId="77777777" w:rsidR="0043337B" w:rsidRPr="00421334" w:rsidRDefault="0043337B" w:rsidP="00421334">
            <w:pPr>
              <w:rPr>
                <w:rFonts w:ascii="Arial" w:hAnsi="Arial"/>
                <w:b/>
                <w:bCs/>
                <w:rtl/>
              </w:rPr>
            </w:pPr>
            <w:r w:rsidRPr="00421334">
              <w:rPr>
                <w:rFonts w:ascii="Arial" w:hAnsi="Arial"/>
                <w:b/>
                <w:bCs/>
                <w:rtl/>
              </w:rPr>
              <w:t>עידן עמר (עציר)</w:t>
            </w:r>
          </w:p>
        </w:tc>
        <w:tc>
          <w:tcPr>
            <w:tcW w:w="3626" w:type="dxa"/>
            <w:gridSpan w:val="2"/>
            <w:tcBorders>
              <w:top w:val="nil"/>
              <w:left w:val="nil"/>
              <w:bottom w:val="nil"/>
              <w:right w:val="nil"/>
            </w:tcBorders>
            <w:shd w:val="clear" w:color="auto" w:fill="auto"/>
          </w:tcPr>
          <w:p w14:paraId="26E84844" w14:textId="77777777" w:rsidR="0043337B" w:rsidRPr="00421334" w:rsidRDefault="0043337B" w:rsidP="0043337B">
            <w:pPr>
              <w:jc w:val="right"/>
              <w:rPr>
                <w:rFonts w:ascii="Arial" w:hAnsi="Arial"/>
                <w:b/>
                <w:bCs/>
              </w:rPr>
            </w:pPr>
          </w:p>
        </w:tc>
      </w:tr>
    </w:tbl>
    <w:p w14:paraId="1B3221F6" w14:textId="77777777" w:rsidR="00647E78" w:rsidRDefault="00647E78" w:rsidP="0043337B">
      <w:pPr>
        <w:spacing w:line="360" w:lineRule="auto"/>
        <w:jc w:val="both"/>
        <w:rPr>
          <w:rtl/>
        </w:rPr>
      </w:pPr>
      <w:bookmarkStart w:id="2" w:name="LawTable"/>
      <w:bookmarkEnd w:id="2"/>
    </w:p>
    <w:p w14:paraId="6D4D9B1A" w14:textId="77777777" w:rsidR="00647E78" w:rsidRPr="00647E78" w:rsidRDefault="00647E78" w:rsidP="00647E78">
      <w:pPr>
        <w:spacing w:after="120" w:line="240" w:lineRule="exact"/>
        <w:ind w:left="283" w:hanging="283"/>
        <w:jc w:val="both"/>
        <w:rPr>
          <w:rFonts w:ascii="FrankRuehl" w:hAnsi="FrankRuehl" w:cs="FrankRuehl"/>
          <w:rtl/>
        </w:rPr>
      </w:pPr>
    </w:p>
    <w:p w14:paraId="55443240" w14:textId="77777777" w:rsidR="00647E78" w:rsidRPr="00647E78" w:rsidRDefault="00647E78" w:rsidP="00647E78">
      <w:pPr>
        <w:spacing w:after="120" w:line="240" w:lineRule="exact"/>
        <w:ind w:left="283" w:hanging="283"/>
        <w:jc w:val="both"/>
        <w:rPr>
          <w:rFonts w:ascii="FrankRuehl" w:hAnsi="FrankRuehl" w:cs="FrankRuehl"/>
          <w:rtl/>
        </w:rPr>
      </w:pPr>
      <w:r w:rsidRPr="00647E78">
        <w:rPr>
          <w:rFonts w:ascii="FrankRuehl" w:hAnsi="FrankRuehl" w:cs="FrankRuehl"/>
          <w:rtl/>
        </w:rPr>
        <w:t xml:space="preserve">חקיקה שאוזכרה: </w:t>
      </w:r>
    </w:p>
    <w:p w14:paraId="34489A31" w14:textId="77777777" w:rsidR="00647E78" w:rsidRPr="00647E78" w:rsidRDefault="00647E78" w:rsidP="00647E78">
      <w:pPr>
        <w:spacing w:after="120" w:line="240" w:lineRule="exact"/>
        <w:ind w:left="283" w:hanging="283"/>
        <w:jc w:val="both"/>
        <w:rPr>
          <w:rFonts w:ascii="FrankRuehl" w:hAnsi="FrankRuehl" w:cs="FrankRuehl"/>
          <w:rtl/>
        </w:rPr>
      </w:pPr>
      <w:hyperlink r:id="rId6" w:history="1">
        <w:r w:rsidRPr="00647E78">
          <w:rPr>
            <w:rFonts w:ascii="FrankRuehl" w:hAnsi="FrankRuehl" w:cs="FrankRuehl"/>
            <w:color w:val="0000FF"/>
            <w:u w:val="single"/>
            <w:rtl/>
          </w:rPr>
          <w:t>חוק העונשין, תשל"ז-1977</w:t>
        </w:r>
      </w:hyperlink>
      <w:r w:rsidRPr="00647E78">
        <w:rPr>
          <w:rFonts w:ascii="FrankRuehl" w:hAnsi="FrankRuehl" w:cs="FrankRuehl"/>
          <w:rtl/>
        </w:rPr>
        <w:t xml:space="preserve">: סע'  </w:t>
      </w:r>
      <w:hyperlink r:id="rId7" w:history="1">
        <w:r w:rsidRPr="00647E78">
          <w:rPr>
            <w:rFonts w:ascii="FrankRuehl" w:hAnsi="FrankRuehl" w:cs="FrankRuehl"/>
            <w:color w:val="0000FF"/>
            <w:u w:val="single"/>
            <w:rtl/>
          </w:rPr>
          <w:t>499(א)(1)</w:t>
        </w:r>
      </w:hyperlink>
    </w:p>
    <w:p w14:paraId="60501494" w14:textId="77777777" w:rsidR="00647E78" w:rsidRPr="00647E78" w:rsidRDefault="00647E78" w:rsidP="00647E78">
      <w:pPr>
        <w:spacing w:after="120" w:line="240" w:lineRule="exact"/>
        <w:ind w:left="283" w:hanging="283"/>
        <w:jc w:val="both"/>
        <w:rPr>
          <w:rFonts w:ascii="FrankRuehl" w:hAnsi="FrankRuehl" w:cs="FrankRuehl"/>
          <w:rtl/>
        </w:rPr>
      </w:pPr>
      <w:hyperlink r:id="rId8" w:history="1">
        <w:r w:rsidRPr="00647E78">
          <w:rPr>
            <w:rFonts w:ascii="FrankRuehl" w:hAnsi="FrankRuehl" w:cs="FrankRuehl"/>
            <w:color w:val="0000FF"/>
            <w:u w:val="single"/>
            <w:rtl/>
          </w:rPr>
          <w:t>פקודת הסמים המסוכנים [נוסח חדש], תשל"ג-1973</w:t>
        </w:r>
      </w:hyperlink>
      <w:r w:rsidRPr="00647E78">
        <w:rPr>
          <w:rFonts w:ascii="FrankRuehl" w:hAnsi="FrankRuehl" w:cs="FrankRuehl"/>
          <w:rtl/>
        </w:rPr>
        <w:t xml:space="preserve">: סע'  </w:t>
      </w:r>
      <w:hyperlink r:id="rId9" w:history="1">
        <w:r w:rsidRPr="00647E78">
          <w:rPr>
            <w:rFonts w:ascii="FrankRuehl" w:hAnsi="FrankRuehl" w:cs="FrankRuehl"/>
            <w:color w:val="0000FF"/>
            <w:u w:val="single"/>
            <w:rtl/>
          </w:rPr>
          <w:t>13</w:t>
        </w:r>
      </w:hyperlink>
    </w:p>
    <w:p w14:paraId="7B32563E" w14:textId="77777777" w:rsidR="00647E78" w:rsidRPr="00647E78" w:rsidRDefault="00647E78" w:rsidP="00647E7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1334" w:rsidRPr="00E73B45" w14:paraId="724F4A6B" w14:textId="77777777" w:rsidTr="0043337B">
        <w:trPr>
          <w:trHeight w:val="355"/>
          <w:jc w:val="center"/>
        </w:trPr>
        <w:tc>
          <w:tcPr>
            <w:tcW w:w="8820" w:type="dxa"/>
            <w:tcBorders>
              <w:top w:val="nil"/>
              <w:left w:val="nil"/>
              <w:bottom w:val="nil"/>
              <w:right w:val="nil"/>
            </w:tcBorders>
            <w:shd w:val="clear" w:color="auto" w:fill="auto"/>
          </w:tcPr>
          <w:p w14:paraId="5523789D" w14:textId="77777777" w:rsidR="00421334" w:rsidRPr="00421334" w:rsidRDefault="00421334" w:rsidP="00421334">
            <w:pPr>
              <w:jc w:val="center"/>
              <w:rPr>
                <w:rFonts w:ascii="Arial" w:hAnsi="Arial"/>
                <w:b/>
                <w:bCs/>
                <w:sz w:val="28"/>
                <w:szCs w:val="28"/>
                <w:u w:val="single"/>
                <w:rtl/>
              </w:rPr>
            </w:pPr>
            <w:bookmarkStart w:id="3" w:name="LawTable_End"/>
            <w:bookmarkStart w:id="4" w:name="PsakDin" w:colFirst="0" w:colLast="0"/>
            <w:bookmarkEnd w:id="3"/>
            <w:r w:rsidRPr="00421334">
              <w:rPr>
                <w:rFonts w:ascii="Arial" w:hAnsi="Arial"/>
                <w:b/>
                <w:bCs/>
                <w:sz w:val="28"/>
                <w:szCs w:val="28"/>
                <w:u w:val="single"/>
                <w:rtl/>
              </w:rPr>
              <w:t>גזר דין</w:t>
            </w:r>
          </w:p>
          <w:p w14:paraId="4CD7150C" w14:textId="77777777" w:rsidR="0043337B" w:rsidRPr="00421334" w:rsidRDefault="0043337B" w:rsidP="00421334">
            <w:pPr>
              <w:jc w:val="center"/>
              <w:rPr>
                <w:rFonts w:ascii="Arial" w:hAnsi="Arial"/>
                <w:b/>
                <w:bCs/>
                <w:u w:val="single"/>
                <w:rtl/>
              </w:rPr>
            </w:pPr>
          </w:p>
        </w:tc>
      </w:tr>
      <w:bookmarkEnd w:id="4"/>
    </w:tbl>
    <w:p w14:paraId="66E6DBA3" w14:textId="77777777" w:rsidR="0043337B" w:rsidRPr="00E73B45" w:rsidRDefault="0043337B" w:rsidP="0043337B">
      <w:pPr>
        <w:rPr>
          <w:b/>
          <w:bCs/>
          <w:u w:val="single"/>
          <w:rtl/>
        </w:rPr>
      </w:pPr>
    </w:p>
    <w:p w14:paraId="4184E44A" w14:textId="77777777" w:rsidR="0043337B" w:rsidRPr="00E73B45" w:rsidRDefault="0043337B" w:rsidP="0043337B">
      <w:pPr>
        <w:spacing w:line="360" w:lineRule="auto"/>
        <w:ind w:left="720" w:hanging="720"/>
        <w:jc w:val="both"/>
        <w:rPr>
          <w:rtl/>
        </w:rPr>
      </w:pPr>
      <w:r w:rsidRPr="00E73B45">
        <w:rPr>
          <w:rFonts w:hint="cs"/>
          <w:rtl/>
        </w:rPr>
        <w:t>1.</w:t>
      </w:r>
      <w:r w:rsidRPr="00E73B45">
        <w:rPr>
          <w:rFonts w:hint="cs"/>
          <w:rtl/>
        </w:rPr>
        <w:tab/>
        <w:t>בטרם שמיעת הראיות, הגיעו הצדדים להסדר טיעון במסגרתו כתב האישום המקורי שהוגש נגד הנאשם תוקן והנאשם הודה בעובדות כתב האישום המתוקן, שאלה עיקריהן:</w:t>
      </w:r>
    </w:p>
    <w:p w14:paraId="2236D030" w14:textId="77777777" w:rsidR="0043337B" w:rsidRPr="00E73B45" w:rsidRDefault="0043337B" w:rsidP="0043337B">
      <w:pPr>
        <w:spacing w:line="360" w:lineRule="auto"/>
        <w:ind w:left="720" w:right="-709"/>
        <w:jc w:val="both"/>
        <w:rPr>
          <w:rtl/>
        </w:rPr>
      </w:pPr>
      <w:r w:rsidRPr="00E73B45">
        <w:rPr>
          <w:rFonts w:hint="cs"/>
          <w:rtl/>
        </w:rPr>
        <w:t xml:space="preserve">מספר חודשים לפני 18.05.16, קשר הנאשם קשר עם חני אליהו, תושבת אילת (להלן: "חני"), </w:t>
      </w:r>
    </w:p>
    <w:p w14:paraId="2BDD8B18" w14:textId="77777777" w:rsidR="0043337B" w:rsidRPr="00E73B45" w:rsidRDefault="0043337B" w:rsidP="0043337B">
      <w:pPr>
        <w:spacing w:line="360" w:lineRule="auto"/>
        <w:ind w:left="720" w:right="-709"/>
        <w:jc w:val="both"/>
        <w:rPr>
          <w:rtl/>
        </w:rPr>
      </w:pPr>
      <w:r w:rsidRPr="00E73B45">
        <w:rPr>
          <w:rFonts w:hint="cs"/>
          <w:rtl/>
        </w:rPr>
        <w:t xml:space="preserve">לייבא לישראל סם מסוכן בכמות גדולה מאד, וסוכם שתמורת ייבוא הסם חני תקבל </w:t>
      </w:r>
    </w:p>
    <w:p w14:paraId="6D2DE066" w14:textId="77777777" w:rsidR="0043337B" w:rsidRPr="00E73B45" w:rsidRDefault="0043337B" w:rsidP="0043337B">
      <w:pPr>
        <w:spacing w:line="360" w:lineRule="auto"/>
        <w:ind w:left="720" w:right="-709"/>
        <w:jc w:val="both"/>
        <w:rPr>
          <w:rtl/>
        </w:rPr>
      </w:pPr>
      <w:r w:rsidRPr="00E73B45">
        <w:rPr>
          <w:rFonts w:hint="cs"/>
          <w:rtl/>
        </w:rPr>
        <w:t xml:space="preserve">תשלום של 100,000 ₪. במסגרת הקשר סוכם כי חני תטוס לאמסטרדם, ועל מנת </w:t>
      </w:r>
    </w:p>
    <w:p w14:paraId="14068A3D" w14:textId="77777777" w:rsidR="0043337B" w:rsidRPr="00E73B45" w:rsidRDefault="0043337B" w:rsidP="0043337B">
      <w:pPr>
        <w:spacing w:line="360" w:lineRule="auto"/>
        <w:ind w:left="720" w:right="-709"/>
        <w:jc w:val="both"/>
        <w:rPr>
          <w:rtl/>
        </w:rPr>
      </w:pPr>
      <w:r w:rsidRPr="00E73B45">
        <w:rPr>
          <w:rFonts w:hint="cs"/>
          <w:rtl/>
        </w:rPr>
        <w:t xml:space="preserve">להטעות את הרשויות ולהקל על ייבוא הסם מבלי להתגלות, תזמין חברה להתלוות אליה, </w:t>
      </w:r>
    </w:p>
    <w:p w14:paraId="59F21043" w14:textId="77777777" w:rsidR="0043337B" w:rsidRPr="00E73B45" w:rsidRDefault="0043337B" w:rsidP="0043337B">
      <w:pPr>
        <w:spacing w:line="360" w:lineRule="auto"/>
        <w:ind w:left="720" w:right="-709"/>
        <w:jc w:val="both"/>
        <w:rPr>
          <w:rtl/>
        </w:rPr>
      </w:pPr>
      <w:r w:rsidRPr="00E73B45">
        <w:rPr>
          <w:rFonts w:hint="cs"/>
          <w:rtl/>
        </w:rPr>
        <w:t xml:space="preserve">בתואנה שיש לחני כנס מהעבודה שכל הוצאותיו משולמות, ויש לה כרטיס נוסף. סוכם כי </w:t>
      </w:r>
    </w:p>
    <w:p w14:paraId="3666CCD5" w14:textId="77777777" w:rsidR="0043337B" w:rsidRPr="00E73B45" w:rsidRDefault="0043337B" w:rsidP="0043337B">
      <w:pPr>
        <w:spacing w:line="360" w:lineRule="auto"/>
        <w:ind w:left="720" w:right="-709"/>
        <w:jc w:val="both"/>
        <w:rPr>
          <w:rtl/>
        </w:rPr>
      </w:pPr>
      <w:r w:rsidRPr="00E73B45">
        <w:rPr>
          <w:rFonts w:hint="cs"/>
          <w:rtl/>
        </w:rPr>
        <w:t>לאחר הגעתה של חני לאמסטרדם היא תפגוש את הנאשם, תקבל ממנו את הסם, ותבריח את</w:t>
      </w:r>
    </w:p>
    <w:p w14:paraId="20CCCFD6" w14:textId="77777777" w:rsidR="0043337B" w:rsidRPr="00E73B45" w:rsidRDefault="0043337B" w:rsidP="0043337B">
      <w:pPr>
        <w:spacing w:line="360" w:lineRule="auto"/>
        <w:ind w:left="720" w:right="-709"/>
        <w:jc w:val="both"/>
        <w:rPr>
          <w:rtl/>
        </w:rPr>
      </w:pPr>
      <w:r w:rsidRPr="00E73B45">
        <w:rPr>
          <w:rFonts w:hint="cs"/>
          <w:rtl/>
        </w:rPr>
        <w:t xml:space="preserve">הסם לישראל במטענה, ללא ידיעת החברה. חני הציעה לחברתה אסנת אדרי (להלן: "אסנת") </w:t>
      </w:r>
    </w:p>
    <w:p w14:paraId="6C4E1104" w14:textId="77777777" w:rsidR="0043337B" w:rsidRPr="00E73B45" w:rsidRDefault="0043337B" w:rsidP="0043337B">
      <w:pPr>
        <w:spacing w:line="360" w:lineRule="auto"/>
        <w:ind w:left="720" w:right="-709"/>
        <w:jc w:val="both"/>
        <w:rPr>
          <w:rtl/>
        </w:rPr>
      </w:pPr>
      <w:r w:rsidRPr="00E73B45">
        <w:rPr>
          <w:rFonts w:hint="cs"/>
          <w:rtl/>
        </w:rPr>
        <w:t>להלוות אליה לכנס והיא הסכימה מבלי לדעת את מטרת הנסיעה. במסגרת הקשר, בתאריך</w:t>
      </w:r>
    </w:p>
    <w:p w14:paraId="09EFC336" w14:textId="77777777" w:rsidR="0043337B" w:rsidRPr="00E73B45" w:rsidRDefault="0043337B" w:rsidP="0043337B">
      <w:pPr>
        <w:spacing w:line="360" w:lineRule="auto"/>
        <w:ind w:left="720" w:right="-709"/>
        <w:jc w:val="both"/>
        <w:rPr>
          <w:rtl/>
        </w:rPr>
      </w:pPr>
      <w:r w:rsidRPr="00E73B45">
        <w:rPr>
          <w:rFonts w:hint="cs"/>
          <w:rtl/>
        </w:rPr>
        <w:t>18.05.16 הנאשם וחני רכשו כרטיסי טיסה עבורם ועבור אסנת, הלוך חזור לברלין בגרמניה,</w:t>
      </w:r>
    </w:p>
    <w:p w14:paraId="4E20B2BA" w14:textId="77777777" w:rsidR="0043337B" w:rsidRPr="00E73B45" w:rsidRDefault="0043337B" w:rsidP="0043337B">
      <w:pPr>
        <w:spacing w:line="360" w:lineRule="auto"/>
        <w:ind w:left="720" w:right="-709"/>
        <w:jc w:val="both"/>
        <w:rPr>
          <w:rtl/>
        </w:rPr>
      </w:pPr>
      <w:r w:rsidRPr="00E73B45">
        <w:rPr>
          <w:rFonts w:hint="cs"/>
          <w:rtl/>
        </w:rPr>
        <w:t>בין התאריכים 16/05/16 – 26/05/16, וסוכם ביניהם שלאחר ההגעה לברלין חני ואורטל</w:t>
      </w:r>
    </w:p>
    <w:p w14:paraId="577567AE" w14:textId="77777777" w:rsidR="0043337B" w:rsidRPr="00E73B45" w:rsidRDefault="0043337B" w:rsidP="0043337B">
      <w:pPr>
        <w:spacing w:line="360" w:lineRule="auto"/>
        <w:ind w:left="720" w:right="-709"/>
        <w:jc w:val="both"/>
        <w:rPr>
          <w:rtl/>
        </w:rPr>
      </w:pPr>
      <w:r w:rsidRPr="00E73B45">
        <w:rPr>
          <w:rFonts w:hint="cs"/>
          <w:rtl/>
        </w:rPr>
        <w:t>יסעו לאמסטרדם וישהו שם במלון. סמוך לאחר מכן רכש הנאשם כרטיס טיסה נוסף לעצמו</w:t>
      </w:r>
    </w:p>
    <w:p w14:paraId="4E175D72" w14:textId="77777777" w:rsidR="0043337B" w:rsidRPr="00E73B45" w:rsidRDefault="0043337B" w:rsidP="0043337B">
      <w:pPr>
        <w:spacing w:line="360" w:lineRule="auto"/>
        <w:ind w:left="720" w:right="-709"/>
        <w:jc w:val="both"/>
        <w:rPr>
          <w:rtl/>
        </w:rPr>
      </w:pPr>
      <w:r w:rsidRPr="00E73B45">
        <w:rPr>
          <w:rFonts w:hint="cs"/>
          <w:rtl/>
        </w:rPr>
        <w:t xml:space="preserve">באותה טיסה לברלין וחזרה, אולם לאחר מכן שינה את מועד הטיסה חזרה ואת יציאתו </w:t>
      </w:r>
    </w:p>
    <w:p w14:paraId="7168B315" w14:textId="77777777" w:rsidR="0043337B" w:rsidRPr="00E73B45" w:rsidRDefault="0043337B" w:rsidP="0043337B">
      <w:pPr>
        <w:spacing w:line="360" w:lineRule="auto"/>
        <w:ind w:left="720" w:right="-709"/>
        <w:jc w:val="both"/>
        <w:rPr>
          <w:rtl/>
        </w:rPr>
      </w:pPr>
      <w:r w:rsidRPr="00E73B45">
        <w:rPr>
          <w:rFonts w:hint="cs"/>
          <w:rtl/>
        </w:rPr>
        <w:t xml:space="preserve">מאמסטרדם במקום מברלין בתאריך 31.05.16 בסמוך לחזרתה של חני. חני הסיעה את אורטל </w:t>
      </w:r>
    </w:p>
    <w:p w14:paraId="58AB1035" w14:textId="77777777" w:rsidR="0043337B" w:rsidRPr="00E73B45" w:rsidRDefault="0043337B" w:rsidP="0043337B">
      <w:pPr>
        <w:spacing w:line="360" w:lineRule="auto"/>
        <w:ind w:left="720" w:right="-709"/>
        <w:jc w:val="both"/>
        <w:rPr>
          <w:rtl/>
        </w:rPr>
      </w:pPr>
      <w:r w:rsidRPr="00E73B45">
        <w:rPr>
          <w:rFonts w:hint="cs"/>
          <w:rtl/>
        </w:rPr>
        <w:t xml:space="preserve">ואת הנאשם ברכבה מאילת לשדה התעופה, וזאת לאחר שבדרך היא השתמשה בסם מסוכן </w:t>
      </w:r>
    </w:p>
    <w:p w14:paraId="3599AA87" w14:textId="77777777" w:rsidR="0043337B" w:rsidRPr="00E73B45" w:rsidRDefault="0043337B" w:rsidP="0043337B">
      <w:pPr>
        <w:spacing w:line="360" w:lineRule="auto"/>
        <w:ind w:left="720" w:right="-709"/>
        <w:jc w:val="both"/>
        <w:rPr>
          <w:rtl/>
        </w:rPr>
      </w:pPr>
      <w:r w:rsidRPr="00E73B45">
        <w:rPr>
          <w:rFonts w:hint="cs"/>
          <w:rtl/>
        </w:rPr>
        <w:t xml:space="preserve">מסוג קוקאין והמשיכה לנהוג ברכב. </w:t>
      </w:r>
    </w:p>
    <w:p w14:paraId="632FDEBF" w14:textId="77777777" w:rsidR="0043337B" w:rsidRPr="00E73B45" w:rsidRDefault="0043337B" w:rsidP="0043337B">
      <w:pPr>
        <w:spacing w:line="360" w:lineRule="auto"/>
        <w:ind w:left="720" w:right="-709"/>
        <w:jc w:val="both"/>
        <w:rPr>
          <w:rtl/>
        </w:rPr>
      </w:pPr>
      <w:r w:rsidRPr="00E73B45">
        <w:rPr>
          <w:rFonts w:hint="cs"/>
          <w:rtl/>
        </w:rPr>
        <w:t xml:space="preserve">בתאריך 26.05.16 טסו הנאשם, חני ואורטל לברלין ומשם נסעו ברכבת לאמסטרדם, על </w:t>
      </w:r>
    </w:p>
    <w:p w14:paraId="3E814032" w14:textId="77777777" w:rsidR="0043337B" w:rsidRPr="00E73B45" w:rsidRDefault="0043337B" w:rsidP="0043337B">
      <w:pPr>
        <w:spacing w:line="360" w:lineRule="auto"/>
        <w:ind w:left="720" w:right="-709"/>
        <w:jc w:val="both"/>
        <w:rPr>
          <w:rtl/>
        </w:rPr>
      </w:pPr>
      <w:r w:rsidRPr="00E73B45">
        <w:rPr>
          <w:rFonts w:hint="cs"/>
          <w:rtl/>
        </w:rPr>
        <w:lastRenderedPageBreak/>
        <w:t>חשבונו של הנאשם. לאחר הגעתם, התאכסנו חני ואורטל במלון במימונו של הנאשם, אשר נפגש</w:t>
      </w:r>
    </w:p>
    <w:p w14:paraId="7F888CD6" w14:textId="77777777" w:rsidR="0043337B" w:rsidRPr="00E73B45" w:rsidRDefault="0043337B" w:rsidP="0043337B">
      <w:pPr>
        <w:spacing w:line="360" w:lineRule="auto"/>
        <w:ind w:left="720" w:right="-709"/>
        <w:jc w:val="both"/>
        <w:rPr>
          <w:rtl/>
        </w:rPr>
      </w:pPr>
      <w:r w:rsidRPr="00E73B45">
        <w:rPr>
          <w:rFonts w:hint="cs"/>
          <w:rtl/>
        </w:rPr>
        <w:t>איתן באופן תדיר ומימן את הוצאותיהן. בתאריך 28.05.16, יום לפני מועד החזרה לארץ,</w:t>
      </w:r>
    </w:p>
    <w:p w14:paraId="348FE34E" w14:textId="77777777" w:rsidR="0043337B" w:rsidRPr="00E73B45" w:rsidRDefault="0043337B" w:rsidP="0043337B">
      <w:pPr>
        <w:spacing w:line="360" w:lineRule="auto"/>
        <w:ind w:left="720" w:right="-709"/>
        <w:jc w:val="both"/>
        <w:rPr>
          <w:rtl/>
        </w:rPr>
      </w:pPr>
      <w:r w:rsidRPr="00E73B45">
        <w:rPr>
          <w:rFonts w:hint="cs"/>
          <w:rtl/>
        </w:rPr>
        <w:t xml:space="preserve">קיבל הנאשם לרשותו את הסם המסוכן שכלל עשר אריזות סם מסוכן מסוג קוקאין במשקל </w:t>
      </w:r>
    </w:p>
    <w:p w14:paraId="0F100107" w14:textId="77777777" w:rsidR="0043337B" w:rsidRPr="00E73B45" w:rsidRDefault="0043337B" w:rsidP="0043337B">
      <w:pPr>
        <w:spacing w:line="360" w:lineRule="auto"/>
        <w:ind w:left="720" w:right="-709"/>
        <w:jc w:val="both"/>
        <w:rPr>
          <w:rtl/>
        </w:rPr>
      </w:pPr>
      <w:r w:rsidRPr="00E73B45">
        <w:rPr>
          <w:rFonts w:hint="cs"/>
          <w:rtl/>
        </w:rPr>
        <w:t xml:space="preserve">כולל של 7001.51 גרם (להלן: "הסם") והסתירו במזוודה עם תחתית כפולה </w:t>
      </w:r>
    </w:p>
    <w:p w14:paraId="74042D46" w14:textId="77777777" w:rsidR="0043337B" w:rsidRPr="00E73B45" w:rsidRDefault="0043337B" w:rsidP="0043337B">
      <w:pPr>
        <w:spacing w:line="360" w:lineRule="auto"/>
        <w:ind w:left="720" w:right="-709"/>
        <w:jc w:val="both"/>
        <w:rPr>
          <w:rtl/>
        </w:rPr>
      </w:pPr>
      <w:r w:rsidRPr="00E73B45">
        <w:rPr>
          <w:rFonts w:hint="cs"/>
          <w:rtl/>
        </w:rPr>
        <w:t>(להלן:</w:t>
      </w:r>
      <w:r>
        <w:rPr>
          <w:rFonts w:hint="cs"/>
          <w:rtl/>
        </w:rPr>
        <w:t xml:space="preserve"> </w:t>
      </w:r>
      <w:r w:rsidRPr="00E73B45">
        <w:rPr>
          <w:rFonts w:hint="cs"/>
          <w:rtl/>
        </w:rPr>
        <w:t xml:space="preserve">"המזוודה עם הסם"). הנאשם הגיע למלון והשאיר את המזוודה עם הסם בחדר של חני </w:t>
      </w:r>
    </w:p>
    <w:p w14:paraId="5F49DE6C" w14:textId="77777777" w:rsidR="0043337B" w:rsidRPr="00E73B45" w:rsidRDefault="0043337B" w:rsidP="0043337B">
      <w:pPr>
        <w:spacing w:line="360" w:lineRule="auto"/>
        <w:ind w:left="720" w:right="-709"/>
        <w:jc w:val="both"/>
        <w:rPr>
          <w:rtl/>
        </w:rPr>
      </w:pPr>
      <w:r w:rsidRPr="00E73B45">
        <w:rPr>
          <w:rFonts w:hint="cs"/>
          <w:rtl/>
        </w:rPr>
        <w:t>ואורטל. חני הכניסה את חפציה למזוודה עם הסם שקיבלה מהנאשם, וסוכם שהנאשם ייקח</w:t>
      </w:r>
    </w:p>
    <w:p w14:paraId="2FE6C926" w14:textId="77777777" w:rsidR="0043337B" w:rsidRPr="00E73B45" w:rsidRDefault="0043337B" w:rsidP="0043337B">
      <w:pPr>
        <w:spacing w:line="360" w:lineRule="auto"/>
        <w:ind w:left="720" w:right="-709"/>
        <w:jc w:val="both"/>
        <w:rPr>
          <w:rtl/>
        </w:rPr>
      </w:pPr>
      <w:r w:rsidRPr="00E73B45">
        <w:rPr>
          <w:rFonts w:hint="cs"/>
          <w:rtl/>
        </w:rPr>
        <w:t>חזרה את המזוודה עם הסם מחני בישראל עם חזרתו לאילת.</w:t>
      </w:r>
    </w:p>
    <w:p w14:paraId="43BF9092" w14:textId="77777777" w:rsidR="0043337B" w:rsidRPr="00E73B45" w:rsidRDefault="0043337B" w:rsidP="0043337B">
      <w:pPr>
        <w:spacing w:line="360" w:lineRule="auto"/>
        <w:ind w:left="720" w:right="-709"/>
        <w:jc w:val="both"/>
        <w:rPr>
          <w:rtl/>
        </w:rPr>
      </w:pPr>
      <w:r w:rsidRPr="00E73B45">
        <w:rPr>
          <w:rFonts w:hint="cs"/>
          <w:rtl/>
        </w:rPr>
        <w:t xml:space="preserve">בתאריך 29.05.16 עזבה חני את אמסטרדם כשברשותה המזוודה עם הסם, נסעה לברלין </w:t>
      </w:r>
    </w:p>
    <w:p w14:paraId="2719FBBF" w14:textId="77777777" w:rsidR="0043337B" w:rsidRPr="00E73B45" w:rsidRDefault="0043337B" w:rsidP="0043337B">
      <w:pPr>
        <w:spacing w:line="360" w:lineRule="auto"/>
        <w:ind w:left="720" w:right="-709"/>
        <w:jc w:val="both"/>
        <w:rPr>
          <w:rtl/>
        </w:rPr>
      </w:pPr>
      <w:r w:rsidRPr="00E73B45">
        <w:rPr>
          <w:rFonts w:hint="cs"/>
          <w:rtl/>
        </w:rPr>
        <w:t xml:space="preserve">וטסה עם המזוודה לישראל. סמוך לאחר נחיתתה בישראל, היא נעצרה. </w:t>
      </w:r>
    </w:p>
    <w:p w14:paraId="2ADB8589" w14:textId="77777777" w:rsidR="0043337B" w:rsidRPr="00E73B45" w:rsidRDefault="0043337B" w:rsidP="0043337B">
      <w:pPr>
        <w:spacing w:line="360" w:lineRule="auto"/>
        <w:ind w:left="720"/>
        <w:jc w:val="both"/>
        <w:rPr>
          <w:rtl/>
        </w:rPr>
      </w:pPr>
    </w:p>
    <w:p w14:paraId="429EA69F" w14:textId="77777777" w:rsidR="0043337B" w:rsidRPr="00E73B45" w:rsidRDefault="0043337B" w:rsidP="0043337B">
      <w:pPr>
        <w:spacing w:line="360" w:lineRule="auto"/>
        <w:ind w:left="720" w:hanging="720"/>
        <w:jc w:val="both"/>
        <w:rPr>
          <w:rtl/>
        </w:rPr>
      </w:pPr>
      <w:r w:rsidRPr="00E73B45">
        <w:rPr>
          <w:rFonts w:hint="cs"/>
          <w:rtl/>
        </w:rPr>
        <w:t>2.</w:t>
      </w:r>
      <w:r w:rsidRPr="00E73B45">
        <w:rPr>
          <w:rFonts w:hint="cs"/>
          <w:rtl/>
        </w:rPr>
        <w:tab/>
      </w:r>
      <w:bookmarkStart w:id="5" w:name="ABSTRACT_START"/>
      <w:bookmarkEnd w:id="5"/>
      <w:r w:rsidRPr="00E73B45">
        <w:rPr>
          <w:rFonts w:hint="cs"/>
          <w:rtl/>
        </w:rPr>
        <w:t xml:space="preserve">על יסוד הודאת הנאשם בעובדות כתב האישום המתוקן, כאמור, הוא הורשע בעבירה של קשירת קשר לפשע, לפי </w:t>
      </w:r>
      <w:hyperlink r:id="rId10" w:history="1">
        <w:r w:rsidR="00647E78" w:rsidRPr="00647E78">
          <w:rPr>
            <w:color w:val="0000FF"/>
            <w:u w:val="single"/>
            <w:rtl/>
          </w:rPr>
          <w:t>סעיף 499(א)(1)</w:t>
        </w:r>
      </w:hyperlink>
      <w:r w:rsidRPr="00E73B45">
        <w:rPr>
          <w:rFonts w:hint="cs"/>
          <w:rtl/>
        </w:rPr>
        <w:t xml:space="preserve"> ל</w:t>
      </w:r>
      <w:hyperlink r:id="rId11" w:history="1">
        <w:r w:rsidR="00421334" w:rsidRPr="00421334">
          <w:rPr>
            <w:rStyle w:val="Hyperlink"/>
            <w:rFonts w:hint="eastAsia"/>
            <w:rtl/>
          </w:rPr>
          <w:t>חוק</w:t>
        </w:r>
        <w:r w:rsidR="00421334" w:rsidRPr="00421334">
          <w:rPr>
            <w:rStyle w:val="Hyperlink"/>
            <w:rtl/>
          </w:rPr>
          <w:t xml:space="preserve"> העונשין</w:t>
        </w:r>
      </w:hyperlink>
      <w:r w:rsidRPr="00E73B45">
        <w:rPr>
          <w:rFonts w:hint="cs"/>
          <w:rtl/>
        </w:rPr>
        <w:t xml:space="preserve"> תשל"ז-1977, ובעבירה של ייבוא סם מסוכן</w:t>
      </w:r>
      <w:r w:rsidRPr="00E73B45">
        <w:rPr>
          <w:rFonts w:hint="cs"/>
          <w:rtl/>
          <w:lang w:eastAsia="he-IL"/>
        </w:rPr>
        <w:t xml:space="preserve">, לפי </w:t>
      </w:r>
      <w:hyperlink r:id="rId12" w:history="1">
        <w:r w:rsidR="00647E78" w:rsidRPr="00647E78">
          <w:rPr>
            <w:color w:val="0000FF"/>
            <w:u w:val="single"/>
            <w:rtl/>
            <w:lang w:eastAsia="he-IL"/>
          </w:rPr>
          <w:t>סעיף 13</w:t>
        </w:r>
      </w:hyperlink>
      <w:r w:rsidRPr="00E73B45">
        <w:rPr>
          <w:rFonts w:hint="cs"/>
          <w:rtl/>
          <w:lang w:eastAsia="he-IL"/>
        </w:rPr>
        <w:t xml:space="preserve"> ל</w:t>
      </w:r>
      <w:hyperlink r:id="rId13" w:history="1">
        <w:r w:rsidR="00421334" w:rsidRPr="00421334">
          <w:rPr>
            <w:rStyle w:val="Hyperlink"/>
            <w:rFonts w:hint="eastAsia"/>
            <w:rtl/>
            <w:lang w:eastAsia="he-IL"/>
          </w:rPr>
          <w:t>פקודת</w:t>
        </w:r>
        <w:r w:rsidR="00421334" w:rsidRPr="00421334">
          <w:rPr>
            <w:rStyle w:val="Hyperlink"/>
            <w:rtl/>
            <w:lang w:eastAsia="he-IL"/>
          </w:rPr>
          <w:t xml:space="preserve"> הסמים המסוכנים</w:t>
        </w:r>
      </w:hyperlink>
      <w:r w:rsidRPr="00E73B45">
        <w:rPr>
          <w:rFonts w:hint="cs"/>
          <w:rtl/>
          <w:lang w:eastAsia="he-IL"/>
        </w:rPr>
        <w:t xml:space="preserve"> [נוסח חדש] תשל"ג – 1973.</w:t>
      </w:r>
    </w:p>
    <w:p w14:paraId="5B6AF109" w14:textId="77777777" w:rsidR="0043337B" w:rsidRPr="00E73B45" w:rsidRDefault="0043337B" w:rsidP="0043337B">
      <w:pPr>
        <w:spacing w:line="360" w:lineRule="auto"/>
        <w:ind w:left="720"/>
        <w:jc w:val="both"/>
        <w:rPr>
          <w:rtl/>
        </w:rPr>
      </w:pPr>
      <w:bookmarkStart w:id="6" w:name="ABSTRACT_END"/>
      <w:bookmarkEnd w:id="6"/>
      <w:r w:rsidRPr="00E73B45">
        <w:rPr>
          <w:rFonts w:hint="cs"/>
          <w:rtl/>
        </w:rPr>
        <w:t xml:space="preserve"> </w:t>
      </w:r>
    </w:p>
    <w:p w14:paraId="30ADC6DA" w14:textId="77777777" w:rsidR="0043337B" w:rsidRPr="00E73B45" w:rsidRDefault="0043337B" w:rsidP="0043337B">
      <w:pPr>
        <w:spacing w:line="360" w:lineRule="auto"/>
        <w:ind w:left="720" w:hanging="720"/>
        <w:jc w:val="both"/>
        <w:rPr>
          <w:rtl/>
        </w:rPr>
      </w:pPr>
      <w:r w:rsidRPr="00E73B45">
        <w:rPr>
          <w:rFonts w:hint="cs"/>
          <w:rtl/>
        </w:rPr>
        <w:t>3.</w:t>
      </w:r>
      <w:r w:rsidRPr="00E73B45">
        <w:rPr>
          <w:rFonts w:hint="cs"/>
          <w:rtl/>
        </w:rPr>
        <w:tab/>
        <w:t>במסגרת הסדר הטיעון, המליצו הצדדים לבית המשפט להטיל על הנאשם שש שנות מאסר בפועל, קנס בסך 30,000 ₪ ומאסר על תנאי.</w:t>
      </w:r>
    </w:p>
    <w:p w14:paraId="15B27835" w14:textId="77777777" w:rsidR="0043337B" w:rsidRPr="00E73B45" w:rsidRDefault="0043337B" w:rsidP="0043337B">
      <w:pPr>
        <w:spacing w:line="360" w:lineRule="auto"/>
        <w:ind w:left="720"/>
        <w:jc w:val="both"/>
        <w:rPr>
          <w:rtl/>
        </w:rPr>
      </w:pPr>
    </w:p>
    <w:p w14:paraId="7ABA4904" w14:textId="77777777" w:rsidR="0043337B" w:rsidRPr="00E73B45" w:rsidRDefault="0043337B" w:rsidP="0043337B">
      <w:pPr>
        <w:spacing w:line="360" w:lineRule="auto"/>
        <w:ind w:left="720" w:hanging="720"/>
        <w:jc w:val="both"/>
        <w:rPr>
          <w:rtl/>
        </w:rPr>
      </w:pPr>
      <w:r w:rsidRPr="00E73B45">
        <w:rPr>
          <w:rFonts w:hint="cs"/>
          <w:rtl/>
        </w:rPr>
        <w:t>4.</w:t>
      </w:r>
      <w:r w:rsidRPr="00E73B45">
        <w:rPr>
          <w:rFonts w:hint="cs"/>
          <w:rtl/>
        </w:rPr>
        <w:tab/>
        <w:t xml:space="preserve">המאשימה הגישה את המרשם הפלילי של הנאשם. ציינה, כי מדובר בהסדר טיעון שגובש במסגרת גישור. טענה, כי כתב האישום המקורי התבסס בעיקרו על גרסתה של חני, לפיה הנאשם היה הרוח החיה בקשר, הוא שיזם את העסקה, הביא את הסמים ומימן את הוצאותיה ואת הוצאות חברתה. לאחר שהנאשם נעצר, ובמסגרת הליך הגישור, הסתבר שהדברים אינם כפי שהוצגו על ידי חני וכתב האישום תוקן בהתאם. ב"כ המאשימה הדגישה את הקשיים הראייתיים שעמדו בפניה להוכחת המיוחס לנאשם בכתב האישום המקורי, פירטה את עיקרי הדברים והוסיפה כי הנאשם התחייב להעיד במשפטה של חני. ציינה, כי משפטה של חני הסתיים בהסדר טיעון במסגרתו היא נדונה ל- 55 חודשי מאסר בפועל, מאסר על תנאי, קנס בסך 40,000 ₪, ופסילת רישיון נהיגה למשך חצי שנה. טענה, כי הגם שהעונש המוצע נוטה לקולא באופן משמעותי, הרי שבהתחשב בנתונים שהוצגו הוא ראוי ויש לאמצו. אשר לקנס, הסכימה לבקשת הנאשם לשלמו בתשלום אחד עד ליום 01.10.18. </w:t>
      </w:r>
    </w:p>
    <w:p w14:paraId="57900E65" w14:textId="77777777" w:rsidR="0043337B" w:rsidRPr="00E73B45" w:rsidRDefault="0043337B" w:rsidP="0043337B">
      <w:pPr>
        <w:spacing w:line="360" w:lineRule="auto"/>
        <w:ind w:left="720" w:hanging="720"/>
        <w:jc w:val="both"/>
        <w:rPr>
          <w:rtl/>
        </w:rPr>
      </w:pPr>
      <w:r w:rsidRPr="00E73B45">
        <w:rPr>
          <w:rFonts w:hint="cs"/>
          <w:rtl/>
        </w:rPr>
        <w:t>5.</w:t>
      </w:r>
      <w:r w:rsidRPr="00E73B45">
        <w:rPr>
          <w:rFonts w:hint="cs"/>
          <w:rtl/>
        </w:rPr>
        <w:tab/>
        <w:t xml:space="preserve">ב"כ הנאשם הצטרף לדברי ב"כ המאשימה. הוסיף, כי הנאשם נשוי ואב לילדים. הוא נכה בעקבות תאונת דרכים, ועבר הליך שיקום ארוך. </w:t>
      </w:r>
    </w:p>
    <w:p w14:paraId="4C8520EB" w14:textId="77777777" w:rsidR="0043337B" w:rsidRPr="00E73B45" w:rsidRDefault="0043337B" w:rsidP="0043337B">
      <w:pPr>
        <w:spacing w:line="360" w:lineRule="auto"/>
        <w:ind w:left="720" w:hanging="720"/>
        <w:jc w:val="both"/>
        <w:rPr>
          <w:rtl/>
        </w:rPr>
      </w:pPr>
    </w:p>
    <w:p w14:paraId="2A4CA440" w14:textId="77777777" w:rsidR="0043337B" w:rsidRPr="00E73B45" w:rsidRDefault="0043337B" w:rsidP="0043337B">
      <w:pPr>
        <w:spacing w:line="360" w:lineRule="auto"/>
        <w:ind w:left="720" w:hanging="720"/>
        <w:jc w:val="both"/>
        <w:rPr>
          <w:rtl/>
        </w:rPr>
      </w:pPr>
      <w:r w:rsidRPr="00E73B45">
        <w:rPr>
          <w:rFonts w:hint="cs"/>
          <w:rtl/>
        </w:rPr>
        <w:t>6.</w:t>
      </w:r>
      <w:r w:rsidRPr="00E73B45">
        <w:rPr>
          <w:rFonts w:hint="cs"/>
          <w:rtl/>
        </w:rPr>
        <w:tab/>
        <w:t>הנאשם הביע צער על מעשיו.</w:t>
      </w:r>
    </w:p>
    <w:p w14:paraId="5945ECA9" w14:textId="77777777" w:rsidR="0043337B" w:rsidRPr="00E73B45" w:rsidRDefault="0043337B" w:rsidP="0043337B">
      <w:pPr>
        <w:spacing w:line="360" w:lineRule="auto"/>
        <w:ind w:left="720" w:hanging="720"/>
        <w:jc w:val="both"/>
        <w:rPr>
          <w:rtl/>
        </w:rPr>
      </w:pPr>
      <w:r w:rsidRPr="00E73B45">
        <w:rPr>
          <w:rFonts w:hint="cs"/>
          <w:rtl/>
        </w:rPr>
        <w:t xml:space="preserve"> </w:t>
      </w:r>
    </w:p>
    <w:p w14:paraId="6A94FF2F" w14:textId="77777777" w:rsidR="0043337B" w:rsidRPr="00E73B45" w:rsidRDefault="0043337B" w:rsidP="0043337B">
      <w:pPr>
        <w:spacing w:line="360" w:lineRule="auto"/>
        <w:ind w:left="720" w:hanging="720"/>
        <w:jc w:val="both"/>
        <w:rPr>
          <w:rtl/>
          <w:lang w:eastAsia="he-IL"/>
        </w:rPr>
      </w:pPr>
      <w:r w:rsidRPr="00E73B45">
        <w:rPr>
          <w:rFonts w:hint="cs"/>
          <w:rtl/>
        </w:rPr>
        <w:lastRenderedPageBreak/>
        <w:t>7.</w:t>
      </w:r>
      <w:r w:rsidRPr="00E73B45">
        <w:rPr>
          <w:rFonts w:hint="cs"/>
          <w:rtl/>
        </w:rPr>
        <w:tab/>
      </w:r>
      <w:r w:rsidRPr="00E73B45">
        <w:rPr>
          <w:rFonts w:hint="cs"/>
          <w:rtl/>
          <w:lang w:eastAsia="he-IL"/>
        </w:rPr>
        <w:t xml:space="preserve">השימוש בסמים, במיוחד בקשים שבהם, גורם נזקים בריאותיים פיזיים ונפשיים חמורים; גורם לתלות; פוגע בתיפקוד; חושף את הציבור לעבירות רכוש ואלימות הקשורות בצורך להשיג את הסמים; ופוגע במשתמש, בסביבתו, ובחברה בכללה. </w:t>
      </w:r>
    </w:p>
    <w:p w14:paraId="710EAE93" w14:textId="77777777" w:rsidR="0043337B" w:rsidRPr="00E73B45" w:rsidRDefault="0043337B" w:rsidP="0043337B">
      <w:pPr>
        <w:spacing w:line="360" w:lineRule="auto"/>
        <w:ind w:left="720" w:hanging="720"/>
        <w:jc w:val="both"/>
        <w:rPr>
          <w:rtl/>
          <w:lang w:eastAsia="he-IL"/>
        </w:rPr>
      </w:pPr>
    </w:p>
    <w:p w14:paraId="5B4C2AF2" w14:textId="77777777" w:rsidR="0043337B" w:rsidRPr="00E73B45" w:rsidRDefault="0043337B" w:rsidP="0043337B">
      <w:pPr>
        <w:spacing w:line="360" w:lineRule="auto"/>
        <w:ind w:left="720" w:hanging="720"/>
        <w:jc w:val="both"/>
        <w:rPr>
          <w:rtl/>
          <w:lang w:eastAsia="he-IL"/>
        </w:rPr>
      </w:pPr>
      <w:r w:rsidRPr="00E73B45">
        <w:rPr>
          <w:rFonts w:hint="cs"/>
          <w:rtl/>
          <w:lang w:eastAsia="he-IL"/>
        </w:rPr>
        <w:t>8.</w:t>
      </w:r>
      <w:r w:rsidRPr="00E73B45">
        <w:rPr>
          <w:rFonts w:hint="cs"/>
          <w:rtl/>
          <w:lang w:eastAsia="he-IL"/>
        </w:rPr>
        <w:tab/>
      </w:r>
      <w:r w:rsidRPr="00E73B45">
        <w:rPr>
          <w:rFonts w:hint="cs"/>
          <w:b/>
          <w:rtl/>
          <w:lang w:eastAsia="he-IL"/>
        </w:rPr>
        <w:t xml:space="preserve">לסם הקוקאין נודעת השפעה הרסנית במיוחד, על גופו ועל נפשו של המשתמש. </w:t>
      </w:r>
    </w:p>
    <w:p w14:paraId="14187556" w14:textId="77777777" w:rsidR="0043337B" w:rsidRPr="00E73B45" w:rsidRDefault="0043337B" w:rsidP="0043337B">
      <w:pPr>
        <w:ind w:left="720"/>
        <w:jc w:val="both"/>
        <w:rPr>
          <w:b/>
          <w:lang w:eastAsia="he-IL"/>
        </w:rPr>
      </w:pPr>
    </w:p>
    <w:p w14:paraId="095A1B8B" w14:textId="77777777" w:rsidR="0043337B" w:rsidRPr="00E73B45" w:rsidRDefault="0043337B" w:rsidP="0043337B">
      <w:pPr>
        <w:spacing w:line="360" w:lineRule="auto"/>
        <w:ind w:left="1440"/>
        <w:jc w:val="both"/>
        <w:rPr>
          <w:b/>
          <w:rtl/>
          <w:lang w:eastAsia="he-IL"/>
        </w:rPr>
      </w:pPr>
      <w:r w:rsidRPr="00E73B45">
        <w:rPr>
          <w:rFonts w:hint="cs"/>
          <w:b/>
          <w:rtl/>
          <w:lang w:eastAsia="he-IL"/>
        </w:rPr>
        <w:t xml:space="preserve">"הקוקאין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 לקוקאין ולקראק השפעות מהירות על פעילות המוח והתנהגות המשתמש: ערעור מערכת העצבים המרכזית, ערנות יתר עד לכדי עצבנות וחוסר שקט נפשי, לתחושה של יכולת פיסית מוגברת. </w:t>
      </w:r>
    </w:p>
    <w:p w14:paraId="60DF58EB" w14:textId="77777777" w:rsidR="0043337B" w:rsidRPr="00E73B45" w:rsidRDefault="0043337B" w:rsidP="0043337B">
      <w:pPr>
        <w:spacing w:line="360" w:lineRule="auto"/>
        <w:ind w:left="1440"/>
        <w:jc w:val="both"/>
        <w:rPr>
          <w:b/>
          <w:rtl/>
          <w:lang w:eastAsia="he-IL"/>
        </w:rPr>
      </w:pPr>
      <w:r w:rsidRPr="00E73B45">
        <w:rPr>
          <w:rFonts w:hint="cs"/>
          <w:b/>
          <w:rtl/>
          <w:lang w:eastAsia="he-IL"/>
        </w:rPr>
        <w:t>משתמשים בקוקאין נוטים להגדיל את המנה שהם צורכים. תופעות כמו כאבי ראש, רעד, עוויתות, תוקפנות, חרדה ופחד הולכות ומתגברות עקב הגדלה תדירה של מנות הסם...". (</w:t>
      </w:r>
      <w:hyperlink r:id="rId14" w:history="1">
        <w:r w:rsidR="00421334" w:rsidRPr="00421334">
          <w:rPr>
            <w:rStyle w:val="Hyperlink"/>
            <w:rFonts w:hint="eastAsia"/>
            <w:b/>
            <w:rtl/>
            <w:lang w:eastAsia="he-IL"/>
          </w:rPr>
          <w:t>ע</w:t>
        </w:r>
        <w:r w:rsidR="00421334" w:rsidRPr="00421334">
          <w:rPr>
            <w:rStyle w:val="Hyperlink"/>
            <w:b/>
            <w:rtl/>
            <w:lang w:eastAsia="he-IL"/>
          </w:rPr>
          <w:t>"פ6029/03 מדינת ישראל נ' גולן שמאי, פ"ד נח</w:t>
        </w:r>
      </w:hyperlink>
      <w:r w:rsidRPr="00E73B45">
        <w:rPr>
          <w:rFonts w:hint="cs"/>
          <w:b/>
          <w:rtl/>
          <w:lang w:eastAsia="he-IL"/>
        </w:rPr>
        <w:t>(2), 734 בעמ' 739)</w:t>
      </w:r>
    </w:p>
    <w:p w14:paraId="73631CC3" w14:textId="77777777" w:rsidR="0043337B" w:rsidRPr="00E73B45" w:rsidRDefault="0043337B" w:rsidP="0043337B">
      <w:pPr>
        <w:spacing w:line="360" w:lineRule="auto"/>
        <w:ind w:left="1440"/>
        <w:jc w:val="both"/>
        <w:rPr>
          <w:b/>
          <w:rtl/>
          <w:lang w:eastAsia="he-IL"/>
        </w:rPr>
      </w:pPr>
    </w:p>
    <w:p w14:paraId="3C536C89" w14:textId="77777777" w:rsidR="0043337B" w:rsidRPr="00E73B45" w:rsidRDefault="0043337B" w:rsidP="0043337B">
      <w:pPr>
        <w:spacing w:line="360" w:lineRule="auto"/>
        <w:ind w:left="720" w:hanging="720"/>
        <w:jc w:val="both"/>
        <w:rPr>
          <w:rtl/>
          <w:lang w:eastAsia="he-IL"/>
        </w:rPr>
      </w:pPr>
      <w:r w:rsidRPr="00E73B45">
        <w:rPr>
          <w:rFonts w:hint="cs"/>
          <w:rtl/>
          <w:lang w:eastAsia="he-IL"/>
        </w:rPr>
        <w:t>9.</w:t>
      </w:r>
      <w:r w:rsidRPr="00E73B45">
        <w:rPr>
          <w:rFonts w:hint="cs"/>
          <w:rtl/>
          <w:lang w:eastAsia="he-IL"/>
        </w:rPr>
        <w:tab/>
        <w:t>בישראל, כמו ברוב מדינות העולם, אין ייצור מקומי של סמים. הם מגיעים אליה ממדינות אחרות. ייבוא סמים, הוא אבי אבות הפשיעה בעבירות הסמים. הוא גורם לכך שכמות סמים נוספת, שלא היתה בנמצא קודם לכן, תיכנס למדינה. והוא הצעד הראשון, המניע תהליכים שבסופם מגיע הסם אל המשתמש.</w:t>
      </w:r>
    </w:p>
    <w:p w14:paraId="67779BCF" w14:textId="77777777" w:rsidR="0043337B" w:rsidRPr="00E73B45" w:rsidRDefault="0043337B" w:rsidP="0043337B">
      <w:pPr>
        <w:spacing w:line="360" w:lineRule="auto"/>
        <w:ind w:left="720" w:hanging="720"/>
        <w:jc w:val="both"/>
        <w:rPr>
          <w:rtl/>
        </w:rPr>
      </w:pPr>
    </w:p>
    <w:p w14:paraId="72A13E72" w14:textId="77777777" w:rsidR="0043337B" w:rsidRPr="00E73B45" w:rsidRDefault="0043337B" w:rsidP="0043337B">
      <w:pPr>
        <w:spacing w:line="360" w:lineRule="auto"/>
        <w:ind w:left="720" w:hanging="720"/>
        <w:jc w:val="both"/>
        <w:rPr>
          <w:rtl/>
          <w:lang w:eastAsia="he-IL"/>
        </w:rPr>
      </w:pPr>
    </w:p>
    <w:p w14:paraId="2EE58AFC" w14:textId="77777777" w:rsidR="0043337B" w:rsidRPr="00E73B45" w:rsidRDefault="0043337B" w:rsidP="0043337B">
      <w:pPr>
        <w:spacing w:line="360" w:lineRule="auto"/>
        <w:ind w:left="720" w:hanging="720"/>
        <w:jc w:val="both"/>
        <w:rPr>
          <w:rtl/>
          <w:lang w:eastAsia="he-IL"/>
        </w:rPr>
      </w:pPr>
      <w:r w:rsidRPr="00E73B45">
        <w:rPr>
          <w:rFonts w:hint="cs"/>
          <w:rtl/>
          <w:lang w:eastAsia="he-IL"/>
        </w:rPr>
        <w:t>10.</w:t>
      </w:r>
      <w:r w:rsidRPr="00E73B45">
        <w:rPr>
          <w:rFonts w:hint="cs"/>
          <w:rtl/>
          <w:lang w:eastAsia="he-IL"/>
        </w:rPr>
        <w:tab/>
        <w:t xml:space="preserve">ייבוא 7 ק"ג קוקאין לישראל, הינו מעשה חמור ביותר, שפוטנציאל הפגיעה שלו בחברה גבוה מאוד. </w:t>
      </w:r>
    </w:p>
    <w:p w14:paraId="3711AADB" w14:textId="77777777" w:rsidR="0043337B" w:rsidRPr="00E73B45" w:rsidRDefault="0043337B" w:rsidP="0043337B">
      <w:pPr>
        <w:spacing w:line="360" w:lineRule="auto"/>
        <w:ind w:left="720" w:hanging="720"/>
        <w:jc w:val="both"/>
        <w:rPr>
          <w:rtl/>
          <w:lang w:eastAsia="he-IL"/>
        </w:rPr>
      </w:pPr>
    </w:p>
    <w:p w14:paraId="3BD46E13" w14:textId="77777777" w:rsidR="0043337B" w:rsidRPr="00E73B45" w:rsidRDefault="0043337B" w:rsidP="0043337B">
      <w:pPr>
        <w:spacing w:line="360" w:lineRule="auto"/>
        <w:ind w:left="720" w:hanging="720"/>
        <w:jc w:val="both"/>
        <w:rPr>
          <w:rtl/>
          <w:lang w:eastAsia="he-IL"/>
        </w:rPr>
      </w:pPr>
      <w:r w:rsidRPr="00E73B45">
        <w:rPr>
          <w:rFonts w:hint="cs"/>
          <w:rtl/>
          <w:lang w:eastAsia="he-IL"/>
        </w:rPr>
        <w:t>11.</w:t>
      </w:r>
      <w:r w:rsidRPr="00E73B45">
        <w:rPr>
          <w:rFonts w:hint="cs"/>
          <w:rtl/>
          <w:lang w:eastAsia="he-IL"/>
        </w:rPr>
        <w:tab/>
        <w:t xml:space="preserve">לחובת הנאשם, הרשעות קודמות בעבירות רכוש ואלימות. </w:t>
      </w:r>
    </w:p>
    <w:p w14:paraId="5F8F9290" w14:textId="77777777" w:rsidR="0043337B" w:rsidRPr="00E73B45" w:rsidRDefault="0043337B" w:rsidP="0043337B">
      <w:pPr>
        <w:spacing w:line="360" w:lineRule="auto"/>
        <w:ind w:left="720" w:hanging="720"/>
        <w:jc w:val="both"/>
        <w:rPr>
          <w:rtl/>
          <w:lang w:eastAsia="he-IL"/>
        </w:rPr>
      </w:pPr>
      <w:r w:rsidRPr="00E73B45">
        <w:rPr>
          <w:rFonts w:hint="cs"/>
          <w:rtl/>
          <w:lang w:eastAsia="he-IL"/>
        </w:rPr>
        <w:t xml:space="preserve"> </w:t>
      </w:r>
    </w:p>
    <w:p w14:paraId="21F678FA" w14:textId="77777777" w:rsidR="0043337B" w:rsidRPr="00E73B45" w:rsidRDefault="0043337B" w:rsidP="0043337B">
      <w:pPr>
        <w:spacing w:line="360" w:lineRule="auto"/>
        <w:ind w:left="720" w:hanging="720"/>
        <w:jc w:val="both"/>
        <w:rPr>
          <w:rtl/>
        </w:rPr>
      </w:pPr>
      <w:r w:rsidRPr="00E73B45">
        <w:rPr>
          <w:rFonts w:hint="cs"/>
          <w:rtl/>
          <w:lang w:eastAsia="he-IL"/>
        </w:rPr>
        <w:t>12.</w:t>
      </w:r>
      <w:r w:rsidRPr="00E73B45">
        <w:rPr>
          <w:rFonts w:hint="cs"/>
          <w:rtl/>
          <w:lang w:eastAsia="he-IL"/>
        </w:rPr>
        <w:tab/>
        <w:t>ברגיל, העונש הראוי על מעשה הנאשם כשלעצמו, גבוה מהעונש המוצע בהסדר הטיעון, אולם לאחר ששקלתי את הדברים</w:t>
      </w:r>
      <w:r w:rsidRPr="00E73B45">
        <w:rPr>
          <w:rFonts w:hint="cs"/>
          <w:rtl/>
        </w:rPr>
        <w:t>, באתי למסקנה כי יש לכבד את הסדר הטיעון:</w:t>
      </w:r>
    </w:p>
    <w:p w14:paraId="078BE06C" w14:textId="77777777" w:rsidR="0043337B" w:rsidRPr="00E73B45" w:rsidRDefault="0043337B" w:rsidP="0043337B">
      <w:pPr>
        <w:spacing w:line="360" w:lineRule="auto"/>
        <w:ind w:left="1440" w:hanging="720"/>
        <w:jc w:val="both"/>
        <w:rPr>
          <w:b/>
          <w:rtl/>
          <w:lang w:eastAsia="he-IL"/>
        </w:rPr>
      </w:pPr>
    </w:p>
    <w:p w14:paraId="1C2D3B4B" w14:textId="77777777" w:rsidR="0043337B" w:rsidRPr="00E73B45" w:rsidRDefault="0043337B" w:rsidP="0043337B">
      <w:pPr>
        <w:spacing w:line="360" w:lineRule="auto"/>
        <w:ind w:left="1440" w:hanging="720"/>
        <w:jc w:val="both"/>
        <w:rPr>
          <w:b/>
          <w:rtl/>
          <w:lang w:eastAsia="he-IL"/>
        </w:rPr>
      </w:pPr>
      <w:r w:rsidRPr="00E73B45">
        <w:rPr>
          <w:rFonts w:hint="cs"/>
          <w:b/>
          <w:rtl/>
          <w:lang w:eastAsia="he-IL"/>
        </w:rPr>
        <w:t>א.</w:t>
      </w:r>
      <w:r w:rsidRPr="00E73B45">
        <w:rPr>
          <w:rFonts w:hint="cs"/>
          <w:b/>
          <w:rtl/>
          <w:lang w:eastAsia="he-IL"/>
        </w:rPr>
        <w:tab/>
        <w:t xml:space="preserve">"הסדר טיעון </w:t>
      </w:r>
      <w:r w:rsidRPr="00E73B45">
        <w:rPr>
          <w:rFonts w:hint="cs"/>
          <w:rtl/>
          <w:lang w:eastAsia="he-IL"/>
        </w:rPr>
        <w:t>– באשר הוא – אינו רק שיקול אחד ככל יתר השיקולים העומדים בפני בית</w:t>
      </w:r>
      <w:r w:rsidRPr="00E73B45">
        <w:rPr>
          <w:rFonts w:hint="cs"/>
          <w:vertAlign w:val="superscript"/>
          <w:rtl/>
          <w:lang w:eastAsia="he-IL"/>
        </w:rPr>
        <w:t>-</w:t>
      </w:r>
      <w:r w:rsidRPr="00E73B45">
        <w:rPr>
          <w:rFonts w:hint="cs"/>
          <w:rtl/>
          <w:lang w:eastAsia="he-I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sidRPr="00E73B45">
        <w:rPr>
          <w:rFonts w:hint="cs"/>
          <w:vertAlign w:val="superscript"/>
          <w:rtl/>
          <w:lang w:eastAsia="he-IL"/>
        </w:rPr>
        <w:t>-</w:t>
      </w:r>
      <w:r w:rsidRPr="00E73B45">
        <w:rPr>
          <w:rFonts w:hint="cs"/>
          <w:rtl/>
          <w:lang w:eastAsia="he-I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sidRPr="00E73B45">
        <w:rPr>
          <w:rFonts w:hint="cs"/>
          <w:vertAlign w:val="superscript"/>
          <w:rtl/>
          <w:lang w:eastAsia="he-IL"/>
        </w:rPr>
        <w:t>-</w:t>
      </w:r>
      <w:r w:rsidRPr="00E73B45">
        <w:rPr>
          <w:rFonts w:hint="cs"/>
          <w:rtl/>
          <w:lang w:eastAsia="he-IL"/>
        </w:rPr>
        <w:t xml:space="preserve">המשפט יראה לקיים את הסדר הטיעון בשל הטעמים הקשורים בחשיבותם ובמעמדם של הסדרי הטיעון". - </w:t>
      </w:r>
      <w:r w:rsidRPr="00E73B45">
        <w:rPr>
          <w:rFonts w:ascii="FrankRuehl" w:hAnsi="FrankRuehl" w:hint="cs"/>
          <w:color w:val="000000"/>
          <w:rtl/>
          <w:lang w:eastAsia="he-IL"/>
        </w:rPr>
        <w:t>ע"פ 1958/98‏ פלוני נ' מדינת ישראל, פ''ד נז(1) 577</w:t>
      </w:r>
      <w:r w:rsidRPr="00E73B45">
        <w:rPr>
          <w:rFonts w:hint="cs"/>
          <w:b/>
          <w:rtl/>
          <w:lang w:eastAsia="he-IL"/>
        </w:rPr>
        <w:t xml:space="preserve"> </w:t>
      </w:r>
    </w:p>
    <w:p w14:paraId="0E487E98" w14:textId="77777777" w:rsidR="0043337B" w:rsidRPr="00E73B45" w:rsidRDefault="0043337B" w:rsidP="0043337B">
      <w:pPr>
        <w:spacing w:line="360" w:lineRule="auto"/>
        <w:ind w:left="1440" w:hanging="720"/>
        <w:jc w:val="both"/>
        <w:rPr>
          <w:b/>
          <w:rtl/>
          <w:lang w:eastAsia="he-IL"/>
        </w:rPr>
      </w:pPr>
    </w:p>
    <w:p w14:paraId="0E2D589A" w14:textId="77777777" w:rsidR="0043337B" w:rsidRPr="00E73B45" w:rsidRDefault="0043337B" w:rsidP="0043337B">
      <w:pPr>
        <w:spacing w:line="360" w:lineRule="auto"/>
        <w:ind w:left="1440" w:hanging="720"/>
        <w:jc w:val="both"/>
        <w:rPr>
          <w:b/>
          <w:rtl/>
          <w:lang w:eastAsia="he-IL"/>
        </w:rPr>
      </w:pPr>
      <w:r w:rsidRPr="00E73B45">
        <w:rPr>
          <w:rFonts w:hint="cs"/>
          <w:b/>
          <w:rtl/>
          <w:lang w:eastAsia="he-IL"/>
        </w:rPr>
        <w:t>ב.</w:t>
      </w:r>
      <w:r w:rsidRPr="00E73B45">
        <w:rPr>
          <w:rFonts w:hint="cs"/>
          <w:b/>
          <w:rtl/>
          <w:lang w:eastAsia="he-IL"/>
        </w:rPr>
        <w:tab/>
        <w:t xml:space="preserve">הסדר הטיעון נעוץ בעיקר בקושי ממשי של התביעה להוכיח את שייחסה לנאשם בכתב האישום, ובהערכת התביעה כי ללא הודאת הנאשם יקשה עליה להביא להרשעתו ולענישתו. בהתחשב בהסברי התביעה בעניין זה שוכנעתי ששיקול התביעה היה ענייני וראוי. </w:t>
      </w:r>
    </w:p>
    <w:p w14:paraId="7CACB514" w14:textId="77777777" w:rsidR="0043337B" w:rsidRPr="00E73B45" w:rsidRDefault="0043337B" w:rsidP="0043337B">
      <w:pPr>
        <w:spacing w:line="360" w:lineRule="auto"/>
        <w:ind w:left="1440" w:hanging="720"/>
        <w:jc w:val="both"/>
        <w:rPr>
          <w:b/>
          <w:rtl/>
          <w:lang w:eastAsia="he-IL"/>
        </w:rPr>
      </w:pPr>
    </w:p>
    <w:p w14:paraId="08ABB5C2" w14:textId="77777777" w:rsidR="0043337B" w:rsidRPr="00E73B45" w:rsidRDefault="0043337B" w:rsidP="0043337B">
      <w:pPr>
        <w:spacing w:line="360" w:lineRule="auto"/>
        <w:ind w:left="1440" w:hanging="720"/>
        <w:jc w:val="both"/>
        <w:rPr>
          <w:b/>
          <w:rtl/>
          <w:lang w:eastAsia="he-IL"/>
        </w:rPr>
      </w:pPr>
      <w:r w:rsidRPr="00E73B45">
        <w:rPr>
          <w:rFonts w:hint="cs"/>
          <w:b/>
          <w:rtl/>
          <w:lang w:eastAsia="he-IL"/>
        </w:rPr>
        <w:t>ג.</w:t>
      </w:r>
      <w:r w:rsidRPr="00E73B45">
        <w:rPr>
          <w:rFonts w:hint="cs"/>
          <w:b/>
          <w:rtl/>
          <w:lang w:eastAsia="he-IL"/>
        </w:rPr>
        <w:tab/>
        <w:t xml:space="preserve">הנאשם הודה בעובדות כתב האישום המתוקן והורשע בהתאם להודאתו, תוך ויתור על זכותו לנהל את ההליך עד תומו, כחלק מהסדר טיעון שבגדרו המליצו הצדדים לבית המשפט להטיל עליו עונש מסוים, ומתוך ציפיה סבירה שבית המשפט יכבד את המלצתם. </w:t>
      </w:r>
    </w:p>
    <w:p w14:paraId="3E687FC2" w14:textId="77777777" w:rsidR="0043337B" w:rsidRPr="00E73B45" w:rsidRDefault="0043337B" w:rsidP="0043337B">
      <w:pPr>
        <w:spacing w:line="360" w:lineRule="auto"/>
        <w:ind w:left="1440" w:hanging="720"/>
        <w:jc w:val="both"/>
        <w:rPr>
          <w:b/>
          <w:rtl/>
          <w:lang w:eastAsia="he-IL"/>
        </w:rPr>
      </w:pPr>
    </w:p>
    <w:p w14:paraId="49FA1CBA" w14:textId="77777777" w:rsidR="0043337B" w:rsidRPr="00E73B45" w:rsidRDefault="0043337B" w:rsidP="0043337B">
      <w:pPr>
        <w:spacing w:line="360" w:lineRule="auto"/>
        <w:ind w:left="1440" w:hanging="720"/>
        <w:jc w:val="both"/>
        <w:rPr>
          <w:rFonts w:ascii="FrankRuehl" w:hAnsi="FrankRuehl"/>
          <w:color w:val="000000"/>
          <w:rtl/>
          <w:lang w:eastAsia="he-IL"/>
        </w:rPr>
      </w:pPr>
      <w:r w:rsidRPr="00E73B45">
        <w:rPr>
          <w:rFonts w:ascii="FrankRuehl" w:hAnsi="FrankRuehl" w:hint="cs"/>
          <w:color w:val="000000"/>
          <w:rtl/>
          <w:lang w:eastAsia="he-IL"/>
        </w:rPr>
        <w:t>ד.</w:t>
      </w:r>
      <w:r w:rsidRPr="00E73B45">
        <w:rPr>
          <w:rFonts w:ascii="FrankRuehl" w:hAnsi="FrankRuehl" w:hint="cs"/>
          <w:color w:val="000000"/>
          <w:rtl/>
          <w:lang w:eastAsia="he-IL"/>
        </w:rPr>
        <w:tab/>
        <w:t>הודאת הנאשם חסכה זמן שיפוט ומשאבים של הגורמים המעורבים במשפט.</w:t>
      </w:r>
    </w:p>
    <w:p w14:paraId="1B2CF0F3" w14:textId="77777777" w:rsidR="0043337B" w:rsidRPr="00E73B45" w:rsidRDefault="0043337B" w:rsidP="0043337B">
      <w:pPr>
        <w:spacing w:line="360" w:lineRule="auto"/>
        <w:ind w:left="1440" w:hanging="720"/>
        <w:jc w:val="both"/>
        <w:rPr>
          <w:rFonts w:ascii="FrankRuehl" w:hAnsi="FrankRuehl"/>
          <w:color w:val="000000"/>
          <w:rtl/>
          <w:lang w:eastAsia="he-IL"/>
        </w:rPr>
      </w:pPr>
    </w:p>
    <w:p w14:paraId="26246AE7" w14:textId="77777777" w:rsidR="0043337B" w:rsidRPr="00E73B45" w:rsidRDefault="0043337B" w:rsidP="0043337B">
      <w:pPr>
        <w:spacing w:line="360" w:lineRule="auto"/>
        <w:ind w:left="1440" w:hanging="720"/>
        <w:jc w:val="both"/>
        <w:rPr>
          <w:rFonts w:ascii="FrankRuehl" w:hAnsi="FrankRuehl"/>
          <w:color w:val="000000"/>
          <w:rtl/>
          <w:lang w:eastAsia="he-IL"/>
        </w:rPr>
      </w:pPr>
      <w:r w:rsidRPr="00E73B45">
        <w:rPr>
          <w:rFonts w:ascii="FrankRuehl" w:hAnsi="FrankRuehl" w:hint="cs"/>
          <w:color w:val="000000"/>
          <w:rtl/>
          <w:lang w:eastAsia="he-IL"/>
        </w:rPr>
        <w:t>ה.</w:t>
      </w:r>
      <w:r w:rsidRPr="00E73B45">
        <w:rPr>
          <w:rFonts w:ascii="FrankRuehl" w:hAnsi="FrankRuehl" w:hint="cs"/>
          <w:color w:val="000000"/>
          <w:rtl/>
          <w:lang w:eastAsia="he-IL"/>
        </w:rPr>
        <w:tab/>
        <w:t xml:space="preserve">שותפתו של הנאשם לייבוא הסם, שמעשיה דומים בקוויהם הכלליים למעשי הנאשם, נדונה במסגרת הסדר טיעון לעונש מאסר של 55 חודשים. </w:t>
      </w:r>
    </w:p>
    <w:p w14:paraId="5E25E47A" w14:textId="77777777" w:rsidR="0043337B" w:rsidRPr="00E73B45" w:rsidRDefault="0043337B" w:rsidP="0043337B">
      <w:pPr>
        <w:spacing w:line="360" w:lineRule="auto"/>
        <w:ind w:left="1440" w:hanging="720"/>
        <w:jc w:val="both"/>
        <w:rPr>
          <w:rFonts w:ascii="FrankRuehl" w:hAnsi="FrankRuehl"/>
          <w:color w:val="000000"/>
          <w:rtl/>
          <w:lang w:eastAsia="he-IL"/>
        </w:rPr>
      </w:pPr>
    </w:p>
    <w:p w14:paraId="6EBAFDE0" w14:textId="77777777" w:rsidR="0043337B" w:rsidRPr="00E73B45" w:rsidRDefault="0043337B" w:rsidP="0043337B">
      <w:pPr>
        <w:spacing w:line="360" w:lineRule="auto"/>
        <w:ind w:left="1440" w:hanging="720"/>
        <w:jc w:val="both"/>
        <w:rPr>
          <w:rFonts w:ascii="FrankRuehl" w:hAnsi="FrankRuehl"/>
          <w:color w:val="000000"/>
          <w:rtl/>
          <w:lang w:eastAsia="he-IL"/>
        </w:rPr>
      </w:pPr>
      <w:r w:rsidRPr="00E73B45">
        <w:rPr>
          <w:rFonts w:ascii="FrankRuehl" w:hAnsi="FrankRuehl" w:hint="cs"/>
          <w:color w:val="000000"/>
          <w:rtl/>
          <w:lang w:eastAsia="he-IL"/>
        </w:rPr>
        <w:t xml:space="preserve"> ו.</w:t>
      </w:r>
      <w:r w:rsidRPr="00E73B45">
        <w:rPr>
          <w:rFonts w:ascii="FrankRuehl" w:hAnsi="FrankRuehl" w:hint="cs"/>
          <w:color w:val="000000"/>
          <w:rtl/>
          <w:lang w:eastAsia="he-IL"/>
        </w:rPr>
        <w:tab/>
        <w:t xml:space="preserve">עונש המאסר המומלץ הוא לתקופה משמעותית, ובהתחשב בתמונת הדברים הכוללת, הוא מאזן נכונה בין האינטרסים השונים והוא סביר. </w:t>
      </w:r>
    </w:p>
    <w:p w14:paraId="16AA6740" w14:textId="77777777" w:rsidR="0043337B" w:rsidRPr="00E73B45" w:rsidRDefault="0043337B" w:rsidP="0043337B">
      <w:pPr>
        <w:spacing w:line="360" w:lineRule="auto"/>
        <w:ind w:left="1440" w:hanging="720"/>
        <w:jc w:val="both"/>
        <w:rPr>
          <w:rFonts w:ascii="FrankRuehl" w:hAnsi="FrankRuehl"/>
          <w:color w:val="000000"/>
          <w:rtl/>
          <w:lang w:eastAsia="he-IL"/>
        </w:rPr>
      </w:pPr>
    </w:p>
    <w:p w14:paraId="2247B2E1" w14:textId="77777777" w:rsidR="0043337B" w:rsidRDefault="0043337B" w:rsidP="0043337B">
      <w:pPr>
        <w:spacing w:line="360" w:lineRule="auto"/>
        <w:ind w:left="720" w:hanging="720"/>
        <w:jc w:val="both"/>
        <w:rPr>
          <w:rFonts w:ascii="FrankRuehl" w:hAnsi="FrankRuehl"/>
          <w:color w:val="000000"/>
          <w:rtl/>
          <w:lang w:eastAsia="he-IL"/>
        </w:rPr>
      </w:pPr>
      <w:r w:rsidRPr="00E73B45">
        <w:rPr>
          <w:rFonts w:hint="cs"/>
          <w:rtl/>
          <w:lang w:eastAsia="he-IL"/>
        </w:rPr>
        <w:t>13.</w:t>
      </w:r>
      <w:r w:rsidRPr="00E73B45">
        <w:rPr>
          <w:rFonts w:hint="cs"/>
          <w:rtl/>
          <w:lang w:eastAsia="he-IL"/>
        </w:rPr>
        <w:tab/>
        <w:t xml:space="preserve">נוכח כל </w:t>
      </w:r>
      <w:r w:rsidRPr="00E73B45">
        <w:rPr>
          <w:rFonts w:ascii="FrankRuehl" w:hAnsi="FrankRuehl" w:hint="cs"/>
          <w:color w:val="000000"/>
          <w:rtl/>
          <w:lang w:eastAsia="he-IL"/>
        </w:rPr>
        <w:t>האמור, אני דן את הנאשם לעונשים הבאים:</w:t>
      </w:r>
    </w:p>
    <w:p w14:paraId="33A63728" w14:textId="77777777" w:rsidR="0043337B" w:rsidRPr="00E73B45" w:rsidRDefault="0043337B" w:rsidP="0043337B">
      <w:pPr>
        <w:spacing w:line="360" w:lineRule="auto"/>
        <w:ind w:left="720" w:hanging="720"/>
        <w:jc w:val="both"/>
        <w:rPr>
          <w:rtl/>
          <w:lang w:eastAsia="he-IL"/>
        </w:rPr>
      </w:pPr>
    </w:p>
    <w:p w14:paraId="0A9ED612" w14:textId="77777777" w:rsidR="0043337B" w:rsidRPr="00E73B45" w:rsidRDefault="0043337B" w:rsidP="0043337B">
      <w:pPr>
        <w:spacing w:line="360" w:lineRule="auto"/>
        <w:ind w:left="720"/>
        <w:jc w:val="both"/>
        <w:rPr>
          <w:rFonts w:ascii="FrankRuehl" w:hAnsi="FrankRuehl"/>
          <w:color w:val="000000"/>
          <w:rtl/>
          <w:lang w:eastAsia="he-IL"/>
        </w:rPr>
      </w:pPr>
      <w:r w:rsidRPr="00E73B45">
        <w:rPr>
          <w:rFonts w:ascii="FrankRuehl" w:hAnsi="FrankRuehl" w:hint="cs"/>
          <w:color w:val="000000"/>
          <w:rtl/>
          <w:lang w:eastAsia="he-IL"/>
        </w:rPr>
        <w:t>א.</w:t>
      </w:r>
      <w:r w:rsidRPr="00E73B45">
        <w:rPr>
          <w:rFonts w:ascii="FrankRuehl" w:hAnsi="FrankRuehl" w:hint="cs"/>
          <w:color w:val="000000"/>
          <w:rtl/>
          <w:lang w:eastAsia="he-IL"/>
        </w:rPr>
        <w:tab/>
        <w:t xml:space="preserve">שש שנות מאסר בפועל, מיום מעצרו. </w:t>
      </w:r>
    </w:p>
    <w:p w14:paraId="0A873088" w14:textId="77777777" w:rsidR="0043337B" w:rsidRPr="00E73B45" w:rsidRDefault="0043337B" w:rsidP="0043337B">
      <w:pPr>
        <w:spacing w:line="360" w:lineRule="auto"/>
        <w:ind w:left="720"/>
        <w:jc w:val="both"/>
        <w:rPr>
          <w:rFonts w:ascii="FrankRuehl" w:hAnsi="FrankRuehl"/>
          <w:color w:val="000000"/>
          <w:rtl/>
          <w:lang w:eastAsia="he-IL"/>
        </w:rPr>
      </w:pPr>
    </w:p>
    <w:p w14:paraId="7F5D8986" w14:textId="77777777" w:rsidR="0043337B" w:rsidRPr="00E73B45" w:rsidRDefault="0043337B" w:rsidP="0043337B">
      <w:pPr>
        <w:spacing w:line="360" w:lineRule="auto"/>
        <w:ind w:left="1440" w:hanging="720"/>
        <w:jc w:val="both"/>
        <w:rPr>
          <w:rFonts w:ascii="FrankRuehl" w:hAnsi="FrankRuehl"/>
          <w:color w:val="000000"/>
          <w:rtl/>
          <w:lang w:eastAsia="he-IL"/>
        </w:rPr>
      </w:pPr>
      <w:r w:rsidRPr="00E73B45">
        <w:rPr>
          <w:rFonts w:ascii="FrankRuehl" w:hAnsi="FrankRuehl" w:hint="cs"/>
          <w:color w:val="000000"/>
          <w:rtl/>
          <w:lang w:eastAsia="he-IL"/>
        </w:rPr>
        <w:t>ב.</w:t>
      </w:r>
      <w:r w:rsidRPr="00E73B45">
        <w:rPr>
          <w:rFonts w:ascii="FrankRuehl" w:hAnsi="FrankRuehl" w:hint="cs"/>
          <w:color w:val="000000"/>
          <w:rtl/>
          <w:lang w:eastAsia="he-IL"/>
        </w:rPr>
        <w:tab/>
        <w:t xml:space="preserve">12 חודשי מאסר על תנאי למשך 3 שנים מיום שחרורו מהמאסר, שלא יעבור עבירת סמים שהיא פשע. </w:t>
      </w:r>
    </w:p>
    <w:p w14:paraId="4271DBC1" w14:textId="77777777" w:rsidR="0043337B" w:rsidRPr="00E73B45" w:rsidRDefault="0043337B" w:rsidP="0043337B">
      <w:pPr>
        <w:spacing w:line="360" w:lineRule="auto"/>
        <w:ind w:left="1440" w:hanging="720"/>
        <w:jc w:val="both"/>
        <w:rPr>
          <w:rFonts w:ascii="FrankRuehl" w:hAnsi="FrankRuehl"/>
          <w:color w:val="000000"/>
          <w:rtl/>
          <w:lang w:eastAsia="he-IL"/>
        </w:rPr>
      </w:pPr>
    </w:p>
    <w:p w14:paraId="2508618B" w14:textId="77777777" w:rsidR="0043337B" w:rsidRPr="00E73B45" w:rsidRDefault="0043337B" w:rsidP="0043337B">
      <w:pPr>
        <w:spacing w:line="360" w:lineRule="auto"/>
        <w:ind w:firstLine="720"/>
        <w:jc w:val="both"/>
        <w:rPr>
          <w:color w:val="000000"/>
          <w:rtl/>
          <w:lang w:eastAsia="he-IL"/>
        </w:rPr>
      </w:pPr>
      <w:r w:rsidRPr="00E73B45">
        <w:rPr>
          <w:rFonts w:ascii="FrankRuehl" w:hAnsi="FrankRuehl" w:hint="cs"/>
          <w:color w:val="000000"/>
          <w:rtl/>
          <w:lang w:eastAsia="he-IL"/>
        </w:rPr>
        <w:t>ג.</w:t>
      </w:r>
      <w:r w:rsidRPr="00E73B45">
        <w:rPr>
          <w:rFonts w:ascii="FrankRuehl" w:hAnsi="FrankRuehl" w:hint="cs"/>
          <w:color w:val="000000"/>
          <w:rtl/>
          <w:lang w:eastAsia="he-IL"/>
        </w:rPr>
        <w:tab/>
      </w:r>
      <w:r w:rsidRPr="00E73B45">
        <w:rPr>
          <w:rFonts w:hint="cs"/>
          <w:color w:val="000000"/>
          <w:rtl/>
          <w:lang w:eastAsia="he-IL"/>
        </w:rPr>
        <w:t xml:space="preserve">קנס בסך 30,000 ₪ או 3 חודשי מאסר תחתיו. הקנס ישולם עד ליום 1.10.18.  </w:t>
      </w:r>
    </w:p>
    <w:p w14:paraId="4D92D096" w14:textId="77777777" w:rsidR="0043337B" w:rsidRPr="00E73B45" w:rsidRDefault="0043337B" w:rsidP="0043337B">
      <w:pPr>
        <w:spacing w:line="360" w:lineRule="auto"/>
        <w:jc w:val="both"/>
        <w:rPr>
          <w:rFonts w:ascii="FrankRuehl" w:hAnsi="FrankRuehl"/>
          <w:color w:val="000000"/>
          <w:rtl/>
          <w:lang w:eastAsia="he-IL"/>
        </w:rPr>
      </w:pPr>
    </w:p>
    <w:p w14:paraId="1458E216" w14:textId="77777777" w:rsidR="0043337B" w:rsidRPr="00E73B45" w:rsidRDefault="0043337B" w:rsidP="0043337B">
      <w:pPr>
        <w:spacing w:line="360" w:lineRule="auto"/>
        <w:jc w:val="both"/>
        <w:rPr>
          <w:rFonts w:ascii="FrankRuehl" w:hAnsi="FrankRuehl"/>
          <w:color w:val="000000"/>
          <w:rtl/>
          <w:lang w:eastAsia="he-IL"/>
        </w:rPr>
      </w:pPr>
    </w:p>
    <w:p w14:paraId="30E6266F" w14:textId="77777777" w:rsidR="0043337B" w:rsidRPr="00E73B45" w:rsidRDefault="00421334" w:rsidP="0043337B">
      <w:pPr>
        <w:spacing w:line="360" w:lineRule="auto"/>
        <w:jc w:val="both"/>
        <w:rPr>
          <w:rFonts w:ascii="FrankRuehl" w:hAnsi="FrankRuehl"/>
          <w:b/>
          <w:bCs/>
          <w:color w:val="000000"/>
          <w:rtl/>
          <w:lang w:eastAsia="he-IL"/>
        </w:rPr>
      </w:pPr>
      <w:r w:rsidRPr="00421334">
        <w:rPr>
          <w:rFonts w:ascii="FrankRuehl" w:hAnsi="FrankRuehl"/>
          <w:b/>
          <w:bCs/>
          <w:color w:val="FFFFFF"/>
          <w:sz w:val="2"/>
          <w:szCs w:val="2"/>
          <w:rtl/>
          <w:lang w:eastAsia="he-IL"/>
        </w:rPr>
        <w:t>5129371</w:t>
      </w:r>
      <w:r w:rsidR="0043337B" w:rsidRPr="00E73B45">
        <w:rPr>
          <w:rFonts w:ascii="FrankRuehl" w:hAnsi="FrankRuehl" w:hint="cs"/>
          <w:b/>
          <w:bCs/>
          <w:color w:val="000000"/>
          <w:rtl/>
          <w:lang w:eastAsia="he-IL"/>
        </w:rPr>
        <w:t xml:space="preserve">זכות ערעור תוך 45 יום. </w:t>
      </w:r>
    </w:p>
    <w:p w14:paraId="085D2BE5" w14:textId="77777777" w:rsidR="0043337B" w:rsidRPr="00421334" w:rsidRDefault="00421334" w:rsidP="0043337B">
      <w:pPr>
        <w:jc w:val="both"/>
        <w:rPr>
          <w:color w:val="FFFFFF"/>
          <w:sz w:val="2"/>
          <w:szCs w:val="2"/>
          <w:rtl/>
        </w:rPr>
      </w:pPr>
      <w:r w:rsidRPr="00421334">
        <w:rPr>
          <w:color w:val="FFFFFF"/>
          <w:sz w:val="2"/>
          <w:szCs w:val="2"/>
          <w:rtl/>
        </w:rPr>
        <w:t>54678313</w:t>
      </w:r>
    </w:p>
    <w:p w14:paraId="7969B32D" w14:textId="77777777" w:rsidR="0043337B" w:rsidRPr="00E73B45" w:rsidRDefault="00421334" w:rsidP="0043337B">
      <w:pPr>
        <w:jc w:val="center"/>
      </w:pPr>
      <w:r>
        <w:rPr>
          <w:rFonts w:ascii="Arial" w:hAnsi="Arial"/>
          <w:rtl/>
        </w:rPr>
        <w:t xml:space="preserve">ניתן היום,  א' תמוז תשע"ז, 25 יוני 2017, בהעדר הצדדים. </w:t>
      </w:r>
      <w:r w:rsidR="0043337B" w:rsidRPr="00E73B45">
        <w:rPr>
          <w:rFonts w:hint="cs"/>
          <w:rtl/>
        </w:rPr>
        <w:t xml:space="preserve">   </w:t>
      </w:r>
      <w:r w:rsidR="0043337B" w:rsidRPr="00E73B45">
        <w:rPr>
          <w:rFonts w:hint="cs"/>
          <w:rtl/>
        </w:rPr>
        <w:tab/>
      </w:r>
      <w:r w:rsidR="0043337B" w:rsidRPr="00E73B45">
        <w:rPr>
          <w:rFonts w:hint="cs"/>
          <w:rtl/>
        </w:rPr>
        <w:tab/>
      </w:r>
      <w:r w:rsidR="0043337B" w:rsidRPr="00E73B45">
        <w:rPr>
          <w:rFonts w:hint="cs"/>
          <w:rtl/>
        </w:rPr>
        <w:tab/>
      </w:r>
      <w:r w:rsidR="0043337B" w:rsidRPr="00E73B45">
        <w:rPr>
          <w:rFonts w:hint="cs"/>
          <w:rtl/>
        </w:rPr>
        <w:tab/>
      </w:r>
      <w:r w:rsidR="0043337B" w:rsidRPr="00E73B45">
        <w:rPr>
          <w:rFonts w:hint="cs"/>
          <w:rtl/>
        </w:rPr>
        <w:tab/>
      </w:r>
      <w:r w:rsidR="0043337B">
        <w:rPr>
          <w:rtl/>
        </w:rPr>
        <w:t xml:space="preserve">     </w:t>
      </w:r>
    </w:p>
    <w:p w14:paraId="670BAE05" w14:textId="77777777" w:rsidR="0043337B" w:rsidRPr="00E73B45" w:rsidRDefault="0043337B" w:rsidP="0043337B">
      <w:pPr>
        <w:jc w:val="center"/>
        <w:rPr>
          <w:rFonts w:ascii="Arial" w:hAnsi="Arial" w:cs="FrankRuehl"/>
          <w:rtl/>
        </w:rPr>
      </w:pPr>
    </w:p>
    <w:p w14:paraId="461FEC94" w14:textId="77777777" w:rsidR="0043337B" w:rsidRPr="00E73B45" w:rsidRDefault="0043337B" w:rsidP="0043337B">
      <w:pPr>
        <w:rPr>
          <w:rFonts w:cs="FrankRuehl"/>
          <w:rtl/>
        </w:rPr>
      </w:pPr>
    </w:p>
    <w:p w14:paraId="51C3BFC8" w14:textId="77777777" w:rsidR="0043337B" w:rsidRPr="00E73B45" w:rsidRDefault="0043337B" w:rsidP="0043337B">
      <w:pPr>
        <w:pStyle w:val="a3"/>
        <w:jc w:val="center"/>
        <w:rPr>
          <w:rtl/>
        </w:rPr>
      </w:pPr>
    </w:p>
    <w:p w14:paraId="5DA14993" w14:textId="77777777" w:rsidR="00421334" w:rsidRPr="00421334" w:rsidRDefault="00421334" w:rsidP="00421334">
      <w:pPr>
        <w:keepNext/>
        <w:rPr>
          <w:rFonts w:ascii="David" w:hAnsi="David"/>
          <w:color w:val="000000"/>
          <w:sz w:val="22"/>
          <w:szCs w:val="22"/>
          <w:rtl/>
        </w:rPr>
      </w:pPr>
    </w:p>
    <w:p w14:paraId="0F907827" w14:textId="77777777" w:rsidR="00421334" w:rsidRPr="00421334" w:rsidRDefault="00421334" w:rsidP="00421334">
      <w:pPr>
        <w:keepNext/>
        <w:rPr>
          <w:rFonts w:ascii="David" w:hAnsi="David"/>
          <w:color w:val="000000"/>
          <w:sz w:val="22"/>
          <w:szCs w:val="22"/>
          <w:rtl/>
        </w:rPr>
      </w:pPr>
      <w:r w:rsidRPr="00421334">
        <w:rPr>
          <w:rFonts w:ascii="David" w:hAnsi="David"/>
          <w:color w:val="000000"/>
          <w:sz w:val="22"/>
          <w:szCs w:val="22"/>
          <w:rtl/>
        </w:rPr>
        <w:t>אליהו ביתן 54678313</w:t>
      </w:r>
    </w:p>
    <w:p w14:paraId="345E2B4A" w14:textId="77777777" w:rsidR="00421334" w:rsidRDefault="00421334" w:rsidP="00421334">
      <w:pPr>
        <w:rPr>
          <w:color w:val="000000"/>
          <w:rtl/>
        </w:rPr>
      </w:pPr>
      <w:r w:rsidRPr="00421334">
        <w:rPr>
          <w:color w:val="000000"/>
          <w:rtl/>
        </w:rPr>
        <w:t>נוסח מסמך זה כפוף לשינויי ניסוח ועריכה</w:t>
      </w:r>
    </w:p>
    <w:p w14:paraId="1BAF756D" w14:textId="77777777" w:rsidR="00421334" w:rsidRDefault="00421334" w:rsidP="00421334">
      <w:pPr>
        <w:rPr>
          <w:rtl/>
        </w:rPr>
      </w:pPr>
    </w:p>
    <w:p w14:paraId="35388B46" w14:textId="77777777" w:rsidR="00421334" w:rsidRDefault="00421334" w:rsidP="00421334">
      <w:pPr>
        <w:jc w:val="center"/>
        <w:rPr>
          <w:color w:val="0000FF"/>
          <w:u w:val="single"/>
          <w:rtl/>
        </w:rPr>
      </w:pPr>
      <w:hyperlink r:id="rId15" w:history="1">
        <w:r>
          <w:rPr>
            <w:rStyle w:val="Hyperlink"/>
            <w:rtl/>
          </w:rPr>
          <w:t>בעניין עריכה ושינויים במסמכי פסיקה, חקיקה ועוד באתר נבו – הקש כאן</w:t>
        </w:r>
      </w:hyperlink>
    </w:p>
    <w:p w14:paraId="5543CA81" w14:textId="77777777" w:rsidR="002D7B2F" w:rsidRPr="00421334" w:rsidRDefault="002D7B2F" w:rsidP="00421334">
      <w:pPr>
        <w:jc w:val="center"/>
        <w:rPr>
          <w:color w:val="0000FF"/>
          <w:u w:val="single"/>
        </w:rPr>
      </w:pPr>
    </w:p>
    <w:sectPr w:rsidR="002D7B2F" w:rsidRPr="00421334" w:rsidSect="00421334">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096A0" w14:textId="77777777" w:rsidR="008E750C" w:rsidRDefault="008E750C">
      <w:r>
        <w:separator/>
      </w:r>
    </w:p>
  </w:endnote>
  <w:endnote w:type="continuationSeparator" w:id="0">
    <w:p w14:paraId="3923A6EE" w14:textId="77777777" w:rsidR="008E750C" w:rsidRDefault="008E7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EBE44" w14:textId="77777777" w:rsidR="008E750C" w:rsidRDefault="008E750C" w:rsidP="004213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CD60DFE" w14:textId="77777777" w:rsidR="008E750C" w:rsidRPr="00421334" w:rsidRDefault="008E750C" w:rsidP="00421334">
    <w:pPr>
      <w:pStyle w:val="a5"/>
      <w:pBdr>
        <w:top w:val="single" w:sz="4" w:space="1" w:color="auto"/>
        <w:between w:val="single" w:sz="4" w:space="0" w:color="auto"/>
      </w:pBdr>
      <w:spacing w:after="60"/>
      <w:jc w:val="center"/>
      <w:rPr>
        <w:rFonts w:ascii="FrankRuehl" w:hAnsi="FrankRuehl" w:cs="FrankRuehl"/>
        <w:color w:val="000000"/>
      </w:rPr>
    </w:pPr>
    <w:r w:rsidRPr="004213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918BA" w14:textId="77777777" w:rsidR="008E750C" w:rsidRDefault="008E750C" w:rsidP="004213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4247">
      <w:rPr>
        <w:rFonts w:ascii="FrankRuehl" w:hAnsi="FrankRuehl" w:cs="FrankRuehl"/>
        <w:noProof/>
        <w:rtl/>
      </w:rPr>
      <w:t>1</w:t>
    </w:r>
    <w:r>
      <w:rPr>
        <w:rFonts w:ascii="FrankRuehl" w:hAnsi="FrankRuehl" w:cs="FrankRuehl"/>
        <w:rtl/>
      </w:rPr>
      <w:fldChar w:fldCharType="end"/>
    </w:r>
  </w:p>
  <w:p w14:paraId="39B67F6C" w14:textId="77777777" w:rsidR="008E750C" w:rsidRPr="00421334" w:rsidRDefault="008E750C" w:rsidP="00421334">
    <w:pPr>
      <w:pStyle w:val="a5"/>
      <w:pBdr>
        <w:top w:val="single" w:sz="4" w:space="1" w:color="auto"/>
        <w:between w:val="single" w:sz="4" w:space="0" w:color="auto"/>
      </w:pBdr>
      <w:spacing w:after="60"/>
      <w:jc w:val="center"/>
      <w:rPr>
        <w:rFonts w:ascii="FrankRuehl" w:hAnsi="FrankRuehl" w:cs="FrankRuehl"/>
        <w:color w:val="000000"/>
      </w:rPr>
    </w:pPr>
    <w:r w:rsidRPr="00421334">
      <w:rPr>
        <w:rFonts w:ascii="FrankRuehl" w:hAnsi="FrankRuehl" w:cs="FrankRuehl"/>
        <w:color w:val="000000"/>
      </w:rPr>
      <w:pict w14:anchorId="4DA11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4C936" w14:textId="77777777" w:rsidR="008E750C" w:rsidRDefault="008E750C">
      <w:r>
        <w:separator/>
      </w:r>
    </w:p>
  </w:footnote>
  <w:footnote w:type="continuationSeparator" w:id="0">
    <w:p w14:paraId="5A67EB2C" w14:textId="77777777" w:rsidR="008E750C" w:rsidRDefault="008E7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BB633" w14:textId="77777777" w:rsidR="008E750C" w:rsidRPr="00421334" w:rsidRDefault="008E750C" w:rsidP="004213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32002-12-16</w:t>
    </w:r>
    <w:r>
      <w:rPr>
        <w:rFonts w:ascii="David" w:hAnsi="David"/>
        <w:color w:val="000000"/>
        <w:sz w:val="22"/>
        <w:szCs w:val="22"/>
        <w:rtl/>
      </w:rPr>
      <w:tab/>
      <w:t xml:space="preserve"> מדינת ישראל נ' עידן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6527" w14:textId="77777777" w:rsidR="008E750C" w:rsidRPr="00421334" w:rsidRDefault="008E750C" w:rsidP="004213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32002-12-16</w:t>
    </w:r>
    <w:r>
      <w:rPr>
        <w:rFonts w:ascii="David" w:hAnsi="David"/>
        <w:color w:val="000000"/>
        <w:sz w:val="22"/>
        <w:szCs w:val="22"/>
        <w:rtl/>
      </w:rPr>
      <w:tab/>
      <w:t xml:space="preserve"> מדינת ישראל נ' עידן עמר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337B"/>
    <w:rsid w:val="002D7B2F"/>
    <w:rsid w:val="00421334"/>
    <w:rsid w:val="0043337B"/>
    <w:rsid w:val="00647E78"/>
    <w:rsid w:val="008E750C"/>
    <w:rsid w:val="009F4247"/>
    <w:rsid w:val="00BA16A0"/>
    <w:rsid w:val="00DD5E30"/>
    <w:rsid w:val="00F20DF7"/>
    <w:rsid w:val="00F447F3"/>
    <w:rsid w:val="00F44AB2"/>
    <w:rsid w:val="00F804EB"/>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679CEEB7"/>
  <w15:chartTrackingRefBased/>
  <w15:docId w15:val="{E761D2F4-5FFC-4113-901A-DBA56CAA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337B"/>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3337B"/>
    <w:pPr>
      <w:tabs>
        <w:tab w:val="center" w:pos="4153"/>
        <w:tab w:val="right" w:pos="8306"/>
      </w:tabs>
    </w:pPr>
  </w:style>
  <w:style w:type="character" w:customStyle="1" w:styleId="a4">
    <w:name w:val="כותרת עליונה תו"/>
    <w:link w:val="a3"/>
    <w:rsid w:val="0043337B"/>
    <w:rPr>
      <w:rFonts w:ascii="Times New Roman" w:eastAsia="Times New Roman" w:hAnsi="Times New Roman" w:cs="David"/>
      <w:sz w:val="24"/>
      <w:szCs w:val="24"/>
    </w:rPr>
  </w:style>
  <w:style w:type="paragraph" w:styleId="a5">
    <w:name w:val="footer"/>
    <w:basedOn w:val="a"/>
    <w:link w:val="a6"/>
    <w:rsid w:val="0043337B"/>
    <w:pPr>
      <w:tabs>
        <w:tab w:val="center" w:pos="4153"/>
        <w:tab w:val="right" w:pos="8306"/>
      </w:tabs>
    </w:pPr>
  </w:style>
  <w:style w:type="character" w:customStyle="1" w:styleId="a6">
    <w:name w:val="כותרת תחתונה תו"/>
    <w:link w:val="a5"/>
    <w:rsid w:val="0043337B"/>
    <w:rPr>
      <w:rFonts w:ascii="Times New Roman" w:eastAsia="Times New Roman" w:hAnsi="Times New Roman" w:cs="David"/>
      <w:sz w:val="24"/>
      <w:szCs w:val="24"/>
    </w:rPr>
  </w:style>
  <w:style w:type="table" w:styleId="a7">
    <w:name w:val="Table Grid"/>
    <w:basedOn w:val="a1"/>
    <w:rsid w:val="004333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3337B"/>
  </w:style>
  <w:style w:type="character" w:styleId="Hyperlink">
    <w:name w:val="Hyperlink"/>
    <w:basedOn w:val="a0"/>
    <w:rsid w:val="004213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499.a.1" TargetMode="External"/><Relationship Id="rId12" Type="http://schemas.openxmlformats.org/officeDocument/2006/relationships/hyperlink" Target="http://www.nevo.co.il/law/4216/13"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499.a.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57868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1270</Words>
  <Characters>6350</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7605</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5177418</vt:i4>
      </vt:variant>
      <vt:variant>
        <vt:i4>9</vt:i4>
      </vt:variant>
      <vt:variant>
        <vt:i4>0</vt:i4>
      </vt:variant>
      <vt:variant>
        <vt:i4>5</vt:i4>
      </vt:variant>
      <vt:variant>
        <vt:lpwstr>http://www.nevo.co.il/law/4216/13</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7077945</vt:i4>
      </vt:variant>
      <vt:variant>
        <vt:i4>3</vt:i4>
      </vt:variant>
      <vt:variant>
        <vt:i4>0</vt:i4>
      </vt:variant>
      <vt:variant>
        <vt:i4>5</vt:i4>
      </vt:variant>
      <vt:variant>
        <vt:lpwstr>http://www.nevo.co.il/law/70301/499.a.1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32002</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עידן עמר</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20170625</vt:lpwstr>
  </property>
  <property fmtid="{D5CDD505-2E9C-101B-9397-08002B2CF9AE}" pid="13" name="TYPE_N_DATE">
    <vt:lpwstr>39020170625</vt:lpwstr>
  </property>
  <property fmtid="{D5CDD505-2E9C-101B-9397-08002B2CF9AE}" pid="14" name="CASESLISTTMP1">
    <vt:lpwstr>5786821</vt:lpwstr>
  </property>
  <property fmtid="{D5CDD505-2E9C-101B-9397-08002B2CF9AE}" pid="15" name="WORDNUMPAGES">
    <vt:lpwstr>5</vt:lpwstr>
  </property>
  <property fmtid="{D5CDD505-2E9C-101B-9397-08002B2CF9AE}" pid="16" name="TYPE_ABS_DATE">
    <vt:lpwstr>390020170625</vt:lpwstr>
  </property>
  <property fmtid="{D5CDD505-2E9C-101B-9397-08002B2CF9AE}" pid="17" name="ISABSTRACT">
    <vt:lpwstr>Y</vt:lpwstr>
  </property>
  <property fmtid="{D5CDD505-2E9C-101B-9397-08002B2CF9AE}" pid="18" name="LAWLISTTMP1">
    <vt:lpwstr>70301/499.a.1</vt:lpwstr>
  </property>
  <property fmtid="{D5CDD505-2E9C-101B-9397-08002B2CF9AE}" pid="19" name="LAWLISTTMP2">
    <vt:lpwstr>4216/013</vt:lpwstr>
  </property>
</Properties>
</file>