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06389" w:rsidRPr="0026558B" w14:paraId="09C05D0E" w14:textId="77777777" w:rsidTr="00F32987">
        <w:trPr>
          <w:trHeight w:hRule="exact" w:val="418"/>
          <w:jc w:val="center"/>
        </w:trPr>
        <w:tc>
          <w:tcPr>
            <w:tcW w:w="8721" w:type="dxa"/>
            <w:gridSpan w:val="2"/>
          </w:tcPr>
          <w:p w14:paraId="20E1993C" w14:textId="77777777" w:rsidR="00406389" w:rsidRPr="0026558B" w:rsidRDefault="00406389" w:rsidP="00EA0FF7">
            <w:pPr>
              <w:pStyle w:val="a3"/>
              <w:jc w:val="center"/>
              <w:rPr>
                <w:rFonts w:ascii="Tahoma" w:hAnsi="Tahoma" w:cs="Tahoma"/>
                <w:color w:val="000080"/>
                <w:rtl/>
              </w:rPr>
            </w:pPr>
            <w:bookmarkStart w:id="0" w:name="LastJudge"/>
            <w:r w:rsidRPr="0026558B">
              <w:rPr>
                <w:rFonts w:ascii="Tahoma" w:hAnsi="Tahoma" w:cs="Tahoma"/>
                <w:b/>
                <w:bCs/>
                <w:color w:val="000080"/>
                <w:rtl/>
              </w:rPr>
              <w:t>בית המשפט המחוזי בחיפה</w:t>
            </w:r>
          </w:p>
        </w:tc>
      </w:tr>
      <w:tr w:rsidR="00406389" w:rsidRPr="0026558B" w14:paraId="4D539805" w14:textId="77777777" w:rsidTr="00F32987">
        <w:trPr>
          <w:trHeight w:val="337"/>
          <w:jc w:val="center"/>
        </w:trPr>
        <w:tc>
          <w:tcPr>
            <w:tcW w:w="5054" w:type="dxa"/>
          </w:tcPr>
          <w:p w14:paraId="33BE95CA" w14:textId="77777777" w:rsidR="00406389" w:rsidRPr="0026558B" w:rsidRDefault="00406389" w:rsidP="00EA0FF7">
            <w:pPr>
              <w:rPr>
                <w:rFonts w:cs="FrankRuehl"/>
                <w:sz w:val="28"/>
                <w:szCs w:val="28"/>
                <w:rtl/>
              </w:rPr>
            </w:pPr>
            <w:r w:rsidRPr="0026558B">
              <w:rPr>
                <w:rFonts w:cs="FrankRuehl"/>
                <w:sz w:val="28"/>
                <w:szCs w:val="28"/>
                <w:rtl/>
              </w:rPr>
              <w:t>ת"פ</w:t>
            </w:r>
            <w:r w:rsidRPr="0026558B">
              <w:rPr>
                <w:rFonts w:cs="FrankRuehl" w:hint="cs"/>
                <w:sz w:val="28"/>
                <w:szCs w:val="28"/>
                <w:rtl/>
              </w:rPr>
              <w:t xml:space="preserve"> </w:t>
            </w:r>
            <w:r w:rsidRPr="0026558B">
              <w:rPr>
                <w:rFonts w:cs="FrankRuehl"/>
                <w:sz w:val="28"/>
                <w:szCs w:val="28"/>
                <w:rtl/>
              </w:rPr>
              <w:t>701-12-16</w:t>
            </w:r>
            <w:r w:rsidRPr="0026558B">
              <w:rPr>
                <w:rFonts w:cs="FrankRuehl" w:hint="cs"/>
                <w:sz w:val="28"/>
                <w:szCs w:val="28"/>
                <w:rtl/>
              </w:rPr>
              <w:t xml:space="preserve"> </w:t>
            </w:r>
            <w:r w:rsidRPr="0026558B">
              <w:rPr>
                <w:rFonts w:cs="FrankRuehl"/>
                <w:sz w:val="28"/>
                <w:szCs w:val="28"/>
                <w:rtl/>
              </w:rPr>
              <w:t>מדינת ישראל נ' עומר</w:t>
            </w:r>
          </w:p>
          <w:p w14:paraId="31852699" w14:textId="77777777" w:rsidR="00406389" w:rsidRPr="0026558B" w:rsidRDefault="00406389" w:rsidP="00EA0FF7">
            <w:pPr>
              <w:pStyle w:val="a3"/>
              <w:rPr>
                <w:rFonts w:cs="FrankRuehl"/>
                <w:sz w:val="28"/>
                <w:szCs w:val="28"/>
                <w:rtl/>
              </w:rPr>
            </w:pPr>
          </w:p>
        </w:tc>
        <w:tc>
          <w:tcPr>
            <w:tcW w:w="3667" w:type="dxa"/>
          </w:tcPr>
          <w:p w14:paraId="5C26889B" w14:textId="77777777" w:rsidR="00406389" w:rsidRPr="0026558B" w:rsidRDefault="00406389" w:rsidP="00EA0FF7">
            <w:pPr>
              <w:pStyle w:val="a3"/>
              <w:jc w:val="right"/>
              <w:rPr>
                <w:rFonts w:cs="FrankRuehl"/>
                <w:sz w:val="28"/>
                <w:szCs w:val="28"/>
                <w:rtl/>
              </w:rPr>
            </w:pPr>
          </w:p>
        </w:tc>
      </w:tr>
    </w:tbl>
    <w:p w14:paraId="1AFBDF5F" w14:textId="77777777" w:rsidR="00406389" w:rsidRPr="0026558B" w:rsidRDefault="00406389" w:rsidP="00406389">
      <w:pPr>
        <w:pStyle w:val="a3"/>
        <w:rPr>
          <w:rtl/>
        </w:rPr>
      </w:pPr>
      <w:r w:rsidRPr="0026558B">
        <w:rPr>
          <w:rFonts w:hint="cs"/>
          <w:rtl/>
        </w:rPr>
        <w:t xml:space="preserve"> </w:t>
      </w:r>
    </w:p>
    <w:p w14:paraId="4BB4F409" w14:textId="77777777" w:rsidR="00406389" w:rsidRPr="0026558B" w:rsidRDefault="00406389" w:rsidP="00406389">
      <w:pPr>
        <w:rPr>
          <w:rtl/>
        </w:rPr>
      </w:pPr>
    </w:p>
    <w:tbl>
      <w:tblPr>
        <w:bidiVisual/>
        <w:tblW w:w="8802" w:type="dxa"/>
        <w:tblInd w:w="-28" w:type="dxa"/>
        <w:tblLook w:val="01E0" w:firstRow="1" w:lastRow="1" w:firstColumn="1" w:lastColumn="1" w:noHBand="0" w:noVBand="0"/>
      </w:tblPr>
      <w:tblGrid>
        <w:gridCol w:w="2880"/>
        <w:gridCol w:w="5838"/>
        <w:gridCol w:w="84"/>
      </w:tblGrid>
      <w:tr w:rsidR="00EA0FF7" w:rsidRPr="0026558B" w14:paraId="21E8E8FD" w14:textId="77777777" w:rsidTr="00406389">
        <w:trPr>
          <w:gridAfter w:val="1"/>
          <w:wAfter w:w="56" w:type="dxa"/>
        </w:trPr>
        <w:tc>
          <w:tcPr>
            <w:tcW w:w="8718" w:type="dxa"/>
            <w:gridSpan w:val="2"/>
            <w:shd w:val="clear" w:color="auto" w:fill="auto"/>
          </w:tcPr>
          <w:p w14:paraId="7802E3C5" w14:textId="77777777" w:rsidR="00406389" w:rsidRPr="0026558B" w:rsidRDefault="00406389" w:rsidP="00406389">
            <w:pPr>
              <w:spacing w:line="360" w:lineRule="auto"/>
              <w:rPr>
                <w:b/>
                <w:bCs/>
                <w:sz w:val="26"/>
                <w:szCs w:val="26"/>
                <w:rtl/>
              </w:rPr>
            </w:pPr>
            <w:r w:rsidRPr="0026558B">
              <w:rPr>
                <w:rFonts w:hint="cs"/>
                <w:b/>
                <w:bCs/>
                <w:sz w:val="26"/>
                <w:szCs w:val="26"/>
                <w:rtl/>
              </w:rPr>
              <w:t>לפני כבוד השופט אבי לוי</w:t>
            </w:r>
            <w:r w:rsidRPr="0026558B">
              <w:rPr>
                <w:rStyle w:val="TimesNewRomanTimesNewRoman"/>
                <w:rFonts w:hint="cs"/>
                <w:rtl/>
              </w:rPr>
              <w:t xml:space="preserve"> </w:t>
            </w:r>
          </w:p>
        </w:tc>
      </w:tr>
      <w:tr w:rsidR="00EA0FF7" w:rsidRPr="0026558B" w14:paraId="1F26C7F6" w14:textId="77777777" w:rsidTr="00406389">
        <w:trPr>
          <w:cantSplit/>
          <w:trHeight w:val="724"/>
        </w:trPr>
        <w:tc>
          <w:tcPr>
            <w:tcW w:w="2880" w:type="dxa"/>
            <w:shd w:val="clear" w:color="auto" w:fill="auto"/>
          </w:tcPr>
          <w:p w14:paraId="7F3F0574" w14:textId="77777777" w:rsidR="00406389" w:rsidRPr="0026558B" w:rsidRDefault="00406389" w:rsidP="00406389">
            <w:pPr>
              <w:ind w:left="26"/>
              <w:rPr>
                <w:b/>
                <w:bCs/>
                <w:sz w:val="26"/>
                <w:szCs w:val="26"/>
                <w:rtl/>
              </w:rPr>
            </w:pPr>
            <w:bookmarkStart w:id="1" w:name="FirstAppellant"/>
            <w:r w:rsidRPr="0026558B">
              <w:rPr>
                <w:rFonts w:hint="cs"/>
                <w:b/>
                <w:bCs/>
                <w:sz w:val="26"/>
                <w:szCs w:val="26"/>
                <w:rtl/>
              </w:rPr>
              <w:t>המאשימה</w:t>
            </w:r>
          </w:p>
        </w:tc>
        <w:tc>
          <w:tcPr>
            <w:tcW w:w="5922" w:type="dxa"/>
            <w:gridSpan w:val="2"/>
            <w:shd w:val="clear" w:color="auto" w:fill="auto"/>
          </w:tcPr>
          <w:p w14:paraId="2FC12149" w14:textId="77777777" w:rsidR="00406389" w:rsidRPr="0026558B" w:rsidRDefault="00406389" w:rsidP="00EA0FF7">
            <w:pPr>
              <w:rPr>
                <w:b/>
                <w:bCs/>
                <w:sz w:val="26"/>
                <w:szCs w:val="26"/>
                <w:rtl/>
              </w:rPr>
            </w:pPr>
            <w:r w:rsidRPr="0026558B">
              <w:rPr>
                <w:rFonts w:hint="cs"/>
                <w:b/>
                <w:bCs/>
                <w:sz w:val="26"/>
                <w:szCs w:val="26"/>
                <w:rtl/>
              </w:rPr>
              <w:t xml:space="preserve">מדינת ישראל </w:t>
            </w:r>
          </w:p>
        </w:tc>
      </w:tr>
      <w:bookmarkEnd w:id="1"/>
      <w:tr w:rsidR="00EA0FF7" w:rsidRPr="0026558B" w14:paraId="17B9CFC3" w14:textId="77777777" w:rsidTr="00406389">
        <w:tc>
          <w:tcPr>
            <w:tcW w:w="8802" w:type="dxa"/>
            <w:gridSpan w:val="3"/>
            <w:shd w:val="clear" w:color="auto" w:fill="auto"/>
            <w:vAlign w:val="center"/>
          </w:tcPr>
          <w:p w14:paraId="2DD1E50F" w14:textId="77777777" w:rsidR="00406389" w:rsidRPr="0026558B" w:rsidRDefault="00406389" w:rsidP="00406389">
            <w:pPr>
              <w:jc w:val="center"/>
              <w:rPr>
                <w:rFonts w:ascii="Arial" w:hAnsi="Arial"/>
                <w:b/>
                <w:bCs/>
                <w:sz w:val="26"/>
                <w:szCs w:val="26"/>
                <w:rtl/>
              </w:rPr>
            </w:pPr>
          </w:p>
          <w:p w14:paraId="684D4F3B" w14:textId="77777777" w:rsidR="00406389" w:rsidRPr="0026558B" w:rsidRDefault="00406389" w:rsidP="00406389">
            <w:pPr>
              <w:jc w:val="center"/>
              <w:rPr>
                <w:rFonts w:ascii="Arial" w:hAnsi="Arial"/>
                <w:b/>
                <w:bCs/>
                <w:sz w:val="26"/>
                <w:szCs w:val="26"/>
                <w:rtl/>
              </w:rPr>
            </w:pPr>
            <w:r w:rsidRPr="0026558B">
              <w:rPr>
                <w:rFonts w:ascii="Arial" w:hAnsi="Arial" w:hint="cs"/>
                <w:b/>
                <w:bCs/>
                <w:sz w:val="26"/>
                <w:szCs w:val="26"/>
                <w:rtl/>
              </w:rPr>
              <w:t>נגד</w:t>
            </w:r>
          </w:p>
          <w:p w14:paraId="78E58204" w14:textId="77777777" w:rsidR="00406389" w:rsidRPr="0026558B" w:rsidRDefault="00406389" w:rsidP="00EA0FF7">
            <w:pPr>
              <w:rPr>
                <w:rFonts w:ascii="Arial" w:hAnsi="Arial"/>
                <w:b/>
                <w:bCs/>
                <w:sz w:val="26"/>
                <w:szCs w:val="26"/>
                <w:rtl/>
              </w:rPr>
            </w:pPr>
          </w:p>
        </w:tc>
      </w:tr>
      <w:tr w:rsidR="00EA0FF7" w:rsidRPr="0026558B" w14:paraId="1067BD3B" w14:textId="77777777" w:rsidTr="00406389">
        <w:tc>
          <w:tcPr>
            <w:tcW w:w="2880" w:type="dxa"/>
            <w:shd w:val="clear" w:color="auto" w:fill="auto"/>
          </w:tcPr>
          <w:p w14:paraId="4E642C81" w14:textId="77777777" w:rsidR="00406389" w:rsidRPr="0026558B" w:rsidRDefault="00406389" w:rsidP="00406389">
            <w:pPr>
              <w:ind w:left="26"/>
              <w:rPr>
                <w:b/>
                <w:bCs/>
                <w:sz w:val="26"/>
                <w:szCs w:val="26"/>
              </w:rPr>
            </w:pPr>
            <w:r w:rsidRPr="0026558B">
              <w:rPr>
                <w:rFonts w:hint="cs"/>
                <w:b/>
                <w:bCs/>
                <w:sz w:val="26"/>
                <w:szCs w:val="26"/>
                <w:rtl/>
              </w:rPr>
              <w:t>הנאשם</w:t>
            </w:r>
          </w:p>
        </w:tc>
        <w:tc>
          <w:tcPr>
            <w:tcW w:w="5922" w:type="dxa"/>
            <w:gridSpan w:val="2"/>
            <w:shd w:val="clear" w:color="auto" w:fill="auto"/>
          </w:tcPr>
          <w:p w14:paraId="740C2155" w14:textId="77777777" w:rsidR="00406389" w:rsidRPr="0026558B" w:rsidRDefault="00406389" w:rsidP="00406389">
            <w:pPr>
              <w:spacing w:line="360" w:lineRule="auto"/>
              <w:rPr>
                <w:rFonts w:hint="cs"/>
                <w:b/>
                <w:bCs/>
                <w:sz w:val="26"/>
                <w:szCs w:val="26"/>
                <w:rtl/>
              </w:rPr>
            </w:pPr>
            <w:r w:rsidRPr="0026558B">
              <w:rPr>
                <w:rtl/>
              </w:rPr>
              <w:t xml:space="preserve"> </w:t>
            </w:r>
            <w:r w:rsidRPr="0026558B">
              <w:rPr>
                <w:rFonts w:hint="cs"/>
                <w:b/>
                <w:bCs/>
                <w:sz w:val="26"/>
                <w:szCs w:val="26"/>
                <w:rtl/>
              </w:rPr>
              <w:t>חליל עומר</w:t>
            </w:r>
            <w:r w:rsidRPr="0026558B">
              <w:rPr>
                <w:rtl/>
              </w:rPr>
              <w:t xml:space="preserve"> </w:t>
            </w:r>
          </w:p>
        </w:tc>
      </w:tr>
    </w:tbl>
    <w:p w14:paraId="76D343F1" w14:textId="77777777" w:rsidR="00A576A4" w:rsidRDefault="00A576A4" w:rsidP="00406389">
      <w:pPr>
        <w:rPr>
          <w:rtl/>
        </w:rPr>
      </w:pPr>
      <w:bookmarkStart w:id="2" w:name="LawTable"/>
      <w:bookmarkEnd w:id="2"/>
    </w:p>
    <w:p w14:paraId="21E267A5" w14:textId="77777777" w:rsidR="00A576A4" w:rsidRPr="00A576A4" w:rsidRDefault="00A576A4" w:rsidP="00A576A4">
      <w:pPr>
        <w:spacing w:after="120" w:line="240" w:lineRule="exact"/>
        <w:ind w:left="283" w:hanging="283"/>
        <w:jc w:val="both"/>
        <w:rPr>
          <w:rFonts w:ascii="FrankRuehl" w:hAnsi="FrankRuehl" w:cs="FrankRuehl"/>
          <w:rtl/>
        </w:rPr>
      </w:pPr>
    </w:p>
    <w:p w14:paraId="05AED86C" w14:textId="77777777" w:rsidR="00A576A4" w:rsidRPr="00A576A4" w:rsidRDefault="00A576A4" w:rsidP="00A576A4">
      <w:pPr>
        <w:spacing w:after="120" w:line="240" w:lineRule="exact"/>
        <w:ind w:left="283" w:hanging="283"/>
        <w:jc w:val="both"/>
        <w:rPr>
          <w:rFonts w:ascii="FrankRuehl" w:hAnsi="FrankRuehl" w:cs="FrankRuehl"/>
          <w:rtl/>
        </w:rPr>
      </w:pPr>
      <w:r w:rsidRPr="00A576A4">
        <w:rPr>
          <w:rFonts w:ascii="FrankRuehl" w:hAnsi="FrankRuehl" w:cs="FrankRuehl"/>
          <w:rtl/>
        </w:rPr>
        <w:t xml:space="preserve">חקיקה שאוזכרה: </w:t>
      </w:r>
    </w:p>
    <w:p w14:paraId="1FB1528C" w14:textId="77777777" w:rsidR="00A576A4" w:rsidRPr="00A576A4" w:rsidRDefault="00A576A4" w:rsidP="00A576A4">
      <w:pPr>
        <w:spacing w:after="120" w:line="240" w:lineRule="exact"/>
        <w:ind w:left="283" w:hanging="283"/>
        <w:jc w:val="both"/>
        <w:rPr>
          <w:rFonts w:ascii="FrankRuehl" w:hAnsi="FrankRuehl" w:cs="FrankRuehl"/>
          <w:rtl/>
        </w:rPr>
      </w:pPr>
      <w:hyperlink r:id="rId6" w:history="1">
        <w:r w:rsidRPr="00A576A4">
          <w:rPr>
            <w:rFonts w:ascii="FrankRuehl" w:hAnsi="FrankRuehl" w:cs="FrankRuehl"/>
            <w:color w:val="0000FF"/>
            <w:u w:val="single"/>
            <w:rtl/>
          </w:rPr>
          <w:t>פקודת הסמים המסוכנים [נוסח חדש], תשל"ג-1973</w:t>
        </w:r>
      </w:hyperlink>
      <w:r w:rsidRPr="00A576A4">
        <w:rPr>
          <w:rFonts w:ascii="FrankRuehl" w:hAnsi="FrankRuehl" w:cs="FrankRuehl"/>
          <w:rtl/>
        </w:rPr>
        <w:t xml:space="preserve">: סע'  </w:t>
      </w:r>
      <w:hyperlink r:id="rId7" w:history="1">
        <w:r w:rsidRPr="00A576A4">
          <w:rPr>
            <w:rFonts w:ascii="FrankRuehl" w:hAnsi="FrankRuehl" w:cs="FrankRuehl"/>
            <w:color w:val="0000FF"/>
            <w:u w:val="single"/>
            <w:rtl/>
          </w:rPr>
          <w:t>7(א)</w:t>
        </w:r>
      </w:hyperlink>
      <w:r w:rsidRPr="00A576A4">
        <w:rPr>
          <w:rFonts w:ascii="FrankRuehl" w:hAnsi="FrankRuehl" w:cs="FrankRuehl"/>
          <w:rtl/>
        </w:rPr>
        <w:t xml:space="preserve">, </w:t>
      </w:r>
      <w:hyperlink r:id="rId8" w:history="1">
        <w:r w:rsidRPr="00A576A4">
          <w:rPr>
            <w:rFonts w:ascii="FrankRuehl" w:hAnsi="FrankRuehl" w:cs="FrankRuehl"/>
            <w:color w:val="0000FF"/>
            <w:u w:val="single"/>
            <w:rtl/>
          </w:rPr>
          <w:t>7(ג)</w:t>
        </w:r>
      </w:hyperlink>
    </w:p>
    <w:p w14:paraId="70B877E2" w14:textId="77777777" w:rsidR="00A576A4" w:rsidRPr="00A576A4" w:rsidRDefault="00A576A4" w:rsidP="00A576A4">
      <w:pPr>
        <w:spacing w:after="120" w:line="240" w:lineRule="exact"/>
        <w:ind w:left="283" w:hanging="283"/>
        <w:jc w:val="both"/>
        <w:rPr>
          <w:rFonts w:ascii="FrankRuehl" w:hAnsi="FrankRuehl" w:cs="FrankRuehl"/>
          <w:rtl/>
        </w:rPr>
      </w:pPr>
      <w:hyperlink r:id="rId9" w:history="1">
        <w:r w:rsidRPr="00A576A4">
          <w:rPr>
            <w:rFonts w:ascii="FrankRuehl" w:hAnsi="FrankRuehl" w:cs="FrankRuehl"/>
            <w:color w:val="0000FF"/>
            <w:u w:val="single"/>
            <w:rtl/>
          </w:rPr>
          <w:t>חוק העונשין, תשל"ז-1977</w:t>
        </w:r>
      </w:hyperlink>
      <w:r w:rsidRPr="00A576A4">
        <w:rPr>
          <w:rFonts w:ascii="FrankRuehl" w:hAnsi="FrankRuehl" w:cs="FrankRuehl"/>
          <w:rtl/>
        </w:rPr>
        <w:t xml:space="preserve">: סע'  </w:t>
      </w:r>
      <w:hyperlink r:id="rId10" w:history="1">
        <w:r w:rsidRPr="00A576A4">
          <w:rPr>
            <w:rFonts w:ascii="FrankRuehl" w:hAnsi="FrankRuehl" w:cs="FrankRuehl"/>
            <w:color w:val="0000FF"/>
            <w:u w:val="single"/>
            <w:rtl/>
          </w:rPr>
          <w:t>40ב</w:t>
        </w:r>
      </w:hyperlink>
      <w:r w:rsidRPr="00A576A4">
        <w:rPr>
          <w:rFonts w:ascii="FrankRuehl" w:hAnsi="FrankRuehl" w:cs="FrankRuehl"/>
          <w:rtl/>
        </w:rPr>
        <w:t xml:space="preserve">, </w:t>
      </w:r>
      <w:hyperlink r:id="rId11" w:history="1">
        <w:r w:rsidRPr="00A576A4">
          <w:rPr>
            <w:rFonts w:ascii="FrankRuehl" w:hAnsi="FrankRuehl" w:cs="FrankRuehl"/>
            <w:color w:val="0000FF"/>
            <w:u w:val="single"/>
            <w:rtl/>
          </w:rPr>
          <w:t>40ג</w:t>
        </w:r>
      </w:hyperlink>
      <w:r w:rsidRPr="00A576A4">
        <w:rPr>
          <w:rFonts w:ascii="FrankRuehl" w:hAnsi="FrankRuehl" w:cs="FrankRuehl"/>
          <w:rtl/>
        </w:rPr>
        <w:t xml:space="preserve">, </w:t>
      </w:r>
      <w:hyperlink r:id="rId12" w:history="1">
        <w:r w:rsidRPr="00A576A4">
          <w:rPr>
            <w:rFonts w:ascii="FrankRuehl" w:hAnsi="FrankRuehl" w:cs="FrankRuehl"/>
            <w:color w:val="0000FF"/>
            <w:u w:val="single"/>
            <w:rtl/>
          </w:rPr>
          <w:t>40ט</w:t>
        </w:r>
      </w:hyperlink>
      <w:r w:rsidRPr="00A576A4">
        <w:rPr>
          <w:rFonts w:ascii="FrankRuehl" w:hAnsi="FrankRuehl" w:cs="FrankRuehl"/>
          <w:rtl/>
        </w:rPr>
        <w:t xml:space="preserve">, </w:t>
      </w:r>
      <w:hyperlink r:id="rId13" w:history="1">
        <w:r w:rsidRPr="00A576A4">
          <w:rPr>
            <w:rFonts w:ascii="FrankRuehl" w:hAnsi="FrankRuehl" w:cs="FrankRuehl"/>
            <w:color w:val="0000FF"/>
            <w:u w:val="single"/>
            <w:rtl/>
          </w:rPr>
          <w:t>242</w:t>
        </w:r>
      </w:hyperlink>
      <w:r w:rsidRPr="00A576A4">
        <w:rPr>
          <w:rFonts w:ascii="FrankRuehl" w:hAnsi="FrankRuehl" w:cs="FrankRuehl"/>
          <w:rtl/>
        </w:rPr>
        <w:t xml:space="preserve">, </w:t>
      </w:r>
      <w:hyperlink r:id="rId14" w:history="1">
        <w:r w:rsidRPr="00A576A4">
          <w:rPr>
            <w:rFonts w:ascii="FrankRuehl" w:hAnsi="FrankRuehl" w:cs="FrankRuehl"/>
            <w:color w:val="0000FF"/>
            <w:u w:val="single"/>
            <w:rtl/>
          </w:rPr>
          <w:t>244</w:t>
        </w:r>
      </w:hyperlink>
      <w:r w:rsidRPr="00A576A4">
        <w:rPr>
          <w:rFonts w:ascii="FrankRuehl" w:hAnsi="FrankRuehl" w:cs="FrankRuehl"/>
          <w:rtl/>
        </w:rPr>
        <w:t xml:space="preserve">, </w:t>
      </w:r>
      <w:hyperlink r:id="rId15" w:history="1">
        <w:r w:rsidRPr="00A576A4">
          <w:rPr>
            <w:rFonts w:ascii="FrankRuehl" w:hAnsi="FrankRuehl" w:cs="FrankRuehl"/>
            <w:color w:val="0000FF"/>
            <w:u w:val="single"/>
            <w:rtl/>
          </w:rPr>
          <w:t>275</w:t>
        </w:r>
      </w:hyperlink>
      <w:r w:rsidRPr="00A576A4">
        <w:rPr>
          <w:rFonts w:ascii="FrankRuehl" w:hAnsi="FrankRuehl" w:cs="FrankRuehl"/>
          <w:rtl/>
        </w:rPr>
        <w:t xml:space="preserve">, </w:t>
      </w:r>
      <w:hyperlink r:id="rId16" w:history="1">
        <w:r w:rsidRPr="00A576A4">
          <w:rPr>
            <w:rFonts w:ascii="FrankRuehl" w:hAnsi="FrankRuehl" w:cs="FrankRuehl"/>
            <w:color w:val="0000FF"/>
            <w:u w:val="single"/>
            <w:rtl/>
          </w:rPr>
          <w:t>40יא</w:t>
        </w:r>
      </w:hyperlink>
      <w:r w:rsidRPr="00A576A4">
        <w:rPr>
          <w:rFonts w:ascii="FrankRuehl" w:hAnsi="FrankRuehl" w:cs="FrankRuehl"/>
          <w:rtl/>
        </w:rPr>
        <w:t xml:space="preserve">, </w:t>
      </w:r>
      <w:hyperlink r:id="rId17" w:history="1">
        <w:r w:rsidRPr="00A576A4">
          <w:rPr>
            <w:rFonts w:ascii="FrankRuehl" w:hAnsi="FrankRuehl" w:cs="FrankRuehl"/>
            <w:color w:val="0000FF"/>
            <w:u w:val="single"/>
            <w:rtl/>
          </w:rPr>
          <w:t>א'1 שבפרק ו'</w:t>
        </w:r>
      </w:hyperlink>
    </w:p>
    <w:p w14:paraId="6FDC0DB0" w14:textId="77777777" w:rsidR="00A576A4" w:rsidRPr="00A576A4" w:rsidRDefault="00A576A4" w:rsidP="00A576A4">
      <w:pPr>
        <w:spacing w:after="120" w:line="240" w:lineRule="exact"/>
        <w:ind w:left="283" w:hanging="283"/>
        <w:jc w:val="both"/>
        <w:rPr>
          <w:rFonts w:ascii="FrankRuehl" w:hAnsi="FrankRuehl" w:cs="FrankRuehl"/>
          <w:rtl/>
        </w:rPr>
      </w:pPr>
    </w:p>
    <w:p w14:paraId="68060B0D" w14:textId="77777777" w:rsidR="00A576A4" w:rsidRPr="00A576A4" w:rsidRDefault="00A576A4" w:rsidP="00406389">
      <w:pPr>
        <w:rPr>
          <w:rtl/>
        </w:rPr>
      </w:pPr>
      <w:bookmarkStart w:id="3" w:name="LawTable_End"/>
      <w:bookmarkEnd w:id="3"/>
    </w:p>
    <w:p w14:paraId="4AE2E423" w14:textId="77777777" w:rsidR="00937D27" w:rsidRPr="00937D27" w:rsidRDefault="00937D27" w:rsidP="00406389">
      <w:pPr>
        <w:rPr>
          <w:rtl/>
        </w:rPr>
      </w:pPr>
    </w:p>
    <w:p w14:paraId="7D56FA90" w14:textId="77777777" w:rsidR="009A1B6D" w:rsidRPr="009A1B6D" w:rsidRDefault="009A1B6D" w:rsidP="00406389">
      <w:pPr>
        <w:rPr>
          <w:rtl/>
        </w:rPr>
      </w:pPr>
    </w:p>
    <w:p w14:paraId="0CD75D14" w14:textId="77777777" w:rsidR="009A1B6D" w:rsidRPr="009A1B6D" w:rsidRDefault="009A1B6D" w:rsidP="00406389">
      <w:pPr>
        <w:rPr>
          <w:rtl/>
        </w:rPr>
      </w:pPr>
    </w:p>
    <w:p w14:paraId="3D1A77FF" w14:textId="77777777" w:rsidR="00406389" w:rsidRPr="009A1B6D" w:rsidRDefault="00406389" w:rsidP="00406389"/>
    <w:p w14:paraId="3B7A402A" w14:textId="77777777" w:rsidR="0026558B" w:rsidRPr="0026558B" w:rsidRDefault="0026558B" w:rsidP="00406389">
      <w:pPr>
        <w:rPr>
          <w:rFonts w:ascii="Arial" w:hAnsi="Arial"/>
          <w:rtl/>
        </w:rPr>
      </w:pPr>
    </w:p>
    <w:p w14:paraId="5BFC4C85" w14:textId="77777777" w:rsidR="00406389" w:rsidRPr="0026558B" w:rsidRDefault="00406389" w:rsidP="00406389">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A0FF7" w14:paraId="16EAFAA9" w14:textId="77777777" w:rsidTr="00406389">
        <w:trPr>
          <w:trHeight w:val="355"/>
          <w:jc w:val="center"/>
        </w:trPr>
        <w:tc>
          <w:tcPr>
            <w:tcW w:w="8820" w:type="dxa"/>
            <w:tcBorders>
              <w:top w:val="nil"/>
              <w:left w:val="nil"/>
              <w:bottom w:val="nil"/>
              <w:right w:val="nil"/>
            </w:tcBorders>
            <w:shd w:val="clear" w:color="auto" w:fill="auto"/>
          </w:tcPr>
          <w:p w14:paraId="79106C2B" w14:textId="77777777" w:rsidR="0026558B" w:rsidRPr="0026558B" w:rsidRDefault="0026558B" w:rsidP="0026558B">
            <w:pPr>
              <w:spacing w:line="360" w:lineRule="auto"/>
              <w:jc w:val="center"/>
              <w:rPr>
                <w:rFonts w:ascii="Arial" w:hAnsi="Arial"/>
                <w:b/>
                <w:bCs/>
                <w:sz w:val="30"/>
                <w:szCs w:val="30"/>
                <w:u w:val="single"/>
                <w:rtl/>
              </w:rPr>
            </w:pPr>
            <w:bookmarkStart w:id="4" w:name="PsakDin" w:colFirst="0" w:colLast="0"/>
            <w:bookmarkEnd w:id="0"/>
            <w:r w:rsidRPr="0026558B">
              <w:rPr>
                <w:rFonts w:ascii="Arial" w:hAnsi="Arial"/>
                <w:b/>
                <w:bCs/>
                <w:sz w:val="30"/>
                <w:szCs w:val="30"/>
                <w:u w:val="single"/>
                <w:rtl/>
              </w:rPr>
              <w:t>גזר דין</w:t>
            </w:r>
          </w:p>
          <w:p w14:paraId="0612B65E" w14:textId="77777777" w:rsidR="00406389" w:rsidRPr="0026558B" w:rsidRDefault="00406389" w:rsidP="0026558B">
            <w:pPr>
              <w:spacing w:line="360" w:lineRule="auto"/>
              <w:jc w:val="center"/>
              <w:rPr>
                <w:rFonts w:ascii="Arial" w:hAnsi="Arial"/>
                <w:bCs/>
                <w:sz w:val="32"/>
                <w:szCs w:val="32"/>
                <w:u w:val="single"/>
                <w:rtl/>
              </w:rPr>
            </w:pPr>
          </w:p>
        </w:tc>
      </w:tr>
      <w:bookmarkEnd w:id="4"/>
    </w:tbl>
    <w:p w14:paraId="4F9ED5F3" w14:textId="77777777" w:rsidR="00406389" w:rsidRPr="00B05847" w:rsidRDefault="00406389" w:rsidP="00406389">
      <w:pPr>
        <w:rPr>
          <w:rFonts w:ascii="Arial" w:hAnsi="Arial"/>
          <w:rtl/>
        </w:rPr>
      </w:pPr>
    </w:p>
    <w:p w14:paraId="1B8299BB" w14:textId="77777777" w:rsidR="00406389" w:rsidRDefault="00406389" w:rsidP="00406389">
      <w:pPr>
        <w:spacing w:line="360" w:lineRule="auto"/>
        <w:rPr>
          <w:b/>
          <w:bCs/>
          <w:u w:val="single"/>
        </w:rPr>
      </w:pPr>
      <w:bookmarkStart w:id="5" w:name="ABSTRACT_START"/>
      <w:bookmarkEnd w:id="5"/>
      <w:r>
        <w:rPr>
          <w:rFonts w:hint="cs"/>
          <w:b/>
          <w:bCs/>
          <w:u w:val="single"/>
          <w:rtl/>
        </w:rPr>
        <w:t>כללי</w:t>
      </w:r>
    </w:p>
    <w:p w14:paraId="7C505539" w14:textId="77777777" w:rsidR="00406389" w:rsidRDefault="00406389" w:rsidP="00406389">
      <w:pPr>
        <w:spacing w:line="360" w:lineRule="auto"/>
        <w:jc w:val="both"/>
        <w:rPr>
          <w:rtl/>
        </w:rPr>
      </w:pPr>
      <w:r>
        <w:rPr>
          <w:rFonts w:hint="cs"/>
          <w:rtl/>
        </w:rPr>
        <w:t xml:space="preserve">חליל עומר, הנאשם בתיק זה, הורשע על-סמך הודאתו בעבירה שעניינה </w:t>
      </w:r>
      <w:r>
        <w:rPr>
          <w:rFonts w:hint="cs"/>
          <w:b/>
          <w:bCs/>
          <w:rtl/>
        </w:rPr>
        <w:t>החזקת סמים מסוכנים שלא לצריכה עצמית</w:t>
      </w:r>
      <w:r>
        <w:rPr>
          <w:rFonts w:hint="cs"/>
          <w:rtl/>
        </w:rPr>
        <w:t xml:space="preserve">, בניגוד </w:t>
      </w:r>
      <w:hyperlink r:id="rId18" w:history="1">
        <w:r w:rsidR="00F32987" w:rsidRPr="00F32987">
          <w:rPr>
            <w:color w:val="0000FF"/>
            <w:u w:val="single"/>
            <w:rtl/>
          </w:rPr>
          <w:t>לסעיף 7(א)</w:t>
        </w:r>
      </w:hyperlink>
      <w:r>
        <w:rPr>
          <w:rFonts w:hint="cs"/>
          <w:rtl/>
        </w:rPr>
        <w:t xml:space="preserve"> ו-</w:t>
      </w:r>
      <w:r w:rsidR="00A576A4">
        <w:rPr>
          <w:rFonts w:hint="cs"/>
          <w:rtl/>
        </w:rPr>
        <w:t xml:space="preserve"> </w:t>
      </w:r>
      <w:hyperlink r:id="rId19" w:history="1">
        <w:r w:rsidR="00A576A4" w:rsidRPr="00A576A4">
          <w:rPr>
            <w:color w:val="0000FF"/>
            <w:u w:val="single"/>
            <w:rtl/>
          </w:rPr>
          <w:t>7(ג)</w:t>
        </w:r>
      </w:hyperlink>
      <w:r>
        <w:rPr>
          <w:rFonts w:hint="cs"/>
          <w:rtl/>
        </w:rPr>
        <w:t xml:space="preserve"> רישא ל</w:t>
      </w:r>
      <w:hyperlink r:id="rId20" w:history="1">
        <w:r w:rsidR="0026558B" w:rsidRPr="0026558B">
          <w:rPr>
            <w:color w:val="0000FF"/>
            <w:u w:val="single"/>
            <w:rtl/>
          </w:rPr>
          <w:t>פקודת הסמים המסוכנים</w:t>
        </w:r>
      </w:hyperlink>
      <w:r>
        <w:rPr>
          <w:rFonts w:hint="cs"/>
          <w:rtl/>
        </w:rPr>
        <w:t xml:space="preserve"> [נוסח חדש], התשל"ג-1973 (להלן: </w:t>
      </w:r>
      <w:r>
        <w:rPr>
          <w:rFonts w:hint="cs"/>
          <w:b/>
          <w:bCs/>
          <w:rtl/>
        </w:rPr>
        <w:t>"פקודת הסמים המסוכנים</w:t>
      </w:r>
      <w:r>
        <w:rPr>
          <w:rFonts w:hint="cs"/>
          <w:rtl/>
        </w:rPr>
        <w:t>").</w:t>
      </w:r>
    </w:p>
    <w:p w14:paraId="30E2780D" w14:textId="77777777" w:rsidR="00406389" w:rsidRDefault="00406389" w:rsidP="00406389">
      <w:pPr>
        <w:jc w:val="both"/>
        <w:rPr>
          <w:rtl/>
        </w:rPr>
      </w:pPr>
      <w:bookmarkStart w:id="6" w:name="ABSTRACT_END"/>
      <w:bookmarkEnd w:id="6"/>
    </w:p>
    <w:p w14:paraId="7B244670" w14:textId="77777777" w:rsidR="00406389" w:rsidRDefault="00406389" w:rsidP="00406389">
      <w:pPr>
        <w:spacing w:line="360" w:lineRule="auto"/>
        <w:jc w:val="both"/>
        <w:rPr>
          <w:b/>
          <w:bCs/>
          <w:rtl/>
        </w:rPr>
      </w:pPr>
      <w:r>
        <w:rPr>
          <w:rFonts w:hint="cs"/>
          <w:rtl/>
        </w:rPr>
        <w:t xml:space="preserve">מעובדות כתב-האישום, שבעשייתן הודה עולה, כי ביום 24.11.16 בשעת בוקר נערך חיפוש, בהתאם לצו שיפוטי בביתו של הנאשם בכפר דיר-אל-אסד. בחדר-השינה של הנאשם, בסמוך למיטתו, נמצא תיק-גב השייך לו ובו תעודת-זהות ותעודת-עובד של הנאשם וכן גרב, ובה </w:t>
      </w:r>
      <w:r>
        <w:rPr>
          <w:rFonts w:hint="cs"/>
          <w:b/>
          <w:bCs/>
          <w:rtl/>
        </w:rPr>
        <w:t xml:space="preserve">7 אריזות שבתוכן היו 701 טבליות סם מסוג </w:t>
      </w:r>
      <w:r>
        <w:rPr>
          <w:b/>
          <w:bCs/>
        </w:rPr>
        <w:t>MDMA</w:t>
      </w:r>
      <w:r>
        <w:rPr>
          <w:rFonts w:hint="cs"/>
          <w:b/>
          <w:bCs/>
          <w:rtl/>
        </w:rPr>
        <w:t xml:space="preserve">. </w:t>
      </w:r>
    </w:p>
    <w:p w14:paraId="39AF2DF9" w14:textId="77777777" w:rsidR="00406389" w:rsidRDefault="00406389" w:rsidP="00406389">
      <w:pPr>
        <w:jc w:val="both"/>
        <w:rPr>
          <w:b/>
          <w:bCs/>
          <w:u w:val="single"/>
          <w:rtl/>
        </w:rPr>
      </w:pPr>
    </w:p>
    <w:p w14:paraId="108389E5" w14:textId="77777777" w:rsidR="00406389" w:rsidRDefault="00406389" w:rsidP="00406389">
      <w:pPr>
        <w:spacing w:line="360" w:lineRule="auto"/>
        <w:jc w:val="both"/>
        <w:rPr>
          <w:b/>
          <w:bCs/>
          <w:u w:val="single"/>
          <w:rtl/>
        </w:rPr>
      </w:pPr>
      <w:r>
        <w:rPr>
          <w:rFonts w:hint="cs"/>
          <w:b/>
          <w:bCs/>
          <w:u w:val="single"/>
          <w:rtl/>
        </w:rPr>
        <w:t>תסקיר שירות המבחן</w:t>
      </w:r>
    </w:p>
    <w:p w14:paraId="214DC0E7" w14:textId="77777777" w:rsidR="00406389" w:rsidRDefault="00406389" w:rsidP="00406389">
      <w:pPr>
        <w:spacing w:line="360" w:lineRule="auto"/>
        <w:jc w:val="both"/>
        <w:rPr>
          <w:rtl/>
        </w:rPr>
      </w:pPr>
      <w:r>
        <w:rPr>
          <w:rFonts w:hint="cs"/>
          <w:rtl/>
        </w:rPr>
        <w:t xml:space="preserve">שירות המבחן ערך, לבקשתי, תסקיר בעניינו של הנאשם וממנו עלו פרטים כדלקמן – </w:t>
      </w:r>
    </w:p>
    <w:p w14:paraId="3EEE25ED" w14:textId="77777777" w:rsidR="00406389" w:rsidRDefault="00406389" w:rsidP="00406389">
      <w:pPr>
        <w:spacing w:line="360" w:lineRule="auto"/>
        <w:jc w:val="both"/>
        <w:rPr>
          <w:rtl/>
        </w:rPr>
      </w:pPr>
      <w:r>
        <w:rPr>
          <w:rFonts w:hint="cs"/>
          <w:rtl/>
        </w:rPr>
        <w:lastRenderedPageBreak/>
        <w:t xml:space="preserve">הנאשם הוא כבן 24 שנים, מאורס מזה שנה לבת-דודו. עד למעצרו הוא עבד במשך שנתיים וחצי במפעל לייצור תבניות בטון בראש-פינה בתנאי משמרות. הנאשם הוא בעל השכלה יסודית בלבד שכן גילה העדר-מוטיבציה להמשיך וללמוד. לאחר שנשר ממסגרת חינוכית החל לעבוד בעבודות שונות ובמהלך השנים רכש את מקצוע הרתכות. באמצעות שכרו בעבודתו האחרונה (מפעל אקרשטיין) הוא סייע בפרנסת משפחתו וחסך מעט. כמו-כן שילם עבור צרכיהם של שני אחיו המרצים עונשי מאסר ממושכים. אביו של הנאשם איננו עובד ומתקיים מקצבת נכות על רקע התמכרות לסמים ובעיות בריאות אחרות; אימו סובלת מבעיות בריאות אף היא ומתקיימת מקצבה של הביטוח הלאומי. </w:t>
      </w:r>
    </w:p>
    <w:p w14:paraId="5131BDED" w14:textId="77777777" w:rsidR="00406389" w:rsidRDefault="00406389" w:rsidP="00406389">
      <w:pPr>
        <w:spacing w:line="360" w:lineRule="auto"/>
        <w:jc w:val="both"/>
        <w:rPr>
          <w:rtl/>
        </w:rPr>
      </w:pPr>
      <w:r>
        <w:rPr>
          <w:rFonts w:hint="cs"/>
          <w:rtl/>
        </w:rPr>
        <w:t xml:space="preserve">עולה, כי בתקופה בה שהה בפיקוח שירות המבחן במסגרת תנאי שחרורו, נעדר מהמפגשים עם קצין המבחן ואף ניתק עימו קשר. התרשמות קצין המבחן היתה שהנאשם הוא בחור צעיר מופנם </w:t>
      </w:r>
      <w:r>
        <w:rPr>
          <w:rFonts w:hint="cs"/>
          <w:b/>
          <w:bCs/>
          <w:rtl/>
        </w:rPr>
        <w:t>שאינו בשל בשלב זה לטיפול ומתקשה ליצור יחסי-אמון עם האחר ולערוך תהליך של התבוננות פנימית בדפוסי התנהגותו הבעייתיים</w:t>
      </w:r>
      <w:r>
        <w:rPr>
          <w:rFonts w:hint="cs"/>
          <w:rtl/>
        </w:rPr>
        <w:t xml:space="preserve">. צוין, כי הוא נעדר עבר פלילי כלשהו. </w:t>
      </w:r>
    </w:p>
    <w:p w14:paraId="7C501C37" w14:textId="77777777" w:rsidR="00406389" w:rsidRDefault="00406389" w:rsidP="00406389">
      <w:pPr>
        <w:spacing w:line="360" w:lineRule="auto"/>
        <w:jc w:val="both"/>
        <w:rPr>
          <w:rtl/>
        </w:rPr>
      </w:pPr>
      <w:r>
        <w:rPr>
          <w:rFonts w:hint="cs"/>
          <w:rtl/>
        </w:rPr>
        <w:t xml:space="preserve">בהתייחסותו לעבירה נשוא תיק זה הוא אמנם הודה במיוחס לו אך התקשה לקבל בעלות על הסמים. הוא טען שמצא אותם והניחם בתיק-הגב שלו. הוא שלל שימוש בסמים וכן שלל קשר עם משתמשים בסמים. בדיעבד, הוא מודע לחומרת מעשיו ולמשמעותם. צוין, כי הוא התקשה להתבונן בבעייתיות שבהתנהגותו והתמקד בנזקים שנגרמו לו כתוצאה ממעצרו. </w:t>
      </w:r>
    </w:p>
    <w:p w14:paraId="28575222" w14:textId="77777777" w:rsidR="00406389" w:rsidRDefault="00406389" w:rsidP="00406389">
      <w:pPr>
        <w:spacing w:line="360" w:lineRule="auto"/>
        <w:jc w:val="both"/>
        <w:rPr>
          <w:rtl/>
        </w:rPr>
      </w:pPr>
      <w:r>
        <w:rPr>
          <w:rFonts w:hint="cs"/>
          <w:rtl/>
        </w:rPr>
        <w:t xml:space="preserve">שירות המבחן התרשם שהנאשם חסר סביבה רגשית תומכת ונעדר עוגנים וגבולות מחזקים. הוא מתקשה ליצור אמון עם הזולת. הוא הותיר בשירות המבחן חוסר-בהירות בנוגע ליחסיו עם אנשים בשולי החברה. צוינה ההערכה כי הוא מתקשה בהפעלת שיקול-דעת מותאם במצבים מורכבים רגשית, פועל בצורה אימפולסיבית ואיננו משקיע די מחשבה על תוצאות מעשיו. להערכת השירות שורה של שיקולים ואבחנות מהווים פרמטרים לסיכון להישנות התנהגות פורצת-חוק מצידו של הנאשם. עם זאת, צוין כי מדובר בבחור צעיר ללא עבר פלילי, אשר חרף תנאי גדילתו ומאפייני אישיותו הצליח לרוב לפעול באורח נורמטיבי ואף תפקד במסגרות תעסוקה, ולנוכח הטראומה הרגשית שחווה עת נעצר קיימים סיכויים מסוימים לשיקום. </w:t>
      </w:r>
    </w:p>
    <w:p w14:paraId="38F6A869" w14:textId="77777777" w:rsidR="00406389" w:rsidRDefault="00406389" w:rsidP="00406389">
      <w:pPr>
        <w:spacing w:line="360" w:lineRule="auto"/>
        <w:jc w:val="both"/>
        <w:rPr>
          <w:rtl/>
        </w:rPr>
      </w:pPr>
      <w:r>
        <w:rPr>
          <w:rFonts w:hint="cs"/>
          <w:rtl/>
        </w:rPr>
        <w:t xml:space="preserve">דא עקא, שבהתחשב בקושי ובהעדר-הפניות מצדו להתגייס לתהליך טיפולי מעמיק, אין סיכוי של ממש שיפיק תועלת מניסיון טיפולי נוסף. </w:t>
      </w:r>
    </w:p>
    <w:p w14:paraId="69A7979D" w14:textId="77777777" w:rsidR="00406389" w:rsidRDefault="00406389" w:rsidP="00406389">
      <w:pPr>
        <w:spacing w:line="360" w:lineRule="auto"/>
        <w:jc w:val="both"/>
        <w:rPr>
          <w:rtl/>
        </w:rPr>
      </w:pPr>
      <w:r>
        <w:rPr>
          <w:rFonts w:hint="cs"/>
          <w:rtl/>
        </w:rPr>
        <w:t xml:space="preserve">השירות התרשם שהנאשם דוחס בתוכו זעם רב אשר צבר במהלך שלבי התפתחותו, קושי להציב לעצמו גבולות פנימיים ולווסת התנהגותו לצד קשיים בקבלת סמכות חיצונית. במצב עניינים זה, כשגילה יכולת מוגבלת להיעזר בקשר טיפולי, מעריך השירות שהוא יתקשה להפיק תועלת מניסיון טיפולי נוסף. </w:t>
      </w:r>
    </w:p>
    <w:p w14:paraId="5D704936" w14:textId="77777777" w:rsidR="00406389" w:rsidRDefault="00406389" w:rsidP="00406389">
      <w:pPr>
        <w:spacing w:line="360" w:lineRule="auto"/>
        <w:jc w:val="both"/>
        <w:rPr>
          <w:rtl/>
        </w:rPr>
      </w:pPr>
      <w:r>
        <w:rPr>
          <w:rFonts w:hint="cs"/>
          <w:rtl/>
        </w:rPr>
        <w:t xml:space="preserve">עם זאת, בהתחשב בכך, שבשל מאפייני אישיותו הדלים מאסר בכלא עלול לחשוף אותו להשפעת אוכלוסיית עוברי-חוק ולניצולו בידיהם ולגרום לרגרסיה בתפקודו האישי והרגשי. לפיכך, המליץ השירות על הטלת ענישה קונקרטית שתתבטא במאסר תקופה קצרה בעבודות שירות בנוסף לעונש מותנה. </w:t>
      </w:r>
    </w:p>
    <w:p w14:paraId="37B57B07" w14:textId="77777777" w:rsidR="00406389" w:rsidRDefault="00406389" w:rsidP="00406389">
      <w:pPr>
        <w:jc w:val="both"/>
        <w:rPr>
          <w:b/>
          <w:bCs/>
          <w:u w:val="single"/>
          <w:rtl/>
        </w:rPr>
      </w:pPr>
    </w:p>
    <w:p w14:paraId="483D9049" w14:textId="77777777" w:rsidR="00406389" w:rsidRDefault="00406389" w:rsidP="00406389">
      <w:pPr>
        <w:spacing w:line="360" w:lineRule="auto"/>
        <w:jc w:val="both"/>
        <w:rPr>
          <w:b/>
          <w:bCs/>
          <w:u w:val="single"/>
          <w:rtl/>
        </w:rPr>
      </w:pPr>
      <w:r>
        <w:rPr>
          <w:rFonts w:hint="cs"/>
          <w:b/>
          <w:bCs/>
          <w:u w:val="single"/>
          <w:rtl/>
        </w:rPr>
        <w:t>טיעוני הצדדים</w:t>
      </w:r>
    </w:p>
    <w:p w14:paraId="7CD52B10" w14:textId="77777777" w:rsidR="00406389" w:rsidRDefault="00406389" w:rsidP="00406389">
      <w:pPr>
        <w:spacing w:line="360" w:lineRule="auto"/>
        <w:jc w:val="both"/>
        <w:rPr>
          <w:b/>
          <w:bCs/>
          <w:u w:val="single"/>
          <w:rtl/>
        </w:rPr>
      </w:pPr>
      <w:r>
        <w:rPr>
          <w:rFonts w:hint="cs"/>
          <w:b/>
          <w:bCs/>
          <w:u w:val="single"/>
          <w:rtl/>
        </w:rPr>
        <w:lastRenderedPageBreak/>
        <w:t>התביעה</w:t>
      </w:r>
    </w:p>
    <w:p w14:paraId="18E21042" w14:textId="77777777" w:rsidR="00406389" w:rsidRDefault="00406389" w:rsidP="00406389">
      <w:pPr>
        <w:spacing w:line="360" w:lineRule="auto"/>
        <w:jc w:val="both"/>
        <w:rPr>
          <w:rtl/>
        </w:rPr>
      </w:pPr>
      <w:r>
        <w:rPr>
          <w:rFonts w:hint="cs"/>
          <w:rtl/>
        </w:rPr>
        <w:t xml:space="preserve">באת-כוחה המלומדת של המאשימה, עו"ד מאיה מצליח, עתרה להטיל על הנאשם עונש מאסר לריצוי בפועל בתוככי מתחם-הענישה שהוצג, מאסר-על-תנאי, פסילת רישיון נהיגה וקנס. היא עמדה על כך, שהמעשה מלמד על תכנון מוקדם, תחכום ותעוזה בלתי-מבוטלים וכי חלקו של הנאשם בעבירה הוא דומיננטי ובלעדי. היא ציינה, שהנזק אשר עלול היה להיגרם לוּ הסם הופץ היה גדול. נטען עוד, שהחזקה של כמות כה גדולה של סם מלמדת היא-עצמה על היות הנאשם שקוע עמוק בחיים העברייניים. התובעת אף עמדה על הנזקים הבריאותיים והכלכליים הקשים הנגרמים לצרכני הסמים לבני-משפחותיהם ולחברה כולה כתוצאה משימוש בסם מסוג </w:t>
      </w:r>
      <w:r>
        <w:t>MDMA</w:t>
      </w:r>
      <w:r>
        <w:rPr>
          <w:rFonts w:hint="cs"/>
          <w:rtl/>
        </w:rPr>
        <w:t xml:space="preserve"> שהוא סם קשה. </w:t>
      </w:r>
    </w:p>
    <w:p w14:paraId="339668CD" w14:textId="77777777" w:rsidR="00406389" w:rsidRDefault="00406389" w:rsidP="00406389">
      <w:pPr>
        <w:spacing w:line="360" w:lineRule="auto"/>
        <w:jc w:val="both"/>
        <w:rPr>
          <w:rtl/>
        </w:rPr>
      </w:pPr>
      <w:r>
        <w:rPr>
          <w:rFonts w:hint="cs"/>
          <w:rtl/>
        </w:rPr>
        <w:t>היא עמדה על כך שכמות הסם שהוחזקה בידי הנאשם עלתה 233 מונים על הכמות אשר הוגדרה ב</w:t>
      </w:r>
      <w:hyperlink r:id="rId21" w:history="1">
        <w:r w:rsidR="0026558B" w:rsidRPr="0026558B">
          <w:rPr>
            <w:color w:val="0000FF"/>
            <w:u w:val="single"/>
            <w:rtl/>
          </w:rPr>
          <w:t>פקודת הסמים המסוכנים</w:t>
        </w:r>
      </w:hyperlink>
      <w:r>
        <w:rPr>
          <w:rFonts w:hint="cs"/>
          <w:rtl/>
        </w:rPr>
        <w:t xml:space="preserve"> ככמות לצריכה עצמית (3 טבליות). </w:t>
      </w:r>
    </w:p>
    <w:p w14:paraId="2C3F5C7C" w14:textId="77777777" w:rsidR="00406389" w:rsidRDefault="00406389" w:rsidP="00406389">
      <w:pPr>
        <w:spacing w:line="360" w:lineRule="auto"/>
        <w:jc w:val="both"/>
        <w:rPr>
          <w:rtl/>
        </w:rPr>
      </w:pPr>
      <w:r>
        <w:rPr>
          <w:rFonts w:hint="cs"/>
          <w:rtl/>
        </w:rPr>
        <w:t xml:space="preserve">לנוכח כל אלו וכן לנוכח צרכי ההרתעה של היחיד והרבים כאחד, עתרה ב"כ המאשימה שייקבע בעניינו של הנאשם מתחם ענישה הנע בין שנתיים ומחצה של מאסר ועד 5 שנות מאסר לצד מאסר מותנה, קנס ושלילת רישיון. </w:t>
      </w:r>
    </w:p>
    <w:p w14:paraId="15CBDCFD" w14:textId="77777777" w:rsidR="00406389" w:rsidRDefault="00406389" w:rsidP="00406389">
      <w:pPr>
        <w:spacing w:line="360" w:lineRule="auto"/>
        <w:jc w:val="both"/>
        <w:rPr>
          <w:rtl/>
        </w:rPr>
      </w:pPr>
      <w:r>
        <w:rPr>
          <w:rFonts w:hint="cs"/>
          <w:rtl/>
        </w:rPr>
        <w:t xml:space="preserve">ב"כ המאשימה סברה שאין מקום שביהמ"ש יאמץ את המלצת שירות-המבחן בהתחשב בשורה של שיקולים שאותם מנתה בפניי: אופיין של עבירות הסמים שנעברות לעתים קרובות בידי מי שעברו נקי; העדר שיתוף-פעולה וגילוי רצינות מצדו במגעיו עם שירות המבחן המלמד על העדר סיכויי שיקום וטיפול ממשיים; הימנעות מנטילת אחריות של ממש; נטייתו לפעול באורח אימפולסיבי והסיכון הממשי שהוא יחזור ויבצע עבירות בעתיד; הצורך במסר הרתעתי בכגון דא. ב"כ המאשימה התעכבה גם על הצורך להטיל על הנאשם עונש פסילת רישיון נהיגה שלוׂ היבטי גמול והרתעה, מה גם שבמקרה זה ניתן למצוא קשר ישיר בין השימוש ברכב לבין ביצוע העבירה. </w:t>
      </w:r>
    </w:p>
    <w:p w14:paraId="48E98484" w14:textId="77777777" w:rsidR="00406389" w:rsidRDefault="00406389" w:rsidP="00406389">
      <w:pPr>
        <w:jc w:val="both"/>
        <w:rPr>
          <w:b/>
          <w:bCs/>
          <w:u w:val="single"/>
          <w:rtl/>
        </w:rPr>
      </w:pPr>
    </w:p>
    <w:p w14:paraId="418D950B" w14:textId="77777777" w:rsidR="00406389" w:rsidRDefault="00406389" w:rsidP="00406389">
      <w:pPr>
        <w:spacing w:line="360" w:lineRule="auto"/>
        <w:jc w:val="both"/>
        <w:rPr>
          <w:b/>
          <w:bCs/>
          <w:u w:val="single"/>
          <w:rtl/>
        </w:rPr>
      </w:pPr>
      <w:r>
        <w:rPr>
          <w:rFonts w:hint="cs"/>
          <w:b/>
          <w:bCs/>
          <w:u w:val="single"/>
          <w:rtl/>
        </w:rPr>
        <w:t>ההגנה</w:t>
      </w:r>
    </w:p>
    <w:p w14:paraId="6F9B9FB5" w14:textId="77777777" w:rsidR="00406389" w:rsidRDefault="00406389" w:rsidP="00406389">
      <w:pPr>
        <w:spacing w:line="360" w:lineRule="auto"/>
        <w:jc w:val="both"/>
        <w:rPr>
          <w:rtl/>
        </w:rPr>
      </w:pPr>
      <w:r>
        <w:rPr>
          <w:rFonts w:hint="cs"/>
          <w:rtl/>
        </w:rPr>
        <w:t xml:space="preserve">הסנגור המלומד, עו"ד עאדל דבאח, כפר במתחם הענישה שהוצע על-ידי ב"כ המאשימה וטען שהוא מבוסס על רמת-ענישה שהוטלה בעבירות חמורות הרבה יותר, או מקום בו העבריינים היו בעלי עבר פלילי עשיר. לדעתו, ראוי לקבוע במקרה ממין זה מתחם ענישה הנע בין מאסר מותנה בלבד לבין מאסר לתקופת מאסר כוללת בת 14 חודשים (כשחלק מהתקופה מוטל על-תנאי וחלקו לריצוי בפועל בדרך של עבודות שירות). הוא הפנה אל שורה של גזרי-דין אשר, לדעתו, מחזקים את עמדתו האמורה. </w:t>
      </w:r>
    </w:p>
    <w:p w14:paraId="404AE55B" w14:textId="77777777" w:rsidR="00406389" w:rsidRDefault="00406389" w:rsidP="00406389">
      <w:pPr>
        <w:spacing w:line="360" w:lineRule="auto"/>
        <w:jc w:val="both"/>
        <w:rPr>
          <w:rtl/>
        </w:rPr>
      </w:pPr>
      <w:r>
        <w:rPr>
          <w:rFonts w:hint="cs"/>
          <w:rtl/>
        </w:rPr>
        <w:t xml:space="preserve">הסנגור שם דגש על נסיבותיו האישיות הקשות של הנאשם; מצבה הכלכלי הקשה של המשפחה; המצב הבריאותי הקשה של ההורים; העדרה של דמות הורית ראויה. משהנאשם איננו בעל מאפיינים עבריינים ומחוסר כל קשר לעולם הפשע, ראוי להשקיף עליו כמי שמעד באורח חד-פעמי וראוי בהחלט לשיקום ולטיפול. העובדה שהוא עובד מגיל צעיר על-מנת לפרנס את משפחתו מדברת, לדעת הסנגור, בשם עצמה ומוכיחה כי מדובר בבחור נורמטיבי, אשר איננו מעוניין, כלל ועיקר, להידרדר לעולם הפשע. חווית המעצר היתה טראומתית עבורו, כפי שאף ציין שירות המבחן. </w:t>
      </w:r>
    </w:p>
    <w:p w14:paraId="144D9E9E" w14:textId="77777777" w:rsidR="00406389" w:rsidRDefault="00406389" w:rsidP="00406389">
      <w:pPr>
        <w:spacing w:line="360" w:lineRule="auto"/>
        <w:jc w:val="both"/>
        <w:rPr>
          <w:rtl/>
        </w:rPr>
      </w:pPr>
      <w:r>
        <w:rPr>
          <w:rFonts w:hint="cs"/>
          <w:rtl/>
        </w:rPr>
        <w:t xml:space="preserve">הסנגור לא הקל ראש בכמות הסמים שנתפשה אך סבר שראוי להסתפק במאסר שירוצה בעבודות שירות, כפי שהומלץ על-ידי שירות המבחן לצד מאסר על תנאי וקנס. </w:t>
      </w:r>
    </w:p>
    <w:p w14:paraId="00CABC9D" w14:textId="77777777" w:rsidR="00406389" w:rsidRDefault="00406389" w:rsidP="00406389">
      <w:pPr>
        <w:jc w:val="both"/>
        <w:rPr>
          <w:b/>
          <w:bCs/>
          <w:u w:val="single"/>
          <w:rtl/>
        </w:rPr>
      </w:pPr>
    </w:p>
    <w:p w14:paraId="7CB282C3" w14:textId="77777777" w:rsidR="00406389" w:rsidRDefault="00406389" w:rsidP="00406389">
      <w:pPr>
        <w:spacing w:line="360" w:lineRule="auto"/>
        <w:jc w:val="both"/>
        <w:rPr>
          <w:b/>
          <w:bCs/>
          <w:u w:val="single"/>
          <w:rtl/>
        </w:rPr>
      </w:pPr>
      <w:r>
        <w:rPr>
          <w:rFonts w:hint="cs"/>
          <w:b/>
          <w:bCs/>
          <w:u w:val="single"/>
          <w:rtl/>
        </w:rPr>
        <w:t>דברו האחרון של הנאשם</w:t>
      </w:r>
    </w:p>
    <w:p w14:paraId="674F67BA" w14:textId="77777777" w:rsidR="00406389" w:rsidRDefault="00406389" w:rsidP="00406389">
      <w:pPr>
        <w:spacing w:line="360" w:lineRule="auto"/>
        <w:jc w:val="both"/>
        <w:rPr>
          <w:rtl/>
        </w:rPr>
      </w:pPr>
      <w:r>
        <w:rPr>
          <w:rFonts w:hint="cs"/>
          <w:rtl/>
        </w:rPr>
        <w:t xml:space="preserve">הנאשם ביקש סליחה על מעשיו, ציין כי אי-שיתוף הפעולה עם שירות-המבחן נבע מחסרון-כיס בלבד והבטיח שלא לשוב לסורו. </w:t>
      </w:r>
    </w:p>
    <w:p w14:paraId="6C4B3DBC" w14:textId="77777777" w:rsidR="00406389" w:rsidRDefault="00406389" w:rsidP="00406389">
      <w:pPr>
        <w:jc w:val="both"/>
        <w:rPr>
          <w:b/>
          <w:bCs/>
          <w:u w:val="single"/>
          <w:rtl/>
        </w:rPr>
      </w:pPr>
    </w:p>
    <w:p w14:paraId="1D8C361B" w14:textId="77777777" w:rsidR="00406389" w:rsidRDefault="00406389" w:rsidP="00406389">
      <w:pPr>
        <w:spacing w:line="360" w:lineRule="auto"/>
        <w:jc w:val="both"/>
        <w:rPr>
          <w:b/>
          <w:bCs/>
          <w:u w:val="single"/>
          <w:rtl/>
        </w:rPr>
      </w:pPr>
      <w:r>
        <w:rPr>
          <w:rFonts w:hint="cs"/>
          <w:b/>
          <w:bCs/>
          <w:u w:val="single"/>
          <w:rtl/>
        </w:rPr>
        <w:t>דיון והכרעה</w:t>
      </w:r>
    </w:p>
    <w:p w14:paraId="2704775C" w14:textId="77777777" w:rsidR="00406389" w:rsidRDefault="00406389" w:rsidP="00406389">
      <w:pPr>
        <w:spacing w:line="360" w:lineRule="auto"/>
        <w:jc w:val="both"/>
        <w:rPr>
          <w:rtl/>
        </w:rPr>
      </w:pPr>
      <w:r>
        <w:rPr>
          <w:rFonts w:hint="cs"/>
          <w:rtl/>
        </w:rPr>
        <w:t xml:space="preserve">הנאשם הורשע בכך שהחזיק ברשותו, בתיק-גב השייך לו, בצמוד לתעודות אישיות שלו 7 אריזות המכילות 701 טבליות של סם מסוכן מסוג </w:t>
      </w:r>
      <w:r>
        <w:t>MDMA</w:t>
      </w:r>
      <w:r>
        <w:rPr>
          <w:rFonts w:hint="cs"/>
          <w:rtl/>
        </w:rPr>
        <w:t xml:space="preserve">. תחילת הדרך בקביעת העונש, הראוי להיות מוטל עליו, עוברת, בהתאם להוראות סימן </w:t>
      </w:r>
      <w:hyperlink r:id="rId22" w:history="1">
        <w:r w:rsidR="00F32987" w:rsidRPr="00F32987">
          <w:rPr>
            <w:color w:val="0000FF"/>
            <w:u w:val="single"/>
            <w:rtl/>
          </w:rPr>
          <w:t>א'1 שבפרק ו'</w:t>
        </w:r>
      </w:hyperlink>
      <w:r>
        <w:rPr>
          <w:rFonts w:hint="cs"/>
          <w:rtl/>
        </w:rPr>
        <w:t xml:space="preserve"> ב</w:t>
      </w:r>
      <w:hyperlink r:id="rId23" w:history="1">
        <w:r w:rsidR="0026558B" w:rsidRPr="0026558B">
          <w:rPr>
            <w:color w:val="0000FF"/>
            <w:u w:val="single"/>
            <w:rtl/>
          </w:rPr>
          <w:t>חוק העונשין</w:t>
        </w:r>
      </w:hyperlink>
      <w:r>
        <w:rPr>
          <w:rFonts w:hint="cs"/>
          <w:rtl/>
        </w:rPr>
        <w:t>, התשל"ז-1977 (להלן: "</w:t>
      </w:r>
      <w:r>
        <w:rPr>
          <w:rFonts w:hint="cs"/>
          <w:b/>
          <w:bCs/>
          <w:rtl/>
        </w:rPr>
        <w:t>חוק העונשין</w:t>
      </w:r>
      <w:r>
        <w:rPr>
          <w:rFonts w:hint="cs"/>
          <w:rtl/>
        </w:rPr>
        <w:t xml:space="preserve">"), בקביעת מתחם העונש ההולם למעשה בהתאם לעקרון המנחה: קיום יחס הולם בין חומרת מעשה העבירה בנסיבותיו ומידת אשמו של הנאשם ובין סוג ומידת העונש המוטל עליו (ראו: </w:t>
      </w:r>
      <w:hyperlink r:id="rId24" w:history="1">
        <w:r w:rsidR="00F32987" w:rsidRPr="00F32987">
          <w:rPr>
            <w:color w:val="0000FF"/>
            <w:u w:val="single"/>
            <w:rtl/>
          </w:rPr>
          <w:t>סעיפים 40ב</w:t>
        </w:r>
      </w:hyperlink>
      <w:r>
        <w:rPr>
          <w:rFonts w:hint="cs"/>
          <w:rtl/>
        </w:rPr>
        <w:t xml:space="preserve"> ו-</w:t>
      </w:r>
      <w:hyperlink r:id="rId25" w:history="1">
        <w:r w:rsidR="00F32987" w:rsidRPr="00F32987">
          <w:rPr>
            <w:color w:val="0000FF"/>
            <w:u w:val="single"/>
            <w:rtl/>
          </w:rPr>
          <w:t>40ג</w:t>
        </w:r>
      </w:hyperlink>
      <w:r>
        <w:rPr>
          <w:rFonts w:hint="cs"/>
          <w:rtl/>
        </w:rPr>
        <w:t xml:space="preserve"> לחוק העונשין).</w:t>
      </w:r>
    </w:p>
    <w:p w14:paraId="7163DE2F" w14:textId="77777777" w:rsidR="00406389" w:rsidRDefault="00406389" w:rsidP="00406389">
      <w:pPr>
        <w:spacing w:line="360" w:lineRule="auto"/>
        <w:jc w:val="both"/>
        <w:rPr>
          <w:rtl/>
        </w:rPr>
      </w:pPr>
      <w:r>
        <w:rPr>
          <w:rFonts w:hint="cs"/>
          <w:rtl/>
        </w:rPr>
        <w:t xml:space="preserve">בבואי לקבוע את מתחם העונש ההולם למעשה העבירה ראוי למפות ולאתר את הערך החברתי שנפגע מביצוע העבירה, מידת הפגיעה בו וכן לברר את מדיניות הענישה הנהוגה בכגון דא. כמו-כן, ראוי להתחשב עת באים לקבוע את המתחם בנסיבות הקשורות בביצוע העבירה. </w:t>
      </w:r>
    </w:p>
    <w:p w14:paraId="1F4FA225" w14:textId="77777777" w:rsidR="00406389" w:rsidRDefault="00406389" w:rsidP="00406389">
      <w:pPr>
        <w:jc w:val="both"/>
        <w:rPr>
          <w:b/>
          <w:bCs/>
          <w:u w:val="single"/>
          <w:rtl/>
        </w:rPr>
      </w:pPr>
    </w:p>
    <w:p w14:paraId="4D0C1CAA" w14:textId="77777777" w:rsidR="00406389" w:rsidRDefault="00406389" w:rsidP="00406389">
      <w:pPr>
        <w:spacing w:line="360" w:lineRule="auto"/>
        <w:jc w:val="both"/>
        <w:rPr>
          <w:b/>
          <w:bCs/>
          <w:u w:val="single"/>
          <w:rtl/>
        </w:rPr>
      </w:pPr>
      <w:r>
        <w:rPr>
          <w:rFonts w:hint="cs"/>
          <w:b/>
          <w:bCs/>
          <w:u w:val="single"/>
          <w:rtl/>
        </w:rPr>
        <w:t xml:space="preserve">הערך החברתי שנפגע ומידת הפגיעה בו </w:t>
      </w:r>
    </w:p>
    <w:p w14:paraId="64B47A93" w14:textId="77777777" w:rsidR="00406389" w:rsidRDefault="00406389" w:rsidP="00406389">
      <w:pPr>
        <w:spacing w:line="360" w:lineRule="auto"/>
        <w:jc w:val="both"/>
        <w:rPr>
          <w:rtl/>
        </w:rPr>
      </w:pPr>
      <w:r>
        <w:rPr>
          <w:rFonts w:hint="cs"/>
          <w:rtl/>
        </w:rPr>
        <w:t xml:space="preserve">מגיפת השימוש בסמים היא תופעה קשה אשר החברה הישראלית מתמודדת עימה מימים ימימה. המשתמשים בסמים נפגעים בריאותית פגיעה קשה ולעיתים אף מקפחים חייהם כתוצאה מתופעות שונות הקשורות לשימוש בסם. הדבר משפיע באורח ישיר על בני-משפחותיהם, על הסובבים אותם ועל החברה בכלל. ההתמכרות מביאה עימה לא פעם תופעות קשות של אלימות, פגיעות ברכוש הזולת, פגיעה קשה במרקם המשפחתי ועוד. מגיפת הסמים איננה יכולה להתקיים בלא מחולליה, הם חברי שרשרת הספקת הסם: היבואנים, הסוחרים, והמחזיקים בסם שלא לצריכה עצמית. כל אחד מאלה, לפי חלקו תורם להתפשטות נגע הסמים ולהידבקות עוד ועוד אנשים בנגע זה. אכן, על חברה שומרת נפשה להוקיעו ולטפל ביד קשה במי שמבקש להפיק 'כסף קל' מתעשיית ייצור, ייבוא ושיווק הסמים. </w:t>
      </w:r>
    </w:p>
    <w:p w14:paraId="7ACF4AEA" w14:textId="77777777" w:rsidR="00406389" w:rsidRDefault="00406389" w:rsidP="00406389">
      <w:pPr>
        <w:spacing w:line="360" w:lineRule="auto"/>
        <w:jc w:val="both"/>
        <w:rPr>
          <w:rtl/>
        </w:rPr>
      </w:pPr>
      <w:r>
        <w:rPr>
          <w:rFonts w:hint="cs"/>
          <w:rtl/>
        </w:rPr>
        <w:t xml:space="preserve">הערך החברתי אשר נפגע פועל יוצא של מעשיהם של כל המעורבים בתעשיית-הסמים ברור – שמירה על בריאות הציבור ועל בטחונו ובטחון רכושו מפני פגעיהם הרעים של המתמכרים לסמים. </w:t>
      </w:r>
    </w:p>
    <w:p w14:paraId="7D79FA53" w14:textId="77777777" w:rsidR="00406389" w:rsidRDefault="00406389" w:rsidP="00406389">
      <w:pPr>
        <w:spacing w:line="360" w:lineRule="auto"/>
        <w:jc w:val="both"/>
        <w:rPr>
          <w:rtl/>
        </w:rPr>
      </w:pPr>
      <w:r>
        <w:rPr>
          <w:rFonts w:hint="cs"/>
          <w:rtl/>
        </w:rPr>
        <w:t xml:space="preserve">ככל שהמדובר בהחזקה של כמות סם גדולה יותר, כך הפגיעה בערך החברתי המוגן משמעותית יותר. </w:t>
      </w:r>
    </w:p>
    <w:p w14:paraId="4B854427" w14:textId="77777777" w:rsidR="00406389" w:rsidRDefault="00406389" w:rsidP="00406389">
      <w:pPr>
        <w:spacing w:line="360" w:lineRule="auto"/>
        <w:jc w:val="both"/>
        <w:rPr>
          <w:rtl/>
        </w:rPr>
      </w:pPr>
      <w:r>
        <w:rPr>
          <w:rFonts w:hint="cs"/>
          <w:rtl/>
        </w:rPr>
        <w:t xml:space="preserve">במקרה שלפניי המדובר באדם, אשר החזיק ברשותו כמות גדולה של סם מסוג </w:t>
      </w:r>
      <w:r>
        <w:t>MDMA</w:t>
      </w:r>
      <w:r>
        <w:rPr>
          <w:rFonts w:hint="cs"/>
          <w:rtl/>
        </w:rPr>
        <w:t xml:space="preserve">, שהוא לכל הדעות סם הרסני וקשה. הנאשם החזיק ברשותו 701 טבליות מהסם האמור (הארוזות ב-7 אריזות נפרדות). האמור בכמות, המאפשרת מאות של מעשי שימוש בסם בידי מאות משתמשים, על כל הנזק, הכרוך בדבר. לפיכך, ולנוכח אופי הסם בו מדובר, ראוי לראות את הפגיעה בערך החברתי המוגן כפגיעה ממשית. </w:t>
      </w:r>
    </w:p>
    <w:p w14:paraId="52946BB3" w14:textId="77777777" w:rsidR="00406389" w:rsidRDefault="00406389" w:rsidP="00406389">
      <w:pPr>
        <w:jc w:val="both"/>
        <w:rPr>
          <w:b/>
          <w:bCs/>
          <w:u w:val="single"/>
          <w:rtl/>
        </w:rPr>
      </w:pPr>
    </w:p>
    <w:p w14:paraId="22F4A292" w14:textId="77777777" w:rsidR="00406389" w:rsidRDefault="00406389" w:rsidP="00406389">
      <w:pPr>
        <w:spacing w:line="360" w:lineRule="auto"/>
        <w:jc w:val="both"/>
        <w:rPr>
          <w:b/>
          <w:bCs/>
          <w:u w:val="single"/>
          <w:rtl/>
        </w:rPr>
      </w:pPr>
      <w:r>
        <w:rPr>
          <w:rFonts w:hint="cs"/>
          <w:b/>
          <w:bCs/>
          <w:u w:val="single"/>
          <w:rtl/>
        </w:rPr>
        <w:t>מדיניות הענישה הנהוגה</w:t>
      </w:r>
    </w:p>
    <w:p w14:paraId="1E0D8E23" w14:textId="77777777" w:rsidR="00406389" w:rsidRDefault="00406389" w:rsidP="00406389">
      <w:pPr>
        <w:spacing w:line="360" w:lineRule="auto"/>
        <w:jc w:val="both"/>
        <w:rPr>
          <w:rtl/>
        </w:rPr>
      </w:pPr>
      <w:r>
        <w:rPr>
          <w:rFonts w:hint="cs"/>
          <w:rtl/>
        </w:rPr>
        <w:t xml:space="preserve">כמפורט לעיל, בתי-המשפט מחמירים, כפועל יוצא של אופי האינטרס החברתי המוגן, עם מי שמשתייך לשרשרת הספקת הסמים והחזקתם. מטרת ההחמרה להרתיע את העבריין עצמו ואת הרבים מפני התפתחות לרווח הקל הנלווה לעיסוק בסמים. עמדה על כך, כב' השופטת פרוקצ'יה, במסגרת </w:t>
      </w:r>
      <w:hyperlink r:id="rId26" w:history="1">
        <w:r w:rsidR="0026558B" w:rsidRPr="0026558B">
          <w:rPr>
            <w:color w:val="0000FF"/>
            <w:u w:val="single"/>
            <w:rtl/>
          </w:rPr>
          <w:t>ע"פ 211/09</w:t>
        </w:r>
      </w:hyperlink>
      <w:r>
        <w:rPr>
          <w:rFonts w:hint="cs"/>
          <w:rtl/>
        </w:rPr>
        <w:t xml:space="preserve"> </w:t>
      </w:r>
      <w:r>
        <w:rPr>
          <w:rFonts w:hint="cs"/>
          <w:b/>
          <w:bCs/>
          <w:rtl/>
        </w:rPr>
        <w:t>אזולאי נ' מדינת ישראל</w:t>
      </w:r>
      <w:r>
        <w:rPr>
          <w:rFonts w:hint="cs"/>
          <w:rtl/>
        </w:rPr>
        <w:t xml:space="preserve"> (ניתן ביום 22.6.10) בציינה כדלהלן: </w:t>
      </w:r>
    </w:p>
    <w:p w14:paraId="0912990E" w14:textId="77777777" w:rsidR="00406389" w:rsidRDefault="00406389" w:rsidP="00406389">
      <w:pPr>
        <w:ind w:left="1088" w:right="1276"/>
        <w:jc w:val="both"/>
        <w:rPr>
          <w:rFonts w:cs="Miriam"/>
          <w:rtl/>
        </w:rPr>
      </w:pPr>
    </w:p>
    <w:p w14:paraId="29865460" w14:textId="77777777" w:rsidR="00406389" w:rsidRDefault="00406389" w:rsidP="00406389">
      <w:pPr>
        <w:spacing w:line="276" w:lineRule="auto"/>
        <w:ind w:left="1088" w:right="1276"/>
        <w:jc w:val="both"/>
        <w:rPr>
          <w:rFonts w:cs="Miriam"/>
          <w:rtl/>
        </w:rPr>
      </w:pPr>
      <w:r>
        <w:rPr>
          <w:rFonts w:cs="Miriam" w:hint="cs"/>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p>
    <w:p w14:paraId="215FB9BF" w14:textId="77777777" w:rsidR="00406389" w:rsidRDefault="00406389" w:rsidP="00406389">
      <w:pPr>
        <w:spacing w:line="360" w:lineRule="auto"/>
        <w:jc w:val="both"/>
        <w:rPr>
          <w:rtl/>
        </w:rPr>
      </w:pPr>
    </w:p>
    <w:p w14:paraId="7065AA2D" w14:textId="77777777" w:rsidR="00406389" w:rsidRDefault="00406389" w:rsidP="00406389">
      <w:pPr>
        <w:spacing w:line="360" w:lineRule="auto"/>
        <w:jc w:val="both"/>
        <w:rPr>
          <w:rtl/>
        </w:rPr>
      </w:pPr>
      <w:r>
        <w:rPr>
          <w:rFonts w:hint="cs"/>
          <w:rtl/>
        </w:rPr>
        <w:t xml:space="preserve">על מנת לשרטט כדבעי את מתחם העונש ההולם בעניינו של הנאשם, עיינתי בפסיקה רחבה העוסקת בעבירה שעניינה החזקת סמים (מהסוג דכאן) שלא לצריכה עצמית. כאן המקום לציין, כי מדיניות הענישה בעבירות בעבירה הנ"ל תלויה </w:t>
      </w:r>
      <w:r>
        <w:rPr>
          <w:rFonts w:hint="cs"/>
          <w:b/>
          <w:bCs/>
          <w:rtl/>
        </w:rPr>
        <w:t xml:space="preserve">בנסיבותיו </w:t>
      </w:r>
      <w:r>
        <w:rPr>
          <w:rFonts w:hint="cs"/>
          <w:rtl/>
        </w:rPr>
        <w:t xml:space="preserve">של כל מקרה ומקרה. במובן זה, נודעת חשיבות מרובה </w:t>
      </w:r>
      <w:r>
        <w:rPr>
          <w:rFonts w:hint="cs"/>
          <w:b/>
          <w:bCs/>
          <w:rtl/>
        </w:rPr>
        <w:t>לסוג הסם</w:t>
      </w:r>
      <w:r>
        <w:rPr>
          <w:rFonts w:hint="cs"/>
          <w:rtl/>
        </w:rPr>
        <w:t xml:space="preserve"> המוחזק </w:t>
      </w:r>
      <w:r>
        <w:rPr>
          <w:rFonts w:hint="cs"/>
          <w:b/>
          <w:bCs/>
          <w:rtl/>
        </w:rPr>
        <w:t xml:space="preserve">ולכמותו </w:t>
      </w:r>
      <w:r>
        <w:rPr>
          <w:rFonts w:hint="cs"/>
          <w:rtl/>
        </w:rPr>
        <w:t xml:space="preserve">(ראו: </w:t>
      </w:r>
      <w:hyperlink r:id="rId27" w:history="1">
        <w:r w:rsidR="0026558B" w:rsidRPr="0026558B">
          <w:rPr>
            <w:color w:val="0000FF"/>
            <w:u w:val="single"/>
            <w:rtl/>
          </w:rPr>
          <w:t>ע"פ 3820/09</w:t>
        </w:r>
      </w:hyperlink>
      <w:r>
        <w:rPr>
          <w:rFonts w:hint="cs"/>
          <w:rtl/>
        </w:rPr>
        <w:t xml:space="preserve"> </w:t>
      </w:r>
      <w:r>
        <w:rPr>
          <w:rFonts w:hint="cs"/>
          <w:b/>
          <w:bCs/>
          <w:rtl/>
        </w:rPr>
        <w:t>מדינת ישראל נ' חיים אוחיון</w:t>
      </w:r>
      <w:r>
        <w:rPr>
          <w:rFonts w:hint="cs"/>
          <w:rtl/>
        </w:rPr>
        <w:t xml:space="preserve">, ניתן ביום 6.9.09). </w:t>
      </w:r>
    </w:p>
    <w:p w14:paraId="073E7FBB" w14:textId="77777777" w:rsidR="00406389" w:rsidRDefault="00406389" w:rsidP="00406389">
      <w:pPr>
        <w:spacing w:line="360" w:lineRule="auto"/>
        <w:jc w:val="both"/>
        <w:rPr>
          <w:rtl/>
        </w:rPr>
      </w:pPr>
    </w:p>
    <w:p w14:paraId="03B6D452" w14:textId="77777777" w:rsidR="00406389" w:rsidRDefault="00406389" w:rsidP="00406389">
      <w:pPr>
        <w:spacing w:line="360" w:lineRule="auto"/>
        <w:jc w:val="both"/>
        <w:rPr>
          <w:rtl/>
          <w:lang w:eastAsia="he-IL"/>
        </w:rPr>
      </w:pPr>
      <w:r>
        <w:rPr>
          <w:rFonts w:hint="cs"/>
          <w:rtl/>
        </w:rPr>
        <w:t xml:space="preserve">כך למשל, </w:t>
      </w:r>
      <w:r>
        <w:rPr>
          <w:rFonts w:hint="cs"/>
          <w:rtl/>
          <w:lang w:eastAsia="he-IL"/>
        </w:rPr>
        <w:t xml:space="preserve">בפרשה שנדונה במסגרת ע"פ </w:t>
      </w:r>
      <w:hyperlink r:id="rId28" w:history="1">
        <w:r w:rsidR="00937D27" w:rsidRPr="00937D27">
          <w:rPr>
            <w:color w:val="0000FF"/>
            <w:u w:val="single"/>
            <w:rtl/>
            <w:lang w:eastAsia="he-IL"/>
          </w:rPr>
          <w:t xml:space="preserve">9978/08 </w:t>
        </w:r>
      </w:hyperlink>
      <w:r>
        <w:rPr>
          <w:rFonts w:hint="cs"/>
          <w:rtl/>
          <w:lang w:eastAsia="he-IL"/>
        </w:rPr>
        <w:t xml:space="preserve"> </w:t>
      </w:r>
      <w:r>
        <w:rPr>
          <w:rFonts w:hint="cs"/>
          <w:b/>
          <w:bCs/>
          <w:rtl/>
          <w:lang w:eastAsia="he-IL"/>
        </w:rPr>
        <w:t xml:space="preserve">בודרם נ' מדינת ישראל </w:t>
      </w:r>
      <w:r>
        <w:rPr>
          <w:rFonts w:hint="cs"/>
          <w:rtl/>
          <w:lang w:eastAsia="he-IL"/>
        </w:rPr>
        <w:t xml:space="preserve">(ניתן ביום 21.4.09) דחה בית המשפט העליון ערעור על גזר דינו של בית המשפט המחוזי בבאר שבע, במסגרתו הושת על המערער (בעל עבר פלילי שלא בעבירות סמים) עונש מאסר </w:t>
      </w:r>
      <w:r>
        <w:rPr>
          <w:rFonts w:hint="cs"/>
          <w:b/>
          <w:bCs/>
          <w:rtl/>
          <w:lang w:eastAsia="he-IL"/>
        </w:rPr>
        <w:t>בן 24 חודשים לריצוי בפועל</w:t>
      </w:r>
      <w:r>
        <w:rPr>
          <w:rFonts w:hint="cs"/>
          <w:b/>
          <w:bCs/>
          <w:lang w:eastAsia="he-IL"/>
        </w:rPr>
        <w:t xml:space="preserve"> </w:t>
      </w:r>
      <w:r>
        <w:rPr>
          <w:rFonts w:hint="cs"/>
          <w:b/>
          <w:bCs/>
          <w:rtl/>
          <w:lang w:eastAsia="he-IL"/>
        </w:rPr>
        <w:t xml:space="preserve">(ופסילה מלהחזיק או לקבל רישיון נהיגה במשך 12 חודשים לאחר שחרורו). </w:t>
      </w:r>
      <w:r>
        <w:rPr>
          <w:rFonts w:hint="cs"/>
          <w:rtl/>
          <w:lang w:eastAsia="he-IL"/>
        </w:rPr>
        <w:t>עונשים אלו הוטלו על המערער</w:t>
      </w:r>
      <w:r>
        <w:rPr>
          <w:rFonts w:hint="cs"/>
          <w:b/>
          <w:bCs/>
          <w:rtl/>
          <w:lang w:eastAsia="he-IL"/>
        </w:rPr>
        <w:t xml:space="preserve"> </w:t>
      </w:r>
      <w:r>
        <w:rPr>
          <w:rFonts w:hint="cs"/>
          <w:rtl/>
          <w:lang w:eastAsia="he-IL"/>
        </w:rPr>
        <w:t xml:space="preserve">בגין ביצועה, על פי הודאתו, של עבירה שעניינה </w:t>
      </w:r>
      <w:r>
        <w:rPr>
          <w:rFonts w:hint="cs"/>
          <w:b/>
          <w:bCs/>
          <w:rtl/>
        </w:rPr>
        <w:t>החזקת סמים שלא לצריכה עצמית</w:t>
      </w:r>
      <w:r>
        <w:rPr>
          <w:rtl/>
        </w:rPr>
        <w:t xml:space="preserve">, </w:t>
      </w:r>
      <w:r>
        <w:rPr>
          <w:rFonts w:hint="cs"/>
          <w:rtl/>
        </w:rPr>
        <w:t xml:space="preserve">לפי </w:t>
      </w:r>
      <w:hyperlink r:id="rId29" w:history="1">
        <w:r w:rsidR="00F32987" w:rsidRPr="00F32987">
          <w:rPr>
            <w:color w:val="0000FF"/>
            <w:u w:val="single"/>
            <w:rtl/>
          </w:rPr>
          <w:t>סעיף 7(א)</w:t>
        </w:r>
      </w:hyperlink>
      <w:r>
        <w:rPr>
          <w:rFonts w:hint="cs"/>
          <w:rtl/>
        </w:rPr>
        <w:t xml:space="preserve"> ו-</w:t>
      </w:r>
      <w:r w:rsidR="00A576A4">
        <w:rPr>
          <w:rFonts w:hint="cs"/>
          <w:rtl/>
        </w:rPr>
        <w:t xml:space="preserve"> </w:t>
      </w:r>
      <w:hyperlink r:id="rId30" w:history="1">
        <w:r w:rsidR="00A576A4" w:rsidRPr="00A576A4">
          <w:rPr>
            <w:color w:val="0000FF"/>
            <w:u w:val="single"/>
            <w:rtl/>
          </w:rPr>
          <w:t>7(ג)</w:t>
        </w:r>
      </w:hyperlink>
      <w:r>
        <w:rPr>
          <w:rFonts w:hint="cs"/>
          <w:rtl/>
        </w:rPr>
        <w:t xml:space="preserve"> רישא ל</w:t>
      </w:r>
      <w:hyperlink r:id="rId31" w:history="1">
        <w:r w:rsidR="0026558B" w:rsidRPr="0026558B">
          <w:rPr>
            <w:color w:val="0000FF"/>
            <w:u w:val="single"/>
            <w:rtl/>
          </w:rPr>
          <w:t>פקודת הסמים המסוכנים</w:t>
        </w:r>
      </w:hyperlink>
      <w:r>
        <w:rPr>
          <w:rFonts w:hint="cs"/>
          <w:rtl/>
        </w:rPr>
        <w:t xml:space="preserve">. עובדות מקרה זה לימדו, כי בחודש מאי 2008 נמצא המערער מחזיק בכיסו ובמקום מגוריו </w:t>
      </w:r>
      <w:r>
        <w:rPr>
          <w:rFonts w:hint="cs"/>
          <w:b/>
          <w:bCs/>
          <w:rtl/>
        </w:rPr>
        <w:t xml:space="preserve">242 טבליות של סם מסוכן מסוג </w:t>
      </w:r>
      <w:r>
        <w:rPr>
          <w:b/>
          <w:bCs/>
        </w:rPr>
        <w:t>MDMA</w:t>
      </w:r>
      <w:r>
        <w:rPr>
          <w:rFonts w:hint="cs"/>
          <w:b/>
          <w:bCs/>
          <w:rtl/>
        </w:rPr>
        <w:t>,</w:t>
      </w:r>
      <w:r>
        <w:rPr>
          <w:rFonts w:hint="cs"/>
          <w:rtl/>
        </w:rPr>
        <w:t xml:space="preserve"> וכ-1.98 גרם של אבקת חשיש</w:t>
      </w:r>
      <w:r>
        <w:rPr>
          <w:rFonts w:hint="cs"/>
          <w:rtl/>
          <w:lang w:eastAsia="he-IL"/>
        </w:rPr>
        <w:t xml:space="preserve">. </w:t>
      </w:r>
    </w:p>
    <w:p w14:paraId="17FC07C9" w14:textId="77777777" w:rsidR="00406389" w:rsidRDefault="00406389" w:rsidP="00406389">
      <w:pPr>
        <w:spacing w:line="360" w:lineRule="auto"/>
        <w:jc w:val="both"/>
        <w:rPr>
          <w:rtl/>
          <w:lang w:eastAsia="he-IL"/>
        </w:rPr>
      </w:pPr>
    </w:p>
    <w:p w14:paraId="3AC37420" w14:textId="77777777" w:rsidR="00406389" w:rsidRDefault="00406389" w:rsidP="00406389">
      <w:pPr>
        <w:spacing w:line="360" w:lineRule="auto"/>
        <w:jc w:val="both"/>
        <w:rPr>
          <w:rtl/>
          <w:lang w:eastAsia="he-IL"/>
        </w:rPr>
      </w:pPr>
      <w:r>
        <w:rPr>
          <w:rFonts w:hint="cs"/>
          <w:rtl/>
          <w:lang w:eastAsia="he-IL"/>
        </w:rPr>
        <w:t xml:space="preserve">בפרשה שנדונה במסגרת </w:t>
      </w:r>
      <w:hyperlink r:id="rId32" w:history="1">
        <w:r w:rsidR="0026558B" w:rsidRPr="0026558B">
          <w:rPr>
            <w:color w:val="0000FF"/>
            <w:u w:val="single"/>
            <w:rtl/>
            <w:lang w:eastAsia="he-IL"/>
          </w:rPr>
          <w:t>ע"פ 6931-08-09</w:t>
        </w:r>
      </w:hyperlink>
      <w:r>
        <w:rPr>
          <w:rFonts w:hint="cs"/>
          <w:rtl/>
          <w:lang w:eastAsia="he-IL"/>
        </w:rPr>
        <w:t xml:space="preserve"> </w:t>
      </w:r>
      <w:r>
        <w:rPr>
          <w:rFonts w:hint="cs"/>
          <w:b/>
          <w:bCs/>
          <w:rtl/>
          <w:lang w:eastAsia="he-IL"/>
        </w:rPr>
        <w:t xml:space="preserve">עייש נ' מדינת ישראל </w:t>
      </w:r>
      <w:r>
        <w:rPr>
          <w:rFonts w:hint="cs"/>
          <w:rtl/>
          <w:lang w:eastAsia="he-IL"/>
        </w:rPr>
        <w:t xml:space="preserve">(ניתן ביום 29.4.10) דחה בית המשפט המחוזי בחיפה  ערעור על פסק דינו של בית משפט השלום בעכו, במסגרתו הושת על המערער עונש מאסר </w:t>
      </w:r>
      <w:r>
        <w:rPr>
          <w:rFonts w:hint="cs"/>
          <w:b/>
          <w:bCs/>
          <w:rtl/>
          <w:lang w:eastAsia="he-IL"/>
        </w:rPr>
        <w:t xml:space="preserve">בן 48 חודשים לריצוי בפועל, </w:t>
      </w:r>
      <w:r>
        <w:rPr>
          <w:rFonts w:hint="cs"/>
          <w:rtl/>
          <w:lang w:eastAsia="he-IL"/>
        </w:rPr>
        <w:t>יחד עם עונשים נלווים נוספים</w:t>
      </w:r>
      <w:r>
        <w:rPr>
          <w:rFonts w:hint="cs"/>
          <w:b/>
          <w:bCs/>
          <w:lang w:eastAsia="he-IL"/>
        </w:rPr>
        <w:t xml:space="preserve"> </w:t>
      </w:r>
      <w:r>
        <w:rPr>
          <w:rFonts w:hint="cs"/>
          <w:b/>
          <w:bCs/>
          <w:rtl/>
          <w:lang w:eastAsia="he-IL"/>
        </w:rPr>
        <w:t xml:space="preserve">(בנוסף, הופעל במצטבר עונש מאסר מותנה בן שנתיים, כך שבסך בכל על המערער לרצות שש שנים בפועל). </w:t>
      </w:r>
      <w:r>
        <w:rPr>
          <w:rFonts w:hint="cs"/>
          <w:rtl/>
          <w:lang w:eastAsia="he-IL"/>
        </w:rPr>
        <w:t>במסגרת העונשים הנוספים</w:t>
      </w:r>
      <w:r>
        <w:rPr>
          <w:rFonts w:hint="cs"/>
          <w:b/>
          <w:bCs/>
          <w:rtl/>
          <w:lang w:eastAsia="he-IL"/>
        </w:rPr>
        <w:t xml:space="preserve">, המערער נפסל מלהחזיק או לקבל רישיון נהיגה במשך 36 חודשים לאחר שחרורו. </w:t>
      </w:r>
      <w:r>
        <w:rPr>
          <w:rFonts w:hint="cs"/>
          <w:rtl/>
          <w:lang w:eastAsia="he-IL"/>
        </w:rPr>
        <w:t>עונשים אלו הוטלו על המערער</w:t>
      </w:r>
      <w:r>
        <w:rPr>
          <w:rFonts w:hint="cs"/>
          <w:b/>
          <w:bCs/>
          <w:rtl/>
          <w:lang w:eastAsia="he-IL"/>
        </w:rPr>
        <w:t xml:space="preserve"> </w:t>
      </w:r>
      <w:r>
        <w:rPr>
          <w:rFonts w:hint="cs"/>
          <w:rtl/>
          <w:lang w:eastAsia="he-IL"/>
        </w:rPr>
        <w:t xml:space="preserve">בגין ביצועה  של עבירה שעניינה </w:t>
      </w:r>
      <w:r>
        <w:rPr>
          <w:rFonts w:hint="cs"/>
          <w:b/>
          <w:bCs/>
          <w:rtl/>
        </w:rPr>
        <w:t>החזקת סמים שלא לצריכה עצמית</w:t>
      </w:r>
      <w:r>
        <w:rPr>
          <w:rtl/>
        </w:rPr>
        <w:t xml:space="preserve">, </w:t>
      </w:r>
      <w:r>
        <w:rPr>
          <w:rFonts w:hint="cs"/>
          <w:rtl/>
        </w:rPr>
        <w:t xml:space="preserve">לפי </w:t>
      </w:r>
      <w:hyperlink r:id="rId33" w:history="1">
        <w:r w:rsidR="00F32987" w:rsidRPr="00F32987">
          <w:rPr>
            <w:color w:val="0000FF"/>
            <w:u w:val="single"/>
            <w:rtl/>
          </w:rPr>
          <w:t>סעיף 7(א)</w:t>
        </w:r>
      </w:hyperlink>
      <w:r>
        <w:rPr>
          <w:rFonts w:hint="cs"/>
          <w:rtl/>
        </w:rPr>
        <w:t xml:space="preserve"> ו-</w:t>
      </w:r>
      <w:r w:rsidR="00A576A4">
        <w:rPr>
          <w:rFonts w:hint="cs"/>
          <w:rtl/>
        </w:rPr>
        <w:t xml:space="preserve"> </w:t>
      </w:r>
      <w:hyperlink r:id="rId34" w:history="1">
        <w:r w:rsidR="00A576A4" w:rsidRPr="00A576A4">
          <w:rPr>
            <w:color w:val="0000FF"/>
            <w:u w:val="single"/>
            <w:rtl/>
          </w:rPr>
          <w:t>7(ג)</w:t>
        </w:r>
      </w:hyperlink>
      <w:r>
        <w:rPr>
          <w:rFonts w:hint="cs"/>
          <w:rtl/>
        </w:rPr>
        <w:t xml:space="preserve"> רישא ל</w:t>
      </w:r>
      <w:hyperlink r:id="rId35" w:history="1">
        <w:r w:rsidR="0026558B" w:rsidRPr="0026558B">
          <w:rPr>
            <w:color w:val="0000FF"/>
            <w:u w:val="single"/>
            <w:rtl/>
          </w:rPr>
          <w:t>פקודת הסמים המסוכנים</w:t>
        </w:r>
      </w:hyperlink>
      <w:r>
        <w:rPr>
          <w:rFonts w:hint="cs"/>
          <w:rtl/>
        </w:rPr>
        <w:t xml:space="preserve">. עובדות מקרה זה לימדו, כי </w:t>
      </w:r>
      <w:r>
        <w:rPr>
          <w:rFonts w:ascii="Arial" w:hAnsi="Arial" w:hint="cs"/>
          <w:rtl/>
        </w:rPr>
        <w:t>המערער (</w:t>
      </w:r>
      <w:r>
        <w:rPr>
          <w:rFonts w:ascii="Arial" w:hAnsi="Arial" w:hint="cs"/>
          <w:b/>
          <w:bCs/>
          <w:u w:val="single"/>
          <w:rtl/>
        </w:rPr>
        <w:t>בעל עבר פלילי מכביד ביותר</w:t>
      </w:r>
      <w:r>
        <w:rPr>
          <w:rFonts w:ascii="Arial" w:hAnsi="Arial" w:hint="cs"/>
          <w:b/>
          <w:bCs/>
          <w:rtl/>
        </w:rPr>
        <w:t>)</w:t>
      </w:r>
      <w:r>
        <w:rPr>
          <w:rFonts w:ascii="Arial" w:hAnsi="Arial" w:hint="cs"/>
          <w:rtl/>
        </w:rPr>
        <w:t xml:space="preserve"> החזיק בביתו שבעכו, </w:t>
      </w:r>
      <w:r>
        <w:rPr>
          <w:rFonts w:hint="cs"/>
          <w:b/>
          <w:bCs/>
          <w:rtl/>
        </w:rPr>
        <w:t xml:space="preserve">734 כדורים מסוג </w:t>
      </w:r>
      <w:r>
        <w:rPr>
          <w:b/>
          <w:bCs/>
        </w:rPr>
        <w:t>MDMA</w:t>
      </w:r>
      <w:r>
        <w:rPr>
          <w:rFonts w:hint="cs"/>
          <w:b/>
          <w:bCs/>
          <w:rtl/>
        </w:rPr>
        <w:t>,</w:t>
      </w:r>
      <w:r>
        <w:rPr>
          <w:rFonts w:hint="cs"/>
          <w:rtl/>
        </w:rPr>
        <w:t xml:space="preserve"> שלא לצריכה עצמית בלבד וללא היתר כדין. כאן המקום לציין, כי פרשה זו נכללה במסגרת </w:t>
      </w:r>
      <w:hyperlink r:id="rId36" w:history="1">
        <w:r w:rsidR="0026558B" w:rsidRPr="0026558B">
          <w:rPr>
            <w:color w:val="0000FF"/>
            <w:u w:val="single"/>
            <w:rtl/>
          </w:rPr>
          <w:t>רע"פ 10141/09</w:t>
        </w:r>
      </w:hyperlink>
      <w:r>
        <w:rPr>
          <w:rFonts w:hint="cs"/>
          <w:rtl/>
        </w:rPr>
        <w:t xml:space="preserve"> </w:t>
      </w:r>
      <w:r>
        <w:rPr>
          <w:rFonts w:hint="cs"/>
          <w:b/>
          <w:bCs/>
          <w:rtl/>
        </w:rPr>
        <w:t>בן חיים נ' מדינת ישראל</w:t>
      </w:r>
      <w:r>
        <w:rPr>
          <w:rFonts w:hint="cs"/>
          <w:rtl/>
        </w:rPr>
        <w:t xml:space="preserve"> (ניתן 6.3.12), הלוא היא "הלכת בן חיים". עם זאת בהתייחסו למקרה הקונקרטי של המערער, לא מצא בית המשפט העליון להיעתר לבקשתו.   </w:t>
      </w:r>
    </w:p>
    <w:p w14:paraId="774ABBC0" w14:textId="77777777" w:rsidR="00406389" w:rsidRDefault="00406389" w:rsidP="00406389">
      <w:pPr>
        <w:spacing w:line="360" w:lineRule="auto"/>
        <w:jc w:val="both"/>
        <w:rPr>
          <w:rtl/>
          <w:lang w:eastAsia="he-IL"/>
        </w:rPr>
      </w:pPr>
    </w:p>
    <w:p w14:paraId="0911A393" w14:textId="77777777" w:rsidR="00406389" w:rsidRDefault="00406389" w:rsidP="009A1B6D">
      <w:pPr>
        <w:spacing w:line="360" w:lineRule="auto"/>
        <w:jc w:val="both"/>
        <w:rPr>
          <w:b/>
          <w:bCs/>
          <w:rtl/>
        </w:rPr>
      </w:pPr>
      <w:r>
        <w:rPr>
          <w:rFonts w:hint="cs"/>
          <w:rtl/>
          <w:lang w:eastAsia="he-IL"/>
        </w:rPr>
        <w:t xml:space="preserve">בפרשה שנדונה במסגרת ע"פ </w:t>
      </w:r>
      <w:hyperlink r:id="rId37" w:history="1">
        <w:r w:rsidR="00937D27" w:rsidRPr="00937D27">
          <w:rPr>
            <w:color w:val="0000FF"/>
            <w:u w:val="single"/>
            <w:rtl/>
            <w:lang w:eastAsia="he-IL"/>
          </w:rPr>
          <w:t xml:space="preserve">8731/12 </w:t>
        </w:r>
      </w:hyperlink>
      <w:r>
        <w:rPr>
          <w:rFonts w:hint="cs"/>
          <w:rtl/>
          <w:lang w:eastAsia="he-IL"/>
        </w:rPr>
        <w:t xml:space="preserve"> </w:t>
      </w:r>
      <w:r>
        <w:rPr>
          <w:rFonts w:hint="cs"/>
          <w:b/>
          <w:bCs/>
          <w:rtl/>
          <w:lang w:eastAsia="he-IL"/>
        </w:rPr>
        <w:t>לוגסי נ' מדינת ישראל</w:t>
      </w:r>
      <w:r>
        <w:rPr>
          <w:rFonts w:hint="cs"/>
          <w:rtl/>
          <w:lang w:eastAsia="he-IL"/>
        </w:rPr>
        <w:t xml:space="preserve"> (ניתן ביום 11.4.13) דחה בית המשפט העליון ערעור על גזר דינו של בית המשפט המחוזי בחיפה, במסגרתו הושת על המערער עונש מאסר </w:t>
      </w:r>
      <w:r>
        <w:rPr>
          <w:rFonts w:hint="cs"/>
          <w:b/>
          <w:bCs/>
          <w:rtl/>
          <w:lang w:eastAsia="he-IL"/>
        </w:rPr>
        <w:t xml:space="preserve">בן 22 חודשים לריצוי בפועל </w:t>
      </w:r>
      <w:r>
        <w:rPr>
          <w:rFonts w:hint="cs"/>
          <w:rtl/>
        </w:rPr>
        <w:t xml:space="preserve">(הופעל גם מאסר על תנאי אך מתוך התחשבות </w:t>
      </w:r>
      <w:r>
        <w:rPr>
          <w:rFonts w:hint="cs"/>
          <w:b/>
          <w:bCs/>
          <w:rtl/>
        </w:rPr>
        <w:t>במצבו הנפשי של המערער</w:t>
      </w:r>
      <w:r>
        <w:rPr>
          <w:rFonts w:hint="cs"/>
          <w:rtl/>
        </w:rPr>
        <w:t xml:space="preserve"> נקבע כי זה ירוצה בחופף עם מאסרו הנוכחי). </w:t>
      </w:r>
      <w:r>
        <w:rPr>
          <w:rFonts w:hint="cs"/>
          <w:rtl/>
          <w:lang w:eastAsia="he-IL"/>
        </w:rPr>
        <w:t>עונש זה הוטל על המערער</w:t>
      </w:r>
      <w:r>
        <w:rPr>
          <w:rFonts w:hint="cs"/>
          <w:b/>
          <w:bCs/>
          <w:rtl/>
          <w:lang w:eastAsia="he-IL"/>
        </w:rPr>
        <w:t xml:space="preserve"> </w:t>
      </w:r>
      <w:r>
        <w:rPr>
          <w:rFonts w:hint="cs"/>
          <w:rtl/>
          <w:lang w:eastAsia="he-IL"/>
        </w:rPr>
        <w:t xml:space="preserve">בגין ביצוען, על פי הודאתו, של עבירות שעניינן </w:t>
      </w:r>
      <w:r>
        <w:rPr>
          <w:rFonts w:hint="cs"/>
          <w:b/>
          <w:bCs/>
          <w:rtl/>
        </w:rPr>
        <w:t>החזקת סמים שלא לצריכה עצמית</w:t>
      </w:r>
      <w:r>
        <w:rPr>
          <w:rFonts w:hint="cs"/>
          <w:rtl/>
        </w:rPr>
        <w:t xml:space="preserve">, לפי </w:t>
      </w:r>
      <w:hyperlink r:id="rId38" w:history="1">
        <w:r w:rsidR="009A1B6D" w:rsidRPr="009A1B6D">
          <w:rPr>
            <w:color w:val="0000FF"/>
            <w:u w:val="single"/>
            <w:rtl/>
          </w:rPr>
          <w:t>סעיף 7(א)</w:t>
        </w:r>
      </w:hyperlink>
      <w:r>
        <w:rPr>
          <w:rFonts w:hint="cs"/>
          <w:rtl/>
        </w:rPr>
        <w:t xml:space="preserve"> ו-</w:t>
      </w:r>
      <w:r w:rsidR="00A576A4">
        <w:rPr>
          <w:rFonts w:hint="cs"/>
          <w:rtl/>
        </w:rPr>
        <w:t xml:space="preserve"> </w:t>
      </w:r>
      <w:hyperlink r:id="rId39" w:history="1">
        <w:r w:rsidR="00A576A4" w:rsidRPr="00A576A4">
          <w:rPr>
            <w:color w:val="0000FF"/>
            <w:u w:val="single"/>
            <w:rtl/>
          </w:rPr>
          <w:t>7(ג)</w:t>
        </w:r>
      </w:hyperlink>
      <w:r>
        <w:rPr>
          <w:rFonts w:hint="cs"/>
          <w:rtl/>
        </w:rPr>
        <w:t xml:space="preserve"> רישא ל</w:t>
      </w:r>
      <w:hyperlink r:id="rId40" w:history="1">
        <w:r w:rsidR="0026558B" w:rsidRPr="0026558B">
          <w:rPr>
            <w:color w:val="0000FF"/>
            <w:u w:val="single"/>
            <w:rtl/>
          </w:rPr>
          <w:t>פקודת הסמים המסוכנים</w:t>
        </w:r>
      </w:hyperlink>
      <w:r>
        <w:rPr>
          <w:rFonts w:hint="cs"/>
          <w:rtl/>
        </w:rPr>
        <w:t>; שיבוש מהלכי משפט,</w:t>
      </w:r>
      <w:r>
        <w:rPr>
          <w:rFonts w:hint="cs"/>
        </w:rPr>
        <w:t xml:space="preserve"> </w:t>
      </w:r>
      <w:r>
        <w:rPr>
          <w:rFonts w:hint="cs"/>
          <w:rtl/>
        </w:rPr>
        <w:t xml:space="preserve">לפי </w:t>
      </w:r>
      <w:hyperlink r:id="rId41" w:history="1">
        <w:r w:rsidR="009A1B6D" w:rsidRPr="009A1B6D">
          <w:rPr>
            <w:rStyle w:val="Hyperlink"/>
            <w:rFonts w:hint="eastAsia"/>
            <w:color w:val="0000FF"/>
            <w:rtl/>
          </w:rPr>
          <w:t>סעיף</w:t>
        </w:r>
        <w:r w:rsidR="009A1B6D" w:rsidRPr="009A1B6D">
          <w:rPr>
            <w:rStyle w:val="Hyperlink"/>
            <w:color w:val="0000FF"/>
            <w:rtl/>
          </w:rPr>
          <w:t xml:space="preserve"> 244</w:t>
        </w:r>
      </w:hyperlink>
      <w:r>
        <w:rPr>
          <w:rFonts w:hint="cs"/>
          <w:rtl/>
        </w:rPr>
        <w:t xml:space="preserve"> ל</w:t>
      </w:r>
      <w:hyperlink r:id="rId42" w:history="1">
        <w:r w:rsidR="0026558B" w:rsidRPr="0026558B">
          <w:rPr>
            <w:color w:val="0000FF"/>
            <w:u w:val="single"/>
            <w:rtl/>
          </w:rPr>
          <w:t>חוק העונשין</w:t>
        </w:r>
      </w:hyperlink>
      <w:r>
        <w:rPr>
          <w:rFonts w:hint="cs"/>
          <w:rtl/>
        </w:rPr>
        <w:t>; הפרעה לשוטר בשעת מילוי תפקידו,</w:t>
      </w:r>
      <w:r>
        <w:rPr>
          <w:rFonts w:hint="cs"/>
        </w:rPr>
        <w:t xml:space="preserve"> </w:t>
      </w:r>
      <w:r>
        <w:rPr>
          <w:rFonts w:hint="cs"/>
          <w:rtl/>
        </w:rPr>
        <w:t xml:space="preserve">לפי </w:t>
      </w:r>
      <w:hyperlink r:id="rId43" w:history="1">
        <w:r w:rsidR="009A1B6D" w:rsidRPr="009A1B6D">
          <w:rPr>
            <w:rStyle w:val="Hyperlink"/>
            <w:rFonts w:hint="eastAsia"/>
            <w:color w:val="0000FF"/>
            <w:rtl/>
          </w:rPr>
          <w:t>סעיף</w:t>
        </w:r>
        <w:r w:rsidR="009A1B6D" w:rsidRPr="009A1B6D">
          <w:rPr>
            <w:rStyle w:val="Hyperlink"/>
            <w:color w:val="0000FF"/>
            <w:rtl/>
          </w:rPr>
          <w:t xml:space="preserve"> 275</w:t>
        </w:r>
      </w:hyperlink>
      <w:r>
        <w:rPr>
          <w:rFonts w:hint="cs"/>
          <w:rtl/>
        </w:rPr>
        <w:t xml:space="preserve"> לחוק העונשין; החזקה ושימוש בסם לצריכה עצמית (לפי </w:t>
      </w:r>
      <w:hyperlink r:id="rId44" w:history="1">
        <w:r w:rsidR="009A1B6D" w:rsidRPr="009A1B6D">
          <w:rPr>
            <w:rStyle w:val="Hyperlink"/>
            <w:rFonts w:hint="eastAsia"/>
            <w:color w:val="0000FF"/>
            <w:rtl/>
          </w:rPr>
          <w:t>סעיפים</w:t>
        </w:r>
        <w:r w:rsidR="009A1B6D" w:rsidRPr="009A1B6D">
          <w:rPr>
            <w:rStyle w:val="Hyperlink"/>
            <w:color w:val="0000FF"/>
            <w:rtl/>
          </w:rPr>
          <w:t xml:space="preserve"> 7(א)</w:t>
        </w:r>
      </w:hyperlink>
      <w:r>
        <w:rPr>
          <w:rFonts w:hint="cs"/>
          <w:rtl/>
        </w:rPr>
        <w:t xml:space="preserve"> ו-</w:t>
      </w:r>
      <w:hyperlink r:id="rId45" w:history="1">
        <w:r w:rsidR="009A1B6D" w:rsidRPr="009A1B6D">
          <w:rPr>
            <w:rStyle w:val="Hyperlink"/>
            <w:color w:val="0000FF"/>
            <w:rtl/>
          </w:rPr>
          <w:t>7(ג)</w:t>
        </w:r>
      </w:hyperlink>
      <w:r>
        <w:rPr>
          <w:rFonts w:hint="cs"/>
          <w:rtl/>
        </w:rPr>
        <w:t xml:space="preserve"> סיפא לפקודת הסמים המסוכנים).</w:t>
      </w:r>
      <w:r>
        <w:rPr>
          <w:rFonts w:hint="cs"/>
        </w:rPr>
        <w:t xml:space="preserve"> </w:t>
      </w:r>
      <w:r>
        <w:rPr>
          <w:rFonts w:hint="cs"/>
          <w:rtl/>
        </w:rPr>
        <w:t>עובדות מקרה זה לימדו,</w:t>
      </w:r>
      <w:r>
        <w:rPr>
          <w:rFonts w:hint="cs"/>
          <w:rtl/>
          <w:lang w:eastAsia="he-IL"/>
        </w:rPr>
        <w:t xml:space="preserve"> </w:t>
      </w:r>
      <w:r>
        <w:rPr>
          <w:rFonts w:hint="cs"/>
          <w:rtl/>
        </w:rPr>
        <w:t xml:space="preserve">על-פי האישום הראשון, המערער נסע ברכב ביחד עם אחר, כשהוא מחזיק בחבילה ובה </w:t>
      </w:r>
      <w:r>
        <w:rPr>
          <w:rFonts w:hint="cs"/>
          <w:b/>
          <w:bCs/>
          <w:rtl/>
        </w:rPr>
        <w:t xml:space="preserve">992 טבליות של סם מסוכן מסוג </w:t>
      </w:r>
      <w:r>
        <w:rPr>
          <w:b/>
          <w:bCs/>
        </w:rPr>
        <w:t>MDMA</w:t>
      </w:r>
      <w:r>
        <w:rPr>
          <w:rFonts w:hint="cs"/>
          <w:rtl/>
        </w:rPr>
        <w:t xml:space="preserve">. לאחר שהרכב עורר את חשדם של שוטרים שנסעו במקום, הם סימנו לו לעצור. נהג הרכב המשיך בנהיגה, ואילו המערער השליך את החבילה שהייתה ברשותו. לבסוף עצר הנהג והשניים נעצרו. בהמשך לכך, בזמן המעצר, הורה המערער לחברו שלא לומר כי החבילה שנזרקה שייכת לו. האישום השני לימד כי במסגרת חיפוש שנערך בביתו של המערער, לאחר מעצרו. נמצאו בדירתו סם מסוכן מסוג </w:t>
      </w:r>
      <w:r>
        <w:rPr>
          <w:rFonts w:hint="cs"/>
          <w:b/>
          <w:bCs/>
          <w:rtl/>
        </w:rPr>
        <w:t xml:space="preserve">חשיש במשקל של </w:t>
      </w:r>
      <w:smartTag w:uri="urn:schemas-microsoft-com:office:smarttags" w:element="metricconverter">
        <w:smartTagPr>
          <w:attr w:name="ProductID" w:val="92.8 גרם"/>
        </w:smartTagPr>
        <w:r>
          <w:rPr>
            <w:rFonts w:hint="cs"/>
            <w:b/>
            <w:bCs/>
            <w:rtl/>
          </w:rPr>
          <w:t>92.8 גרם</w:t>
        </w:r>
      </w:smartTag>
      <w:r>
        <w:rPr>
          <w:rFonts w:hint="cs"/>
          <w:rtl/>
        </w:rPr>
        <w:t xml:space="preserve"> וקופסה המכילה </w:t>
      </w:r>
      <w:r>
        <w:rPr>
          <w:rFonts w:hint="cs"/>
          <w:b/>
          <w:bCs/>
          <w:rtl/>
        </w:rPr>
        <w:t xml:space="preserve">500 ריבועי נייר של סם מסוכן מסוג </w:t>
      </w:r>
      <w:r>
        <w:rPr>
          <w:b/>
          <w:bCs/>
        </w:rPr>
        <w:t>LSD</w:t>
      </w:r>
      <w:r w:rsidRPr="00B52538">
        <w:rPr>
          <w:rFonts w:hint="cs"/>
          <w:rtl/>
        </w:rPr>
        <w:t>.</w:t>
      </w:r>
    </w:p>
    <w:p w14:paraId="04BCE465" w14:textId="77777777" w:rsidR="00406389" w:rsidRDefault="00406389" w:rsidP="00406389">
      <w:pPr>
        <w:spacing w:line="360" w:lineRule="auto"/>
        <w:jc w:val="both"/>
        <w:rPr>
          <w:b/>
          <w:bCs/>
          <w:rtl/>
        </w:rPr>
      </w:pPr>
    </w:p>
    <w:p w14:paraId="5D92ADB0" w14:textId="77777777" w:rsidR="00406389" w:rsidRDefault="00406389" w:rsidP="00406389">
      <w:pPr>
        <w:spacing w:line="360" w:lineRule="auto"/>
        <w:jc w:val="both"/>
        <w:rPr>
          <w:rtl/>
        </w:rPr>
      </w:pPr>
      <w:r>
        <w:rPr>
          <w:rFonts w:hint="cs"/>
          <w:rtl/>
          <w:lang w:eastAsia="he-IL"/>
        </w:rPr>
        <w:t xml:space="preserve">בפרשה נוספת שנדונה במסגרת </w:t>
      </w:r>
      <w:hyperlink r:id="rId46" w:history="1">
        <w:r w:rsidR="0026558B" w:rsidRPr="0026558B">
          <w:rPr>
            <w:color w:val="0000FF"/>
            <w:u w:val="single"/>
            <w:rtl/>
            <w:lang w:eastAsia="he-IL"/>
          </w:rPr>
          <w:t>ע"פ 1932/15</w:t>
        </w:r>
      </w:hyperlink>
      <w:r>
        <w:rPr>
          <w:rFonts w:hint="cs"/>
          <w:rtl/>
          <w:lang w:eastAsia="he-IL"/>
        </w:rPr>
        <w:t xml:space="preserve"> </w:t>
      </w:r>
      <w:r>
        <w:rPr>
          <w:rFonts w:hint="cs"/>
          <w:b/>
          <w:bCs/>
          <w:rtl/>
          <w:lang w:eastAsia="he-IL"/>
        </w:rPr>
        <w:t>בן סעדון נ' מדינת ישראל</w:t>
      </w:r>
      <w:r>
        <w:rPr>
          <w:rFonts w:hint="cs"/>
          <w:rtl/>
          <w:lang w:eastAsia="he-IL"/>
        </w:rPr>
        <w:t xml:space="preserve"> (ניתן ביום 17.4.16) דחה בית המשפט העליון ערעור על גזר דינו של בית המשפט המחוזי בחיפה, במסגרתו הושת על המערער עונש מאסר </w:t>
      </w:r>
      <w:r>
        <w:rPr>
          <w:rFonts w:hint="cs"/>
          <w:b/>
          <w:bCs/>
          <w:rtl/>
          <w:lang w:eastAsia="he-IL"/>
        </w:rPr>
        <w:t xml:space="preserve">בן 42 חודשים לריצוי בפועל </w:t>
      </w:r>
      <w:r>
        <w:rPr>
          <w:rFonts w:hint="cs"/>
          <w:rtl/>
        </w:rPr>
        <w:t xml:space="preserve">ביחד עם עונשים נלווים נוספים. </w:t>
      </w:r>
      <w:r>
        <w:rPr>
          <w:rFonts w:hint="cs"/>
          <w:rtl/>
          <w:lang w:eastAsia="he-IL"/>
        </w:rPr>
        <w:t>עונש זה הוטל על המערער</w:t>
      </w:r>
      <w:r>
        <w:rPr>
          <w:rFonts w:hint="cs"/>
          <w:b/>
          <w:bCs/>
          <w:rtl/>
          <w:lang w:eastAsia="he-IL"/>
        </w:rPr>
        <w:t xml:space="preserve"> </w:t>
      </w:r>
      <w:r>
        <w:rPr>
          <w:rFonts w:hint="cs"/>
          <w:rtl/>
          <w:lang w:eastAsia="he-IL"/>
        </w:rPr>
        <w:t xml:space="preserve">בגין ביצוען, על פי הודאתו, של עבירות שעניינן </w:t>
      </w:r>
      <w:r>
        <w:rPr>
          <w:rFonts w:hint="cs"/>
          <w:b/>
          <w:bCs/>
          <w:rtl/>
        </w:rPr>
        <w:t>החזקת סמים שלא לצריכה עצמית</w:t>
      </w:r>
      <w:r>
        <w:rPr>
          <w:rFonts w:hint="cs"/>
          <w:rtl/>
        </w:rPr>
        <w:t xml:space="preserve">, לפי </w:t>
      </w:r>
      <w:hyperlink r:id="rId47" w:history="1">
        <w:r w:rsidR="009A1B6D" w:rsidRPr="009A1B6D">
          <w:rPr>
            <w:rStyle w:val="Hyperlink"/>
            <w:rFonts w:hint="eastAsia"/>
            <w:color w:val="0000FF"/>
            <w:rtl/>
          </w:rPr>
          <w:t>סעיף</w:t>
        </w:r>
        <w:r w:rsidR="009A1B6D" w:rsidRPr="009A1B6D">
          <w:rPr>
            <w:rStyle w:val="Hyperlink"/>
            <w:color w:val="0000FF"/>
            <w:rtl/>
          </w:rPr>
          <w:t xml:space="preserve"> 7(א)</w:t>
        </w:r>
      </w:hyperlink>
      <w:r>
        <w:rPr>
          <w:rFonts w:hint="cs"/>
          <w:rtl/>
        </w:rPr>
        <w:t xml:space="preserve"> ו-</w:t>
      </w:r>
      <w:r w:rsidR="00A576A4">
        <w:rPr>
          <w:rFonts w:hint="cs"/>
          <w:rtl/>
        </w:rPr>
        <w:t xml:space="preserve"> </w:t>
      </w:r>
      <w:hyperlink r:id="rId48" w:history="1">
        <w:r w:rsidR="00A576A4" w:rsidRPr="00A576A4">
          <w:rPr>
            <w:color w:val="0000FF"/>
            <w:u w:val="single"/>
            <w:rtl/>
          </w:rPr>
          <w:t>7(ג)</w:t>
        </w:r>
      </w:hyperlink>
      <w:r>
        <w:rPr>
          <w:rFonts w:hint="cs"/>
          <w:rtl/>
        </w:rPr>
        <w:t xml:space="preserve"> רישא ל</w:t>
      </w:r>
      <w:hyperlink r:id="rId49" w:history="1">
        <w:r w:rsidR="0026558B" w:rsidRPr="0026558B">
          <w:rPr>
            <w:color w:val="0000FF"/>
            <w:u w:val="single"/>
            <w:rtl/>
          </w:rPr>
          <w:t>פקודת הסמים המסוכנים</w:t>
        </w:r>
      </w:hyperlink>
      <w:r>
        <w:rPr>
          <w:rFonts w:hint="cs"/>
          <w:rtl/>
        </w:rPr>
        <w:t>; השמדת ראיה,</w:t>
      </w:r>
      <w:r>
        <w:rPr>
          <w:rFonts w:hint="cs"/>
        </w:rPr>
        <w:t xml:space="preserve"> </w:t>
      </w:r>
      <w:r>
        <w:rPr>
          <w:rFonts w:hint="cs"/>
          <w:rtl/>
        </w:rPr>
        <w:t xml:space="preserve">לפי </w:t>
      </w:r>
      <w:hyperlink r:id="rId50" w:history="1">
        <w:r w:rsidR="009A1B6D" w:rsidRPr="009A1B6D">
          <w:rPr>
            <w:color w:val="0000FF"/>
            <w:u w:val="single"/>
            <w:rtl/>
          </w:rPr>
          <w:t>סעיף 242</w:t>
        </w:r>
      </w:hyperlink>
      <w:r>
        <w:rPr>
          <w:rFonts w:hint="cs"/>
          <w:rtl/>
        </w:rPr>
        <w:t xml:space="preserve"> ל</w:t>
      </w:r>
      <w:hyperlink r:id="rId51" w:history="1">
        <w:r w:rsidR="0026558B" w:rsidRPr="0026558B">
          <w:rPr>
            <w:color w:val="0000FF"/>
            <w:u w:val="single"/>
            <w:rtl/>
          </w:rPr>
          <w:t>חוק העונשין</w:t>
        </w:r>
      </w:hyperlink>
      <w:r>
        <w:rPr>
          <w:rFonts w:hint="cs"/>
          <w:rtl/>
        </w:rPr>
        <w:t>; הפרעה לשוטר בשעת מילוי תפקידו,</w:t>
      </w:r>
      <w:r>
        <w:rPr>
          <w:rFonts w:hint="cs"/>
        </w:rPr>
        <w:t xml:space="preserve"> </w:t>
      </w:r>
      <w:r>
        <w:rPr>
          <w:rFonts w:hint="cs"/>
          <w:rtl/>
        </w:rPr>
        <w:t xml:space="preserve">לפי </w:t>
      </w:r>
      <w:hyperlink r:id="rId52" w:history="1">
        <w:r w:rsidR="009A1B6D" w:rsidRPr="009A1B6D">
          <w:rPr>
            <w:color w:val="0000FF"/>
            <w:u w:val="single"/>
            <w:rtl/>
          </w:rPr>
          <w:t>סעיף 275</w:t>
        </w:r>
      </w:hyperlink>
      <w:r>
        <w:rPr>
          <w:rFonts w:hint="cs"/>
          <w:rtl/>
        </w:rPr>
        <w:t xml:space="preserve"> לחוק העונשין. עובדות מקרה זה לימדו, כי המערער (</w:t>
      </w:r>
      <w:r>
        <w:rPr>
          <w:rFonts w:hint="cs"/>
          <w:b/>
          <w:bCs/>
          <w:rtl/>
        </w:rPr>
        <w:t>בעל עבר פלילי מכביד ביותר)</w:t>
      </w:r>
      <w:r>
        <w:rPr>
          <w:rFonts w:hint="cs"/>
          <w:rtl/>
        </w:rPr>
        <w:t xml:space="preserve"> סירב לפתוח את דלת ביתו, עת הגעתם של השוטרים לדירתו לשם ביצוע חיפוש על פי צו. באופן זה, המערער השליך במזיד סמים מסוכנים מסוג חשיש וקוקאין לאסלת השירותים והשמידם. אף על פי כן, נתפס בביתו סם מסוכן מסוג אקסטזי (</w:t>
      </w:r>
      <w:r>
        <w:t>MDMA</w:t>
      </w:r>
      <w:r>
        <w:rPr>
          <w:rFonts w:hint="cs"/>
          <w:rtl/>
        </w:rPr>
        <w:t xml:space="preserve">) </w:t>
      </w:r>
      <w:r>
        <w:rPr>
          <w:rFonts w:hint="cs"/>
          <w:b/>
          <w:bCs/>
          <w:rtl/>
        </w:rPr>
        <w:t>בכמות של 446 כדורים;</w:t>
      </w:r>
      <w:r>
        <w:rPr>
          <w:rFonts w:hint="cs"/>
          <w:rtl/>
        </w:rPr>
        <w:t xml:space="preserve"> סם מסוכן </w:t>
      </w:r>
      <w:r>
        <w:rPr>
          <w:rFonts w:hint="cs"/>
          <w:b/>
          <w:bCs/>
          <w:rtl/>
        </w:rPr>
        <w:t xml:space="preserve">מסוג חשיש בכמות של 406.71 גרם </w:t>
      </w:r>
      <w:r>
        <w:rPr>
          <w:rFonts w:hint="cs"/>
          <w:rtl/>
        </w:rPr>
        <w:t xml:space="preserve">(וכמות נוספת שאינה ידועה למשיבה); סם מסוכן מסוג </w:t>
      </w:r>
      <w:r>
        <w:rPr>
          <w:rFonts w:hint="cs"/>
          <w:b/>
          <w:bCs/>
          <w:rtl/>
        </w:rPr>
        <w:t>קוקאין בכמות של 26.4 גרם</w:t>
      </w:r>
      <w:r>
        <w:rPr>
          <w:rFonts w:hint="cs"/>
          <w:rtl/>
        </w:rPr>
        <w:t xml:space="preserve"> (וכמות נוספת שאינה ידועה למשיבה).  נתפסו גם  שני משקלים אלקטרוניים. </w:t>
      </w:r>
    </w:p>
    <w:p w14:paraId="5F1E1F37" w14:textId="77777777" w:rsidR="00406389" w:rsidRDefault="00406389" w:rsidP="00406389">
      <w:pPr>
        <w:spacing w:line="360" w:lineRule="auto"/>
        <w:jc w:val="both"/>
        <w:rPr>
          <w:rtl/>
        </w:rPr>
      </w:pPr>
    </w:p>
    <w:p w14:paraId="21A05880" w14:textId="77777777" w:rsidR="00406389" w:rsidRDefault="00406389" w:rsidP="00406389">
      <w:pPr>
        <w:spacing w:line="360" w:lineRule="auto"/>
        <w:jc w:val="both"/>
        <w:rPr>
          <w:b/>
          <w:bCs/>
          <w:u w:val="single"/>
          <w:rtl/>
        </w:rPr>
      </w:pPr>
    </w:p>
    <w:p w14:paraId="1F6FDFF9" w14:textId="77777777" w:rsidR="00406389" w:rsidRDefault="00406389" w:rsidP="00406389">
      <w:pPr>
        <w:spacing w:line="360" w:lineRule="auto"/>
        <w:jc w:val="both"/>
        <w:rPr>
          <w:b/>
          <w:bCs/>
          <w:u w:val="single"/>
          <w:rtl/>
        </w:rPr>
      </w:pPr>
    </w:p>
    <w:p w14:paraId="21F01326" w14:textId="77777777" w:rsidR="00406389" w:rsidRDefault="00406389" w:rsidP="00406389">
      <w:pPr>
        <w:spacing w:line="360" w:lineRule="auto"/>
        <w:jc w:val="both"/>
        <w:rPr>
          <w:rtl/>
        </w:rPr>
      </w:pPr>
      <w:r>
        <w:rPr>
          <w:rFonts w:hint="cs"/>
          <w:b/>
          <w:bCs/>
          <w:u w:val="single"/>
          <w:rtl/>
        </w:rPr>
        <w:t xml:space="preserve">הנסיבות הקשורות בביצוע העבירה </w:t>
      </w:r>
      <w:r>
        <w:rPr>
          <w:rFonts w:hint="cs"/>
          <w:u w:val="single"/>
          <w:rtl/>
        </w:rPr>
        <w:t>(</w:t>
      </w:r>
      <w:hyperlink r:id="rId53" w:history="1">
        <w:r w:rsidR="009A1B6D" w:rsidRPr="009A1B6D">
          <w:rPr>
            <w:color w:val="0000FF"/>
            <w:u w:val="single"/>
            <w:rtl/>
          </w:rPr>
          <w:t>סעיף 40ט</w:t>
        </w:r>
      </w:hyperlink>
      <w:r>
        <w:rPr>
          <w:rFonts w:hint="cs"/>
          <w:u w:val="single"/>
          <w:rtl/>
        </w:rPr>
        <w:t xml:space="preserve"> ל</w:t>
      </w:r>
      <w:hyperlink r:id="rId54" w:history="1">
        <w:r w:rsidR="0026558B" w:rsidRPr="0026558B">
          <w:rPr>
            <w:color w:val="0000FF"/>
            <w:u w:val="single"/>
            <w:rtl/>
          </w:rPr>
          <w:t>חוק העונשין</w:t>
        </w:r>
      </w:hyperlink>
      <w:r>
        <w:rPr>
          <w:rFonts w:hint="cs"/>
          <w:u w:val="single"/>
          <w:rtl/>
        </w:rPr>
        <w:t>)</w:t>
      </w:r>
    </w:p>
    <w:p w14:paraId="121B5B6B" w14:textId="77777777" w:rsidR="00406389" w:rsidRDefault="00406389" w:rsidP="00406389">
      <w:pPr>
        <w:spacing w:line="360" w:lineRule="auto"/>
        <w:jc w:val="both"/>
        <w:rPr>
          <w:rtl/>
        </w:rPr>
      </w:pPr>
      <w:r>
        <w:rPr>
          <w:rFonts w:hint="cs"/>
          <w:rtl/>
        </w:rPr>
        <w:t xml:space="preserve">נפנה, כעת, לבחון מה השפעת הנסיבות הספציפיות של ביצוע העבירה על מתחם הענישה ההולם את מעשה-העבירה שבה הורשע הנאשם שלפנינו. </w:t>
      </w:r>
    </w:p>
    <w:p w14:paraId="3E8EDDB4" w14:textId="77777777" w:rsidR="00406389" w:rsidRDefault="00406389" w:rsidP="00406389">
      <w:pPr>
        <w:jc w:val="both"/>
        <w:rPr>
          <w:rtl/>
        </w:rPr>
      </w:pPr>
    </w:p>
    <w:p w14:paraId="09DC2753" w14:textId="77777777" w:rsidR="00406389" w:rsidRDefault="00406389" w:rsidP="00406389">
      <w:pPr>
        <w:spacing w:line="360" w:lineRule="auto"/>
        <w:jc w:val="both"/>
        <w:rPr>
          <w:rtl/>
        </w:rPr>
      </w:pPr>
      <w:r>
        <w:rPr>
          <w:rFonts w:hint="cs"/>
          <w:b/>
          <w:bCs/>
          <w:rtl/>
        </w:rPr>
        <w:t>מעשהו של הנאשם היה מתוכנן</w:t>
      </w:r>
      <w:r>
        <w:rPr>
          <w:rFonts w:hint="cs"/>
          <w:rtl/>
        </w:rPr>
        <w:t xml:space="preserve">. זאת ניתן ללמוד מהצורה שבה נתפס הסם (בצמוד לתעודותיו האישיות בתיק שנמצא בסמוך למיטתו). </w:t>
      </w:r>
      <w:r>
        <w:rPr>
          <w:rFonts w:hint="cs"/>
          <w:b/>
          <w:bCs/>
          <w:rtl/>
        </w:rPr>
        <w:t>הנאשם הוא העבריין הבלעדי בעבירה שבעשייתה הורשע.</w:t>
      </w:r>
      <w:r>
        <w:rPr>
          <w:rFonts w:hint="cs"/>
          <w:rtl/>
        </w:rPr>
        <w:t xml:space="preserve"> משלא מסר פרטים של מי שלטענתו, הוא בעלי-הסם, אין ניתן להתחשב בעניין זה בהשפעה של אחר עליו, לטובתו. </w:t>
      </w:r>
      <w:r>
        <w:rPr>
          <w:rFonts w:hint="cs"/>
          <w:b/>
          <w:bCs/>
          <w:rtl/>
        </w:rPr>
        <w:t>הנזק, אשר עלול היה להיגרם כתוצאה ממעשה העבירה הוא ממשי.</w:t>
      </w:r>
      <w:r>
        <w:rPr>
          <w:rFonts w:hint="cs"/>
          <w:rtl/>
        </w:rPr>
        <w:t xml:space="preserve"> כאמור, משמדובר בכמות גדולה של סם מסוכן הפצתו עלולה היתה לגרום לנזק כבד. הסמים נתפסו ברשות הנאשם טרם הפצתם; כך נמנע כל נזק אשר עלול היה להיגרם כתוצאה מביצועה. </w:t>
      </w:r>
    </w:p>
    <w:p w14:paraId="5DDD41F7" w14:textId="77777777" w:rsidR="00406389" w:rsidRDefault="00406389" w:rsidP="00406389">
      <w:pPr>
        <w:jc w:val="both"/>
        <w:rPr>
          <w:rtl/>
        </w:rPr>
      </w:pPr>
    </w:p>
    <w:p w14:paraId="0C387E05" w14:textId="77777777" w:rsidR="00406389" w:rsidRDefault="00406389" w:rsidP="00406389">
      <w:pPr>
        <w:spacing w:line="360" w:lineRule="auto"/>
        <w:jc w:val="both"/>
        <w:rPr>
          <w:rtl/>
        </w:rPr>
      </w:pPr>
      <w:r>
        <w:rPr>
          <w:rFonts w:hint="cs"/>
          <w:rtl/>
        </w:rPr>
        <w:t xml:space="preserve">הסיבות שהביאו את הנאשם לבצע את המעשה לא הובררו עד תום משהנאשם לא טרח להבהירן. על כל פנים, חזקה היא שמי שהחזיק ברשותו סם בכמות שכזו החזיקה שלא לשימושו העצמי על ההשלכות הברורות של קביעה זו. </w:t>
      </w:r>
      <w:r>
        <w:rPr>
          <w:rFonts w:hint="cs"/>
          <w:b/>
          <w:bCs/>
          <w:rtl/>
        </w:rPr>
        <w:t>הנאשם הבין את המעשה ואת הפסול בו, יכול היה וצריך היה להימנע מלבצעו</w:t>
      </w:r>
      <w:r>
        <w:rPr>
          <w:rFonts w:hint="cs"/>
          <w:rtl/>
        </w:rPr>
        <w:t xml:space="preserve">. </w:t>
      </w:r>
    </w:p>
    <w:p w14:paraId="6E473EC2" w14:textId="77777777" w:rsidR="00406389" w:rsidRDefault="00406389" w:rsidP="00406389">
      <w:pPr>
        <w:spacing w:line="360" w:lineRule="auto"/>
        <w:jc w:val="both"/>
        <w:rPr>
          <w:rtl/>
        </w:rPr>
      </w:pPr>
      <w:r>
        <w:rPr>
          <w:rFonts w:hint="cs"/>
          <w:rtl/>
        </w:rPr>
        <w:t xml:space="preserve">בהתחשב בכל האמור לעיל, ראוי לקבוע למעשה העבירה בו הורשע הנאשם שלפניי </w:t>
      </w:r>
      <w:r>
        <w:rPr>
          <w:rFonts w:hint="cs"/>
          <w:b/>
          <w:bCs/>
          <w:rtl/>
        </w:rPr>
        <w:t>מתחם ענישה הולם הנע בין 15 חודשי מאסר לריצוי בפועל לבין 36 חודשי מאסר לריצוי בפועל</w:t>
      </w:r>
      <w:r>
        <w:rPr>
          <w:rFonts w:hint="cs"/>
          <w:rtl/>
        </w:rPr>
        <w:t xml:space="preserve"> לצד עונשי מאסר על תנאי, קנס ופסילת רישיון נהיגה. </w:t>
      </w:r>
    </w:p>
    <w:p w14:paraId="3E3F9A7A" w14:textId="77777777" w:rsidR="00406389" w:rsidRDefault="00406389" w:rsidP="00406389">
      <w:pPr>
        <w:jc w:val="both"/>
        <w:rPr>
          <w:b/>
          <w:bCs/>
          <w:u w:val="single"/>
          <w:rtl/>
        </w:rPr>
      </w:pPr>
    </w:p>
    <w:p w14:paraId="291619DB" w14:textId="77777777" w:rsidR="00406389" w:rsidRDefault="00406389" w:rsidP="00406389">
      <w:pPr>
        <w:spacing w:line="360" w:lineRule="auto"/>
        <w:jc w:val="both"/>
        <w:rPr>
          <w:rtl/>
        </w:rPr>
      </w:pPr>
      <w:r>
        <w:rPr>
          <w:rFonts w:hint="cs"/>
          <w:b/>
          <w:bCs/>
          <w:u w:val="single"/>
          <w:rtl/>
        </w:rPr>
        <w:t xml:space="preserve">העונש המתאים לנאשם </w:t>
      </w:r>
      <w:r>
        <w:rPr>
          <w:rFonts w:hint="cs"/>
          <w:u w:val="single"/>
          <w:rtl/>
        </w:rPr>
        <w:t>(</w:t>
      </w:r>
      <w:hyperlink r:id="rId55" w:history="1">
        <w:r w:rsidR="009A1B6D" w:rsidRPr="009A1B6D">
          <w:rPr>
            <w:color w:val="0000FF"/>
            <w:u w:val="single"/>
            <w:rtl/>
          </w:rPr>
          <w:t>סעיף 40יא</w:t>
        </w:r>
      </w:hyperlink>
      <w:r>
        <w:rPr>
          <w:rFonts w:hint="cs"/>
          <w:u w:val="single"/>
          <w:rtl/>
        </w:rPr>
        <w:t xml:space="preserve"> ל</w:t>
      </w:r>
      <w:hyperlink r:id="rId56" w:history="1">
        <w:r w:rsidR="0026558B" w:rsidRPr="0026558B">
          <w:rPr>
            <w:color w:val="0000FF"/>
            <w:u w:val="single"/>
            <w:rtl/>
          </w:rPr>
          <w:t>חוק העונשין</w:t>
        </w:r>
      </w:hyperlink>
      <w:r>
        <w:rPr>
          <w:rFonts w:hint="cs"/>
          <w:u w:val="single"/>
          <w:rtl/>
        </w:rPr>
        <w:t>)</w:t>
      </w:r>
    </w:p>
    <w:p w14:paraId="4FEAB0BD" w14:textId="77777777" w:rsidR="00406389" w:rsidRDefault="00406389" w:rsidP="00406389">
      <w:pPr>
        <w:spacing w:line="360" w:lineRule="auto"/>
        <w:jc w:val="both"/>
        <w:rPr>
          <w:rtl/>
        </w:rPr>
      </w:pPr>
      <w:r>
        <w:rPr>
          <w:rFonts w:hint="cs"/>
          <w:rtl/>
        </w:rPr>
        <w:t>בבואי לגזור לנאשם עונש, המתאים לו בהתחשב בנסיבותיו האישיות, פניתי אל הנסיבות אשר</w:t>
      </w:r>
      <w:r>
        <w:rPr>
          <w:rFonts w:hint="cs"/>
          <w:b/>
          <w:bCs/>
          <w:rtl/>
        </w:rPr>
        <w:t xml:space="preserve"> אינן</w:t>
      </w:r>
      <w:r>
        <w:rPr>
          <w:rFonts w:hint="cs"/>
          <w:rtl/>
        </w:rPr>
        <w:t xml:space="preserve"> קשורות בביצוע העבירה, אשר ראוי לתת להן משקל בנסיבות עניינו של הנאשם שלפניי. </w:t>
      </w:r>
    </w:p>
    <w:p w14:paraId="798B15C1" w14:textId="77777777" w:rsidR="00406389" w:rsidRDefault="00406389" w:rsidP="00406389">
      <w:pPr>
        <w:spacing w:line="360" w:lineRule="auto"/>
        <w:jc w:val="both"/>
        <w:rPr>
          <w:b/>
          <w:bCs/>
          <w:rtl/>
        </w:rPr>
      </w:pPr>
      <w:r>
        <w:rPr>
          <w:rFonts w:hint="cs"/>
          <w:rtl/>
        </w:rPr>
        <w:t xml:space="preserve">עונש מאסר יפגע בנאשם, בין השאר על רקע היותו בחור צעיר כבן 24 שנים, ומי שמעולם לא הורשע בפלילים. גם משפחתו של הנאשם תיפגע מריצוי עונש מאסר בהתחשב בכך שהוא מסייע בכלכלתה לנוכח מצוקת הוריו. הנאשם כבר ניזוק כתוצאה ממעשהו – הוא נעצר ושהה במעצר תקופה בת יותר מחודש ימים; הוא פוטר מעבודתו בהתחשב בכך ששהה במעצר בית תקופה ממשית; הוא חווה את המעצר כטראומה על כל הנובע מכך. הנאשם נטל אחריות חלקית על מעשיו; הוא לא מסר פרטים מלאים על מקור הסם או על ייעודו. עם זאת, הוא הודה באשמה בבית-המשפט ובכך חסך זמן שיפוטי יקר. הנאשם מעוניין, כך נדמה, לחזור למוטב; דא עקא, שכעולה מחוות-דעת שירות המבחן הוא איננו פנוי לעשות המאמצים הנדרשים על-מנת להוציא רצון זה מן הכוח אל הפועל. נסיבות חייו של הנאשם קשות. הדברים פורטו בדו"ח שירות המבחן והובאו לעיל בהרחבה. ברור, שנסיבות חיים קשות אלה השפיעו על ביצוע העבירה. </w:t>
      </w:r>
      <w:r>
        <w:rPr>
          <w:rFonts w:hint="cs"/>
          <w:b/>
          <w:bCs/>
          <w:rtl/>
        </w:rPr>
        <w:t>הנאשם נעדר עבר פלילי לחלוטין</w:t>
      </w:r>
      <w:r w:rsidRPr="00B52538">
        <w:rPr>
          <w:rFonts w:hint="cs"/>
          <w:rtl/>
        </w:rPr>
        <w:t xml:space="preserve">. </w:t>
      </w:r>
    </w:p>
    <w:p w14:paraId="67CE77CF" w14:textId="77777777" w:rsidR="00406389" w:rsidRDefault="00406389" w:rsidP="00406389">
      <w:pPr>
        <w:jc w:val="both"/>
        <w:rPr>
          <w:b/>
          <w:bCs/>
          <w:rtl/>
        </w:rPr>
      </w:pPr>
    </w:p>
    <w:p w14:paraId="76D73336" w14:textId="77777777" w:rsidR="00406389" w:rsidRDefault="00406389" w:rsidP="00406389">
      <w:pPr>
        <w:spacing w:line="360" w:lineRule="auto"/>
        <w:jc w:val="both"/>
        <w:rPr>
          <w:rtl/>
        </w:rPr>
      </w:pPr>
      <w:r>
        <w:rPr>
          <w:rFonts w:hint="cs"/>
          <w:rtl/>
        </w:rPr>
        <w:t xml:space="preserve">לצערי, שיקול השיקום יכול להילקח בחשבון כשיקול להקלה בעונשו של הנאשם באורח חלקי בלבד לנוכח העדר הירתמות מספקת מצדו להתמודדות עם מעשיו ועם הצורך לחזור למוטב. </w:t>
      </w:r>
    </w:p>
    <w:p w14:paraId="38D497DA" w14:textId="77777777" w:rsidR="00406389" w:rsidRDefault="00406389" w:rsidP="00406389">
      <w:pPr>
        <w:spacing w:line="360" w:lineRule="auto"/>
        <w:jc w:val="both"/>
        <w:rPr>
          <w:rtl/>
        </w:rPr>
      </w:pPr>
    </w:p>
    <w:p w14:paraId="4ED25C23" w14:textId="77777777" w:rsidR="00406389" w:rsidRDefault="00406389" w:rsidP="00406389">
      <w:pPr>
        <w:spacing w:line="360" w:lineRule="auto"/>
        <w:jc w:val="both"/>
        <w:rPr>
          <w:rtl/>
        </w:rPr>
      </w:pPr>
      <w:r>
        <w:rPr>
          <w:rFonts w:hint="cs"/>
          <w:rtl/>
        </w:rPr>
        <w:t xml:space="preserve">בהתחשב במכלול, ומתוך מתן משקל מירבי להודאה באשמה בהזדמנות הראשונה ולעבר הנקי וכן לגילו הצעיר של הנאשם, מצאתי לנכון להטיל עליו 3 שנות מאסר שהם יהיו </w:t>
      </w:r>
      <w:r>
        <w:rPr>
          <w:rFonts w:hint="cs"/>
          <w:b/>
          <w:bCs/>
          <w:rtl/>
        </w:rPr>
        <w:t xml:space="preserve">18 חודשי מאסר לריצוי בפועל בניכוי 36 ימי מעצרו הסגור. </w:t>
      </w:r>
      <w:r>
        <w:rPr>
          <w:rFonts w:hint="cs"/>
          <w:rtl/>
        </w:rPr>
        <w:t xml:space="preserve">היתרה תהא על-תנאי שלא יעבור במשך 3 שנים עבירה על </w:t>
      </w:r>
      <w:hyperlink r:id="rId57" w:history="1">
        <w:r w:rsidR="0026558B" w:rsidRPr="0026558B">
          <w:rPr>
            <w:color w:val="0000FF"/>
            <w:u w:val="single"/>
            <w:rtl/>
          </w:rPr>
          <w:t>פקודת הסמים המסוכנים</w:t>
        </w:r>
      </w:hyperlink>
      <w:r>
        <w:rPr>
          <w:rFonts w:hint="cs"/>
          <w:rtl/>
        </w:rPr>
        <w:t xml:space="preserve"> שאין ענייניה שימוש בסמים או החזקתם לצריכה עצמית בלבד. </w:t>
      </w:r>
    </w:p>
    <w:p w14:paraId="772591AA" w14:textId="77777777" w:rsidR="00406389" w:rsidRDefault="00406389" w:rsidP="00406389">
      <w:pPr>
        <w:spacing w:line="360" w:lineRule="auto"/>
        <w:jc w:val="both"/>
        <w:rPr>
          <w:rtl/>
        </w:rPr>
      </w:pPr>
    </w:p>
    <w:p w14:paraId="7752169F" w14:textId="77777777" w:rsidR="00406389" w:rsidRDefault="00406389" w:rsidP="00406389">
      <w:pPr>
        <w:spacing w:line="360" w:lineRule="auto"/>
        <w:jc w:val="both"/>
        <w:rPr>
          <w:rtl/>
        </w:rPr>
      </w:pPr>
      <w:r>
        <w:rPr>
          <w:rFonts w:hint="cs"/>
          <w:rtl/>
        </w:rPr>
        <w:t xml:space="preserve">כן מוטל עליו קנס בסך של 1,500 ₪ שישולם עד יום 1.3.18. לא ישולם הקנס במועדו, יהא על הנאשם לרצות 15 ימי מאסר תמורתו. </w:t>
      </w:r>
    </w:p>
    <w:p w14:paraId="233AD94F" w14:textId="77777777" w:rsidR="00406389" w:rsidRDefault="00406389" w:rsidP="00406389">
      <w:pPr>
        <w:spacing w:line="360" w:lineRule="auto"/>
        <w:jc w:val="both"/>
        <w:rPr>
          <w:rtl/>
        </w:rPr>
      </w:pPr>
    </w:p>
    <w:p w14:paraId="23AF75CE" w14:textId="77777777" w:rsidR="00406389" w:rsidRDefault="00406389" w:rsidP="00406389">
      <w:pPr>
        <w:spacing w:line="360" w:lineRule="auto"/>
        <w:jc w:val="both"/>
        <w:rPr>
          <w:b/>
          <w:bCs/>
          <w:sz w:val="32"/>
          <w:szCs w:val="32"/>
          <w:u w:val="single"/>
          <w:rtl/>
        </w:rPr>
      </w:pPr>
      <w:r>
        <w:rPr>
          <w:rFonts w:hint="cs"/>
          <w:rtl/>
        </w:rPr>
        <w:t xml:space="preserve">כמו-כן אני פוסל את רישיון הנהיגה של הנאשם למשך 10 חודשים מיום שחרורו מן המאסר. מטרת פסילת רישיון הנהיגה היא בראש ובראשונה גמולית-הרתעתית. </w:t>
      </w:r>
    </w:p>
    <w:p w14:paraId="1D472BF7" w14:textId="77777777" w:rsidR="00406389" w:rsidRDefault="00406389" w:rsidP="00406389">
      <w:pPr>
        <w:rPr>
          <w:b/>
          <w:bCs/>
          <w:rtl/>
        </w:rPr>
      </w:pPr>
    </w:p>
    <w:p w14:paraId="4E6E6B30" w14:textId="77777777" w:rsidR="00406389" w:rsidRPr="00B05847" w:rsidRDefault="00406389" w:rsidP="00406389">
      <w:pPr>
        <w:rPr>
          <w:rtl/>
        </w:rPr>
      </w:pPr>
      <w:r>
        <w:rPr>
          <w:rFonts w:hint="cs"/>
          <w:b/>
          <w:bCs/>
          <w:rtl/>
        </w:rPr>
        <w:t>זכות ערעור כחוק.</w:t>
      </w:r>
    </w:p>
    <w:p w14:paraId="7D12DCB6" w14:textId="77777777" w:rsidR="00406389" w:rsidRPr="00B05847" w:rsidRDefault="00406389" w:rsidP="00406389">
      <w:pPr>
        <w:rPr>
          <w:rtl/>
        </w:rPr>
      </w:pPr>
    </w:p>
    <w:p w14:paraId="57AA2EDF" w14:textId="77777777" w:rsidR="00406389" w:rsidRPr="0026558B" w:rsidRDefault="0026558B" w:rsidP="00406389">
      <w:pPr>
        <w:rPr>
          <w:color w:val="FFFFFF"/>
          <w:sz w:val="2"/>
          <w:szCs w:val="2"/>
          <w:rtl/>
        </w:rPr>
      </w:pPr>
      <w:r w:rsidRPr="0026558B">
        <w:rPr>
          <w:color w:val="FFFFFF"/>
          <w:sz w:val="2"/>
          <w:szCs w:val="2"/>
          <w:rtl/>
        </w:rPr>
        <w:t>5129371</w:t>
      </w:r>
    </w:p>
    <w:p w14:paraId="36D50B7C" w14:textId="77777777" w:rsidR="00406389" w:rsidRDefault="0026558B" w:rsidP="00406389">
      <w:pPr>
        <w:rPr>
          <w:rFonts w:cs="FrankRuehl"/>
          <w:sz w:val="28"/>
          <w:szCs w:val="28"/>
          <w:rtl/>
        </w:rPr>
      </w:pPr>
      <w:r w:rsidRPr="0026558B">
        <w:rPr>
          <w:rFonts w:ascii="Arial" w:hAnsi="Arial"/>
          <w:color w:val="FFFFFF"/>
          <w:sz w:val="2"/>
          <w:szCs w:val="2"/>
          <w:rtl/>
        </w:rPr>
        <w:t>54678313</w:t>
      </w:r>
      <w:r>
        <w:rPr>
          <w:rFonts w:ascii="Arial" w:hAnsi="Arial"/>
          <w:rtl/>
        </w:rPr>
        <w:t xml:space="preserve">ניתן היום, י"א תשרי תשע"ח, 01 אוקטובר 2017. </w:t>
      </w:r>
    </w:p>
    <w:p w14:paraId="26267229" w14:textId="77777777" w:rsidR="00406389" w:rsidRDefault="00406389" w:rsidP="0040638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2BF647C4" w14:textId="77777777" w:rsidR="00406389" w:rsidRDefault="00406389" w:rsidP="00406389">
      <w:pPr>
        <w:jc w:val="center"/>
        <w:rPr>
          <w:rFonts w:ascii="Arial" w:hAnsi="Arial" w:cs="FrankRuehl"/>
          <w:sz w:val="28"/>
          <w:szCs w:val="28"/>
          <w:rtl/>
        </w:rPr>
      </w:pPr>
    </w:p>
    <w:p w14:paraId="222BFEE0" w14:textId="77777777" w:rsidR="00406389" w:rsidRDefault="00406389" w:rsidP="00406389">
      <w:pPr>
        <w:rPr>
          <w:rFonts w:cs="FrankRuehl"/>
          <w:sz w:val="28"/>
          <w:szCs w:val="28"/>
          <w:rtl/>
        </w:rPr>
      </w:pPr>
    </w:p>
    <w:p w14:paraId="0CDD9498" w14:textId="77777777" w:rsidR="00406389" w:rsidRDefault="00406389" w:rsidP="00406389">
      <w:pPr>
        <w:pStyle w:val="a3"/>
        <w:jc w:val="center"/>
        <w:rPr>
          <w:rtl/>
        </w:rPr>
      </w:pPr>
    </w:p>
    <w:p w14:paraId="2B9A4E0E" w14:textId="77777777" w:rsidR="002D7B2F" w:rsidRPr="0026558B" w:rsidRDefault="002D7B2F" w:rsidP="0026558B">
      <w:pPr>
        <w:keepNext/>
        <w:rPr>
          <w:rFonts w:ascii="David" w:hAnsi="David"/>
          <w:color w:val="000000"/>
          <w:sz w:val="22"/>
          <w:szCs w:val="22"/>
          <w:rtl/>
        </w:rPr>
      </w:pPr>
    </w:p>
    <w:p w14:paraId="59B149D3" w14:textId="77777777" w:rsidR="0026558B" w:rsidRPr="0026558B" w:rsidRDefault="0026558B" w:rsidP="0026558B">
      <w:pPr>
        <w:keepNext/>
        <w:rPr>
          <w:rFonts w:ascii="David" w:hAnsi="David"/>
          <w:color w:val="000000"/>
          <w:sz w:val="22"/>
          <w:szCs w:val="22"/>
          <w:rtl/>
        </w:rPr>
      </w:pPr>
      <w:r w:rsidRPr="0026558B">
        <w:rPr>
          <w:rFonts w:ascii="David" w:hAnsi="David"/>
          <w:color w:val="000000"/>
          <w:sz w:val="22"/>
          <w:szCs w:val="22"/>
          <w:rtl/>
        </w:rPr>
        <w:t>אבי לוי 54678313</w:t>
      </w:r>
    </w:p>
    <w:p w14:paraId="0169FC39" w14:textId="77777777" w:rsidR="0026558B" w:rsidRDefault="0026558B" w:rsidP="0026558B">
      <w:r w:rsidRPr="0026558B">
        <w:rPr>
          <w:color w:val="000000"/>
          <w:rtl/>
        </w:rPr>
        <w:t>נוסח מסמך זה כפוף לשינויי ניסוח ועריכה</w:t>
      </w:r>
    </w:p>
    <w:p w14:paraId="59FDBEA4" w14:textId="77777777" w:rsidR="0026558B" w:rsidRDefault="0026558B" w:rsidP="0026558B">
      <w:pPr>
        <w:rPr>
          <w:rtl/>
        </w:rPr>
      </w:pPr>
    </w:p>
    <w:p w14:paraId="768792A9" w14:textId="77777777" w:rsidR="0026558B" w:rsidRDefault="0026558B" w:rsidP="0026558B">
      <w:pPr>
        <w:jc w:val="center"/>
        <w:rPr>
          <w:color w:val="0000FF"/>
          <w:u w:val="single"/>
        </w:rPr>
      </w:pPr>
      <w:hyperlink r:id="rId58" w:history="1">
        <w:r>
          <w:rPr>
            <w:color w:val="0000FF"/>
            <w:u w:val="single"/>
            <w:rtl/>
          </w:rPr>
          <w:t>בעניין עריכה ושינויים במסמכי פסיקה, חקיקה ועוד באתר נבו – הקש כאן</w:t>
        </w:r>
      </w:hyperlink>
    </w:p>
    <w:p w14:paraId="4A125714" w14:textId="77777777" w:rsidR="0026558B" w:rsidRPr="0026558B" w:rsidRDefault="0026558B" w:rsidP="0026558B">
      <w:pPr>
        <w:jc w:val="center"/>
        <w:rPr>
          <w:color w:val="0000FF"/>
          <w:u w:val="single"/>
        </w:rPr>
      </w:pPr>
    </w:p>
    <w:sectPr w:rsidR="0026558B" w:rsidRPr="0026558B" w:rsidSect="0026558B">
      <w:headerReference w:type="even" r:id="rId59"/>
      <w:headerReference w:type="default" r:id="rId60"/>
      <w:footerReference w:type="even" r:id="rId61"/>
      <w:footerReference w:type="default" r:id="rId6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1A2EC1" w14:textId="77777777" w:rsidR="009177EF" w:rsidRDefault="009177EF" w:rsidP="0075126E">
      <w:r>
        <w:separator/>
      </w:r>
    </w:p>
  </w:endnote>
  <w:endnote w:type="continuationSeparator" w:id="0">
    <w:p w14:paraId="4C2FA13C" w14:textId="77777777" w:rsidR="009177EF" w:rsidRDefault="009177EF" w:rsidP="00751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331F3" w14:textId="77777777" w:rsidR="00600932" w:rsidRDefault="00600932" w:rsidP="0026558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w:t>
    </w:r>
    <w:r>
      <w:rPr>
        <w:rFonts w:ascii="FrankRuehl" w:hAnsi="FrankRuehl" w:cs="FrankRuehl"/>
        <w:rtl/>
      </w:rPr>
      <w:fldChar w:fldCharType="end"/>
    </w:r>
  </w:p>
  <w:p w14:paraId="3DFFD9F8" w14:textId="77777777" w:rsidR="00600932" w:rsidRPr="0026558B" w:rsidRDefault="00600932" w:rsidP="0026558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6B3E6" w14:textId="77777777" w:rsidR="00600932" w:rsidRDefault="00600932" w:rsidP="0026558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80A84">
      <w:rPr>
        <w:rFonts w:ascii="FrankRuehl" w:hAnsi="FrankRuehl" w:cs="FrankRuehl"/>
        <w:noProof/>
        <w:rtl/>
      </w:rPr>
      <w:t>1</w:t>
    </w:r>
    <w:r>
      <w:rPr>
        <w:rFonts w:ascii="FrankRuehl" w:hAnsi="FrankRuehl" w:cs="FrankRuehl"/>
        <w:rtl/>
      </w:rPr>
      <w:fldChar w:fldCharType="end"/>
    </w:r>
  </w:p>
  <w:p w14:paraId="21E06BF4" w14:textId="77777777" w:rsidR="00600932" w:rsidRPr="0026558B" w:rsidRDefault="00600932" w:rsidP="0026558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8AAA2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930283" w14:textId="77777777" w:rsidR="009177EF" w:rsidRDefault="009177EF" w:rsidP="0075126E">
      <w:r>
        <w:separator/>
      </w:r>
    </w:p>
  </w:footnote>
  <w:footnote w:type="continuationSeparator" w:id="0">
    <w:p w14:paraId="13F21682" w14:textId="77777777" w:rsidR="009177EF" w:rsidRDefault="009177EF" w:rsidP="007512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68AA0E" w14:textId="77777777" w:rsidR="00600932" w:rsidRPr="0026558B" w:rsidRDefault="00600932" w:rsidP="0026558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701-12-16</w:t>
    </w:r>
    <w:r>
      <w:rPr>
        <w:rFonts w:ascii="David" w:hAnsi="David"/>
        <w:color w:val="000000"/>
        <w:sz w:val="22"/>
        <w:szCs w:val="22"/>
        <w:rtl/>
      </w:rPr>
      <w:tab/>
      <w:t xml:space="preserve"> מדינת ישראל נ' חליל עומר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061B7" w14:textId="77777777" w:rsidR="00600932" w:rsidRPr="0026558B" w:rsidRDefault="00600932" w:rsidP="0026558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701-12-16</w:t>
    </w:r>
    <w:r>
      <w:rPr>
        <w:rFonts w:ascii="David" w:hAnsi="David"/>
        <w:color w:val="000000"/>
        <w:sz w:val="22"/>
        <w:szCs w:val="22"/>
        <w:rtl/>
      </w:rPr>
      <w:tab/>
      <w:t xml:space="preserve"> מדינת ישראל נ' חליל עומר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06389"/>
    <w:rsid w:val="0026558B"/>
    <w:rsid w:val="002D7B2F"/>
    <w:rsid w:val="00406389"/>
    <w:rsid w:val="00480A84"/>
    <w:rsid w:val="005A540A"/>
    <w:rsid w:val="00600932"/>
    <w:rsid w:val="0075126E"/>
    <w:rsid w:val="007B394A"/>
    <w:rsid w:val="007B5EA4"/>
    <w:rsid w:val="007F18AC"/>
    <w:rsid w:val="009177EF"/>
    <w:rsid w:val="00937D27"/>
    <w:rsid w:val="009A1B6D"/>
    <w:rsid w:val="00A576A4"/>
    <w:rsid w:val="00B90574"/>
    <w:rsid w:val="00BA16A0"/>
    <w:rsid w:val="00EA0FF7"/>
    <w:rsid w:val="00F24385"/>
    <w:rsid w:val="00F329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14:docId w14:val="04E02D18"/>
  <w15:chartTrackingRefBased/>
  <w15:docId w15:val="{D83564AD-A772-4438-AB97-B3B5A8FED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0638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06389"/>
    <w:pPr>
      <w:tabs>
        <w:tab w:val="center" w:pos="4153"/>
        <w:tab w:val="right" w:pos="8306"/>
      </w:tabs>
    </w:pPr>
  </w:style>
  <w:style w:type="character" w:customStyle="1" w:styleId="a4">
    <w:name w:val="כותרת עליונה תו"/>
    <w:link w:val="a3"/>
    <w:rsid w:val="00406389"/>
    <w:rPr>
      <w:rFonts w:ascii="Times New Roman" w:eastAsia="Times New Roman" w:hAnsi="Times New Roman" w:cs="David"/>
      <w:sz w:val="24"/>
      <w:szCs w:val="24"/>
    </w:rPr>
  </w:style>
  <w:style w:type="paragraph" w:styleId="a5">
    <w:name w:val="footer"/>
    <w:basedOn w:val="a"/>
    <w:link w:val="a6"/>
    <w:rsid w:val="00406389"/>
    <w:pPr>
      <w:tabs>
        <w:tab w:val="center" w:pos="4153"/>
        <w:tab w:val="right" w:pos="8306"/>
      </w:tabs>
    </w:pPr>
  </w:style>
  <w:style w:type="character" w:customStyle="1" w:styleId="a6">
    <w:name w:val="כותרת תחתונה תו"/>
    <w:link w:val="a5"/>
    <w:rsid w:val="00406389"/>
    <w:rPr>
      <w:rFonts w:ascii="Times New Roman" w:eastAsia="Times New Roman" w:hAnsi="Times New Roman" w:cs="David"/>
      <w:sz w:val="24"/>
      <w:szCs w:val="24"/>
    </w:rPr>
  </w:style>
  <w:style w:type="table" w:styleId="a7">
    <w:name w:val="Table Grid"/>
    <w:basedOn w:val="a1"/>
    <w:rsid w:val="0040638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06389"/>
  </w:style>
  <w:style w:type="character" w:customStyle="1" w:styleId="TimesNewRomanTimesNewRoman">
    <w:name w:val="סגנון (לטיני) Times New Roman (עברית ושפות אחרות) Times New Roman..."/>
    <w:rsid w:val="00406389"/>
    <w:rPr>
      <w:rFonts w:ascii="Times New Roman" w:hAnsi="Times New Roman" w:cs="David" w:hint="default"/>
      <w:b/>
      <w:bCs/>
      <w:sz w:val="26"/>
      <w:szCs w:val="26"/>
    </w:rPr>
  </w:style>
  <w:style w:type="character" w:styleId="Hyperlink">
    <w:name w:val="Hyperlink"/>
    <w:rsid w:val="0026558B"/>
    <w:rPr>
      <w:color w:val="0563C1"/>
      <w:u w:val="single"/>
    </w:rPr>
  </w:style>
  <w:style w:type="character" w:styleId="a9">
    <w:name w:val="Unresolved Mention"/>
    <w:rsid w:val="0026558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42" TargetMode="External"/><Relationship Id="rId18" Type="http://schemas.openxmlformats.org/officeDocument/2006/relationships/hyperlink" Target="http://www.nevo.co.il/law/4216/7.a" TargetMode="External"/><Relationship Id="rId26" Type="http://schemas.openxmlformats.org/officeDocument/2006/relationships/hyperlink" Target="http://www.nevo.co.il/case/5698919" TargetMode="External"/><Relationship Id="rId39" Type="http://schemas.openxmlformats.org/officeDocument/2006/relationships/hyperlink" Target="http://www.nevo.co.il/law/4216/7.c" TargetMode="External"/><Relationship Id="rId21" Type="http://schemas.openxmlformats.org/officeDocument/2006/relationships/hyperlink" Target="http://www.nevo.co.il/law/4216" TargetMode="External"/><Relationship Id="rId34" Type="http://schemas.openxmlformats.org/officeDocument/2006/relationships/hyperlink" Target="http://www.nevo.co.il/law/4216/7.c" TargetMode="External"/><Relationship Id="rId42" Type="http://schemas.openxmlformats.org/officeDocument/2006/relationships/hyperlink" Target="http://www.nevo.co.il/law/70301" TargetMode="External"/><Relationship Id="rId47" Type="http://schemas.openxmlformats.org/officeDocument/2006/relationships/hyperlink" Target="http://www.nevo.co.il/law/4216/7.a" TargetMode="External"/><Relationship Id="rId50" Type="http://schemas.openxmlformats.org/officeDocument/2006/relationships/hyperlink" Target="http://www.nevo.co.il/law/70301/242" TargetMode="External"/><Relationship Id="rId55" Type="http://schemas.openxmlformats.org/officeDocument/2006/relationships/hyperlink" Target="http://www.nevo.co.il/law/70301/40ja" TargetMode="External"/><Relationship Id="rId63" Type="http://schemas.openxmlformats.org/officeDocument/2006/relationships/fontTable" Target="fontTable.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70301/40ja" TargetMode="External"/><Relationship Id="rId29" Type="http://schemas.openxmlformats.org/officeDocument/2006/relationships/hyperlink" Target="http://www.nevo.co.il/law/4216/7.a" TargetMode="External"/><Relationship Id="rId11" Type="http://schemas.openxmlformats.org/officeDocument/2006/relationships/hyperlink" Target="http://www.nevo.co.il/law/70301/40c" TargetMode="External"/><Relationship Id="rId24" Type="http://schemas.openxmlformats.org/officeDocument/2006/relationships/hyperlink" Target="http://www.nevo.co.il/law/70301/40b" TargetMode="External"/><Relationship Id="rId32" Type="http://schemas.openxmlformats.org/officeDocument/2006/relationships/hyperlink" Target="http://www.nevo.co.il/case/4723244" TargetMode="External"/><Relationship Id="rId37" Type="http://schemas.openxmlformats.org/officeDocument/2006/relationships/hyperlink" Target="http://www.nevo.co.il/case/5608791" TargetMode="External"/><Relationship Id="rId40" Type="http://schemas.openxmlformats.org/officeDocument/2006/relationships/hyperlink" Target="http://www.nevo.co.il/law/4216" TargetMode="External"/><Relationship Id="rId45" Type="http://schemas.openxmlformats.org/officeDocument/2006/relationships/hyperlink" Target="http://www.nevo.co.il/law/4216/7.c" TargetMode="External"/><Relationship Id="rId53" Type="http://schemas.openxmlformats.org/officeDocument/2006/relationships/hyperlink" Target="http://www.nevo.co.il/law/70301/40i" TargetMode="External"/><Relationship Id="rId58" Type="http://schemas.openxmlformats.org/officeDocument/2006/relationships/hyperlink" Target="http://www.nevo.co.il/advertisements/nevo-100.doc" TargetMode="External"/><Relationship Id="rId5" Type="http://schemas.openxmlformats.org/officeDocument/2006/relationships/endnotes" Target="endnotes.xml"/><Relationship Id="rId61" Type="http://schemas.openxmlformats.org/officeDocument/2006/relationships/footer" Target="footer1.xml"/><Relationship Id="rId19" Type="http://schemas.openxmlformats.org/officeDocument/2006/relationships/hyperlink" Target="http://www.nevo.co.il/law/4216/7.c" TargetMode="External"/><Relationship Id="rId14" Type="http://schemas.openxmlformats.org/officeDocument/2006/relationships/hyperlink" Target="http://www.nevo.co.il/law/70301/244" TargetMode="External"/><Relationship Id="rId22" Type="http://schemas.openxmlformats.org/officeDocument/2006/relationships/hyperlink" Target="http://www.nevo.co.il/law/70301/fCa(1)S" TargetMode="External"/><Relationship Id="rId27" Type="http://schemas.openxmlformats.org/officeDocument/2006/relationships/hyperlink" Target="http://www.nevo.co.il/case/5917767" TargetMode="External"/><Relationship Id="rId30" Type="http://schemas.openxmlformats.org/officeDocument/2006/relationships/hyperlink" Target="http://www.nevo.co.il/law/4216/7.c" TargetMode="External"/><Relationship Id="rId35" Type="http://schemas.openxmlformats.org/officeDocument/2006/relationships/hyperlink" Target="http://www.nevo.co.il/law/4216" TargetMode="External"/><Relationship Id="rId43" Type="http://schemas.openxmlformats.org/officeDocument/2006/relationships/hyperlink" Target="http://www.nevo.co.il/law/70301/275" TargetMode="External"/><Relationship Id="rId48" Type="http://schemas.openxmlformats.org/officeDocument/2006/relationships/hyperlink" Target="http://www.nevo.co.il/law/4216/7.c" TargetMode="External"/><Relationship Id="rId56" Type="http://schemas.openxmlformats.org/officeDocument/2006/relationships/hyperlink" Target="http://www.nevo.co.il/law/70301" TargetMode="External"/><Relationship Id="rId64" Type="http://schemas.openxmlformats.org/officeDocument/2006/relationships/theme" Target="theme/theme1.xml"/><Relationship Id="rId8" Type="http://schemas.openxmlformats.org/officeDocument/2006/relationships/hyperlink" Target="http://www.nevo.co.il/law/4216/7.c" TargetMode="External"/><Relationship Id="rId51" Type="http://schemas.openxmlformats.org/officeDocument/2006/relationships/hyperlink" Target="http://www.nevo.co.il/law/70301" TargetMode="External"/><Relationship Id="rId3" Type="http://schemas.openxmlformats.org/officeDocument/2006/relationships/webSettings" Target="webSettings.xml"/><Relationship Id="rId12" Type="http://schemas.openxmlformats.org/officeDocument/2006/relationships/hyperlink" Target="http://www.nevo.co.il/law/70301/40i" TargetMode="External"/><Relationship Id="rId17" Type="http://schemas.openxmlformats.org/officeDocument/2006/relationships/hyperlink" Target="http://www.nevo.co.il/law/70301/fCa(1)S" TargetMode="External"/><Relationship Id="rId25" Type="http://schemas.openxmlformats.org/officeDocument/2006/relationships/hyperlink" Target="http://www.nevo.co.il/law/70301/40c" TargetMode="External"/><Relationship Id="rId33" Type="http://schemas.openxmlformats.org/officeDocument/2006/relationships/hyperlink" Target="http://www.nevo.co.il/law/4216/7.a" TargetMode="External"/><Relationship Id="rId38" Type="http://schemas.openxmlformats.org/officeDocument/2006/relationships/hyperlink" Target="http://www.nevo.co.il/law/4216/7.a" TargetMode="External"/><Relationship Id="rId46" Type="http://schemas.openxmlformats.org/officeDocument/2006/relationships/hyperlink" Target="http://www.nevo.co.il/case/20118363" TargetMode="External"/><Relationship Id="rId59" Type="http://schemas.openxmlformats.org/officeDocument/2006/relationships/header" Target="header1.xml"/><Relationship Id="rId20" Type="http://schemas.openxmlformats.org/officeDocument/2006/relationships/hyperlink" Target="http://www.nevo.co.il/law/4216" TargetMode="External"/><Relationship Id="rId41" Type="http://schemas.openxmlformats.org/officeDocument/2006/relationships/hyperlink" Target="http://www.nevo.co.il/law/70301/244" TargetMode="External"/><Relationship Id="rId54" Type="http://schemas.openxmlformats.org/officeDocument/2006/relationships/hyperlink" Target="http://www.nevo.co.il/law/70301" TargetMode="External"/><Relationship Id="rId62"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70301/275"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6162970" TargetMode="External"/><Relationship Id="rId36" Type="http://schemas.openxmlformats.org/officeDocument/2006/relationships/hyperlink" Target="http://www.nevo.co.il/case/5714221" TargetMode="External"/><Relationship Id="rId49" Type="http://schemas.openxmlformats.org/officeDocument/2006/relationships/hyperlink" Target="http://www.nevo.co.il/law/4216" TargetMode="External"/><Relationship Id="rId57" Type="http://schemas.openxmlformats.org/officeDocument/2006/relationships/hyperlink" Target="http://www.nevo.co.il/law/4216" TargetMode="External"/><Relationship Id="rId10" Type="http://schemas.openxmlformats.org/officeDocument/2006/relationships/hyperlink" Target="http://www.nevo.co.il/law/70301/40b" TargetMode="External"/><Relationship Id="rId31" Type="http://schemas.openxmlformats.org/officeDocument/2006/relationships/hyperlink" Target="http://www.nevo.co.il/law/4216" TargetMode="External"/><Relationship Id="rId44" Type="http://schemas.openxmlformats.org/officeDocument/2006/relationships/hyperlink" Target="http://www.nevo.co.il/law/4216/7.a" TargetMode="External"/><Relationship Id="rId52" Type="http://schemas.openxmlformats.org/officeDocument/2006/relationships/hyperlink" Target="http://www.nevo.co.il/law/70301/275" TargetMode="External"/><Relationship Id="rId6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3147</Words>
  <Characters>15738</Characters>
  <Application>Microsoft Office Word</Application>
  <DocSecurity>0</DocSecurity>
  <Lines>131</Lines>
  <Paragraphs>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18848</CharactersWithSpaces>
  <SharedDoc>false</SharedDoc>
  <HLinks>
    <vt:vector size="318" baseType="variant">
      <vt:variant>
        <vt:i4>393283</vt:i4>
      </vt:variant>
      <vt:variant>
        <vt:i4>156</vt:i4>
      </vt:variant>
      <vt:variant>
        <vt:i4>0</vt:i4>
      </vt:variant>
      <vt:variant>
        <vt:i4>5</vt:i4>
      </vt:variant>
      <vt:variant>
        <vt:lpwstr>http://www.nevo.co.il/advertisements/nevo-100.doc</vt:lpwstr>
      </vt:variant>
      <vt:variant>
        <vt:lpwstr/>
      </vt:variant>
      <vt:variant>
        <vt:i4>8257637</vt:i4>
      </vt:variant>
      <vt:variant>
        <vt:i4>153</vt:i4>
      </vt:variant>
      <vt:variant>
        <vt:i4>0</vt:i4>
      </vt:variant>
      <vt:variant>
        <vt:i4>5</vt:i4>
      </vt:variant>
      <vt:variant>
        <vt:lpwstr>http://www.nevo.co.il/law/4216</vt:lpwstr>
      </vt:variant>
      <vt:variant>
        <vt:lpwstr/>
      </vt:variant>
      <vt:variant>
        <vt:i4>7995492</vt:i4>
      </vt:variant>
      <vt:variant>
        <vt:i4>150</vt:i4>
      </vt:variant>
      <vt:variant>
        <vt:i4>0</vt:i4>
      </vt:variant>
      <vt:variant>
        <vt:i4>5</vt:i4>
      </vt:variant>
      <vt:variant>
        <vt:lpwstr>http://www.nevo.co.il/law/70301</vt:lpwstr>
      </vt:variant>
      <vt:variant>
        <vt:lpwstr/>
      </vt:variant>
      <vt:variant>
        <vt:i4>262155</vt:i4>
      </vt:variant>
      <vt:variant>
        <vt:i4>147</vt:i4>
      </vt:variant>
      <vt:variant>
        <vt:i4>0</vt:i4>
      </vt:variant>
      <vt:variant>
        <vt:i4>5</vt:i4>
      </vt:variant>
      <vt:variant>
        <vt:lpwstr>http://www.nevo.co.il/law/70301/40ja</vt:lpwstr>
      </vt:variant>
      <vt:variant>
        <vt:lpwstr/>
      </vt:variant>
      <vt:variant>
        <vt:i4>7995492</vt:i4>
      </vt:variant>
      <vt:variant>
        <vt:i4>144</vt:i4>
      </vt:variant>
      <vt:variant>
        <vt:i4>0</vt:i4>
      </vt:variant>
      <vt:variant>
        <vt:i4>5</vt:i4>
      </vt:variant>
      <vt:variant>
        <vt:lpwstr>http://www.nevo.co.il/law/70301</vt:lpwstr>
      </vt:variant>
      <vt:variant>
        <vt:lpwstr/>
      </vt:variant>
      <vt:variant>
        <vt:i4>6619233</vt:i4>
      </vt:variant>
      <vt:variant>
        <vt:i4>141</vt:i4>
      </vt:variant>
      <vt:variant>
        <vt:i4>0</vt:i4>
      </vt:variant>
      <vt:variant>
        <vt:i4>5</vt:i4>
      </vt:variant>
      <vt:variant>
        <vt:lpwstr>http://www.nevo.co.il/law/70301/40i</vt:lpwstr>
      </vt:variant>
      <vt:variant>
        <vt:lpwstr/>
      </vt:variant>
      <vt:variant>
        <vt:i4>6422631</vt:i4>
      </vt:variant>
      <vt:variant>
        <vt:i4>138</vt:i4>
      </vt:variant>
      <vt:variant>
        <vt:i4>0</vt:i4>
      </vt:variant>
      <vt:variant>
        <vt:i4>5</vt:i4>
      </vt:variant>
      <vt:variant>
        <vt:lpwstr>http://www.nevo.co.il/law/70301/275</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6357095</vt:i4>
      </vt:variant>
      <vt:variant>
        <vt:i4>132</vt:i4>
      </vt:variant>
      <vt:variant>
        <vt:i4>0</vt:i4>
      </vt:variant>
      <vt:variant>
        <vt:i4>5</vt:i4>
      </vt:variant>
      <vt:variant>
        <vt:lpwstr>http://www.nevo.co.il/law/70301/242</vt:lpwstr>
      </vt:variant>
      <vt:variant>
        <vt:lpwstr/>
      </vt:variant>
      <vt:variant>
        <vt:i4>8257637</vt:i4>
      </vt:variant>
      <vt:variant>
        <vt:i4>129</vt:i4>
      </vt:variant>
      <vt:variant>
        <vt:i4>0</vt:i4>
      </vt:variant>
      <vt:variant>
        <vt:i4>5</vt:i4>
      </vt:variant>
      <vt:variant>
        <vt:lpwstr>http://www.nevo.co.il/law/4216</vt:lpwstr>
      </vt:variant>
      <vt:variant>
        <vt:lpwstr/>
      </vt:variant>
      <vt:variant>
        <vt:i4>2752612</vt:i4>
      </vt:variant>
      <vt:variant>
        <vt:i4>126</vt:i4>
      </vt:variant>
      <vt:variant>
        <vt:i4>0</vt:i4>
      </vt:variant>
      <vt:variant>
        <vt:i4>5</vt:i4>
      </vt:variant>
      <vt:variant>
        <vt:lpwstr>http://www.nevo.co.il/law/4216/7.c</vt:lpwstr>
      </vt:variant>
      <vt:variant>
        <vt:lpwstr/>
      </vt:variant>
      <vt:variant>
        <vt:i4>2621540</vt:i4>
      </vt:variant>
      <vt:variant>
        <vt:i4>123</vt:i4>
      </vt:variant>
      <vt:variant>
        <vt:i4>0</vt:i4>
      </vt:variant>
      <vt:variant>
        <vt:i4>5</vt:i4>
      </vt:variant>
      <vt:variant>
        <vt:lpwstr>http://www.nevo.co.il/law/4216/7.a</vt:lpwstr>
      </vt:variant>
      <vt:variant>
        <vt:lpwstr/>
      </vt:variant>
      <vt:variant>
        <vt:i4>3997814</vt:i4>
      </vt:variant>
      <vt:variant>
        <vt:i4>120</vt:i4>
      </vt:variant>
      <vt:variant>
        <vt:i4>0</vt:i4>
      </vt:variant>
      <vt:variant>
        <vt:i4>5</vt:i4>
      </vt:variant>
      <vt:variant>
        <vt:lpwstr>http://www.nevo.co.il/case/20118363</vt:lpwstr>
      </vt:variant>
      <vt:variant>
        <vt:lpwstr/>
      </vt:variant>
      <vt:variant>
        <vt:i4>2752612</vt:i4>
      </vt:variant>
      <vt:variant>
        <vt:i4>117</vt:i4>
      </vt:variant>
      <vt:variant>
        <vt:i4>0</vt:i4>
      </vt:variant>
      <vt:variant>
        <vt:i4>5</vt:i4>
      </vt:variant>
      <vt:variant>
        <vt:lpwstr>http://www.nevo.co.il/law/4216/7.c</vt:lpwstr>
      </vt:variant>
      <vt:variant>
        <vt:lpwstr/>
      </vt:variant>
      <vt:variant>
        <vt:i4>2621540</vt:i4>
      </vt:variant>
      <vt:variant>
        <vt:i4>114</vt:i4>
      </vt:variant>
      <vt:variant>
        <vt:i4>0</vt:i4>
      </vt:variant>
      <vt:variant>
        <vt:i4>5</vt:i4>
      </vt:variant>
      <vt:variant>
        <vt:lpwstr>http://www.nevo.co.il/law/4216/7.a</vt:lpwstr>
      </vt:variant>
      <vt:variant>
        <vt:lpwstr/>
      </vt:variant>
      <vt:variant>
        <vt:i4>6422631</vt:i4>
      </vt:variant>
      <vt:variant>
        <vt:i4>111</vt:i4>
      </vt:variant>
      <vt:variant>
        <vt:i4>0</vt:i4>
      </vt:variant>
      <vt:variant>
        <vt:i4>5</vt:i4>
      </vt:variant>
      <vt:variant>
        <vt:lpwstr>http://www.nevo.co.il/law/70301/275</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6357095</vt:i4>
      </vt:variant>
      <vt:variant>
        <vt:i4>105</vt:i4>
      </vt:variant>
      <vt:variant>
        <vt:i4>0</vt:i4>
      </vt:variant>
      <vt:variant>
        <vt:i4>5</vt:i4>
      </vt:variant>
      <vt:variant>
        <vt:lpwstr>http://www.nevo.co.il/law/70301/244</vt:lpwstr>
      </vt:variant>
      <vt:variant>
        <vt:lpwstr/>
      </vt:variant>
      <vt:variant>
        <vt:i4>8257637</vt:i4>
      </vt:variant>
      <vt:variant>
        <vt:i4>102</vt:i4>
      </vt:variant>
      <vt:variant>
        <vt:i4>0</vt:i4>
      </vt:variant>
      <vt:variant>
        <vt:i4>5</vt:i4>
      </vt:variant>
      <vt:variant>
        <vt:lpwstr>http://www.nevo.co.il/law/4216</vt:lpwstr>
      </vt:variant>
      <vt:variant>
        <vt:lpwstr/>
      </vt:variant>
      <vt:variant>
        <vt:i4>2752612</vt:i4>
      </vt:variant>
      <vt:variant>
        <vt:i4>99</vt:i4>
      </vt:variant>
      <vt:variant>
        <vt:i4>0</vt:i4>
      </vt:variant>
      <vt:variant>
        <vt:i4>5</vt:i4>
      </vt:variant>
      <vt:variant>
        <vt:lpwstr>http://www.nevo.co.il/law/4216/7.c</vt:lpwstr>
      </vt:variant>
      <vt:variant>
        <vt:lpwstr/>
      </vt:variant>
      <vt:variant>
        <vt:i4>2621540</vt:i4>
      </vt:variant>
      <vt:variant>
        <vt:i4>96</vt:i4>
      </vt:variant>
      <vt:variant>
        <vt:i4>0</vt:i4>
      </vt:variant>
      <vt:variant>
        <vt:i4>5</vt:i4>
      </vt:variant>
      <vt:variant>
        <vt:lpwstr>http://www.nevo.co.il/law/4216/7.a</vt:lpwstr>
      </vt:variant>
      <vt:variant>
        <vt:lpwstr/>
      </vt:variant>
      <vt:variant>
        <vt:i4>3342451</vt:i4>
      </vt:variant>
      <vt:variant>
        <vt:i4>93</vt:i4>
      </vt:variant>
      <vt:variant>
        <vt:i4>0</vt:i4>
      </vt:variant>
      <vt:variant>
        <vt:i4>5</vt:i4>
      </vt:variant>
      <vt:variant>
        <vt:lpwstr>http://www.nevo.co.il/case/5608791</vt:lpwstr>
      </vt:variant>
      <vt:variant>
        <vt:lpwstr/>
      </vt:variant>
      <vt:variant>
        <vt:i4>3604597</vt:i4>
      </vt:variant>
      <vt:variant>
        <vt:i4>90</vt:i4>
      </vt:variant>
      <vt:variant>
        <vt:i4>0</vt:i4>
      </vt:variant>
      <vt:variant>
        <vt:i4>5</vt:i4>
      </vt:variant>
      <vt:variant>
        <vt:lpwstr>http://www.nevo.co.il/case/5714221</vt:lpwstr>
      </vt:variant>
      <vt:variant>
        <vt:lpwstr/>
      </vt:variant>
      <vt:variant>
        <vt:i4>8257637</vt:i4>
      </vt:variant>
      <vt:variant>
        <vt:i4>87</vt:i4>
      </vt:variant>
      <vt:variant>
        <vt:i4>0</vt:i4>
      </vt:variant>
      <vt:variant>
        <vt:i4>5</vt:i4>
      </vt:variant>
      <vt:variant>
        <vt:lpwstr>http://www.nevo.co.il/law/4216</vt:lpwstr>
      </vt:variant>
      <vt:variant>
        <vt:lpwstr/>
      </vt:variant>
      <vt:variant>
        <vt:i4>2752612</vt:i4>
      </vt:variant>
      <vt:variant>
        <vt:i4>84</vt:i4>
      </vt:variant>
      <vt:variant>
        <vt:i4>0</vt:i4>
      </vt:variant>
      <vt:variant>
        <vt:i4>5</vt:i4>
      </vt:variant>
      <vt:variant>
        <vt:lpwstr>http://www.nevo.co.il/law/4216/7.c</vt:lpwstr>
      </vt:variant>
      <vt:variant>
        <vt:lpwstr/>
      </vt:variant>
      <vt:variant>
        <vt:i4>2621540</vt:i4>
      </vt:variant>
      <vt:variant>
        <vt:i4>81</vt:i4>
      </vt:variant>
      <vt:variant>
        <vt:i4>0</vt:i4>
      </vt:variant>
      <vt:variant>
        <vt:i4>5</vt:i4>
      </vt:variant>
      <vt:variant>
        <vt:lpwstr>http://www.nevo.co.il/law/4216/7.a</vt:lpwstr>
      </vt:variant>
      <vt:variant>
        <vt:lpwstr/>
      </vt:variant>
      <vt:variant>
        <vt:i4>3145844</vt:i4>
      </vt:variant>
      <vt:variant>
        <vt:i4>78</vt:i4>
      </vt:variant>
      <vt:variant>
        <vt:i4>0</vt:i4>
      </vt:variant>
      <vt:variant>
        <vt:i4>5</vt:i4>
      </vt:variant>
      <vt:variant>
        <vt:lpwstr>http://www.nevo.co.il/case/4723244</vt:lpwstr>
      </vt:variant>
      <vt:variant>
        <vt:lpwstr/>
      </vt:variant>
      <vt:variant>
        <vt:i4>8257637</vt:i4>
      </vt:variant>
      <vt:variant>
        <vt:i4>75</vt:i4>
      </vt:variant>
      <vt:variant>
        <vt:i4>0</vt:i4>
      </vt:variant>
      <vt:variant>
        <vt:i4>5</vt:i4>
      </vt:variant>
      <vt:variant>
        <vt:lpwstr>http://www.nevo.co.il/law/4216</vt:lpwstr>
      </vt:variant>
      <vt:variant>
        <vt:lpwstr/>
      </vt:variant>
      <vt:variant>
        <vt:i4>2752612</vt:i4>
      </vt:variant>
      <vt:variant>
        <vt:i4>72</vt:i4>
      </vt:variant>
      <vt:variant>
        <vt:i4>0</vt:i4>
      </vt:variant>
      <vt:variant>
        <vt:i4>5</vt:i4>
      </vt:variant>
      <vt:variant>
        <vt:lpwstr>http://www.nevo.co.il/law/4216/7.c</vt:lpwstr>
      </vt:variant>
      <vt:variant>
        <vt:lpwstr/>
      </vt:variant>
      <vt:variant>
        <vt:i4>2621540</vt:i4>
      </vt:variant>
      <vt:variant>
        <vt:i4>69</vt:i4>
      </vt:variant>
      <vt:variant>
        <vt:i4>0</vt:i4>
      </vt:variant>
      <vt:variant>
        <vt:i4>5</vt:i4>
      </vt:variant>
      <vt:variant>
        <vt:lpwstr>http://www.nevo.co.il/law/4216/7.a</vt:lpwstr>
      </vt:variant>
      <vt:variant>
        <vt:lpwstr/>
      </vt:variant>
      <vt:variant>
        <vt:i4>3735664</vt:i4>
      </vt:variant>
      <vt:variant>
        <vt:i4>66</vt:i4>
      </vt:variant>
      <vt:variant>
        <vt:i4>0</vt:i4>
      </vt:variant>
      <vt:variant>
        <vt:i4>5</vt:i4>
      </vt:variant>
      <vt:variant>
        <vt:lpwstr>http://www.nevo.co.il/case/6162970</vt:lpwstr>
      </vt:variant>
      <vt:variant>
        <vt:lpwstr/>
      </vt:variant>
      <vt:variant>
        <vt:i4>3407996</vt:i4>
      </vt:variant>
      <vt:variant>
        <vt:i4>63</vt:i4>
      </vt:variant>
      <vt:variant>
        <vt:i4>0</vt:i4>
      </vt:variant>
      <vt:variant>
        <vt:i4>5</vt:i4>
      </vt:variant>
      <vt:variant>
        <vt:lpwstr>http://www.nevo.co.il/case/5917767</vt:lpwstr>
      </vt:variant>
      <vt:variant>
        <vt:lpwstr/>
      </vt:variant>
      <vt:variant>
        <vt:i4>3932283</vt:i4>
      </vt:variant>
      <vt:variant>
        <vt:i4>60</vt:i4>
      </vt:variant>
      <vt:variant>
        <vt:i4>0</vt:i4>
      </vt:variant>
      <vt:variant>
        <vt:i4>5</vt:i4>
      </vt:variant>
      <vt:variant>
        <vt:lpwstr>http://www.nevo.co.il/case/5698919</vt:lpwstr>
      </vt:variant>
      <vt:variant>
        <vt:lpwstr/>
      </vt:variant>
      <vt:variant>
        <vt:i4>6619233</vt:i4>
      </vt:variant>
      <vt:variant>
        <vt:i4>57</vt:i4>
      </vt:variant>
      <vt:variant>
        <vt:i4>0</vt:i4>
      </vt:variant>
      <vt:variant>
        <vt:i4>5</vt:i4>
      </vt:variant>
      <vt:variant>
        <vt:lpwstr>http://www.nevo.co.il/law/70301/40c</vt:lpwstr>
      </vt:variant>
      <vt:variant>
        <vt:lpwstr/>
      </vt:variant>
      <vt:variant>
        <vt:i4>6619233</vt:i4>
      </vt:variant>
      <vt:variant>
        <vt:i4>54</vt:i4>
      </vt:variant>
      <vt:variant>
        <vt:i4>0</vt:i4>
      </vt:variant>
      <vt:variant>
        <vt:i4>5</vt:i4>
      </vt:variant>
      <vt:variant>
        <vt:lpwstr>http://www.nevo.co.il/law/70301/40b</vt:lpwstr>
      </vt:variant>
      <vt:variant>
        <vt:lpwstr/>
      </vt:variant>
      <vt:variant>
        <vt:i4>7995492</vt:i4>
      </vt:variant>
      <vt:variant>
        <vt:i4>51</vt:i4>
      </vt:variant>
      <vt:variant>
        <vt:i4>0</vt:i4>
      </vt:variant>
      <vt:variant>
        <vt:i4>5</vt:i4>
      </vt:variant>
      <vt:variant>
        <vt:lpwstr>http://www.nevo.co.il/law/70301</vt:lpwstr>
      </vt:variant>
      <vt:variant>
        <vt:lpwstr/>
      </vt:variant>
      <vt:variant>
        <vt:i4>3604579</vt:i4>
      </vt:variant>
      <vt:variant>
        <vt:i4>48</vt:i4>
      </vt:variant>
      <vt:variant>
        <vt:i4>0</vt:i4>
      </vt:variant>
      <vt:variant>
        <vt:i4>5</vt:i4>
      </vt:variant>
      <vt:variant>
        <vt:lpwstr>http://www.nevo.co.il/law/70301/fCa(1)S</vt:lpwstr>
      </vt:variant>
      <vt:variant>
        <vt:lpwstr/>
      </vt:variant>
      <vt:variant>
        <vt:i4>8257637</vt:i4>
      </vt:variant>
      <vt:variant>
        <vt:i4>45</vt:i4>
      </vt:variant>
      <vt:variant>
        <vt:i4>0</vt:i4>
      </vt:variant>
      <vt:variant>
        <vt:i4>5</vt:i4>
      </vt:variant>
      <vt:variant>
        <vt:lpwstr>http://www.nevo.co.il/law/4216</vt:lpwstr>
      </vt:variant>
      <vt:variant>
        <vt:lpwstr/>
      </vt:variant>
      <vt:variant>
        <vt:i4>8257637</vt:i4>
      </vt:variant>
      <vt:variant>
        <vt:i4>42</vt:i4>
      </vt:variant>
      <vt:variant>
        <vt:i4>0</vt:i4>
      </vt:variant>
      <vt:variant>
        <vt:i4>5</vt:i4>
      </vt:variant>
      <vt:variant>
        <vt:lpwstr>http://www.nevo.co.il/law/4216</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3604579</vt:i4>
      </vt:variant>
      <vt:variant>
        <vt:i4>33</vt:i4>
      </vt:variant>
      <vt:variant>
        <vt:i4>0</vt:i4>
      </vt:variant>
      <vt:variant>
        <vt:i4>5</vt:i4>
      </vt:variant>
      <vt:variant>
        <vt:lpwstr>http://www.nevo.co.il/law/70301/fCa(1)S</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6422631</vt:i4>
      </vt:variant>
      <vt:variant>
        <vt:i4>27</vt:i4>
      </vt:variant>
      <vt:variant>
        <vt:i4>0</vt:i4>
      </vt:variant>
      <vt:variant>
        <vt:i4>5</vt:i4>
      </vt:variant>
      <vt:variant>
        <vt:lpwstr>http://www.nevo.co.il/law/70301/275</vt:lpwstr>
      </vt:variant>
      <vt:variant>
        <vt:lpwstr/>
      </vt:variant>
      <vt:variant>
        <vt:i4>6357095</vt:i4>
      </vt:variant>
      <vt:variant>
        <vt:i4>24</vt:i4>
      </vt:variant>
      <vt:variant>
        <vt:i4>0</vt:i4>
      </vt:variant>
      <vt:variant>
        <vt:i4>5</vt:i4>
      </vt:variant>
      <vt:variant>
        <vt:lpwstr>http://www.nevo.co.il/law/70301/244</vt:lpwstr>
      </vt:variant>
      <vt:variant>
        <vt:lpwstr/>
      </vt:variant>
      <vt:variant>
        <vt:i4>6357095</vt:i4>
      </vt:variant>
      <vt:variant>
        <vt:i4>21</vt:i4>
      </vt:variant>
      <vt:variant>
        <vt:i4>0</vt:i4>
      </vt:variant>
      <vt:variant>
        <vt:i4>5</vt:i4>
      </vt:variant>
      <vt:variant>
        <vt:lpwstr>http://www.nevo.co.il/law/70301/242</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6619233</vt:i4>
      </vt:variant>
      <vt:variant>
        <vt:i4>15</vt:i4>
      </vt:variant>
      <vt:variant>
        <vt:i4>0</vt:i4>
      </vt:variant>
      <vt:variant>
        <vt:i4>5</vt:i4>
      </vt:variant>
      <vt:variant>
        <vt:lpwstr>http://www.nevo.co.il/law/70301/40c</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2025-04-22T20:48:00Z</dcterms:created>
  <dcterms:modified xsi:type="dcterms:W3CDTF">2025-04-22T20:48:00Z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701</vt:lpwstr>
  </property>
  <property fmtid="{D5CDD505-2E9C-101B-9397-08002B2CF9AE}" pid="6" name="NEWPARTB">
    <vt:lpwstr>12</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חליל עומר</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20171001</vt:lpwstr>
  </property>
  <property fmtid="{D5CDD505-2E9C-101B-9397-08002B2CF9AE}" pid="13" name="TYPE_N_DATE">
    <vt:lpwstr>39020171001</vt:lpwstr>
  </property>
  <property fmtid="{D5CDD505-2E9C-101B-9397-08002B2CF9AE}" pid="14" name="WORDNUMPAGES">
    <vt:lpwstr>8</vt:lpwstr>
  </property>
  <property fmtid="{D5CDD505-2E9C-101B-9397-08002B2CF9AE}" pid="15" name="TYPE_ABS_DATE">
    <vt:lpwstr>390020171001</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5698919;5917767;6162970;4723244;5714221;5608791;20118363</vt:lpwstr>
  </property>
  <property fmtid="{D5CDD505-2E9C-101B-9397-08002B2CF9AE}" pid="36" name="LAWLISTTMP1">
    <vt:lpwstr>4216/007.a:6;007.c:6</vt:lpwstr>
  </property>
  <property fmtid="{D5CDD505-2E9C-101B-9397-08002B2CF9AE}" pid="37" name="LAWLISTTMP2">
    <vt:lpwstr>70301/fCa(1)S;040b;040c;244;275:2;242;040i;40ja</vt:lpwstr>
  </property>
</Properties>
</file>