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D2709" w:rsidRPr="003B1976" w14:paraId="3E371F13" w14:textId="77777777" w:rsidTr="00626ACB">
        <w:trPr>
          <w:trHeight w:hRule="exact" w:val="418"/>
          <w:jc w:val="center"/>
        </w:trPr>
        <w:tc>
          <w:tcPr>
            <w:tcW w:w="8721" w:type="dxa"/>
            <w:gridSpan w:val="2"/>
          </w:tcPr>
          <w:p w14:paraId="257CC24F" w14:textId="77777777" w:rsidR="002D2709" w:rsidRPr="003B1976" w:rsidRDefault="002D2709" w:rsidP="006B6427">
            <w:pPr>
              <w:pStyle w:val="a3"/>
              <w:jc w:val="center"/>
              <w:rPr>
                <w:rFonts w:ascii="Tahoma" w:hAnsi="Tahoma"/>
                <w:color w:val="000080"/>
                <w:sz w:val="32"/>
                <w:szCs w:val="32"/>
                <w:rtl/>
              </w:rPr>
            </w:pPr>
            <w:bookmarkStart w:id="0" w:name="LastJudge"/>
            <w:r w:rsidRPr="003B1976">
              <w:rPr>
                <w:rFonts w:ascii="Tahoma" w:hAnsi="Tahoma"/>
                <w:b/>
                <w:bCs/>
                <w:color w:val="000080"/>
                <w:sz w:val="32"/>
                <w:szCs w:val="32"/>
                <w:rtl/>
              </w:rPr>
              <w:t>בית המשפט המחוזי בתל אביב - יפו</w:t>
            </w:r>
          </w:p>
        </w:tc>
      </w:tr>
      <w:tr w:rsidR="002D2709" w:rsidRPr="003B1976" w14:paraId="2D9AD7FB" w14:textId="77777777" w:rsidTr="00626ACB">
        <w:trPr>
          <w:trHeight w:val="337"/>
          <w:jc w:val="center"/>
        </w:trPr>
        <w:tc>
          <w:tcPr>
            <w:tcW w:w="5054" w:type="dxa"/>
          </w:tcPr>
          <w:p w14:paraId="63AFF597" w14:textId="77777777" w:rsidR="002D2709" w:rsidRPr="003B1976" w:rsidRDefault="002D2709" w:rsidP="006B6427">
            <w:pPr>
              <w:rPr>
                <w:sz w:val="26"/>
                <w:szCs w:val="26"/>
                <w:rtl/>
              </w:rPr>
            </w:pPr>
            <w:r w:rsidRPr="003B1976">
              <w:rPr>
                <w:sz w:val="26"/>
                <w:szCs w:val="26"/>
                <w:rtl/>
              </w:rPr>
              <w:t>ת"פ</w:t>
            </w:r>
            <w:r w:rsidRPr="003B1976">
              <w:rPr>
                <w:rFonts w:hint="cs"/>
                <w:sz w:val="26"/>
                <w:szCs w:val="26"/>
                <w:rtl/>
              </w:rPr>
              <w:t xml:space="preserve"> </w:t>
            </w:r>
            <w:r w:rsidRPr="003B1976">
              <w:rPr>
                <w:sz w:val="26"/>
                <w:szCs w:val="26"/>
                <w:rtl/>
              </w:rPr>
              <w:t>22611-02-17</w:t>
            </w:r>
            <w:r w:rsidRPr="003B1976">
              <w:rPr>
                <w:rFonts w:hint="cs"/>
                <w:sz w:val="26"/>
                <w:szCs w:val="26"/>
                <w:rtl/>
              </w:rPr>
              <w:t xml:space="preserve"> </w:t>
            </w:r>
            <w:r w:rsidRPr="003B1976">
              <w:rPr>
                <w:sz w:val="26"/>
                <w:szCs w:val="26"/>
                <w:rtl/>
              </w:rPr>
              <w:t>מדינת ישראל נ' מרדוש</w:t>
            </w:r>
          </w:p>
          <w:p w14:paraId="706D8BF4" w14:textId="77777777" w:rsidR="002D2709" w:rsidRPr="003B1976" w:rsidRDefault="002D2709" w:rsidP="006B6427">
            <w:pPr>
              <w:pStyle w:val="a3"/>
              <w:rPr>
                <w:rFonts w:cs="FrankRuehl"/>
                <w:sz w:val="28"/>
                <w:szCs w:val="28"/>
                <w:rtl/>
              </w:rPr>
            </w:pPr>
          </w:p>
        </w:tc>
        <w:tc>
          <w:tcPr>
            <w:tcW w:w="3667" w:type="dxa"/>
          </w:tcPr>
          <w:p w14:paraId="359EF146" w14:textId="77777777" w:rsidR="002D2709" w:rsidRPr="003B1976" w:rsidRDefault="002D2709" w:rsidP="006B6427">
            <w:pPr>
              <w:pStyle w:val="a3"/>
              <w:jc w:val="right"/>
              <w:rPr>
                <w:rFonts w:cs="FrankRuehl"/>
                <w:sz w:val="28"/>
                <w:szCs w:val="28"/>
                <w:rtl/>
              </w:rPr>
            </w:pPr>
          </w:p>
        </w:tc>
      </w:tr>
    </w:tbl>
    <w:p w14:paraId="285C91F3" w14:textId="77777777" w:rsidR="002D2709" w:rsidRPr="003B1976" w:rsidRDefault="002D2709" w:rsidP="002D2709">
      <w:pPr>
        <w:pStyle w:val="a3"/>
        <w:rPr>
          <w:rtl/>
        </w:rPr>
      </w:pPr>
      <w:r w:rsidRPr="003B1976">
        <w:rPr>
          <w:rFonts w:hint="cs"/>
          <w:rtl/>
        </w:rPr>
        <w:t xml:space="preserve"> </w:t>
      </w:r>
    </w:p>
    <w:p w14:paraId="0257E1FC" w14:textId="77777777" w:rsidR="002D2709" w:rsidRPr="003B1976" w:rsidRDefault="002D2709" w:rsidP="002D270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55"/>
        <w:gridCol w:w="3370"/>
      </w:tblGrid>
      <w:tr w:rsidR="002D2709" w:rsidRPr="003B1976" w14:paraId="335EF25B" w14:textId="77777777" w:rsidTr="002D2709">
        <w:trPr>
          <w:trHeight w:val="295"/>
          <w:jc w:val="center"/>
        </w:trPr>
        <w:tc>
          <w:tcPr>
            <w:tcW w:w="598" w:type="dxa"/>
            <w:tcBorders>
              <w:top w:val="nil"/>
              <w:left w:val="nil"/>
              <w:bottom w:val="nil"/>
              <w:right w:val="nil"/>
            </w:tcBorders>
            <w:shd w:val="clear" w:color="auto" w:fill="auto"/>
          </w:tcPr>
          <w:p w14:paraId="008537B3" w14:textId="77777777" w:rsidR="002D2709" w:rsidRPr="003B1976" w:rsidRDefault="002D2709" w:rsidP="002D2709">
            <w:pPr>
              <w:jc w:val="both"/>
              <w:rPr>
                <w:rFonts w:ascii="Arial" w:hAnsi="Arial"/>
                <w:b/>
                <w:bCs/>
                <w:sz w:val="26"/>
                <w:szCs w:val="26"/>
              </w:rPr>
            </w:pPr>
            <w:r w:rsidRPr="003B1976">
              <w:rPr>
                <w:rFonts w:ascii="Arial" w:hAnsi="Arial" w:hint="cs"/>
                <w:b/>
                <w:bCs/>
                <w:sz w:val="26"/>
                <w:szCs w:val="26"/>
                <w:rtl/>
              </w:rPr>
              <w:t>ל</w:t>
            </w:r>
            <w:r w:rsidRPr="003B1976">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11B67585" w14:textId="77777777" w:rsidR="002D2709" w:rsidRPr="003B1976" w:rsidRDefault="002D2709" w:rsidP="006B6427">
            <w:pPr>
              <w:rPr>
                <w:rFonts w:ascii="Arial" w:hAnsi="Arial"/>
                <w:b/>
                <w:bCs/>
                <w:sz w:val="26"/>
                <w:szCs w:val="26"/>
                <w:rtl/>
              </w:rPr>
            </w:pPr>
            <w:r w:rsidRPr="003B1976">
              <w:rPr>
                <w:rFonts w:ascii="Arial" w:hAnsi="Arial" w:hint="cs"/>
                <w:b/>
                <w:bCs/>
                <w:sz w:val="26"/>
                <w:szCs w:val="26"/>
                <w:rtl/>
              </w:rPr>
              <w:t>כבוד ה</w:t>
            </w:r>
            <w:r w:rsidRPr="003B1976">
              <w:rPr>
                <w:rFonts w:ascii="Arial" w:hAnsi="Arial"/>
                <w:b/>
                <w:bCs/>
                <w:sz w:val="26"/>
                <w:szCs w:val="26"/>
                <w:rtl/>
              </w:rPr>
              <w:t>שופט</w:t>
            </w:r>
            <w:r w:rsidRPr="003B1976">
              <w:rPr>
                <w:rFonts w:ascii="Arial" w:hAnsi="Arial" w:hint="cs"/>
                <w:b/>
                <w:bCs/>
                <w:sz w:val="26"/>
                <w:szCs w:val="26"/>
                <w:rtl/>
              </w:rPr>
              <w:t xml:space="preserve">  </w:t>
            </w:r>
            <w:r w:rsidRPr="003B1976">
              <w:rPr>
                <w:rFonts w:ascii="Arial" w:hAnsi="Arial"/>
                <w:b/>
                <w:bCs/>
                <w:sz w:val="26"/>
                <w:szCs w:val="26"/>
                <w:rtl/>
              </w:rPr>
              <w:t>ציון קאפח</w:t>
            </w:r>
          </w:p>
          <w:p w14:paraId="1FC72F3A" w14:textId="77777777" w:rsidR="002D2709" w:rsidRPr="003B1976" w:rsidRDefault="002D2709" w:rsidP="006B6427">
            <w:pPr>
              <w:rPr>
                <w:sz w:val="26"/>
                <w:szCs w:val="26"/>
                <w:rtl/>
              </w:rPr>
            </w:pPr>
          </w:p>
          <w:p w14:paraId="376B8876" w14:textId="77777777" w:rsidR="002D2709" w:rsidRPr="003B1976" w:rsidRDefault="002D2709" w:rsidP="002D2709">
            <w:pPr>
              <w:jc w:val="both"/>
              <w:rPr>
                <w:rFonts w:ascii="Arial" w:hAnsi="Arial"/>
                <w:sz w:val="26"/>
                <w:szCs w:val="26"/>
              </w:rPr>
            </w:pPr>
          </w:p>
        </w:tc>
      </w:tr>
      <w:tr w:rsidR="002D2709" w:rsidRPr="003B1976" w14:paraId="6DD57883" w14:textId="77777777" w:rsidTr="002D2709">
        <w:trPr>
          <w:trHeight w:val="355"/>
          <w:jc w:val="center"/>
        </w:trPr>
        <w:tc>
          <w:tcPr>
            <w:tcW w:w="598" w:type="dxa"/>
            <w:tcBorders>
              <w:top w:val="nil"/>
              <w:left w:val="nil"/>
              <w:bottom w:val="nil"/>
              <w:right w:val="nil"/>
            </w:tcBorders>
            <w:shd w:val="clear" w:color="auto" w:fill="auto"/>
          </w:tcPr>
          <w:p w14:paraId="5C845E94" w14:textId="77777777" w:rsidR="002D2709" w:rsidRPr="003B1976" w:rsidRDefault="002D2709" w:rsidP="002D2709">
            <w:pPr>
              <w:jc w:val="both"/>
              <w:rPr>
                <w:rFonts w:ascii="Arial" w:hAnsi="Arial"/>
                <w:b/>
                <w:bCs/>
                <w:sz w:val="26"/>
                <w:szCs w:val="26"/>
              </w:rPr>
            </w:pPr>
            <w:bookmarkStart w:id="1" w:name="FirstAppellant"/>
            <w:bookmarkStart w:id="2" w:name="FirstLawyer"/>
            <w:r w:rsidRPr="003B1976">
              <w:rPr>
                <w:rFonts w:ascii="Arial" w:hAnsi="Arial" w:hint="cs"/>
                <w:sz w:val="26"/>
                <w:szCs w:val="26"/>
                <w:rtl/>
              </w:rPr>
              <w:t>ה</w:t>
            </w:r>
            <w:r w:rsidRPr="003B1976">
              <w:rPr>
                <w:rFonts w:ascii="Arial" w:hAnsi="Arial"/>
                <w:sz w:val="26"/>
                <w:szCs w:val="26"/>
                <w:rtl/>
              </w:rPr>
              <w:t>מאשימה</w:t>
            </w:r>
          </w:p>
        </w:tc>
        <w:tc>
          <w:tcPr>
            <w:tcW w:w="4565" w:type="dxa"/>
            <w:tcBorders>
              <w:top w:val="nil"/>
              <w:left w:val="nil"/>
              <w:bottom w:val="nil"/>
              <w:right w:val="nil"/>
            </w:tcBorders>
            <w:shd w:val="clear" w:color="auto" w:fill="auto"/>
          </w:tcPr>
          <w:p w14:paraId="5D2D4595" w14:textId="77777777" w:rsidR="002D2709" w:rsidRPr="003B1976" w:rsidRDefault="002D2709" w:rsidP="006B6427">
            <w:pPr>
              <w:rPr>
                <w:sz w:val="26"/>
                <w:szCs w:val="26"/>
                <w:rtl/>
              </w:rPr>
            </w:pPr>
            <w:r w:rsidRPr="003B1976">
              <w:rPr>
                <w:rFonts w:ascii="Arial" w:hAnsi="Arial"/>
                <w:sz w:val="26"/>
                <w:szCs w:val="26"/>
                <w:rtl/>
              </w:rPr>
              <w:t>מדינת ישראל</w:t>
            </w:r>
          </w:p>
          <w:p w14:paraId="2CD33B99" w14:textId="77777777" w:rsidR="002D2709" w:rsidRPr="003B1976" w:rsidRDefault="002D2709" w:rsidP="006B6427">
            <w:pPr>
              <w:rPr>
                <w:b/>
                <w:bCs/>
                <w:sz w:val="26"/>
                <w:szCs w:val="26"/>
              </w:rPr>
            </w:pPr>
            <w:r w:rsidRPr="003B1976">
              <w:rPr>
                <w:rFonts w:hint="cs"/>
                <w:sz w:val="26"/>
                <w:szCs w:val="26"/>
                <w:rtl/>
              </w:rPr>
              <w:t xml:space="preserve">ע"י ב"כ עו"ד </w:t>
            </w:r>
            <w:r w:rsidRPr="003B1976">
              <w:rPr>
                <w:rFonts w:hint="cs"/>
                <w:b/>
                <w:bCs/>
                <w:sz w:val="26"/>
                <w:szCs w:val="26"/>
                <w:rtl/>
              </w:rPr>
              <w:t>ראאד ענוז</w:t>
            </w:r>
          </w:p>
        </w:tc>
        <w:tc>
          <w:tcPr>
            <w:tcW w:w="3657" w:type="dxa"/>
            <w:tcBorders>
              <w:top w:val="nil"/>
              <w:left w:val="nil"/>
              <w:bottom w:val="nil"/>
              <w:right w:val="nil"/>
            </w:tcBorders>
            <w:shd w:val="clear" w:color="auto" w:fill="auto"/>
          </w:tcPr>
          <w:p w14:paraId="3EA22796" w14:textId="77777777" w:rsidR="002D2709" w:rsidRPr="003B1976" w:rsidRDefault="002D2709" w:rsidP="002D2709">
            <w:pPr>
              <w:jc w:val="both"/>
              <w:rPr>
                <w:rFonts w:ascii="Arial" w:hAnsi="Arial"/>
                <w:sz w:val="26"/>
                <w:szCs w:val="26"/>
              </w:rPr>
            </w:pPr>
          </w:p>
        </w:tc>
      </w:tr>
      <w:bookmarkEnd w:id="1"/>
      <w:bookmarkEnd w:id="2"/>
      <w:tr w:rsidR="002D2709" w:rsidRPr="003B1976" w14:paraId="52165167" w14:textId="77777777" w:rsidTr="002D2709">
        <w:trPr>
          <w:trHeight w:val="355"/>
          <w:jc w:val="center"/>
        </w:trPr>
        <w:tc>
          <w:tcPr>
            <w:tcW w:w="598" w:type="dxa"/>
            <w:tcBorders>
              <w:top w:val="nil"/>
              <w:left w:val="nil"/>
              <w:bottom w:val="nil"/>
              <w:right w:val="nil"/>
            </w:tcBorders>
            <w:shd w:val="clear" w:color="auto" w:fill="auto"/>
          </w:tcPr>
          <w:p w14:paraId="317D1D52" w14:textId="77777777" w:rsidR="002D2709" w:rsidRPr="003B1976" w:rsidRDefault="002D2709" w:rsidP="002D2709">
            <w:pPr>
              <w:jc w:val="both"/>
              <w:rPr>
                <w:rFonts w:ascii="Arial" w:hAnsi="Arial"/>
                <w:sz w:val="26"/>
                <w:szCs w:val="26"/>
                <w:rtl/>
              </w:rPr>
            </w:pPr>
          </w:p>
        </w:tc>
        <w:tc>
          <w:tcPr>
            <w:tcW w:w="4565" w:type="dxa"/>
            <w:tcBorders>
              <w:top w:val="nil"/>
              <w:left w:val="nil"/>
              <w:bottom w:val="nil"/>
              <w:right w:val="nil"/>
            </w:tcBorders>
            <w:shd w:val="clear" w:color="auto" w:fill="auto"/>
          </w:tcPr>
          <w:p w14:paraId="27DAA3A3" w14:textId="77777777" w:rsidR="002D2709" w:rsidRPr="003B1976" w:rsidRDefault="002D2709" w:rsidP="006B6427">
            <w:pPr>
              <w:rPr>
                <w:rFonts w:ascii="Arial" w:hAnsi="Arial"/>
                <w:sz w:val="26"/>
                <w:szCs w:val="26"/>
                <w:rtl/>
              </w:rPr>
            </w:pPr>
          </w:p>
        </w:tc>
        <w:tc>
          <w:tcPr>
            <w:tcW w:w="3657" w:type="dxa"/>
            <w:tcBorders>
              <w:top w:val="nil"/>
              <w:left w:val="nil"/>
              <w:bottom w:val="nil"/>
              <w:right w:val="nil"/>
            </w:tcBorders>
            <w:shd w:val="clear" w:color="auto" w:fill="auto"/>
          </w:tcPr>
          <w:p w14:paraId="09C47DAF" w14:textId="77777777" w:rsidR="002D2709" w:rsidRPr="003B1976" w:rsidRDefault="002D2709" w:rsidP="002D2709">
            <w:pPr>
              <w:jc w:val="right"/>
              <w:rPr>
                <w:rFonts w:ascii="Arial" w:hAnsi="Arial"/>
                <w:sz w:val="26"/>
                <w:szCs w:val="26"/>
                <w:rtl/>
              </w:rPr>
            </w:pPr>
          </w:p>
        </w:tc>
      </w:tr>
      <w:tr w:rsidR="002D2709" w:rsidRPr="003B1976" w14:paraId="065BA170" w14:textId="77777777" w:rsidTr="002D2709">
        <w:trPr>
          <w:trHeight w:val="355"/>
          <w:jc w:val="center"/>
        </w:trPr>
        <w:tc>
          <w:tcPr>
            <w:tcW w:w="598" w:type="dxa"/>
            <w:tcBorders>
              <w:top w:val="nil"/>
              <w:left w:val="nil"/>
              <w:bottom w:val="nil"/>
              <w:right w:val="nil"/>
            </w:tcBorders>
            <w:shd w:val="clear" w:color="auto" w:fill="auto"/>
          </w:tcPr>
          <w:p w14:paraId="3D3DCA6A" w14:textId="77777777" w:rsidR="002D2709" w:rsidRPr="003B1976" w:rsidRDefault="002D2709" w:rsidP="002D2709">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068B10DD" w14:textId="77777777" w:rsidR="002D2709" w:rsidRPr="003B1976" w:rsidRDefault="002D2709" w:rsidP="006B6427">
            <w:pPr>
              <w:rPr>
                <w:rFonts w:ascii="Arial" w:hAnsi="Arial"/>
                <w:b/>
                <w:bCs/>
                <w:sz w:val="26"/>
                <w:szCs w:val="26"/>
                <w:rtl/>
              </w:rPr>
            </w:pPr>
            <w:r w:rsidRPr="003B1976">
              <w:rPr>
                <w:rFonts w:ascii="Arial" w:hAnsi="Arial" w:hint="cs"/>
                <w:b/>
                <w:bCs/>
                <w:sz w:val="26"/>
                <w:szCs w:val="26"/>
                <w:rtl/>
              </w:rPr>
              <w:t xml:space="preserve">                                </w:t>
            </w:r>
            <w:r w:rsidRPr="003B1976">
              <w:rPr>
                <w:rFonts w:ascii="Arial" w:hAnsi="Arial"/>
                <w:b/>
                <w:bCs/>
                <w:sz w:val="26"/>
                <w:szCs w:val="26"/>
                <w:rtl/>
              </w:rPr>
              <w:t>נגד</w:t>
            </w:r>
          </w:p>
          <w:p w14:paraId="2012A549" w14:textId="77777777" w:rsidR="002D2709" w:rsidRPr="003B1976" w:rsidRDefault="002D2709" w:rsidP="002D2709">
            <w:pPr>
              <w:jc w:val="both"/>
              <w:rPr>
                <w:rFonts w:ascii="Arial" w:hAnsi="Arial"/>
                <w:sz w:val="26"/>
                <w:szCs w:val="26"/>
              </w:rPr>
            </w:pPr>
          </w:p>
        </w:tc>
      </w:tr>
      <w:tr w:rsidR="002D2709" w:rsidRPr="003B1976" w14:paraId="78318B8B" w14:textId="77777777" w:rsidTr="002D2709">
        <w:trPr>
          <w:trHeight w:val="355"/>
          <w:jc w:val="center"/>
        </w:trPr>
        <w:tc>
          <w:tcPr>
            <w:tcW w:w="598" w:type="dxa"/>
            <w:tcBorders>
              <w:top w:val="nil"/>
              <w:left w:val="nil"/>
              <w:bottom w:val="nil"/>
              <w:right w:val="nil"/>
            </w:tcBorders>
            <w:shd w:val="clear" w:color="auto" w:fill="auto"/>
          </w:tcPr>
          <w:p w14:paraId="044CF6D8" w14:textId="77777777" w:rsidR="002D2709" w:rsidRPr="003B1976" w:rsidRDefault="002D2709" w:rsidP="006B6427">
            <w:pPr>
              <w:rPr>
                <w:rFonts w:ascii="Arial" w:hAnsi="Arial"/>
                <w:sz w:val="26"/>
                <w:szCs w:val="26"/>
                <w:rtl/>
              </w:rPr>
            </w:pPr>
            <w:r w:rsidRPr="003B1976">
              <w:rPr>
                <w:rFonts w:ascii="Arial" w:hAnsi="Arial" w:hint="cs"/>
                <w:sz w:val="26"/>
                <w:szCs w:val="26"/>
                <w:rtl/>
              </w:rPr>
              <w:t>ה</w:t>
            </w:r>
            <w:r w:rsidRPr="003B1976">
              <w:rPr>
                <w:rFonts w:ascii="Arial" w:hAnsi="Arial"/>
                <w:sz w:val="26"/>
                <w:szCs w:val="26"/>
                <w:rtl/>
              </w:rPr>
              <w:t>נאש</w:t>
            </w:r>
            <w:r w:rsidRPr="003B1976">
              <w:rPr>
                <w:rFonts w:ascii="Arial" w:hAnsi="Arial" w:hint="cs"/>
                <w:sz w:val="26"/>
                <w:szCs w:val="26"/>
                <w:rtl/>
              </w:rPr>
              <w:t>ם</w:t>
            </w:r>
          </w:p>
        </w:tc>
        <w:tc>
          <w:tcPr>
            <w:tcW w:w="4565" w:type="dxa"/>
            <w:tcBorders>
              <w:top w:val="nil"/>
              <w:left w:val="nil"/>
              <w:bottom w:val="nil"/>
              <w:right w:val="nil"/>
            </w:tcBorders>
            <w:shd w:val="clear" w:color="auto" w:fill="auto"/>
          </w:tcPr>
          <w:p w14:paraId="17A675F1" w14:textId="77777777" w:rsidR="002D2709" w:rsidRPr="003B1976" w:rsidRDefault="002D2709" w:rsidP="006B6427">
            <w:pPr>
              <w:rPr>
                <w:sz w:val="26"/>
                <w:szCs w:val="26"/>
                <w:rtl/>
              </w:rPr>
            </w:pPr>
            <w:r w:rsidRPr="003B1976">
              <w:rPr>
                <w:rFonts w:ascii="Arial" w:hAnsi="Arial"/>
                <w:sz w:val="26"/>
                <w:szCs w:val="26"/>
                <w:rtl/>
              </w:rPr>
              <w:t>עמר מרדוש</w:t>
            </w:r>
          </w:p>
          <w:p w14:paraId="68075E3D" w14:textId="77777777" w:rsidR="002D2709" w:rsidRPr="003B1976" w:rsidRDefault="002D2709" w:rsidP="006B6427">
            <w:pPr>
              <w:rPr>
                <w:b/>
                <w:bCs/>
                <w:sz w:val="26"/>
                <w:szCs w:val="26"/>
                <w:rtl/>
              </w:rPr>
            </w:pPr>
            <w:r w:rsidRPr="003B1976">
              <w:rPr>
                <w:rFonts w:hint="cs"/>
                <w:sz w:val="26"/>
                <w:szCs w:val="26"/>
                <w:rtl/>
              </w:rPr>
              <w:t xml:space="preserve">ע"י ב"כ עו"ד </w:t>
            </w:r>
            <w:r w:rsidRPr="003B1976">
              <w:rPr>
                <w:rFonts w:hint="cs"/>
                <w:b/>
                <w:bCs/>
                <w:sz w:val="26"/>
                <w:szCs w:val="26"/>
                <w:rtl/>
              </w:rPr>
              <w:t>רחל נח ורונה שוורץ</w:t>
            </w:r>
          </w:p>
        </w:tc>
        <w:tc>
          <w:tcPr>
            <w:tcW w:w="3657" w:type="dxa"/>
            <w:tcBorders>
              <w:top w:val="nil"/>
              <w:left w:val="nil"/>
              <w:bottom w:val="nil"/>
              <w:right w:val="nil"/>
            </w:tcBorders>
            <w:shd w:val="clear" w:color="auto" w:fill="auto"/>
          </w:tcPr>
          <w:p w14:paraId="7DB73322" w14:textId="77777777" w:rsidR="002D2709" w:rsidRPr="003B1976" w:rsidRDefault="002D2709" w:rsidP="002D2709">
            <w:pPr>
              <w:jc w:val="right"/>
              <w:rPr>
                <w:rFonts w:ascii="Arial" w:hAnsi="Arial"/>
                <w:sz w:val="26"/>
                <w:szCs w:val="26"/>
              </w:rPr>
            </w:pPr>
          </w:p>
        </w:tc>
      </w:tr>
      <w:tr w:rsidR="002D2709" w:rsidRPr="003B1976" w14:paraId="454F7DFF" w14:textId="77777777" w:rsidTr="002D2709">
        <w:trPr>
          <w:trHeight w:val="355"/>
          <w:jc w:val="center"/>
        </w:trPr>
        <w:tc>
          <w:tcPr>
            <w:tcW w:w="598" w:type="dxa"/>
            <w:tcBorders>
              <w:top w:val="nil"/>
              <w:left w:val="nil"/>
              <w:bottom w:val="nil"/>
              <w:right w:val="nil"/>
            </w:tcBorders>
            <w:shd w:val="clear" w:color="auto" w:fill="auto"/>
          </w:tcPr>
          <w:p w14:paraId="1FC35ECA" w14:textId="77777777" w:rsidR="002D2709" w:rsidRPr="003B1976" w:rsidRDefault="002D2709" w:rsidP="002D2709">
            <w:pPr>
              <w:jc w:val="both"/>
              <w:rPr>
                <w:rFonts w:ascii="Arial" w:hAnsi="Arial"/>
                <w:sz w:val="26"/>
                <w:szCs w:val="26"/>
                <w:rtl/>
              </w:rPr>
            </w:pPr>
          </w:p>
        </w:tc>
        <w:tc>
          <w:tcPr>
            <w:tcW w:w="4565" w:type="dxa"/>
            <w:tcBorders>
              <w:top w:val="nil"/>
              <w:left w:val="nil"/>
              <w:bottom w:val="nil"/>
              <w:right w:val="nil"/>
            </w:tcBorders>
            <w:shd w:val="clear" w:color="auto" w:fill="auto"/>
          </w:tcPr>
          <w:p w14:paraId="251838A3" w14:textId="77777777" w:rsidR="002D2709" w:rsidRPr="003B1976" w:rsidRDefault="002D2709" w:rsidP="006B6427">
            <w:pPr>
              <w:rPr>
                <w:rFonts w:ascii="Arial" w:hAnsi="Arial"/>
                <w:sz w:val="26"/>
                <w:szCs w:val="26"/>
              </w:rPr>
            </w:pPr>
          </w:p>
        </w:tc>
        <w:tc>
          <w:tcPr>
            <w:tcW w:w="3657" w:type="dxa"/>
            <w:tcBorders>
              <w:top w:val="nil"/>
              <w:left w:val="nil"/>
              <w:bottom w:val="nil"/>
              <w:right w:val="nil"/>
            </w:tcBorders>
            <w:shd w:val="clear" w:color="auto" w:fill="auto"/>
          </w:tcPr>
          <w:p w14:paraId="2D41831B" w14:textId="77777777" w:rsidR="002D2709" w:rsidRPr="003B1976" w:rsidRDefault="002D2709" w:rsidP="002D2709">
            <w:pPr>
              <w:jc w:val="right"/>
              <w:rPr>
                <w:rFonts w:ascii="Arial" w:hAnsi="Arial"/>
                <w:sz w:val="26"/>
                <w:szCs w:val="26"/>
              </w:rPr>
            </w:pPr>
          </w:p>
        </w:tc>
      </w:tr>
    </w:tbl>
    <w:p w14:paraId="15A17BA7" w14:textId="77777777" w:rsidR="003B1976" w:rsidRDefault="003B1976" w:rsidP="002D2709">
      <w:pPr>
        <w:rPr>
          <w:rtl/>
        </w:rPr>
      </w:pPr>
    </w:p>
    <w:p w14:paraId="6F116B3D" w14:textId="77777777" w:rsidR="003B1976" w:rsidRPr="003B1976" w:rsidRDefault="003B1976" w:rsidP="003B1976">
      <w:pPr>
        <w:spacing w:after="120" w:line="240" w:lineRule="exact"/>
        <w:ind w:left="283" w:hanging="283"/>
        <w:jc w:val="both"/>
        <w:rPr>
          <w:rStyle w:val="Hyperlink"/>
          <w:rFonts w:ascii="FrankRuehl" w:hAnsi="FrankRuehl" w:cs="FrankRuehl"/>
        </w:rPr>
      </w:pPr>
      <w:bookmarkStart w:id="3" w:name="Links_Start"/>
      <w:bookmarkEnd w:id="3"/>
      <w:r w:rsidRPr="003B1976">
        <w:rPr>
          <w:rFonts w:ascii="FrankRuehl" w:hAnsi="FrankRuehl" w:cs="FrankRuehl"/>
          <w:rtl/>
        </w:rPr>
        <w:t>ספרות:</w:t>
      </w:r>
      <w:r w:rsidRPr="003B1976">
        <w:rPr>
          <w:rFonts w:ascii="FrankRuehl" w:hAnsi="FrankRuehl" w:cs="FrankRuehl"/>
          <w:u w:val="single"/>
          <w:rtl/>
        </w:rPr>
        <w:fldChar w:fldCharType="begin"/>
      </w:r>
      <w:r w:rsidRPr="003B1976">
        <w:rPr>
          <w:rFonts w:ascii="FrankRuehl" w:hAnsi="FrankRuehl" w:cs="FrankRuehl"/>
          <w:u w:val="single"/>
          <w:rtl/>
        </w:rPr>
        <w:instrText xml:space="preserve"> </w:instrText>
      </w:r>
      <w:r w:rsidRPr="003B1976">
        <w:rPr>
          <w:rFonts w:ascii="FrankRuehl" w:hAnsi="FrankRuehl" w:cs="FrankRuehl"/>
          <w:u w:val="single"/>
        </w:rPr>
        <w:instrText>HYPERLINK</w:instrText>
      </w:r>
      <w:r w:rsidRPr="003B1976">
        <w:rPr>
          <w:rFonts w:ascii="FrankRuehl" w:hAnsi="FrankRuehl" w:cs="FrankRuehl"/>
          <w:u w:val="single"/>
          <w:rtl/>
        </w:rPr>
        <w:instrText xml:space="preserve"> "</w:instrText>
      </w:r>
      <w:r w:rsidRPr="003B1976">
        <w:rPr>
          <w:rFonts w:ascii="FrankRuehl" w:hAnsi="FrankRuehl" w:cs="FrankRuehl"/>
          <w:u w:val="single"/>
        </w:rPr>
        <w:instrText>http://www.nevo.co.il/safrut/bookgroup/358</w:instrText>
      </w:r>
      <w:r w:rsidRPr="003B1976">
        <w:rPr>
          <w:rFonts w:ascii="FrankRuehl" w:hAnsi="FrankRuehl" w:cs="FrankRuehl"/>
          <w:u w:val="single"/>
          <w:rtl/>
        </w:rPr>
        <w:instrText xml:space="preserve">" </w:instrText>
      </w:r>
      <w:r w:rsidRPr="003B1976">
        <w:rPr>
          <w:rFonts w:ascii="FrankRuehl" w:hAnsi="FrankRuehl" w:cs="FrankRuehl"/>
          <w:u w:val="single"/>
          <w:rtl/>
        </w:rPr>
      </w:r>
      <w:r w:rsidRPr="003B1976">
        <w:rPr>
          <w:rFonts w:ascii="FrankRuehl" w:hAnsi="FrankRuehl" w:cs="FrankRuehl"/>
          <w:u w:val="single"/>
          <w:rtl/>
        </w:rPr>
        <w:fldChar w:fldCharType="separate"/>
      </w:r>
    </w:p>
    <w:p w14:paraId="0A4BFE7F" w14:textId="77777777" w:rsidR="00626ACB" w:rsidRDefault="003B1976" w:rsidP="003B1976">
      <w:pPr>
        <w:spacing w:after="120" w:line="240" w:lineRule="exact"/>
        <w:ind w:left="283" w:hanging="283"/>
        <w:jc w:val="both"/>
        <w:rPr>
          <w:rFonts w:ascii="FrankRuehl" w:hAnsi="FrankRuehl" w:cs="FrankRuehl"/>
        </w:rPr>
      </w:pPr>
      <w:r w:rsidRPr="003B1976">
        <w:rPr>
          <w:rStyle w:val="Hyperlink"/>
          <w:rFonts w:ascii="FrankRuehl" w:hAnsi="FrankRuehl" w:cs="FrankRuehl"/>
          <w:rtl/>
        </w:rPr>
        <w:t>א' ברק, פרשנות במשפט, כרך ב, פרשנות החקיקה (התשנ"ג)</w:t>
      </w:r>
      <w:r w:rsidRPr="003B1976">
        <w:rPr>
          <w:rFonts w:ascii="FrankRuehl" w:hAnsi="FrankRuehl" w:cs="FrankRuehl"/>
          <w:u w:val="single"/>
          <w:rtl/>
        </w:rPr>
        <w:fldChar w:fldCharType="end"/>
      </w:r>
      <w:bookmarkStart w:id="4" w:name="LawTable"/>
      <w:bookmarkEnd w:id="4"/>
    </w:p>
    <w:p w14:paraId="206F0104" w14:textId="77777777" w:rsidR="00626ACB" w:rsidRPr="00626ACB" w:rsidRDefault="00626ACB" w:rsidP="00626ACB">
      <w:pPr>
        <w:spacing w:after="120" w:line="240" w:lineRule="exact"/>
        <w:ind w:left="283" w:hanging="283"/>
        <w:jc w:val="both"/>
        <w:rPr>
          <w:rFonts w:ascii="FrankRuehl" w:hAnsi="FrankRuehl" w:cs="FrankRuehl"/>
        </w:rPr>
      </w:pPr>
    </w:p>
    <w:p w14:paraId="5D86B6BD" w14:textId="77777777" w:rsidR="00626ACB" w:rsidRPr="00626ACB" w:rsidRDefault="00626ACB" w:rsidP="00626ACB">
      <w:pPr>
        <w:spacing w:after="120" w:line="240" w:lineRule="exact"/>
        <w:ind w:left="283" w:hanging="283"/>
        <w:jc w:val="both"/>
        <w:rPr>
          <w:rFonts w:ascii="FrankRuehl" w:hAnsi="FrankRuehl" w:cs="FrankRuehl"/>
        </w:rPr>
      </w:pPr>
      <w:r w:rsidRPr="00626ACB">
        <w:rPr>
          <w:rFonts w:ascii="FrankRuehl" w:hAnsi="FrankRuehl" w:cs="FrankRuehl"/>
          <w:rtl/>
        </w:rPr>
        <w:t xml:space="preserve">חקיקה שאוזכרה: </w:t>
      </w:r>
    </w:p>
    <w:p w14:paraId="141D6B05" w14:textId="77777777" w:rsidR="00626ACB" w:rsidRPr="00626ACB" w:rsidRDefault="00626ACB" w:rsidP="00626ACB">
      <w:pPr>
        <w:spacing w:after="120" w:line="240" w:lineRule="exact"/>
        <w:ind w:left="283" w:hanging="283"/>
        <w:jc w:val="both"/>
        <w:rPr>
          <w:rFonts w:ascii="FrankRuehl" w:hAnsi="FrankRuehl" w:cs="FrankRuehl"/>
        </w:rPr>
      </w:pPr>
      <w:hyperlink r:id="rId6" w:history="1">
        <w:r w:rsidRPr="00626ACB">
          <w:rPr>
            <w:rFonts w:ascii="FrankRuehl" w:hAnsi="FrankRuehl" w:cs="FrankRuehl"/>
            <w:color w:val="0000FF"/>
            <w:u w:val="single"/>
            <w:rtl/>
          </w:rPr>
          <w:t>פקודת הסמים המסוכנים [נוסח חדש], תשל"ג-1973</w:t>
        </w:r>
      </w:hyperlink>
      <w:r w:rsidRPr="00626ACB">
        <w:rPr>
          <w:rFonts w:ascii="FrankRuehl" w:hAnsi="FrankRuehl" w:cs="FrankRuehl"/>
        </w:rPr>
        <w:t xml:space="preserve">: </w:t>
      </w:r>
      <w:r w:rsidRPr="00626ACB">
        <w:rPr>
          <w:rFonts w:ascii="FrankRuehl" w:hAnsi="FrankRuehl" w:cs="FrankRuehl"/>
          <w:rtl/>
        </w:rPr>
        <w:t>סע</w:t>
      </w:r>
      <w:r w:rsidRPr="00626ACB">
        <w:rPr>
          <w:rFonts w:ascii="FrankRuehl" w:hAnsi="FrankRuehl" w:cs="FrankRuehl"/>
        </w:rPr>
        <w:t xml:space="preserve">'  </w:t>
      </w:r>
      <w:hyperlink r:id="rId7" w:history="1">
        <w:r w:rsidRPr="00626ACB">
          <w:rPr>
            <w:rFonts w:ascii="FrankRuehl" w:hAnsi="FrankRuehl" w:cs="FrankRuehl"/>
            <w:color w:val="0000FF"/>
            <w:u w:val="single"/>
          </w:rPr>
          <w:t>7(</w:t>
        </w:r>
        <w:r w:rsidRPr="00626ACB">
          <w:rPr>
            <w:rFonts w:ascii="FrankRuehl" w:hAnsi="FrankRuehl" w:cs="FrankRuehl"/>
            <w:color w:val="0000FF"/>
            <w:u w:val="single"/>
            <w:rtl/>
          </w:rPr>
          <w:t>א</w:t>
        </w:r>
        <w:r w:rsidRPr="00626ACB">
          <w:rPr>
            <w:rFonts w:ascii="FrankRuehl" w:hAnsi="FrankRuehl" w:cs="FrankRuehl"/>
            <w:color w:val="0000FF"/>
            <w:u w:val="single"/>
          </w:rPr>
          <w:t>)</w:t>
        </w:r>
      </w:hyperlink>
      <w:r w:rsidRPr="00626ACB">
        <w:rPr>
          <w:rFonts w:ascii="FrankRuehl" w:hAnsi="FrankRuehl" w:cs="FrankRuehl"/>
        </w:rPr>
        <w:t xml:space="preserve">, </w:t>
      </w:r>
      <w:hyperlink r:id="rId8" w:history="1">
        <w:r w:rsidRPr="00626ACB">
          <w:rPr>
            <w:rFonts w:ascii="FrankRuehl" w:hAnsi="FrankRuehl" w:cs="FrankRuehl"/>
            <w:color w:val="0000FF"/>
            <w:u w:val="single"/>
          </w:rPr>
          <w:t>7(</w:t>
        </w:r>
        <w:r w:rsidRPr="00626ACB">
          <w:rPr>
            <w:rFonts w:ascii="FrankRuehl" w:hAnsi="FrankRuehl" w:cs="FrankRuehl"/>
            <w:color w:val="0000FF"/>
            <w:u w:val="single"/>
            <w:rtl/>
          </w:rPr>
          <w:t>ג</w:t>
        </w:r>
        <w:r w:rsidRPr="00626ACB">
          <w:rPr>
            <w:rFonts w:ascii="FrankRuehl" w:hAnsi="FrankRuehl" w:cs="FrankRuehl"/>
            <w:color w:val="0000FF"/>
            <w:u w:val="single"/>
          </w:rPr>
          <w:t>)</w:t>
        </w:r>
      </w:hyperlink>
    </w:p>
    <w:p w14:paraId="479F6A0B" w14:textId="77777777" w:rsidR="00626ACB" w:rsidRPr="00626ACB" w:rsidRDefault="00626ACB" w:rsidP="00626ACB">
      <w:pPr>
        <w:spacing w:after="120" w:line="240" w:lineRule="exact"/>
        <w:ind w:left="283" w:hanging="283"/>
        <w:jc w:val="both"/>
        <w:rPr>
          <w:rFonts w:ascii="FrankRuehl" w:hAnsi="FrankRuehl" w:cs="FrankRuehl"/>
        </w:rPr>
      </w:pPr>
      <w:hyperlink r:id="rId9" w:history="1">
        <w:r w:rsidRPr="00626ACB">
          <w:rPr>
            <w:rFonts w:ascii="FrankRuehl" w:hAnsi="FrankRuehl" w:cs="FrankRuehl"/>
            <w:color w:val="0000FF"/>
            <w:u w:val="single"/>
            <w:rtl/>
          </w:rPr>
          <w:t>חוק המאבק בתופעת השימוש בחומרים מסכנים, תשע"ג-2013</w:t>
        </w:r>
      </w:hyperlink>
      <w:r w:rsidRPr="00626ACB">
        <w:rPr>
          <w:rFonts w:ascii="FrankRuehl" w:hAnsi="FrankRuehl" w:cs="FrankRuehl"/>
        </w:rPr>
        <w:t xml:space="preserve">: </w:t>
      </w:r>
      <w:r w:rsidRPr="00626ACB">
        <w:rPr>
          <w:rFonts w:ascii="FrankRuehl" w:hAnsi="FrankRuehl" w:cs="FrankRuehl"/>
          <w:rtl/>
        </w:rPr>
        <w:t>סע</w:t>
      </w:r>
      <w:r w:rsidRPr="00626ACB">
        <w:rPr>
          <w:rFonts w:ascii="FrankRuehl" w:hAnsi="FrankRuehl" w:cs="FrankRuehl"/>
        </w:rPr>
        <w:t xml:space="preserve">'  </w:t>
      </w:r>
      <w:hyperlink r:id="rId10" w:history="1">
        <w:r w:rsidRPr="00626ACB">
          <w:rPr>
            <w:rFonts w:ascii="FrankRuehl" w:hAnsi="FrankRuehl" w:cs="FrankRuehl"/>
            <w:color w:val="0000FF"/>
            <w:u w:val="single"/>
          </w:rPr>
          <w:t>7(</w:t>
        </w:r>
        <w:r w:rsidRPr="00626ACB">
          <w:rPr>
            <w:rFonts w:ascii="FrankRuehl" w:hAnsi="FrankRuehl" w:cs="FrankRuehl"/>
            <w:color w:val="0000FF"/>
            <w:u w:val="single"/>
            <w:rtl/>
          </w:rPr>
          <w:t>א</w:t>
        </w:r>
        <w:r w:rsidRPr="00626ACB">
          <w:rPr>
            <w:rFonts w:ascii="FrankRuehl" w:hAnsi="FrankRuehl" w:cs="FrankRuehl"/>
            <w:color w:val="0000FF"/>
            <w:u w:val="single"/>
          </w:rPr>
          <w:t>)</w:t>
        </w:r>
      </w:hyperlink>
    </w:p>
    <w:p w14:paraId="49B40FEC" w14:textId="77777777" w:rsidR="00626ACB" w:rsidRPr="00626ACB" w:rsidRDefault="00626ACB" w:rsidP="00626ACB">
      <w:pPr>
        <w:spacing w:after="120" w:line="240" w:lineRule="exact"/>
        <w:ind w:left="283" w:hanging="283"/>
        <w:jc w:val="both"/>
        <w:rPr>
          <w:rFonts w:ascii="FrankRuehl" w:hAnsi="FrankRuehl" w:cs="FrankRuehl"/>
        </w:rPr>
      </w:pPr>
      <w:hyperlink r:id="rId11" w:history="1">
        <w:r w:rsidRPr="00626ACB">
          <w:rPr>
            <w:rFonts w:ascii="FrankRuehl" w:hAnsi="FrankRuehl" w:cs="FrankRuehl"/>
            <w:color w:val="0000FF"/>
            <w:u w:val="single"/>
            <w:rtl/>
          </w:rPr>
          <w:t>חוק העונשין, תשל"ז-1977</w:t>
        </w:r>
      </w:hyperlink>
      <w:r w:rsidRPr="00626ACB">
        <w:rPr>
          <w:rFonts w:ascii="FrankRuehl" w:hAnsi="FrankRuehl" w:cs="FrankRuehl"/>
        </w:rPr>
        <w:t xml:space="preserve">: </w:t>
      </w:r>
      <w:r w:rsidRPr="00626ACB">
        <w:rPr>
          <w:rFonts w:ascii="FrankRuehl" w:hAnsi="FrankRuehl" w:cs="FrankRuehl"/>
          <w:rtl/>
        </w:rPr>
        <w:t>סע</w:t>
      </w:r>
      <w:r w:rsidRPr="00626ACB">
        <w:rPr>
          <w:rFonts w:ascii="FrankRuehl" w:hAnsi="FrankRuehl" w:cs="FrankRuehl"/>
        </w:rPr>
        <w:t xml:space="preserve">'  </w:t>
      </w:r>
      <w:hyperlink r:id="rId12" w:history="1">
        <w:r w:rsidRPr="00626ACB">
          <w:rPr>
            <w:rFonts w:ascii="FrankRuehl" w:hAnsi="FrankRuehl" w:cs="FrankRuehl"/>
            <w:color w:val="0000FF"/>
            <w:u w:val="single"/>
          </w:rPr>
          <w:t>29(</w:t>
        </w:r>
        <w:r w:rsidRPr="00626ACB">
          <w:rPr>
            <w:rFonts w:ascii="FrankRuehl" w:hAnsi="FrankRuehl" w:cs="FrankRuehl"/>
            <w:color w:val="0000FF"/>
            <w:u w:val="single"/>
            <w:rtl/>
          </w:rPr>
          <w:t>א</w:t>
        </w:r>
        <w:r w:rsidRPr="00626ACB">
          <w:rPr>
            <w:rFonts w:ascii="FrankRuehl" w:hAnsi="FrankRuehl" w:cs="FrankRuehl"/>
            <w:color w:val="0000FF"/>
            <w:u w:val="single"/>
          </w:rPr>
          <w:t>)</w:t>
        </w:r>
      </w:hyperlink>
      <w:r w:rsidRPr="00626ACB">
        <w:rPr>
          <w:rFonts w:ascii="FrankRuehl" w:hAnsi="FrankRuehl" w:cs="FrankRuehl"/>
        </w:rPr>
        <w:t xml:space="preserve">, </w:t>
      </w:r>
      <w:hyperlink r:id="rId13" w:history="1">
        <w:r w:rsidRPr="00626ACB">
          <w:rPr>
            <w:rFonts w:ascii="FrankRuehl" w:hAnsi="FrankRuehl" w:cs="FrankRuehl"/>
            <w:color w:val="0000FF"/>
            <w:u w:val="single"/>
          </w:rPr>
          <w:t>40</w:t>
        </w:r>
        <w:r w:rsidRPr="00626ACB">
          <w:rPr>
            <w:rFonts w:ascii="FrankRuehl" w:hAnsi="FrankRuehl" w:cs="FrankRuehl"/>
            <w:color w:val="0000FF"/>
            <w:u w:val="single"/>
            <w:rtl/>
          </w:rPr>
          <w:t>ד (א</w:t>
        </w:r>
        <w:r w:rsidRPr="00626ACB">
          <w:rPr>
            <w:rFonts w:ascii="FrankRuehl" w:hAnsi="FrankRuehl" w:cs="FrankRuehl"/>
            <w:color w:val="0000FF"/>
            <w:u w:val="single"/>
          </w:rPr>
          <w:t>)</w:t>
        </w:r>
      </w:hyperlink>
    </w:p>
    <w:p w14:paraId="1BD3A81A" w14:textId="77777777" w:rsidR="00626ACB" w:rsidRPr="00626ACB" w:rsidRDefault="00626ACB" w:rsidP="00626ACB">
      <w:pPr>
        <w:spacing w:after="120" w:line="240" w:lineRule="exact"/>
        <w:ind w:left="283" w:hanging="283"/>
        <w:jc w:val="both"/>
        <w:rPr>
          <w:rFonts w:ascii="FrankRuehl" w:hAnsi="FrankRuehl" w:cs="FrankRuehl"/>
        </w:rPr>
      </w:pPr>
      <w:hyperlink r:id="rId14" w:history="1">
        <w:r w:rsidRPr="00626ACB">
          <w:rPr>
            <w:rFonts w:ascii="FrankRuehl" w:hAnsi="FrankRuehl" w:cs="FrankRuehl"/>
            <w:color w:val="0000FF"/>
            <w:u w:val="single"/>
            <w:rtl/>
          </w:rPr>
          <w:t>חוק-יסוד: כבוד האדם וחירותו</w:t>
        </w:r>
      </w:hyperlink>
    </w:p>
    <w:p w14:paraId="21E4BF58" w14:textId="77777777" w:rsidR="00626ACB" w:rsidRPr="00626ACB" w:rsidRDefault="00626ACB" w:rsidP="00626AC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2709" w14:paraId="0AE7F289" w14:textId="77777777" w:rsidTr="002D2709">
        <w:trPr>
          <w:trHeight w:val="355"/>
          <w:jc w:val="center"/>
        </w:trPr>
        <w:tc>
          <w:tcPr>
            <w:tcW w:w="8820" w:type="dxa"/>
            <w:tcBorders>
              <w:top w:val="nil"/>
              <w:left w:val="nil"/>
              <w:bottom w:val="nil"/>
              <w:right w:val="nil"/>
            </w:tcBorders>
            <w:shd w:val="clear" w:color="auto" w:fill="auto"/>
          </w:tcPr>
          <w:p w14:paraId="5F8D5AE6" w14:textId="77777777" w:rsidR="003B1976" w:rsidRPr="003B1976" w:rsidRDefault="003B1976" w:rsidP="003B1976">
            <w:pPr>
              <w:jc w:val="center"/>
              <w:rPr>
                <w:rFonts w:ascii="Arial" w:hAnsi="Arial"/>
                <w:b/>
                <w:bCs/>
                <w:sz w:val="28"/>
                <w:szCs w:val="28"/>
                <w:u w:val="single"/>
                <w:rtl/>
              </w:rPr>
            </w:pPr>
            <w:bookmarkStart w:id="5" w:name="LawTable_End"/>
            <w:bookmarkStart w:id="6" w:name="Links_End"/>
            <w:bookmarkStart w:id="7" w:name="PsakDin" w:colFirst="0" w:colLast="0"/>
            <w:bookmarkEnd w:id="0"/>
            <w:bookmarkEnd w:id="5"/>
            <w:bookmarkEnd w:id="6"/>
            <w:r w:rsidRPr="003B1976">
              <w:rPr>
                <w:rFonts w:ascii="Arial" w:hAnsi="Arial"/>
                <w:b/>
                <w:bCs/>
                <w:sz w:val="28"/>
                <w:szCs w:val="28"/>
                <w:u w:val="single"/>
                <w:rtl/>
              </w:rPr>
              <w:t>גזר דין</w:t>
            </w:r>
          </w:p>
          <w:p w14:paraId="4CE511C8" w14:textId="77777777" w:rsidR="002D2709" w:rsidRPr="003B1976" w:rsidRDefault="002D2709" w:rsidP="003B1976">
            <w:pPr>
              <w:jc w:val="center"/>
              <w:rPr>
                <w:rFonts w:ascii="Arial" w:hAnsi="Arial"/>
                <w:bCs/>
                <w:sz w:val="28"/>
                <w:szCs w:val="28"/>
                <w:u w:val="single"/>
                <w:rtl/>
              </w:rPr>
            </w:pPr>
          </w:p>
        </w:tc>
      </w:tr>
      <w:bookmarkEnd w:id="7"/>
    </w:tbl>
    <w:p w14:paraId="7F50332E" w14:textId="77777777" w:rsidR="002D2709" w:rsidRPr="00B05847" w:rsidRDefault="002D2709" w:rsidP="002D2709">
      <w:pPr>
        <w:rPr>
          <w:rFonts w:ascii="Arial" w:hAnsi="Arial"/>
          <w:rtl/>
        </w:rPr>
      </w:pPr>
    </w:p>
    <w:p w14:paraId="42C85B81" w14:textId="77777777" w:rsidR="002D2709" w:rsidRDefault="002D2709" w:rsidP="002D2709">
      <w:pPr>
        <w:spacing w:line="360" w:lineRule="auto"/>
        <w:jc w:val="both"/>
        <w:rPr>
          <w:rFonts w:ascii="Arial" w:hAnsi="Arial"/>
        </w:rPr>
      </w:pPr>
    </w:p>
    <w:p w14:paraId="1B6B3E01" w14:textId="77777777" w:rsidR="002D2709" w:rsidRDefault="002D2709" w:rsidP="002D2709">
      <w:pPr>
        <w:spacing w:line="360" w:lineRule="auto"/>
        <w:jc w:val="both"/>
        <w:rPr>
          <w:rFonts w:ascii="Arial" w:hAnsi="Arial"/>
          <w:rtl/>
        </w:rPr>
      </w:pPr>
      <w:bookmarkStart w:id="8" w:name="NGCSBookmark"/>
      <w:bookmarkStart w:id="9" w:name="ABSTRACT_START"/>
      <w:bookmarkEnd w:id="8"/>
      <w:bookmarkEnd w:id="9"/>
      <w:r>
        <w:rPr>
          <w:rFonts w:ascii="Arial" w:hAnsi="Arial" w:hint="cs"/>
          <w:rtl/>
        </w:rPr>
        <w:t>הנאשם הורשע על פי הודאתו בעובדות כתב אישום מתוקן אשר הוגש במסגרת הסדר טיעון.</w:t>
      </w:r>
    </w:p>
    <w:p w14:paraId="7C36738B" w14:textId="77777777" w:rsidR="002D2709" w:rsidRDefault="002D2709" w:rsidP="002D2709">
      <w:pPr>
        <w:spacing w:line="360" w:lineRule="auto"/>
        <w:jc w:val="both"/>
        <w:rPr>
          <w:rFonts w:ascii="Arial" w:hAnsi="Arial"/>
          <w:rtl/>
        </w:rPr>
      </w:pPr>
    </w:p>
    <w:p w14:paraId="4FFB8AC4" w14:textId="77777777" w:rsidR="002D2709" w:rsidRDefault="002D2709" w:rsidP="002D2709">
      <w:pPr>
        <w:spacing w:line="360" w:lineRule="auto"/>
        <w:jc w:val="both"/>
        <w:rPr>
          <w:rFonts w:ascii="Arial" w:hAnsi="Arial"/>
          <w:b/>
          <w:bCs/>
          <w:rtl/>
        </w:rPr>
      </w:pPr>
      <w:r>
        <w:rPr>
          <w:rFonts w:ascii="Arial" w:hAnsi="Arial" w:hint="cs"/>
          <w:rtl/>
        </w:rPr>
        <w:t xml:space="preserve">כתב האישום מייחס לנאשם עבירות על </w:t>
      </w:r>
      <w:hyperlink r:id="rId15" w:history="1">
        <w:r w:rsidR="003B1976" w:rsidRPr="003B1976">
          <w:rPr>
            <w:rFonts w:ascii="Arial" w:hAnsi="Arial"/>
            <w:color w:val="0000FF"/>
            <w:u w:val="single"/>
            <w:rtl/>
          </w:rPr>
          <w:t>פקודת הסמים המסוכנים</w:t>
        </w:r>
      </w:hyperlink>
      <w:r>
        <w:rPr>
          <w:rFonts w:ascii="Arial" w:hAnsi="Arial" w:hint="cs"/>
          <w:rtl/>
        </w:rPr>
        <w:t xml:space="preserve"> [נוסח חדש],התשל"ג-1973 (להלן: </w:t>
      </w:r>
      <w:r>
        <w:rPr>
          <w:rFonts w:ascii="Arial" w:hAnsi="Arial" w:hint="cs"/>
          <w:b/>
          <w:bCs/>
          <w:rtl/>
        </w:rPr>
        <w:t>"הפקודה").</w:t>
      </w:r>
    </w:p>
    <w:p w14:paraId="00075102" w14:textId="77777777" w:rsidR="002D2709" w:rsidRDefault="002D2709" w:rsidP="002D2709">
      <w:pPr>
        <w:spacing w:line="360" w:lineRule="auto"/>
        <w:jc w:val="both"/>
        <w:rPr>
          <w:rFonts w:ascii="Arial" w:hAnsi="Arial"/>
          <w:b/>
          <w:bCs/>
          <w:rtl/>
        </w:rPr>
      </w:pPr>
      <w:bookmarkStart w:id="10" w:name="ABSTRACT_END"/>
      <w:bookmarkEnd w:id="10"/>
    </w:p>
    <w:p w14:paraId="33BB5800" w14:textId="77777777" w:rsidR="002D2709" w:rsidRDefault="002D2709" w:rsidP="002D2709">
      <w:pPr>
        <w:spacing w:line="360" w:lineRule="auto"/>
        <w:jc w:val="both"/>
        <w:rPr>
          <w:rFonts w:ascii="Arial" w:hAnsi="Arial"/>
          <w:b/>
          <w:bCs/>
          <w:rtl/>
        </w:rPr>
      </w:pPr>
      <w:r>
        <w:rPr>
          <w:rFonts w:ascii="Arial" w:hAnsi="Arial" w:hint="cs"/>
          <w:b/>
          <w:bCs/>
          <w:rtl/>
        </w:rPr>
        <w:t>עובדות כתב האישום</w:t>
      </w:r>
    </w:p>
    <w:p w14:paraId="352BBA2A" w14:textId="77777777" w:rsidR="002D2709" w:rsidRDefault="002D2709" w:rsidP="002D2709">
      <w:pPr>
        <w:spacing w:line="360" w:lineRule="auto"/>
        <w:jc w:val="both"/>
        <w:rPr>
          <w:rFonts w:ascii="Arial" w:hAnsi="Arial"/>
          <w:b/>
          <w:bCs/>
          <w:rtl/>
        </w:rPr>
      </w:pPr>
    </w:p>
    <w:p w14:paraId="6991AD47" w14:textId="77777777" w:rsidR="002D2709" w:rsidRDefault="002D2709" w:rsidP="002D2709">
      <w:pPr>
        <w:spacing w:line="360" w:lineRule="auto"/>
        <w:jc w:val="both"/>
        <w:rPr>
          <w:rFonts w:ascii="Arial" w:hAnsi="Arial"/>
          <w:rtl/>
        </w:rPr>
      </w:pPr>
      <w:r>
        <w:rPr>
          <w:rFonts w:ascii="Arial" w:hAnsi="Arial" w:hint="cs"/>
          <w:rtl/>
        </w:rPr>
        <w:t xml:space="preserve">ביום 31.3.15 החזיק הנאשם שלא כדין בדירתו ובחצר הצמודה לה את הסמים המסוכנים הבאים : כמות כוללת של 1.085 ק"ג סם צמחי מסוג אינדזול קרבוקסאמיד  ו </w:t>
      </w:r>
      <w:r w:rsidRPr="007A7F47">
        <w:rPr>
          <w:rFonts w:ascii="Arial" w:hAnsi="Arial" w:hint="cs"/>
          <w:rtl/>
        </w:rPr>
        <w:t>6.5</w:t>
      </w:r>
      <w:r>
        <w:rPr>
          <w:rFonts w:ascii="Arial" w:hAnsi="Arial" w:hint="cs"/>
          <w:rtl/>
        </w:rPr>
        <w:t>5</w:t>
      </w:r>
      <w:r w:rsidRPr="007A7F47">
        <w:rPr>
          <w:rFonts w:ascii="Arial" w:hAnsi="Arial" w:hint="cs"/>
          <w:b/>
          <w:bCs/>
          <w:rtl/>
        </w:rPr>
        <w:t xml:space="preserve"> </w:t>
      </w:r>
      <w:r>
        <w:rPr>
          <w:rFonts w:ascii="Arial" w:hAnsi="Arial" w:hint="cs"/>
          <w:rtl/>
        </w:rPr>
        <w:t>גר' קנבוס</w:t>
      </w:r>
      <w:r>
        <w:rPr>
          <w:rFonts w:ascii="Arial" w:hAnsi="Arial" w:hint="cs"/>
          <w:b/>
          <w:bCs/>
          <w:rtl/>
        </w:rPr>
        <w:t>.</w:t>
      </w:r>
    </w:p>
    <w:p w14:paraId="14B17CB3" w14:textId="77777777" w:rsidR="002D2709" w:rsidRDefault="002D2709" w:rsidP="002D2709">
      <w:pPr>
        <w:spacing w:line="360" w:lineRule="auto"/>
        <w:jc w:val="both"/>
        <w:rPr>
          <w:rFonts w:ascii="Arial" w:hAnsi="Arial"/>
          <w:rtl/>
        </w:rPr>
      </w:pPr>
      <w:r>
        <w:rPr>
          <w:rFonts w:ascii="Arial" w:hAnsi="Arial" w:hint="cs"/>
          <w:rtl/>
        </w:rPr>
        <w:lastRenderedPageBreak/>
        <w:t>הסמים הוסלקו במקומות שונים בדירה ובחצר.</w:t>
      </w:r>
    </w:p>
    <w:p w14:paraId="780994D3" w14:textId="77777777" w:rsidR="002D2709" w:rsidRDefault="002D2709" w:rsidP="002D2709">
      <w:pPr>
        <w:spacing w:line="360" w:lineRule="auto"/>
        <w:jc w:val="both"/>
        <w:rPr>
          <w:rFonts w:ascii="Arial" w:hAnsi="Arial"/>
          <w:rtl/>
        </w:rPr>
      </w:pPr>
      <w:r>
        <w:rPr>
          <w:rFonts w:ascii="Arial" w:hAnsi="Arial" w:hint="cs"/>
          <w:rtl/>
        </w:rPr>
        <w:t xml:space="preserve">על זאת יוחסו לנאשם עבירות של החזקת סם מסוכן שלא לצריכה עצמית לפי </w:t>
      </w:r>
      <w:hyperlink r:id="rId16" w:history="1">
        <w:r w:rsidR="00626ACB" w:rsidRPr="00626ACB">
          <w:rPr>
            <w:rFonts w:ascii="Arial" w:hAnsi="Arial"/>
            <w:color w:val="0000FF"/>
            <w:u w:val="single"/>
            <w:rtl/>
          </w:rPr>
          <w:t>סעיף 7(א)</w:t>
        </w:r>
      </w:hyperlink>
      <w:r>
        <w:rPr>
          <w:rFonts w:ascii="Arial" w:hAnsi="Arial" w:hint="cs"/>
          <w:rtl/>
        </w:rPr>
        <w:t xml:space="preserve"> יחד עם </w:t>
      </w:r>
      <w:hyperlink r:id="rId17" w:history="1">
        <w:r w:rsidR="00626ACB" w:rsidRPr="00626ACB">
          <w:rPr>
            <w:rFonts w:ascii="Arial" w:hAnsi="Arial"/>
            <w:color w:val="0000FF"/>
            <w:u w:val="single"/>
            <w:rtl/>
          </w:rPr>
          <w:t>סעיף 7(ג)</w:t>
        </w:r>
      </w:hyperlink>
      <w:r>
        <w:rPr>
          <w:rFonts w:ascii="Arial" w:hAnsi="Arial" w:hint="cs"/>
          <w:rtl/>
        </w:rPr>
        <w:t xml:space="preserve"> לפקודה והחזקת סם מסוכן לצריכה עצמית לפי </w:t>
      </w:r>
      <w:hyperlink r:id="rId18" w:history="1">
        <w:r w:rsidR="00626ACB" w:rsidRPr="00626ACB">
          <w:rPr>
            <w:rFonts w:ascii="Arial" w:hAnsi="Arial"/>
            <w:color w:val="0000FF"/>
            <w:u w:val="single"/>
            <w:rtl/>
          </w:rPr>
          <w:t>סעיף 7(א)</w:t>
        </w:r>
      </w:hyperlink>
      <w:r>
        <w:rPr>
          <w:rFonts w:ascii="Arial" w:hAnsi="Arial" w:hint="cs"/>
          <w:rtl/>
        </w:rPr>
        <w:t xml:space="preserve"> יחד עם </w:t>
      </w:r>
      <w:hyperlink r:id="rId19" w:history="1">
        <w:r w:rsidR="00626ACB" w:rsidRPr="00626ACB">
          <w:rPr>
            <w:rFonts w:ascii="Arial" w:hAnsi="Arial"/>
            <w:color w:val="0000FF"/>
            <w:u w:val="single"/>
            <w:rtl/>
          </w:rPr>
          <w:t>סעיף 7(ג)</w:t>
        </w:r>
      </w:hyperlink>
      <w:r>
        <w:rPr>
          <w:rFonts w:ascii="Arial" w:hAnsi="Arial" w:hint="cs"/>
          <w:rtl/>
        </w:rPr>
        <w:t xml:space="preserve"> לפקודה.</w:t>
      </w:r>
    </w:p>
    <w:p w14:paraId="229F4C87" w14:textId="77777777" w:rsidR="002D2709" w:rsidRDefault="002D2709" w:rsidP="002D2709">
      <w:pPr>
        <w:spacing w:line="360" w:lineRule="auto"/>
        <w:jc w:val="both"/>
        <w:rPr>
          <w:rFonts w:ascii="Arial" w:hAnsi="Arial"/>
          <w:b/>
          <w:bCs/>
          <w:rtl/>
        </w:rPr>
      </w:pPr>
    </w:p>
    <w:p w14:paraId="5447A3D8" w14:textId="77777777" w:rsidR="002D2709" w:rsidRDefault="002D2709" w:rsidP="002D2709">
      <w:pPr>
        <w:spacing w:line="360" w:lineRule="auto"/>
        <w:jc w:val="both"/>
        <w:rPr>
          <w:rFonts w:ascii="Arial" w:hAnsi="Arial"/>
          <w:b/>
          <w:bCs/>
          <w:rtl/>
        </w:rPr>
      </w:pPr>
      <w:r>
        <w:rPr>
          <w:rFonts w:ascii="Arial" w:hAnsi="Arial" w:hint="cs"/>
          <w:b/>
          <w:bCs/>
          <w:rtl/>
        </w:rPr>
        <w:t>טיעוני הצדדים לעונש</w:t>
      </w:r>
    </w:p>
    <w:p w14:paraId="5B657646" w14:textId="77777777" w:rsidR="002D2709" w:rsidRDefault="002D2709" w:rsidP="002D2709">
      <w:pPr>
        <w:spacing w:line="360" w:lineRule="auto"/>
        <w:jc w:val="both"/>
        <w:rPr>
          <w:rFonts w:ascii="Arial" w:hAnsi="Arial"/>
          <w:rtl/>
        </w:rPr>
      </w:pPr>
      <w:r>
        <w:rPr>
          <w:rFonts w:ascii="Arial" w:hAnsi="Arial" w:hint="cs"/>
          <w:rtl/>
        </w:rPr>
        <w:t>במסגרת הטיעונים לעונש הגיש התובע גיליון הרשעות קודמות וטען למתחם ענישה של 8-18 ח' מאסר בפועל ברף התחתון, על יסוד אלה :</w:t>
      </w:r>
    </w:p>
    <w:p w14:paraId="5E774F58" w14:textId="77777777" w:rsidR="002D2709" w:rsidRDefault="002D2709" w:rsidP="002D2709">
      <w:pPr>
        <w:spacing w:line="360" w:lineRule="auto"/>
        <w:jc w:val="both"/>
        <w:rPr>
          <w:rFonts w:ascii="Arial" w:hAnsi="Arial"/>
          <w:rtl/>
        </w:rPr>
      </w:pPr>
      <w:r>
        <w:rPr>
          <w:rFonts w:ascii="Arial" w:hAnsi="Arial" w:hint="cs"/>
          <w:rtl/>
        </w:rPr>
        <w:t>הערך החברתי שנפגע, הכמות ואופן החלוקה וההסלקה מוליכים למסקנה כי בכוונת הנאשם הייתה לסחור בסם והיות הנאשם רצידיביסט .</w:t>
      </w:r>
    </w:p>
    <w:p w14:paraId="222BBCBC" w14:textId="77777777" w:rsidR="002D2709" w:rsidRDefault="002D2709" w:rsidP="002D2709">
      <w:pPr>
        <w:spacing w:line="360" w:lineRule="auto"/>
        <w:jc w:val="both"/>
        <w:rPr>
          <w:rFonts w:ascii="Arial" w:hAnsi="Arial"/>
          <w:rtl/>
        </w:rPr>
      </w:pPr>
    </w:p>
    <w:p w14:paraId="02F44301" w14:textId="77777777" w:rsidR="002D2709" w:rsidRDefault="002D2709" w:rsidP="002D2709">
      <w:pPr>
        <w:spacing w:line="360" w:lineRule="auto"/>
        <w:jc w:val="both"/>
        <w:rPr>
          <w:rFonts w:ascii="Arial" w:hAnsi="Arial"/>
          <w:rtl/>
        </w:rPr>
      </w:pPr>
      <w:r>
        <w:rPr>
          <w:rFonts w:ascii="Arial" w:hAnsi="Arial" w:hint="cs"/>
          <w:rtl/>
        </w:rPr>
        <w:t>ב"כ הנאשם ביקשה כי יוטל על הנאשם מאסר על תנאי בלבד בשים לב לעובדות הבאות:</w:t>
      </w:r>
    </w:p>
    <w:p w14:paraId="6FBB3482" w14:textId="77777777" w:rsidR="002D2709" w:rsidRDefault="002D2709" w:rsidP="002D2709">
      <w:pPr>
        <w:spacing w:line="360" w:lineRule="auto"/>
        <w:jc w:val="both"/>
        <w:rPr>
          <w:rFonts w:ascii="Arial" w:hAnsi="Arial"/>
          <w:rtl/>
        </w:rPr>
      </w:pPr>
      <w:r>
        <w:rPr>
          <w:rFonts w:ascii="Arial" w:hAnsi="Arial" w:hint="cs"/>
          <w:rtl/>
        </w:rPr>
        <w:t>מסמכים המצביעים על מצבו הבריאותי והכלכלי של הנאשם, גילו ונסיבות אישיות יוצאות דופן, קבלת רישיון לקנאביס רפואי, חלוף הזמן מאז ביצוע העבירה ועד להגשת כתב האישום, העובדה כי עד 6 ח' קודם למועד ביצוע העבירה החומר לא היה אסור, העבר הפלילי אשר אינו כולל עבירות סחר או עבירות של החזקת סם שלא לצריכה עצמית ופגיעתם הרעה של מאסרים קצרים.</w:t>
      </w:r>
    </w:p>
    <w:p w14:paraId="7BDA5370" w14:textId="77777777" w:rsidR="002D2709" w:rsidRDefault="002D2709" w:rsidP="002D2709">
      <w:pPr>
        <w:spacing w:line="360" w:lineRule="auto"/>
        <w:jc w:val="both"/>
        <w:rPr>
          <w:rFonts w:ascii="Arial" w:hAnsi="Arial"/>
          <w:rtl/>
        </w:rPr>
      </w:pPr>
      <w:r>
        <w:rPr>
          <w:rFonts w:ascii="Arial" w:hAnsi="Arial" w:hint="cs"/>
          <w:rtl/>
        </w:rPr>
        <w:t>לסיכום עתרה ב"כ הנאשם לגזור עליו מאסר על תנאי בלבד לפי שבמצבו הבריאותי לא יהיה כשיר לביצוע עבודות שירות.</w:t>
      </w:r>
    </w:p>
    <w:p w14:paraId="01BFFC55" w14:textId="77777777" w:rsidR="002D2709" w:rsidRDefault="002D2709" w:rsidP="002D2709">
      <w:pPr>
        <w:spacing w:line="360" w:lineRule="auto"/>
        <w:jc w:val="both"/>
        <w:rPr>
          <w:rFonts w:ascii="Arial" w:hAnsi="Arial"/>
          <w:rtl/>
        </w:rPr>
      </w:pPr>
    </w:p>
    <w:p w14:paraId="3D3FFA1B" w14:textId="77777777" w:rsidR="002D2709" w:rsidRDefault="002D2709" w:rsidP="002D2709">
      <w:pPr>
        <w:spacing w:line="360" w:lineRule="auto"/>
        <w:jc w:val="both"/>
        <w:rPr>
          <w:rFonts w:ascii="Arial" w:hAnsi="Arial"/>
          <w:rtl/>
        </w:rPr>
      </w:pPr>
      <w:r>
        <w:rPr>
          <w:rFonts w:ascii="Arial" w:hAnsi="Arial" w:hint="cs"/>
          <w:rtl/>
        </w:rPr>
        <w:t>כל צד תמך יתדותיו בפסיקה.</w:t>
      </w:r>
    </w:p>
    <w:p w14:paraId="5A6AC49C" w14:textId="77777777" w:rsidR="002D2709" w:rsidRDefault="002D2709" w:rsidP="002D2709">
      <w:pPr>
        <w:spacing w:line="360" w:lineRule="auto"/>
        <w:jc w:val="both"/>
        <w:rPr>
          <w:rFonts w:ascii="Arial" w:hAnsi="Arial"/>
          <w:rtl/>
        </w:rPr>
      </w:pPr>
    </w:p>
    <w:p w14:paraId="4D058D9B" w14:textId="77777777" w:rsidR="002D2709" w:rsidRDefault="002D2709" w:rsidP="002D2709">
      <w:pPr>
        <w:spacing w:line="360" w:lineRule="auto"/>
        <w:jc w:val="both"/>
        <w:rPr>
          <w:rFonts w:ascii="Arial" w:hAnsi="Arial"/>
          <w:rtl/>
        </w:rPr>
      </w:pPr>
      <w:r>
        <w:rPr>
          <w:rFonts w:ascii="Arial" w:hAnsi="Arial" w:hint="cs"/>
          <w:rtl/>
        </w:rPr>
        <w:t>הנאשם בדברו לעונש הביע חרטה, התייחס למצבו הבריאותי ולעובדה כי חודשים ספורים קודם לכן החומר אשר נמצא ברשותו היה חוקי.</w:t>
      </w:r>
    </w:p>
    <w:p w14:paraId="69165397" w14:textId="77777777" w:rsidR="002D2709" w:rsidRDefault="002D2709" w:rsidP="002D2709">
      <w:pPr>
        <w:spacing w:line="360" w:lineRule="auto"/>
        <w:jc w:val="both"/>
        <w:rPr>
          <w:rFonts w:ascii="Arial" w:hAnsi="Arial"/>
          <w:rtl/>
        </w:rPr>
      </w:pPr>
    </w:p>
    <w:p w14:paraId="1891B15B" w14:textId="77777777" w:rsidR="002D2709" w:rsidRDefault="002D2709" w:rsidP="002D2709">
      <w:pPr>
        <w:spacing w:line="360" w:lineRule="auto"/>
        <w:jc w:val="both"/>
        <w:rPr>
          <w:rFonts w:ascii="Arial" w:hAnsi="Arial"/>
          <w:b/>
          <w:bCs/>
          <w:rtl/>
        </w:rPr>
      </w:pPr>
      <w:r>
        <w:rPr>
          <w:rFonts w:ascii="Arial" w:hAnsi="Arial" w:hint="cs"/>
          <w:b/>
          <w:bCs/>
          <w:rtl/>
        </w:rPr>
        <w:t xml:space="preserve">דיון והכרעה </w:t>
      </w:r>
    </w:p>
    <w:p w14:paraId="284DC04F" w14:textId="77777777" w:rsidR="002D2709" w:rsidRDefault="002D2709" w:rsidP="002D2709">
      <w:pPr>
        <w:spacing w:line="360" w:lineRule="auto"/>
        <w:jc w:val="both"/>
        <w:rPr>
          <w:rFonts w:ascii="Arial" w:hAnsi="Arial"/>
          <w:b/>
          <w:bCs/>
          <w:rtl/>
        </w:rPr>
      </w:pPr>
    </w:p>
    <w:p w14:paraId="49D75EC8" w14:textId="77777777" w:rsidR="002D2709" w:rsidRDefault="002D2709" w:rsidP="002D2709">
      <w:pPr>
        <w:spacing w:line="360" w:lineRule="auto"/>
        <w:jc w:val="both"/>
        <w:rPr>
          <w:rFonts w:ascii="Arial" w:hAnsi="Arial"/>
          <w:rtl/>
        </w:rPr>
      </w:pPr>
      <w:r>
        <w:rPr>
          <w:rFonts w:ascii="Arial" w:hAnsi="Arial" w:hint="cs"/>
          <w:rtl/>
        </w:rPr>
        <w:t>בטרם אצעד בתוואי של תיקון 113 יש להעיר כי על שתי שאלות לא ידעו הצדדים להשיב : מהי הכמות לצריכה עצמית של חומר זה ולאיזה בית משפט נתונה הסמכות לדון בעבירה זו, שלום או מחוזי, לפי שנמצא בפסיקה שהוגשה לי כי בית משפט השלום דן בהחזקת סם מסוג זה או דומה אף בכמות גדולה מזו הנקובה בכתב האישום אשר בפניי.</w:t>
      </w:r>
    </w:p>
    <w:p w14:paraId="665BEE74" w14:textId="77777777" w:rsidR="002D2709" w:rsidRDefault="002D2709" w:rsidP="002D2709">
      <w:pPr>
        <w:spacing w:line="360" w:lineRule="auto"/>
        <w:jc w:val="both"/>
        <w:rPr>
          <w:rFonts w:ascii="Arial" w:hAnsi="Arial"/>
          <w:rtl/>
        </w:rPr>
      </w:pPr>
    </w:p>
    <w:p w14:paraId="6FD7C323" w14:textId="77777777" w:rsidR="002D2709" w:rsidRDefault="002D2709" w:rsidP="002D2709">
      <w:pPr>
        <w:spacing w:line="360" w:lineRule="auto"/>
        <w:jc w:val="both"/>
        <w:rPr>
          <w:rFonts w:ascii="Arial" w:hAnsi="Arial"/>
          <w:b/>
          <w:bCs/>
          <w:rtl/>
        </w:rPr>
      </w:pPr>
      <w:r>
        <w:rPr>
          <w:rFonts w:ascii="Arial" w:hAnsi="Arial" w:hint="cs"/>
          <w:b/>
          <w:bCs/>
          <w:rtl/>
        </w:rPr>
        <w:t>הערך החברתי שנפגע</w:t>
      </w:r>
    </w:p>
    <w:p w14:paraId="4365FE3D" w14:textId="77777777" w:rsidR="002D2709" w:rsidRDefault="002D2709" w:rsidP="002D2709">
      <w:pPr>
        <w:spacing w:line="360" w:lineRule="auto"/>
        <w:jc w:val="both"/>
        <w:rPr>
          <w:rFonts w:ascii="Arial" w:hAnsi="Arial"/>
          <w:b/>
          <w:bCs/>
          <w:rtl/>
        </w:rPr>
      </w:pPr>
    </w:p>
    <w:p w14:paraId="3AD752FC" w14:textId="77777777" w:rsidR="002D2709" w:rsidRDefault="002D2709" w:rsidP="002D2709">
      <w:pPr>
        <w:spacing w:line="360" w:lineRule="auto"/>
        <w:jc w:val="both"/>
        <w:rPr>
          <w:rFonts w:ascii="Arial" w:hAnsi="Arial"/>
          <w:b/>
          <w:bCs/>
          <w:rtl/>
        </w:rPr>
      </w:pPr>
      <w:r>
        <w:rPr>
          <w:rFonts w:ascii="Arial" w:hAnsi="Arial" w:hint="cs"/>
          <w:rtl/>
        </w:rPr>
        <w:t>ב</w:t>
      </w:r>
      <w:hyperlink r:id="rId20" w:history="1">
        <w:r w:rsidR="003B1976" w:rsidRPr="003B1976">
          <w:rPr>
            <w:rFonts w:ascii="Arial" w:hAnsi="Arial"/>
            <w:color w:val="0000FF"/>
            <w:u w:val="single"/>
            <w:rtl/>
          </w:rPr>
          <w:t>ע"פ 1635/14</w:t>
        </w:r>
      </w:hyperlink>
      <w:r>
        <w:rPr>
          <w:rFonts w:ascii="Arial" w:hAnsi="Arial" w:hint="cs"/>
          <w:b/>
          <w:bCs/>
          <w:rtl/>
        </w:rPr>
        <w:t xml:space="preserve"> יהודה נ' מדינת ישראל </w:t>
      </w:r>
      <w:r>
        <w:rPr>
          <w:rFonts w:ascii="Arial" w:hAnsi="Arial" w:hint="cs"/>
          <w:rtl/>
        </w:rPr>
        <w:t>(21.8.14) נקבעו הדברים הבאים</w:t>
      </w:r>
      <w:r>
        <w:rPr>
          <w:rFonts w:ascii="Arial" w:hAnsi="Arial" w:hint="cs"/>
          <w:b/>
          <w:bCs/>
          <w:rtl/>
        </w:rPr>
        <w:t xml:space="preserve">: "כידוע,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w:t>
      </w:r>
      <w:r>
        <w:rPr>
          <w:rFonts w:ascii="Arial" w:hAnsi="Arial" w:hint="cs"/>
          <w:b/>
          <w:bCs/>
          <w:rtl/>
        </w:rPr>
        <w:lastRenderedPageBreak/>
        <w:t>הקשורים בשימוש בסמים מסוכנים ובייבואם מתרחבים והולכים, כמעגליה של אבן הפוגעת במים מורעלים".</w:t>
      </w:r>
    </w:p>
    <w:p w14:paraId="71976BCE" w14:textId="77777777" w:rsidR="002D2709" w:rsidRDefault="002D2709" w:rsidP="002D2709">
      <w:pPr>
        <w:spacing w:line="360" w:lineRule="auto"/>
        <w:jc w:val="both"/>
        <w:rPr>
          <w:rFonts w:ascii="Arial" w:hAnsi="Arial"/>
          <w:b/>
          <w:bCs/>
          <w:rtl/>
        </w:rPr>
      </w:pPr>
    </w:p>
    <w:p w14:paraId="590FAB01" w14:textId="77777777" w:rsidR="002D2709" w:rsidRDefault="002D2709" w:rsidP="002D2709">
      <w:pPr>
        <w:spacing w:line="360" w:lineRule="auto"/>
        <w:jc w:val="both"/>
        <w:rPr>
          <w:rFonts w:ascii="Arial" w:hAnsi="Arial"/>
          <w:b/>
          <w:bCs/>
          <w:rtl/>
        </w:rPr>
      </w:pPr>
      <w:r>
        <w:rPr>
          <w:rFonts w:ascii="Arial" w:hAnsi="Arial" w:hint="cs"/>
          <w:b/>
          <w:bCs/>
          <w:rtl/>
        </w:rPr>
        <w:t xml:space="preserve">עם זאת בבוא בית המשפט לאמוד עונשו של נאשם, ייתן משקל בין היתר גם לכמות הסם ואיכותו, טיב עבירת הסמים שבוצעה ועוד. ראה לעניין זה </w:t>
      </w:r>
      <w:hyperlink r:id="rId21" w:history="1">
        <w:r w:rsidR="003B1976" w:rsidRPr="003B1976">
          <w:rPr>
            <w:rFonts w:ascii="Arial" w:hAnsi="Arial"/>
            <w:color w:val="0000FF"/>
            <w:u w:val="single"/>
            <w:rtl/>
          </w:rPr>
          <w:t>ע"פ 972/11</w:t>
        </w:r>
      </w:hyperlink>
      <w:r>
        <w:rPr>
          <w:rFonts w:ascii="Arial" w:hAnsi="Arial" w:hint="cs"/>
          <w:rtl/>
        </w:rPr>
        <w:t xml:space="preserve"> </w:t>
      </w:r>
      <w:r>
        <w:rPr>
          <w:rFonts w:ascii="Arial" w:hAnsi="Arial" w:hint="cs"/>
          <w:b/>
          <w:bCs/>
          <w:rtl/>
        </w:rPr>
        <w:t>מדינת ישראל נ' יונה</w:t>
      </w:r>
      <w:r>
        <w:rPr>
          <w:rFonts w:ascii="Arial" w:hAnsi="Arial" w:hint="cs"/>
          <w:rtl/>
        </w:rPr>
        <w:t xml:space="preserve"> (4.7.12).</w:t>
      </w:r>
    </w:p>
    <w:p w14:paraId="4920383A" w14:textId="77777777" w:rsidR="002D2709" w:rsidRDefault="002D2709" w:rsidP="002D2709">
      <w:pPr>
        <w:spacing w:line="360" w:lineRule="auto"/>
        <w:jc w:val="both"/>
        <w:rPr>
          <w:rFonts w:ascii="Arial" w:hAnsi="Arial"/>
          <w:b/>
          <w:bCs/>
          <w:rtl/>
        </w:rPr>
      </w:pPr>
    </w:p>
    <w:p w14:paraId="7419F45D" w14:textId="77777777" w:rsidR="002D2709" w:rsidRDefault="002D2709" w:rsidP="002D2709">
      <w:pPr>
        <w:spacing w:line="360" w:lineRule="auto"/>
        <w:jc w:val="both"/>
        <w:rPr>
          <w:rFonts w:ascii="Arial" w:hAnsi="Arial"/>
          <w:b/>
          <w:bCs/>
          <w:rtl/>
        </w:rPr>
      </w:pPr>
      <w:r>
        <w:rPr>
          <w:rFonts w:ascii="Arial" w:hAnsi="Arial" w:hint="cs"/>
          <w:rtl/>
        </w:rPr>
        <w:t>עוד יש לציין כי בסוג זה של סמים -קנבואידים סינטטיים- המכונים "סמי פיצוציות", תהליך הענישה צריך להיות מדורג ומידתי לפי  שחודשים ספורים לפני מועד ביצוע העבירה , מרץ 2015, הסם לא נכלל ב</w:t>
      </w:r>
      <w:hyperlink r:id="rId22" w:history="1">
        <w:r w:rsidR="003B1976" w:rsidRPr="003B1976">
          <w:rPr>
            <w:rFonts w:ascii="Arial" w:hAnsi="Arial"/>
            <w:color w:val="0000FF"/>
            <w:u w:val="single"/>
            <w:rtl/>
          </w:rPr>
          <w:t>פקודת הסמים המסוכנים</w:t>
        </w:r>
      </w:hyperlink>
      <w:r>
        <w:rPr>
          <w:rFonts w:ascii="Arial" w:hAnsi="Arial" w:hint="cs"/>
          <w:rtl/>
        </w:rPr>
        <w:t>. ראה לעניין זה דברי כב' השופט הנדל ב</w:t>
      </w:r>
      <w:hyperlink r:id="rId23" w:history="1">
        <w:r w:rsidR="003B1976" w:rsidRPr="003B1976">
          <w:rPr>
            <w:rFonts w:ascii="Arial" w:hAnsi="Arial"/>
            <w:color w:val="0000FF"/>
            <w:u w:val="single"/>
            <w:rtl/>
          </w:rPr>
          <w:t>ע"פ 4915/15</w:t>
        </w:r>
      </w:hyperlink>
      <w:r>
        <w:rPr>
          <w:rFonts w:ascii="Arial" w:hAnsi="Arial" w:hint="cs"/>
          <w:b/>
          <w:bCs/>
          <w:rtl/>
        </w:rPr>
        <w:t xml:space="preserve"> ותד נ' מדינת ישראל.</w:t>
      </w:r>
    </w:p>
    <w:p w14:paraId="22C09830" w14:textId="77777777" w:rsidR="002D2709" w:rsidRDefault="002D2709" w:rsidP="002D2709">
      <w:pPr>
        <w:spacing w:line="360" w:lineRule="auto"/>
        <w:jc w:val="both"/>
        <w:rPr>
          <w:rFonts w:ascii="Arial" w:hAnsi="Arial"/>
          <w:b/>
          <w:bCs/>
          <w:rtl/>
        </w:rPr>
      </w:pPr>
    </w:p>
    <w:p w14:paraId="519B1B6A" w14:textId="77777777" w:rsidR="002D2709" w:rsidRDefault="002D2709" w:rsidP="002D2709">
      <w:pPr>
        <w:spacing w:line="360" w:lineRule="auto"/>
        <w:jc w:val="both"/>
        <w:rPr>
          <w:rFonts w:ascii="Arial" w:hAnsi="Arial"/>
          <w:b/>
          <w:bCs/>
          <w:rtl/>
        </w:rPr>
      </w:pPr>
      <w:r>
        <w:rPr>
          <w:rFonts w:ascii="Arial" w:hAnsi="Arial" w:hint="cs"/>
          <w:b/>
          <w:bCs/>
          <w:rtl/>
        </w:rPr>
        <w:t>מדיניות הענישה הנוהגת</w:t>
      </w:r>
    </w:p>
    <w:p w14:paraId="46779144" w14:textId="77777777" w:rsidR="002D2709" w:rsidRDefault="002D2709" w:rsidP="002D2709">
      <w:pPr>
        <w:spacing w:line="360" w:lineRule="auto"/>
        <w:jc w:val="both"/>
        <w:rPr>
          <w:rFonts w:ascii="Arial" w:hAnsi="Arial"/>
          <w:rtl/>
        </w:rPr>
      </w:pPr>
      <w:r>
        <w:rPr>
          <w:rFonts w:ascii="Arial" w:hAnsi="Arial" w:hint="cs"/>
          <w:rtl/>
        </w:rPr>
        <w:t>מכלל הפסיקה שהוגשה לי ראיתי להתייחס לאלה:</w:t>
      </w:r>
    </w:p>
    <w:p w14:paraId="740CBCC9" w14:textId="77777777" w:rsidR="002D2709" w:rsidRDefault="002D2709" w:rsidP="002D2709">
      <w:pPr>
        <w:spacing w:line="360" w:lineRule="auto"/>
        <w:jc w:val="both"/>
        <w:rPr>
          <w:rFonts w:ascii="Arial" w:hAnsi="Arial"/>
          <w:rtl/>
        </w:rPr>
      </w:pPr>
    </w:p>
    <w:p w14:paraId="27B3581E" w14:textId="77777777" w:rsidR="002D2709" w:rsidRDefault="002D2709" w:rsidP="002D2709">
      <w:pPr>
        <w:spacing w:line="360" w:lineRule="auto"/>
        <w:jc w:val="both"/>
        <w:rPr>
          <w:rFonts w:ascii="Arial" w:hAnsi="Arial"/>
          <w:b/>
          <w:bCs/>
          <w:rtl/>
        </w:rPr>
      </w:pPr>
      <w:r>
        <w:rPr>
          <w:rFonts w:ascii="Arial" w:hAnsi="Arial" w:hint="cs"/>
          <w:rtl/>
        </w:rPr>
        <w:t>ב</w:t>
      </w:r>
      <w:hyperlink r:id="rId24" w:history="1">
        <w:r w:rsidR="003B1976" w:rsidRPr="003B1976">
          <w:rPr>
            <w:rFonts w:ascii="Arial" w:hAnsi="Arial"/>
            <w:color w:val="0000FF"/>
            <w:u w:val="single"/>
            <w:rtl/>
          </w:rPr>
          <w:t>עפ"ג 53350-08-16</w:t>
        </w:r>
      </w:hyperlink>
      <w:r>
        <w:rPr>
          <w:rFonts w:ascii="Arial" w:hAnsi="Arial" w:hint="cs"/>
          <w:rtl/>
        </w:rPr>
        <w:t xml:space="preserve"> (מחוזי מרכז)</w:t>
      </w:r>
      <w:r>
        <w:rPr>
          <w:rFonts w:ascii="Arial" w:hAnsi="Arial" w:hint="cs"/>
          <w:b/>
          <w:bCs/>
          <w:rtl/>
        </w:rPr>
        <w:t xml:space="preserve"> אלקנה נ' מדינת ישראל</w:t>
      </w:r>
      <w:r>
        <w:rPr>
          <w:rFonts w:ascii="Arial" w:hAnsi="Arial" w:hint="cs"/>
          <w:rtl/>
        </w:rPr>
        <w:t xml:space="preserve"> (7.3.17) נדון ערעור על גזר דין של בית משפט </w:t>
      </w:r>
      <w:r>
        <w:rPr>
          <w:rFonts w:ascii="Arial" w:hAnsi="Arial" w:hint="cs"/>
          <w:b/>
          <w:bCs/>
          <w:rtl/>
        </w:rPr>
        <w:t>השלום</w:t>
      </w:r>
      <w:r>
        <w:rPr>
          <w:rFonts w:ascii="Arial" w:hAnsi="Arial" w:hint="cs"/>
          <w:rtl/>
        </w:rPr>
        <w:t>. המערער החזיק, בין השאר,</w:t>
      </w:r>
      <w:r>
        <w:rPr>
          <w:rFonts w:ascii="Arial" w:hAnsi="Arial" w:hint="cs"/>
          <w:b/>
          <w:bCs/>
          <w:rtl/>
        </w:rPr>
        <w:t>2.582 ק"ג סם מסוכן</w:t>
      </w:r>
      <w:r>
        <w:rPr>
          <w:rFonts w:ascii="Arial" w:hAnsi="Arial" w:hint="cs"/>
          <w:rtl/>
        </w:rPr>
        <w:t xml:space="preserve"> מהסוג המצוי בפנינו ונדון ל 10 ח' מאסר בפועל. </w:t>
      </w:r>
      <w:r>
        <w:rPr>
          <w:rFonts w:ascii="Arial" w:hAnsi="Arial" w:hint="cs"/>
          <w:b/>
          <w:bCs/>
          <w:rtl/>
        </w:rPr>
        <w:t>יצוין כי למערער יוחסה עבירה נוספת של החזקת תחמושת. המתחם שנקבע הינו 8-30 ח' .</w:t>
      </w:r>
    </w:p>
    <w:p w14:paraId="26483C5C" w14:textId="77777777" w:rsidR="002D2709" w:rsidRDefault="002D2709" w:rsidP="002D2709">
      <w:pPr>
        <w:spacing w:line="360" w:lineRule="auto"/>
        <w:jc w:val="both"/>
        <w:rPr>
          <w:rFonts w:ascii="Arial" w:hAnsi="Arial"/>
          <w:b/>
          <w:bCs/>
          <w:rtl/>
        </w:rPr>
      </w:pPr>
      <w:r>
        <w:rPr>
          <w:rFonts w:ascii="Arial" w:hAnsi="Arial" w:hint="cs"/>
          <w:b/>
          <w:bCs/>
          <w:rtl/>
        </w:rPr>
        <w:t>הערעור נדחה.</w:t>
      </w:r>
    </w:p>
    <w:p w14:paraId="3C405782" w14:textId="77777777" w:rsidR="002D2709" w:rsidRDefault="002D2709" w:rsidP="002D2709">
      <w:pPr>
        <w:spacing w:line="360" w:lineRule="auto"/>
        <w:jc w:val="both"/>
        <w:rPr>
          <w:rFonts w:ascii="Arial" w:hAnsi="Arial"/>
          <w:b/>
          <w:bCs/>
          <w:rtl/>
        </w:rPr>
      </w:pPr>
    </w:p>
    <w:p w14:paraId="0B69F803" w14:textId="77777777" w:rsidR="002D2709" w:rsidRDefault="003B1976" w:rsidP="002D2709">
      <w:pPr>
        <w:spacing w:line="360" w:lineRule="auto"/>
        <w:jc w:val="both"/>
        <w:rPr>
          <w:rFonts w:ascii="Arial" w:hAnsi="Arial"/>
          <w:rtl/>
        </w:rPr>
      </w:pPr>
      <w:hyperlink r:id="rId25" w:history="1">
        <w:r w:rsidRPr="003B1976">
          <w:rPr>
            <w:rFonts w:ascii="Arial" w:hAnsi="Arial"/>
            <w:color w:val="0000FF"/>
            <w:u w:val="single"/>
            <w:rtl/>
          </w:rPr>
          <w:t>ת"פ 48731-11-14</w:t>
        </w:r>
      </w:hyperlink>
      <w:r w:rsidR="002D2709">
        <w:rPr>
          <w:rFonts w:ascii="Arial" w:hAnsi="Arial" w:hint="cs"/>
          <w:rtl/>
        </w:rPr>
        <w:t xml:space="preserve"> (מחוזי ת"א) </w:t>
      </w:r>
      <w:r w:rsidR="002D2709">
        <w:rPr>
          <w:rFonts w:ascii="Arial" w:hAnsi="Arial" w:hint="cs"/>
          <w:b/>
          <w:bCs/>
          <w:rtl/>
        </w:rPr>
        <w:t xml:space="preserve">מדינת ישראל נגד ביטון ואח' </w:t>
      </w:r>
      <w:r w:rsidR="002D2709">
        <w:rPr>
          <w:rFonts w:ascii="Arial" w:hAnsi="Arial" w:hint="cs"/>
          <w:rtl/>
        </w:rPr>
        <w:t xml:space="preserve">(11.4.16) גזר דין של נאשם מס' 6 </w:t>
      </w:r>
      <w:r w:rsidR="002D2709">
        <w:rPr>
          <w:rFonts w:ascii="Arial" w:hAnsi="Arial" w:hint="cs"/>
          <w:b/>
          <w:bCs/>
          <w:rtl/>
        </w:rPr>
        <w:t>צביקה מידברג</w:t>
      </w:r>
      <w:r w:rsidR="002D2709">
        <w:rPr>
          <w:rFonts w:ascii="Arial" w:hAnsi="Arial" w:hint="cs"/>
          <w:rtl/>
        </w:rPr>
        <w:t>. הנאשם הורשע על יסוד הודאתו בעובדות כתב אישום מתוקן שעניינן עבירה של קשירת קשר לביצוע פשע (סחר בסם) ועבירה של סחר בסם מסוכן. לתיק זה צורף לעניין העונש  תיק נוסף מבית משפט השלום שעניינו עבירות של החזקת סם שלא לצריכה עצמית ולצריכה עצמית.</w:t>
      </w:r>
    </w:p>
    <w:p w14:paraId="7B5C4023" w14:textId="77777777" w:rsidR="002D2709" w:rsidRDefault="002D2709" w:rsidP="002D2709">
      <w:pPr>
        <w:spacing w:line="360" w:lineRule="auto"/>
        <w:jc w:val="both"/>
        <w:rPr>
          <w:rFonts w:ascii="Arial" w:hAnsi="Arial"/>
          <w:rtl/>
        </w:rPr>
      </w:pPr>
      <w:r>
        <w:rPr>
          <w:rFonts w:ascii="Arial" w:hAnsi="Arial" w:hint="cs"/>
          <w:rtl/>
        </w:rPr>
        <w:t xml:space="preserve">עובדות כתב האישום המתוקן: הנאשם קשר קשר עם אחרים לייצר להפיק ולסחור בסמים מסוכנים. לצורך זה שילם הנאשם לנאשמים אחרים סך 30,000 ₪ עבור ייצור ואספקה של סם מסוכן מסוג קנבואידים סינטטיים. לשם כך נשכר מחסן ובו פעלו האחרים באמצעים שונים  להפקת הסם. משקל הסם אשר נמסר בסופו של יום לנאשם הינו </w:t>
      </w:r>
      <w:r>
        <w:rPr>
          <w:rFonts w:ascii="Arial" w:hAnsi="Arial" w:hint="cs"/>
          <w:b/>
          <w:bCs/>
          <w:rtl/>
        </w:rPr>
        <w:t>9.680 ק"ג.</w:t>
      </w:r>
    </w:p>
    <w:p w14:paraId="1D156FA2" w14:textId="77777777" w:rsidR="002D2709" w:rsidRDefault="002D2709" w:rsidP="002D2709">
      <w:pPr>
        <w:spacing w:line="360" w:lineRule="auto"/>
        <w:jc w:val="both"/>
        <w:rPr>
          <w:rFonts w:ascii="Arial" w:hAnsi="Arial"/>
          <w:rtl/>
        </w:rPr>
      </w:pPr>
      <w:r>
        <w:rPr>
          <w:rFonts w:ascii="Arial" w:hAnsi="Arial" w:hint="cs"/>
          <w:rtl/>
        </w:rPr>
        <w:t xml:space="preserve">עובדות התיק המצורף: הנאשם החזיק בדירתו </w:t>
      </w:r>
      <w:r>
        <w:rPr>
          <w:rFonts w:ascii="Arial" w:hAnsi="Arial" w:hint="cs"/>
          <w:b/>
          <w:bCs/>
          <w:rtl/>
        </w:rPr>
        <w:t xml:space="preserve">19,643 בולים </w:t>
      </w:r>
      <w:r>
        <w:rPr>
          <w:rFonts w:ascii="Arial" w:hAnsi="Arial" w:hint="cs"/>
          <w:rtl/>
        </w:rPr>
        <w:t>המכילים סם מסוכן מסוג קנבואיד סינטטי וסם מסוג קוקאין במשקל 0.4181 גרם.</w:t>
      </w:r>
    </w:p>
    <w:p w14:paraId="5A686980" w14:textId="77777777" w:rsidR="002D2709" w:rsidRDefault="002D2709" w:rsidP="002D2709">
      <w:pPr>
        <w:spacing w:line="360" w:lineRule="auto"/>
        <w:jc w:val="both"/>
        <w:rPr>
          <w:rFonts w:ascii="Arial" w:hAnsi="Arial"/>
          <w:rtl/>
        </w:rPr>
      </w:pPr>
      <w:r>
        <w:rPr>
          <w:rFonts w:ascii="Arial" w:hAnsi="Arial" w:hint="cs"/>
          <w:rtl/>
        </w:rPr>
        <w:t>במסגרת גזר הדין נקבע כי אופן ייצור הסמים גורם לסיכון משמעותי של המשתמשים, מעבר לסיכון "הרגיל".</w:t>
      </w:r>
    </w:p>
    <w:p w14:paraId="72A4308F" w14:textId="77777777" w:rsidR="002D2709" w:rsidRDefault="002D2709" w:rsidP="002D2709">
      <w:pPr>
        <w:spacing w:line="360" w:lineRule="auto"/>
        <w:jc w:val="both"/>
        <w:rPr>
          <w:rFonts w:ascii="Arial" w:hAnsi="Arial"/>
          <w:rtl/>
        </w:rPr>
      </w:pPr>
      <w:r>
        <w:rPr>
          <w:rFonts w:ascii="Arial" w:hAnsi="Arial" w:hint="cs"/>
          <w:rtl/>
        </w:rPr>
        <w:t>המתחם שנקבע לתיק העיקרי 11-29 ח' מאסר.</w:t>
      </w:r>
    </w:p>
    <w:p w14:paraId="1FE7CEB8" w14:textId="77777777" w:rsidR="002D2709" w:rsidRDefault="002D2709" w:rsidP="002D2709">
      <w:pPr>
        <w:spacing w:line="360" w:lineRule="auto"/>
        <w:jc w:val="both"/>
        <w:rPr>
          <w:rFonts w:ascii="Arial" w:hAnsi="Arial"/>
          <w:rtl/>
        </w:rPr>
      </w:pPr>
      <w:r>
        <w:rPr>
          <w:rFonts w:ascii="Arial" w:hAnsi="Arial" w:hint="cs"/>
          <w:rtl/>
        </w:rPr>
        <w:t>המתחם שנקבע לתיק הצירוף 10-24 ח' מאסר.</w:t>
      </w:r>
    </w:p>
    <w:p w14:paraId="1AF22A8F" w14:textId="77777777" w:rsidR="002D2709" w:rsidRDefault="002D2709" w:rsidP="002D2709">
      <w:pPr>
        <w:spacing w:line="360" w:lineRule="auto"/>
        <w:jc w:val="both"/>
        <w:rPr>
          <w:rFonts w:ascii="Arial" w:hAnsi="Arial"/>
          <w:rtl/>
        </w:rPr>
      </w:pPr>
      <w:r>
        <w:rPr>
          <w:rFonts w:ascii="Arial" w:hAnsi="Arial" w:hint="cs"/>
          <w:rtl/>
        </w:rPr>
        <w:t>מידברג, בן 42, נדון ל 13 ח' מאסר בפועל בשים לב להיעדר עבר פלילי בתחום הסמים.</w:t>
      </w:r>
    </w:p>
    <w:p w14:paraId="57576EE3" w14:textId="77777777" w:rsidR="002D2709" w:rsidRDefault="002D2709" w:rsidP="002D2709">
      <w:pPr>
        <w:spacing w:line="360" w:lineRule="auto"/>
        <w:jc w:val="both"/>
        <w:rPr>
          <w:rFonts w:ascii="Arial" w:hAnsi="Arial"/>
          <w:rtl/>
        </w:rPr>
      </w:pPr>
    </w:p>
    <w:p w14:paraId="5045EA7B" w14:textId="77777777" w:rsidR="002D2709" w:rsidRDefault="003B1976" w:rsidP="002D2709">
      <w:pPr>
        <w:spacing w:line="360" w:lineRule="auto"/>
        <w:jc w:val="both"/>
        <w:rPr>
          <w:rFonts w:ascii="Arial" w:hAnsi="Arial"/>
          <w:b/>
          <w:bCs/>
          <w:rtl/>
        </w:rPr>
      </w:pPr>
      <w:hyperlink r:id="rId26" w:history="1">
        <w:r w:rsidRPr="003B1976">
          <w:rPr>
            <w:rFonts w:ascii="Arial" w:hAnsi="Arial"/>
            <w:color w:val="0000FF"/>
            <w:u w:val="single"/>
            <w:rtl/>
          </w:rPr>
          <w:t>ת"פ 16980-01-14</w:t>
        </w:r>
      </w:hyperlink>
      <w:r w:rsidR="002D2709">
        <w:rPr>
          <w:rFonts w:ascii="Arial" w:hAnsi="Arial" w:hint="cs"/>
          <w:rtl/>
        </w:rPr>
        <w:t xml:space="preserve"> (שלום רמלה) </w:t>
      </w:r>
      <w:r w:rsidR="002D2709">
        <w:rPr>
          <w:rFonts w:ascii="Arial" w:hAnsi="Arial" w:hint="cs"/>
          <w:b/>
          <w:bCs/>
          <w:rtl/>
        </w:rPr>
        <w:t xml:space="preserve">מדינת ישראל נגד יחזקאל וגבאי </w:t>
      </w:r>
      <w:r w:rsidR="002D2709">
        <w:rPr>
          <w:rFonts w:ascii="Arial" w:hAnsi="Arial" w:hint="cs"/>
          <w:rtl/>
        </w:rPr>
        <w:t>( 10.11.14)</w:t>
      </w:r>
      <w:r w:rsidR="002D2709">
        <w:rPr>
          <w:rFonts w:ascii="Arial" w:hAnsi="Arial" w:hint="cs"/>
          <w:b/>
          <w:bCs/>
          <w:rtl/>
        </w:rPr>
        <w:t>:</w:t>
      </w:r>
      <w:r w:rsidR="002D2709">
        <w:rPr>
          <w:rFonts w:ascii="David" w:hAnsi="David" w:hint="cs"/>
          <w:color w:val="000000"/>
          <w:rtl/>
        </w:rPr>
        <w:t xml:space="preserve"> הנאשמים הורשעו בהתאם להודאתם בעובדות כתב האישום המתוקן, ביצוע עבירה של </w:t>
      </w:r>
      <w:r w:rsidR="002D2709">
        <w:rPr>
          <w:rFonts w:ascii="David" w:hAnsi="David" w:hint="cs"/>
          <w:b/>
          <w:bCs/>
          <w:color w:val="000000"/>
          <w:rtl/>
        </w:rPr>
        <w:t>איסור ייצור חומר אסור בהפצה איסור החזקה</w:t>
      </w:r>
      <w:r w:rsidR="002D2709">
        <w:rPr>
          <w:rFonts w:ascii="David" w:hAnsi="David" w:hint="cs"/>
          <w:color w:val="000000"/>
          <w:rtl/>
        </w:rPr>
        <w:t xml:space="preserve">, לפי </w:t>
      </w:r>
      <w:hyperlink r:id="rId27" w:history="1">
        <w:r w:rsidR="00626ACB" w:rsidRPr="00626ACB">
          <w:rPr>
            <w:rFonts w:ascii="David" w:hAnsi="David"/>
            <w:color w:val="0000FF"/>
            <w:u w:val="single"/>
            <w:rtl/>
          </w:rPr>
          <w:t>סעיף 7(א)</w:t>
        </w:r>
      </w:hyperlink>
      <w:r w:rsidR="002D2709">
        <w:rPr>
          <w:rFonts w:ascii="David" w:hAnsi="David" w:hint="cs"/>
          <w:color w:val="000000"/>
          <w:rtl/>
        </w:rPr>
        <w:t xml:space="preserve"> לחוק המאבק בתופעת השימוש בחומרים מסוכנים, </w:t>
      </w:r>
      <w:hyperlink r:id="rId28" w:history="1">
        <w:r w:rsidR="00626ACB" w:rsidRPr="00626ACB">
          <w:rPr>
            <w:rFonts w:ascii="David" w:hAnsi="David"/>
            <w:color w:val="0000FF"/>
            <w:u w:val="single"/>
            <w:rtl/>
          </w:rPr>
          <w:t>וסעיף 29(א)</w:t>
        </w:r>
      </w:hyperlink>
      <w:r w:rsidR="002D2709">
        <w:rPr>
          <w:rFonts w:ascii="David" w:hAnsi="David" w:hint="cs"/>
          <w:color w:val="000000"/>
          <w:rtl/>
        </w:rPr>
        <w:t xml:space="preserve"> ל</w:t>
      </w:r>
      <w:hyperlink r:id="rId29" w:history="1">
        <w:r w:rsidRPr="003B1976">
          <w:rPr>
            <w:rFonts w:ascii="David" w:hAnsi="David"/>
            <w:color w:val="0000FF"/>
            <w:u w:val="single"/>
            <w:rtl/>
          </w:rPr>
          <w:t>חוק העונשין</w:t>
        </w:r>
      </w:hyperlink>
      <w:r w:rsidR="002D2709">
        <w:rPr>
          <w:rFonts w:ascii="David" w:hAnsi="David" w:hint="cs"/>
          <w:color w:val="000000"/>
          <w:rtl/>
        </w:rPr>
        <w:t xml:space="preserve">, חיפוש בדירת הנאשמים  העלה שלושה מארזים המכילים שקיות עם הכיתוב "מיסטר נייס גיא". </w:t>
      </w:r>
      <w:r w:rsidR="002D2709">
        <w:rPr>
          <w:rFonts w:ascii="David" w:hAnsi="David" w:hint="cs"/>
          <w:b/>
          <w:bCs/>
          <w:color w:val="000000"/>
          <w:rtl/>
        </w:rPr>
        <w:t>ב- 405 שקיות</w:t>
      </w:r>
      <w:r w:rsidR="002D2709">
        <w:rPr>
          <w:rFonts w:ascii="David" w:hAnsi="David" w:hint="cs"/>
          <w:color w:val="000000"/>
          <w:rtl/>
        </w:rPr>
        <w:t xml:space="preserve"> נמצא חומר מסוכן מסוג "פי בי 22". </w:t>
      </w:r>
    </w:p>
    <w:p w14:paraId="25415FBB" w14:textId="77777777" w:rsidR="002D2709" w:rsidRDefault="002D2709" w:rsidP="002D2709">
      <w:pPr>
        <w:spacing w:after="120" w:line="360" w:lineRule="auto"/>
        <w:jc w:val="both"/>
        <w:rPr>
          <w:noProof/>
          <w:color w:val="000000"/>
          <w:rtl/>
        </w:rPr>
      </w:pPr>
      <w:r>
        <w:rPr>
          <w:rFonts w:ascii="Arial" w:hAnsi="Arial" w:hint="cs"/>
          <w:rtl/>
        </w:rPr>
        <w:t>שני הנאשמים נדונו, בין השאר, ל-6 ח' מאסר בדרך של עבודות שירות. בין ההנמקות אשר שימשו את בית משפט קמא הייתה העובדה ש</w:t>
      </w:r>
      <w:hyperlink r:id="rId30" w:history="1">
        <w:r w:rsidR="003B1976" w:rsidRPr="003B1976">
          <w:rPr>
            <w:rFonts w:ascii="Arial" w:hAnsi="Arial"/>
            <w:color w:val="0000FF"/>
            <w:u w:val="single"/>
            <w:rtl/>
          </w:rPr>
          <w:t>חוק המאבק בתופעת השימוש בחומרים מסכנים</w:t>
        </w:r>
      </w:hyperlink>
      <w:r>
        <w:rPr>
          <w:rFonts w:ascii="Arial" w:hAnsi="Arial" w:hint="cs"/>
          <w:rtl/>
        </w:rPr>
        <w:t xml:space="preserve"> </w:t>
      </w:r>
      <w:r>
        <w:rPr>
          <w:rFonts w:ascii="Arial" w:hAnsi="Arial" w:hint="cs"/>
          <w:b/>
          <w:bCs/>
          <w:rtl/>
        </w:rPr>
        <w:t xml:space="preserve">חוקק חודשים </w:t>
      </w:r>
      <w:r>
        <w:rPr>
          <w:rFonts w:hint="cs"/>
          <w:color w:val="000000"/>
          <w:rtl/>
        </w:rPr>
        <w:t>ספורים קודם לכן.</w:t>
      </w:r>
    </w:p>
    <w:p w14:paraId="580243C0" w14:textId="77777777" w:rsidR="002D2709" w:rsidRDefault="002D2709" w:rsidP="002D2709">
      <w:pPr>
        <w:spacing w:after="120" w:line="360" w:lineRule="auto"/>
        <w:ind w:hanging="12"/>
        <w:jc w:val="both"/>
        <w:rPr>
          <w:color w:val="000000"/>
          <w:rtl/>
        </w:rPr>
      </w:pPr>
      <w:r>
        <w:rPr>
          <w:rFonts w:hint="cs"/>
          <w:color w:val="000000"/>
          <w:rtl/>
        </w:rPr>
        <w:t xml:space="preserve">יש לציין, כי במקרים דומים, לעתים גם בהחזקת סמים שלא לצריכה עצמית ואף בעבירות של סחר בסמים או ייבוא סם בכמויות משמעותיות, הוטלו עונשי מאסר לריצוי בדרך של עבודות שירות. ראו למשל, </w:t>
      </w:r>
      <w:hyperlink r:id="rId31" w:history="1">
        <w:r w:rsidR="003B1976" w:rsidRPr="003B1976">
          <w:rPr>
            <w:color w:val="0000FF"/>
            <w:u w:val="single"/>
            <w:rtl/>
          </w:rPr>
          <w:t>ת"פ (מח' מרכז-לוד) 17410-08-13</w:t>
        </w:r>
      </w:hyperlink>
      <w:r>
        <w:rPr>
          <w:rFonts w:hint="cs"/>
          <w:color w:val="000000"/>
          <w:rtl/>
        </w:rPr>
        <w:t xml:space="preserve"> </w:t>
      </w:r>
      <w:r>
        <w:rPr>
          <w:rFonts w:hint="cs"/>
          <w:b/>
          <w:bCs/>
          <w:color w:val="000000"/>
          <w:rtl/>
        </w:rPr>
        <w:t xml:space="preserve">מדינת ישראל נ' תום אלקלעי </w:t>
      </w:r>
      <w:r>
        <w:rPr>
          <w:rFonts w:hint="cs"/>
          <w:color w:val="000000"/>
          <w:rtl/>
        </w:rPr>
        <w:t xml:space="preserve">(30.6.14) (כב' הנשיא אברהם טל); </w:t>
      </w:r>
      <w:hyperlink r:id="rId32" w:history="1">
        <w:r w:rsidR="003B1976" w:rsidRPr="003B1976">
          <w:rPr>
            <w:color w:val="0000FF"/>
            <w:u w:val="single"/>
            <w:rtl/>
          </w:rPr>
          <w:t>עפ"ג (מח' מרכז) 4697-06-09</w:t>
        </w:r>
      </w:hyperlink>
      <w:r>
        <w:rPr>
          <w:rFonts w:hint="cs"/>
          <w:color w:val="000000"/>
          <w:rtl/>
        </w:rPr>
        <w:t xml:space="preserve"> </w:t>
      </w:r>
      <w:r>
        <w:rPr>
          <w:rFonts w:hint="cs"/>
          <w:b/>
          <w:bCs/>
          <w:color w:val="000000"/>
          <w:rtl/>
        </w:rPr>
        <w:t xml:space="preserve">רגב נ' מדינת ישראל </w:t>
      </w:r>
      <w:r>
        <w:rPr>
          <w:rFonts w:hint="cs"/>
          <w:color w:val="000000"/>
          <w:rtl/>
        </w:rPr>
        <w:t xml:space="preserve">(12.1.10); </w:t>
      </w:r>
      <w:hyperlink r:id="rId33" w:history="1">
        <w:r w:rsidR="003B1976" w:rsidRPr="003B1976">
          <w:rPr>
            <w:color w:val="0000FF"/>
            <w:u w:val="single"/>
            <w:rtl/>
          </w:rPr>
          <w:t>ת"פ (אי') 30518-07-11</w:t>
        </w:r>
      </w:hyperlink>
      <w:r>
        <w:rPr>
          <w:rFonts w:hint="cs"/>
          <w:color w:val="000000"/>
          <w:rtl/>
        </w:rPr>
        <w:t xml:space="preserve"> </w:t>
      </w:r>
      <w:r>
        <w:rPr>
          <w:rFonts w:hint="cs"/>
          <w:b/>
          <w:bCs/>
          <w:color w:val="000000"/>
          <w:rtl/>
        </w:rPr>
        <w:t>מדינת ישראל נ' אברהם</w:t>
      </w:r>
      <w:r>
        <w:rPr>
          <w:rFonts w:hint="cs"/>
          <w:color w:val="000000"/>
          <w:rtl/>
        </w:rPr>
        <w:t xml:space="preserve"> (12.1.12); ת"פ (י-ם) 2620/09 </w:t>
      </w:r>
      <w:r>
        <w:rPr>
          <w:rFonts w:hint="cs"/>
          <w:b/>
          <w:bCs/>
          <w:color w:val="000000"/>
          <w:rtl/>
        </w:rPr>
        <w:t xml:space="preserve">מדינת ישראל נ' קריגר </w:t>
      </w:r>
      <w:r>
        <w:rPr>
          <w:rFonts w:hint="cs"/>
          <w:color w:val="000000"/>
          <w:rtl/>
        </w:rPr>
        <w:t xml:space="preserve">(28.11.10); ת"פ (י-ם) 3929/09 </w:t>
      </w:r>
      <w:r>
        <w:rPr>
          <w:rFonts w:hint="cs"/>
          <w:b/>
          <w:bCs/>
          <w:color w:val="000000"/>
          <w:rtl/>
        </w:rPr>
        <w:t xml:space="preserve">מדינת ישראל נ' הריס </w:t>
      </w:r>
      <w:r>
        <w:rPr>
          <w:rFonts w:hint="cs"/>
          <w:color w:val="000000"/>
          <w:rtl/>
        </w:rPr>
        <w:t xml:space="preserve">(14.7.10); ת"פ (ב"ש) 1072/09 </w:t>
      </w:r>
      <w:r>
        <w:rPr>
          <w:rFonts w:hint="cs"/>
          <w:b/>
          <w:bCs/>
          <w:color w:val="000000"/>
          <w:rtl/>
        </w:rPr>
        <w:t xml:space="preserve">מדינת ישראל נ' סבג </w:t>
      </w:r>
      <w:r>
        <w:rPr>
          <w:rFonts w:hint="cs"/>
          <w:color w:val="000000"/>
          <w:rtl/>
        </w:rPr>
        <w:t>(10.2.10).</w:t>
      </w:r>
    </w:p>
    <w:p w14:paraId="69EE0D24" w14:textId="77777777" w:rsidR="002D2709" w:rsidRDefault="002D2709" w:rsidP="002D2709">
      <w:pPr>
        <w:spacing w:line="360" w:lineRule="auto"/>
        <w:jc w:val="both"/>
        <w:rPr>
          <w:rFonts w:ascii="Arial" w:hAnsi="Arial"/>
          <w:b/>
          <w:bCs/>
        </w:rPr>
      </w:pPr>
    </w:p>
    <w:p w14:paraId="6C7B0999" w14:textId="77777777" w:rsidR="002D2709" w:rsidRDefault="002D2709" w:rsidP="002D2709">
      <w:pPr>
        <w:spacing w:line="360" w:lineRule="auto"/>
        <w:jc w:val="both"/>
        <w:rPr>
          <w:rFonts w:ascii="Arial" w:hAnsi="Arial"/>
          <w:b/>
          <w:bCs/>
          <w:rtl/>
        </w:rPr>
      </w:pPr>
      <w:r>
        <w:rPr>
          <w:rFonts w:ascii="Arial" w:hAnsi="Arial" w:hint="cs"/>
          <w:b/>
          <w:bCs/>
          <w:rtl/>
        </w:rPr>
        <w:t>נסיבות הקשורות בביצוע העבירה</w:t>
      </w:r>
    </w:p>
    <w:p w14:paraId="472C2586" w14:textId="77777777" w:rsidR="002D2709" w:rsidRDefault="002D2709" w:rsidP="002D2709">
      <w:pPr>
        <w:spacing w:line="360" w:lineRule="auto"/>
        <w:jc w:val="both"/>
        <w:rPr>
          <w:rFonts w:ascii="Arial" w:hAnsi="Arial"/>
          <w:b/>
          <w:bCs/>
          <w:rtl/>
        </w:rPr>
      </w:pPr>
    </w:p>
    <w:p w14:paraId="03A851BC" w14:textId="77777777" w:rsidR="002D2709" w:rsidRDefault="002D2709" w:rsidP="002D2709">
      <w:pPr>
        <w:spacing w:after="160" w:line="360" w:lineRule="auto"/>
        <w:jc w:val="both"/>
        <w:rPr>
          <w:rFonts w:ascii="Calibri" w:hAnsi="Calibri"/>
          <w:rtl/>
        </w:rPr>
      </w:pPr>
      <w:r>
        <w:rPr>
          <w:rFonts w:ascii="Calibri" w:hAnsi="Calibri" w:hint="cs"/>
          <w:rtl/>
        </w:rPr>
        <w:t xml:space="preserve">על פגיעתם הרעה  של הסמים הסינטטים ראה דברי כב' השופט ליפשיץ </w:t>
      </w:r>
      <w:r>
        <w:rPr>
          <w:rFonts w:ascii="Calibri" w:hAnsi="Calibri" w:hint="cs"/>
          <w:b/>
          <w:bCs/>
          <w:rtl/>
        </w:rPr>
        <w:t>ב</w:t>
      </w:r>
      <w:hyperlink r:id="rId34" w:history="1">
        <w:r w:rsidR="003B1976" w:rsidRPr="003B1976">
          <w:rPr>
            <w:rFonts w:ascii="Calibri" w:hAnsi="Calibri" w:hint="eastAsia"/>
            <w:b/>
            <w:bCs/>
            <w:color w:val="0000FF"/>
            <w:u w:val="single"/>
            <w:rtl/>
          </w:rPr>
          <w:t>ת</w:t>
        </w:r>
        <w:r w:rsidR="003B1976" w:rsidRPr="003B1976">
          <w:rPr>
            <w:rFonts w:ascii="Calibri" w:hAnsi="Calibri"/>
            <w:b/>
            <w:bCs/>
            <w:color w:val="0000FF"/>
            <w:u w:val="single"/>
            <w:rtl/>
          </w:rPr>
          <w:t>"</w:t>
        </w:r>
        <w:r w:rsidR="003B1976" w:rsidRPr="003B1976">
          <w:rPr>
            <w:rFonts w:ascii="Calibri" w:hAnsi="Calibri" w:hint="eastAsia"/>
            <w:b/>
            <w:bCs/>
            <w:color w:val="0000FF"/>
            <w:u w:val="single"/>
            <w:rtl/>
          </w:rPr>
          <w:t>פ</w:t>
        </w:r>
        <w:r w:rsidR="003B1976" w:rsidRPr="003B1976">
          <w:rPr>
            <w:rFonts w:ascii="Calibri" w:hAnsi="Calibri"/>
            <w:b/>
            <w:bCs/>
            <w:color w:val="0000FF"/>
            <w:u w:val="single"/>
            <w:rtl/>
          </w:rPr>
          <w:t xml:space="preserve"> 9572-01-15</w:t>
        </w:r>
      </w:hyperlink>
      <w:r>
        <w:rPr>
          <w:rFonts w:ascii="Calibri" w:hAnsi="Calibri" w:hint="cs"/>
          <w:rtl/>
        </w:rPr>
        <w:t xml:space="preserve"> </w:t>
      </w:r>
      <w:r>
        <w:rPr>
          <w:rFonts w:ascii="Calibri" w:hAnsi="Calibri" w:hint="cs"/>
          <w:b/>
          <w:bCs/>
          <w:rtl/>
        </w:rPr>
        <w:t>מ"י נ' ותד (עציר) ואח'</w:t>
      </w:r>
      <w:r>
        <w:rPr>
          <w:rFonts w:ascii="Calibri" w:hAnsi="Calibri" w:hint="cs"/>
          <w:rtl/>
        </w:rPr>
        <w:t xml:space="preserve"> ( 03 יוני 2015): </w:t>
      </w:r>
    </w:p>
    <w:p w14:paraId="6B545AC8" w14:textId="77777777" w:rsidR="002D2709" w:rsidRDefault="002D2709" w:rsidP="002D2709">
      <w:pPr>
        <w:spacing w:after="160" w:line="360" w:lineRule="auto"/>
        <w:ind w:left="1134"/>
        <w:jc w:val="both"/>
        <w:rPr>
          <w:rFonts w:ascii="Calibri" w:hAnsi="Calibri"/>
          <w:b/>
          <w:bCs/>
          <w:rtl/>
        </w:rPr>
      </w:pPr>
      <w:r>
        <w:rPr>
          <w:rFonts w:ascii="Calibri" w:hAnsi="Calibri" w:hint="cs"/>
          <w:b/>
          <w:bCs/>
          <w:rtl/>
        </w:rPr>
        <w:t>"גב' פופרנו הבהירה, כי התופעות המדווחות מצריכת הקנבינואידים הסינטטיים הינן חוסר שקט, שינוי תודעתי, הזיות, סחרחורות, התקפי חרדה, תופעות גופניות פיזיות שונות ועד איבוד יכולת התנועה והתקפים פסיכוטיים".</w:t>
      </w:r>
    </w:p>
    <w:p w14:paraId="1E2BA16C" w14:textId="77777777" w:rsidR="002D2709" w:rsidRDefault="002D2709" w:rsidP="002D2709">
      <w:pPr>
        <w:spacing w:after="160" w:line="360" w:lineRule="auto"/>
        <w:jc w:val="both"/>
        <w:rPr>
          <w:rFonts w:ascii="Calibri" w:hAnsi="Calibri"/>
          <w:b/>
          <w:bCs/>
          <w:rtl/>
        </w:rPr>
      </w:pPr>
    </w:p>
    <w:p w14:paraId="0ADC5BF8" w14:textId="77777777" w:rsidR="002D2709" w:rsidRDefault="002D2709" w:rsidP="002D2709">
      <w:pPr>
        <w:spacing w:after="160" w:line="360" w:lineRule="auto"/>
        <w:ind w:left="992"/>
        <w:jc w:val="both"/>
        <w:rPr>
          <w:rFonts w:ascii="Calibri" w:hAnsi="Calibri"/>
          <w:b/>
          <w:bCs/>
          <w:rtl/>
        </w:rPr>
      </w:pPr>
      <w:r>
        <w:rPr>
          <w:rFonts w:ascii="Calibri" w:hAnsi="Calibri" w:hint="cs"/>
          <w:b/>
          <w:bCs/>
          <w:rtl/>
        </w:rPr>
        <w:t>"השפעת הקנבינואידים הסינטטיים הינה קשה וחמורה מזו של צמח הקנביס. הפניתי לעיל להסברה המדעי של המומחית, אך הדברים ידועים היטב לכל העוסקים בתחום הפלילי. את השפעותיהם הקשות של הקנבינואידים הסינטטיים ניתן למצוא במקרים רבים המובאים לפתחו של בית המשפט – לא רק בהקשר הישיר של מי שמואשמים בעבירות סמים דווקא, אלא, ואולי בעיקר, בהקשר למקרים אחרים, כגון נאשמים שסוגיית התמכרותם ל"סמי פיצוציות" קשור, במישרין ובעקיפין לביצוע העבירות. סמים אלה מוזכרים תדירות בתסקירי שירות המבחן וכן בחוות דעת פסיכיאטריות.</w:t>
      </w:r>
    </w:p>
    <w:p w14:paraId="42C0E141" w14:textId="77777777" w:rsidR="002D2709" w:rsidRDefault="002D2709" w:rsidP="002D2709">
      <w:pPr>
        <w:spacing w:after="160" w:line="360" w:lineRule="auto"/>
        <w:ind w:left="992"/>
        <w:jc w:val="both"/>
        <w:rPr>
          <w:rFonts w:ascii="Calibri" w:hAnsi="Calibri"/>
          <w:b/>
          <w:bCs/>
          <w:rtl/>
        </w:rPr>
      </w:pPr>
      <w:r>
        <w:rPr>
          <w:rFonts w:ascii="Calibri" w:hAnsi="Calibri" w:hint="cs"/>
          <w:b/>
          <w:bCs/>
          <w:rtl/>
        </w:rPr>
        <w:t xml:space="preserve">לכן, לא מצאתי להתייחס לפסיקה שהגישו באי כוח הצדדים בהקשר לקנביס על צורותיו השונות. איני סבור כי רמת הענישה בנוגע לסמי הקנביס מתאימה והולמת את העבירות הנוגעות לקנבינואידים הסינטטיים". </w:t>
      </w:r>
    </w:p>
    <w:p w14:paraId="7C8E623C" w14:textId="77777777" w:rsidR="002D2709" w:rsidRDefault="002D2709" w:rsidP="002D2709">
      <w:pPr>
        <w:spacing w:after="160" w:line="360" w:lineRule="auto"/>
        <w:jc w:val="both"/>
        <w:rPr>
          <w:rFonts w:ascii="Calibri" w:hAnsi="Calibri"/>
          <w:b/>
          <w:bCs/>
          <w:rtl/>
        </w:rPr>
      </w:pPr>
    </w:p>
    <w:p w14:paraId="7D5BA003" w14:textId="77777777" w:rsidR="002D2709" w:rsidRDefault="002D2709" w:rsidP="002D2709">
      <w:pPr>
        <w:spacing w:after="160" w:line="360" w:lineRule="auto"/>
        <w:jc w:val="both"/>
        <w:rPr>
          <w:rFonts w:ascii="Calibri" w:hAnsi="Calibri"/>
          <w:rtl/>
        </w:rPr>
      </w:pPr>
      <w:r>
        <w:rPr>
          <w:rFonts w:ascii="Calibri" w:hAnsi="Calibri" w:hint="cs"/>
          <w:rtl/>
        </w:rPr>
        <w:t>בעניינינו, החזיק הנאשם את הסמים בחבילות בעלות משקל שונה זו מרעותה כאשר הם מוסתרים במקומות שונים בדירה. הנאשם לא סתר את החזקה כי כמות הסם, משקל כולל של ק"ג לערך נועדה שלא לצריכה עצמית. עם זאת רב הנסתר על הנגלה לפי שאין בעברו, חרף גילו, עבירות של החזקת סם שלא לצריכה עצמית או עבירות סחר. הקשיתי על ב"כ הנאשם מדוע הסם חולק לחבילות שונות ועל כך נעניתי כי במתכונת זו רכש הנאשם את הסמים. עיון בעובדות כתב האישום מעלה כי יש ממש בתשובה לפי שמשקל החבילות אינו זהה ואף שונה באופן משמעותי.</w:t>
      </w:r>
    </w:p>
    <w:p w14:paraId="3F169BFC" w14:textId="77777777" w:rsidR="002D2709" w:rsidRDefault="002D2709" w:rsidP="002D2709">
      <w:pPr>
        <w:spacing w:after="160" w:line="360" w:lineRule="auto"/>
        <w:jc w:val="both"/>
        <w:rPr>
          <w:rFonts w:ascii="Calibri" w:hAnsi="Calibri"/>
          <w:rtl/>
        </w:rPr>
      </w:pPr>
      <w:r>
        <w:rPr>
          <w:rFonts w:ascii="Calibri" w:hAnsi="Calibri" w:hint="cs"/>
          <w:rtl/>
        </w:rPr>
        <w:t>בפועל לא נגרם נזק משום שהסמים נתפסו על-ידי המשטרה.</w:t>
      </w:r>
    </w:p>
    <w:p w14:paraId="616AE6FD" w14:textId="77777777" w:rsidR="002D2709" w:rsidRDefault="002D2709" w:rsidP="002D2709">
      <w:pPr>
        <w:spacing w:after="160" w:line="360" w:lineRule="auto"/>
        <w:jc w:val="both"/>
        <w:rPr>
          <w:rFonts w:ascii="Calibri" w:hAnsi="Calibri"/>
          <w:rtl/>
        </w:rPr>
      </w:pPr>
      <w:r w:rsidRPr="00D66FB2">
        <w:rPr>
          <w:rFonts w:ascii="Calibri" w:hAnsi="Calibri" w:hint="cs"/>
          <w:b/>
          <w:bCs/>
          <w:rtl/>
        </w:rPr>
        <w:t>אשר לסיבות שהביאו את הנאשם לבצע את העבירה</w:t>
      </w:r>
      <w:r>
        <w:rPr>
          <w:rFonts w:ascii="Calibri" w:hAnsi="Calibri" w:hint="cs"/>
          <w:rtl/>
        </w:rPr>
        <w:t xml:space="preserve"> : מועד ביצוע העבירה הינו סוף חודש מרץ 2015, תקופה משברית ויוצאת דופן בחיי הנאשם.</w:t>
      </w:r>
    </w:p>
    <w:p w14:paraId="5D2C6CF2" w14:textId="77777777" w:rsidR="002D2709" w:rsidRDefault="002D2709" w:rsidP="002D2709">
      <w:pPr>
        <w:spacing w:after="160" w:line="360" w:lineRule="auto"/>
        <w:jc w:val="both"/>
        <w:rPr>
          <w:rFonts w:ascii="Calibri" w:hAnsi="Calibri"/>
          <w:rtl/>
        </w:rPr>
      </w:pPr>
      <w:r>
        <w:rPr>
          <w:rFonts w:ascii="Calibri" w:hAnsi="Calibri" w:hint="cs"/>
          <w:rtl/>
        </w:rPr>
        <w:t>הנאשם התמכר לסמים</w:t>
      </w:r>
      <w:r w:rsidRPr="00D66FB2">
        <w:rPr>
          <w:rFonts w:ascii="Calibri" w:hAnsi="Calibri" w:hint="cs"/>
          <w:rtl/>
        </w:rPr>
        <w:t xml:space="preserve"> בשל נסיבות קשות כבר בגיל צעיר</w:t>
      </w:r>
      <w:r>
        <w:rPr>
          <w:rFonts w:ascii="Calibri" w:hAnsi="Calibri" w:hint="cs"/>
          <w:rtl/>
        </w:rPr>
        <w:t xml:space="preserve">. אין מקום לפרט אותן מטעמים של צנעת הפרט. ראה דו"ח של עו"ס אסנת גיא. </w:t>
      </w:r>
      <w:r w:rsidRPr="009F6EA2">
        <w:rPr>
          <w:rFonts w:ascii="Calibri" w:hAnsi="Calibri" w:hint="cs"/>
          <w:b/>
          <w:bCs/>
          <w:rtl/>
        </w:rPr>
        <w:t xml:space="preserve">בתו חלתה בלוקמיה בשנים 2011-2015 </w:t>
      </w:r>
      <w:r>
        <w:rPr>
          <w:rFonts w:ascii="Calibri" w:hAnsi="Calibri" w:hint="cs"/>
          <w:rtl/>
        </w:rPr>
        <w:t xml:space="preserve">והוא לבדו נשא בעול הטיפול בה, אך במקביל החל משתמש בסמים סינטטיים. עוד מגלה הדו"ח כי הנאשם נחשף לפיגוע בשנת 2006 וסובל עקב כך מ </w:t>
      </w:r>
      <w:r>
        <w:rPr>
          <w:rFonts w:ascii="Calibri" w:hAnsi="Calibri"/>
        </w:rPr>
        <w:t>PTSD</w:t>
      </w:r>
      <w:r>
        <w:rPr>
          <w:rFonts w:ascii="Calibri" w:hAnsi="Calibri" w:hint="cs"/>
          <w:rtl/>
        </w:rPr>
        <w:t>. לאלה יש להוסיף ניסיונות אובדניים ומחשבות אובדניות בגינם טופל  בבית חולים לחולי נפש. הטיפול האחרון היה ב 1.3.15 כחודש ימים לפני מועד ביצוע העבירה.</w:t>
      </w:r>
    </w:p>
    <w:p w14:paraId="0C5C757B" w14:textId="77777777" w:rsidR="002D2709" w:rsidRDefault="002D2709" w:rsidP="002D2709">
      <w:pPr>
        <w:spacing w:after="160" w:line="360" w:lineRule="auto"/>
        <w:jc w:val="both"/>
        <w:rPr>
          <w:rFonts w:ascii="Calibri" w:hAnsi="Calibri"/>
          <w:rtl/>
        </w:rPr>
      </w:pPr>
      <w:r>
        <w:rPr>
          <w:rFonts w:ascii="Calibri" w:hAnsi="Calibri" w:hint="cs"/>
          <w:rtl/>
        </w:rPr>
        <w:t>יש אפוא לקבוע מתחם ענישה בין 6 ח' ל 18 ח' מאסר.</w:t>
      </w:r>
    </w:p>
    <w:p w14:paraId="5213A2EF" w14:textId="77777777" w:rsidR="002D2709" w:rsidRDefault="002D2709" w:rsidP="002D2709">
      <w:pPr>
        <w:spacing w:after="160" w:line="360" w:lineRule="auto"/>
        <w:jc w:val="both"/>
        <w:rPr>
          <w:rFonts w:ascii="Calibri" w:hAnsi="Calibri"/>
          <w:b/>
          <w:bCs/>
          <w:rtl/>
        </w:rPr>
      </w:pPr>
    </w:p>
    <w:p w14:paraId="565E8DF4" w14:textId="77777777" w:rsidR="002D2709" w:rsidRDefault="002D2709" w:rsidP="002D2709">
      <w:pPr>
        <w:spacing w:after="160" w:line="360" w:lineRule="auto"/>
        <w:jc w:val="both"/>
        <w:rPr>
          <w:rFonts w:ascii="Calibri" w:hAnsi="Calibri"/>
          <w:b/>
          <w:bCs/>
          <w:rtl/>
        </w:rPr>
      </w:pPr>
      <w:r>
        <w:rPr>
          <w:rFonts w:ascii="Calibri" w:hAnsi="Calibri" w:hint="cs"/>
          <w:b/>
          <w:bCs/>
          <w:rtl/>
        </w:rPr>
        <w:t>נסיבות שאינן קשורות בביצוע העבירה</w:t>
      </w:r>
    </w:p>
    <w:p w14:paraId="0478AF66" w14:textId="77777777" w:rsidR="002D2709" w:rsidRDefault="002D2709" w:rsidP="002D2709">
      <w:pPr>
        <w:spacing w:after="160" w:line="360" w:lineRule="auto"/>
        <w:jc w:val="both"/>
        <w:rPr>
          <w:rFonts w:ascii="Calibri" w:hAnsi="Calibri"/>
          <w:rtl/>
        </w:rPr>
      </w:pPr>
      <w:r>
        <w:rPr>
          <w:rFonts w:ascii="Calibri" w:hAnsi="Calibri" w:hint="cs"/>
          <w:rtl/>
        </w:rPr>
        <w:t>הנאשם ידוע תחלואים כרוניים שונים אשר מפאת צנעת הפרט אין מקום לפרטם. ראה חוות דעת רפואית מיום 15.3.18. כאבים רבים הם חלק מתסמיני המחלות.</w:t>
      </w:r>
    </w:p>
    <w:p w14:paraId="24ED82CB" w14:textId="77777777" w:rsidR="002D2709" w:rsidRDefault="002D2709" w:rsidP="002D2709">
      <w:pPr>
        <w:spacing w:after="160" w:line="360" w:lineRule="auto"/>
        <w:jc w:val="both"/>
        <w:rPr>
          <w:rFonts w:ascii="Calibri" w:hAnsi="Calibri"/>
          <w:rtl/>
        </w:rPr>
      </w:pPr>
      <w:r>
        <w:rPr>
          <w:rFonts w:ascii="Calibri" w:hAnsi="Calibri" w:hint="cs"/>
          <w:rtl/>
        </w:rPr>
        <w:t>בגין מחלותיו ומכאוביו קיבל, לאחר מועד ביצוע העבירה, רישיון להחזקה ושימוש של סם מסוכן מסוג קנאביס.</w:t>
      </w:r>
    </w:p>
    <w:p w14:paraId="46BF7C10" w14:textId="77777777" w:rsidR="002D2709" w:rsidRDefault="002D2709" w:rsidP="002D2709">
      <w:pPr>
        <w:spacing w:after="160" w:line="360" w:lineRule="auto"/>
        <w:jc w:val="both"/>
        <w:rPr>
          <w:rFonts w:ascii="Calibri" w:hAnsi="Calibri"/>
          <w:rtl/>
        </w:rPr>
      </w:pPr>
      <w:r>
        <w:rPr>
          <w:rFonts w:ascii="Calibri" w:hAnsi="Calibri" w:hint="cs"/>
          <w:rtl/>
        </w:rPr>
        <w:t>עיון בגיליון ההרשעות הקודמות מעלה כי עבירות הסמים בהן הורשע בעבר היו בגין החזקה לצריכה עצמית בלבד.</w:t>
      </w:r>
    </w:p>
    <w:p w14:paraId="3B07553E" w14:textId="77777777" w:rsidR="002D2709" w:rsidRDefault="002D2709" w:rsidP="002D2709">
      <w:pPr>
        <w:spacing w:after="160" w:line="360" w:lineRule="auto"/>
        <w:jc w:val="both"/>
        <w:rPr>
          <w:rFonts w:ascii="Calibri" w:hAnsi="Calibri"/>
          <w:rtl/>
        </w:rPr>
      </w:pPr>
      <w:r>
        <w:rPr>
          <w:rFonts w:ascii="Calibri" w:hAnsi="Calibri" w:hint="cs"/>
          <w:rtl/>
        </w:rPr>
        <w:t>הנאשם בן 61 נטל אחריות והודה במיוחס לו.</w:t>
      </w:r>
    </w:p>
    <w:p w14:paraId="235E06CA" w14:textId="77777777" w:rsidR="002D2709" w:rsidRDefault="002D2709" w:rsidP="002D2709">
      <w:pPr>
        <w:spacing w:after="160" w:line="360" w:lineRule="auto"/>
        <w:jc w:val="both"/>
        <w:rPr>
          <w:rFonts w:ascii="Calibri" w:hAnsi="Calibri"/>
          <w:rtl/>
        </w:rPr>
      </w:pPr>
      <w:r>
        <w:rPr>
          <w:rFonts w:ascii="Calibri" w:hAnsi="Calibri" w:hint="cs"/>
          <w:rtl/>
        </w:rPr>
        <w:t xml:space="preserve"> כתב האישום הוגש בחלוף שנתיים מאז ביצוע העבירה.</w:t>
      </w:r>
    </w:p>
    <w:p w14:paraId="69372FFF" w14:textId="77777777" w:rsidR="002D2709" w:rsidRDefault="002D2709" w:rsidP="002D2709">
      <w:pPr>
        <w:spacing w:after="160" w:line="360" w:lineRule="auto"/>
        <w:jc w:val="both"/>
        <w:rPr>
          <w:rFonts w:ascii="Calibri" w:hAnsi="Calibri"/>
          <w:rtl/>
        </w:rPr>
      </w:pPr>
      <w:r>
        <w:rPr>
          <w:rFonts w:ascii="Calibri" w:hAnsi="Calibri" w:hint="cs"/>
          <w:rtl/>
        </w:rPr>
        <w:t xml:space="preserve">ברגיל, הייתי שוקל לגזור על הנאשם מאסר בדרך של עבודות שירות אולם ראיתי שלא לעשות כן בשל מצבו הבריאותי הרעוע. ברי, כי נוכח שלל מחלותיו, הנאשם לא יסכון לעבודות שירות. ראה לעניין זה </w:t>
      </w:r>
      <w:hyperlink r:id="rId35" w:history="1">
        <w:r w:rsidR="003B1976" w:rsidRPr="003B1976">
          <w:rPr>
            <w:rFonts w:ascii="Calibri" w:hAnsi="Calibri" w:hint="eastAsia"/>
            <w:color w:val="0000FF"/>
            <w:u w:val="single"/>
            <w:rtl/>
          </w:rPr>
          <w:t>ע</w:t>
        </w:r>
        <w:r w:rsidR="003B1976" w:rsidRPr="003B1976">
          <w:rPr>
            <w:rFonts w:ascii="Calibri" w:hAnsi="Calibri"/>
            <w:color w:val="0000FF"/>
            <w:u w:val="single"/>
            <w:rtl/>
          </w:rPr>
          <w:t>"</w:t>
        </w:r>
        <w:r w:rsidR="003B1976" w:rsidRPr="003B1976">
          <w:rPr>
            <w:rFonts w:ascii="Calibri" w:hAnsi="Calibri" w:hint="eastAsia"/>
            <w:color w:val="0000FF"/>
            <w:u w:val="single"/>
            <w:rtl/>
          </w:rPr>
          <w:t>פ</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מחוזי</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ת</w:t>
        </w:r>
        <w:r w:rsidR="003B1976" w:rsidRPr="003B1976">
          <w:rPr>
            <w:rFonts w:ascii="Calibri" w:hAnsi="Calibri"/>
            <w:color w:val="0000FF"/>
            <w:u w:val="single"/>
            <w:rtl/>
          </w:rPr>
          <w:t>"</w:t>
        </w:r>
        <w:r w:rsidR="003B1976" w:rsidRPr="003B1976">
          <w:rPr>
            <w:rFonts w:ascii="Calibri" w:hAnsi="Calibri" w:hint="eastAsia"/>
            <w:color w:val="0000FF"/>
            <w:u w:val="single"/>
            <w:rtl/>
          </w:rPr>
          <w:t>א</w:t>
        </w:r>
        <w:r w:rsidR="003B1976" w:rsidRPr="003B1976">
          <w:rPr>
            <w:rFonts w:ascii="Calibri" w:hAnsi="Calibri"/>
            <w:color w:val="0000FF"/>
            <w:u w:val="single"/>
            <w:rtl/>
          </w:rPr>
          <w:t>) 4665-07-17</w:t>
        </w:r>
      </w:hyperlink>
      <w:r>
        <w:rPr>
          <w:rFonts w:ascii="Calibri" w:hAnsi="Calibri" w:hint="cs"/>
          <w:b/>
          <w:bCs/>
          <w:rtl/>
        </w:rPr>
        <w:t xml:space="preserve"> קלטשי נ' מ"י </w:t>
      </w:r>
      <w:r>
        <w:rPr>
          <w:rFonts w:ascii="Calibri" w:hAnsi="Calibri" w:hint="cs"/>
          <w:rtl/>
        </w:rPr>
        <w:t>(11.12.17</w:t>
      </w:r>
      <w:r>
        <w:rPr>
          <w:rFonts w:ascii="Calibri" w:hAnsi="Calibri" w:hint="cs"/>
          <w:b/>
          <w:bCs/>
          <w:rtl/>
        </w:rPr>
        <w:t>).</w:t>
      </w:r>
    </w:p>
    <w:p w14:paraId="053947D2" w14:textId="77777777" w:rsidR="002D2709" w:rsidRDefault="002D2709" w:rsidP="002D2709">
      <w:pPr>
        <w:spacing w:after="160" w:line="360" w:lineRule="auto"/>
        <w:jc w:val="both"/>
        <w:rPr>
          <w:rFonts w:ascii="Calibri" w:hAnsi="Calibri"/>
          <w:rtl/>
        </w:rPr>
      </w:pPr>
      <w:r>
        <w:rPr>
          <w:rFonts w:ascii="Calibri" w:hAnsi="Calibri" w:hint="cs"/>
          <w:rtl/>
        </w:rPr>
        <w:t xml:space="preserve">אני סבור כי עניינו של הנאשם נכנס תחת כנפיו של סעיף </w:t>
      </w:r>
      <w:hyperlink r:id="rId36" w:history="1">
        <w:r w:rsidR="00626ACB" w:rsidRPr="00626ACB">
          <w:rPr>
            <w:rFonts w:ascii="Calibri" w:hAnsi="Calibri"/>
            <w:color w:val="0000FF"/>
            <w:u w:val="single"/>
            <w:rtl/>
          </w:rPr>
          <w:t>40</w:t>
        </w:r>
        <w:r w:rsidR="00626ACB" w:rsidRPr="00626ACB">
          <w:rPr>
            <w:rFonts w:ascii="Calibri" w:hAnsi="Calibri" w:hint="eastAsia"/>
            <w:color w:val="0000FF"/>
            <w:u w:val="single"/>
            <w:rtl/>
          </w:rPr>
          <w:t>ד</w:t>
        </w:r>
        <w:r w:rsidR="00626ACB" w:rsidRPr="00626ACB">
          <w:rPr>
            <w:rFonts w:ascii="Calibri" w:hAnsi="Calibri"/>
            <w:color w:val="0000FF"/>
            <w:u w:val="single"/>
            <w:rtl/>
          </w:rPr>
          <w:t xml:space="preserve"> (</w:t>
        </w:r>
        <w:r w:rsidR="00626ACB" w:rsidRPr="00626ACB">
          <w:rPr>
            <w:rFonts w:ascii="Calibri" w:hAnsi="Calibri" w:hint="eastAsia"/>
            <w:color w:val="0000FF"/>
            <w:u w:val="single"/>
            <w:rtl/>
          </w:rPr>
          <w:t>א</w:t>
        </w:r>
        <w:r w:rsidR="00626ACB" w:rsidRPr="00626ACB">
          <w:rPr>
            <w:rFonts w:ascii="Calibri" w:hAnsi="Calibri"/>
            <w:color w:val="0000FF"/>
            <w:u w:val="single"/>
            <w:rtl/>
          </w:rPr>
          <w:t>)</w:t>
        </w:r>
      </w:hyperlink>
      <w:r>
        <w:rPr>
          <w:rFonts w:ascii="Calibri" w:hAnsi="Calibri" w:hint="cs"/>
          <w:rtl/>
        </w:rPr>
        <w:t xml:space="preserve"> לחוק המתיר לבית המשפט לחרוג ממתחם העונש ההולם, לקולא ( שיקום וסיכוי של ממש לשיקום):</w:t>
      </w:r>
    </w:p>
    <w:p w14:paraId="0184F246" w14:textId="77777777" w:rsidR="002D2709" w:rsidRDefault="002D2709" w:rsidP="002D2709">
      <w:pPr>
        <w:spacing w:after="160" w:line="360" w:lineRule="auto"/>
        <w:jc w:val="both"/>
        <w:rPr>
          <w:rFonts w:ascii="Calibri" w:hAnsi="Calibri"/>
          <w:rtl/>
        </w:rPr>
      </w:pPr>
      <w:r>
        <w:rPr>
          <w:rFonts w:ascii="Calibri" w:hAnsi="Calibri" w:hint="cs"/>
          <w:rtl/>
        </w:rPr>
        <w:t>1. לאחר מועד ביצוע העבירה קיבל הנאשם רישיון לשימוש בקנאביס רפואי להפגת כאביו.</w:t>
      </w:r>
    </w:p>
    <w:p w14:paraId="644F16A2" w14:textId="77777777" w:rsidR="002D2709" w:rsidRDefault="002D2709" w:rsidP="002D2709">
      <w:pPr>
        <w:spacing w:after="160" w:line="360" w:lineRule="auto"/>
        <w:jc w:val="both"/>
        <w:rPr>
          <w:rFonts w:ascii="Calibri" w:hAnsi="Calibri"/>
          <w:b/>
          <w:bCs/>
          <w:rtl/>
        </w:rPr>
      </w:pPr>
      <w:r>
        <w:rPr>
          <w:rFonts w:ascii="Calibri" w:hAnsi="Calibri" w:hint="cs"/>
          <w:rtl/>
        </w:rPr>
        <w:t>2.מצבו הרפואי המורכב. ראה לעניין זה חוות הדעת של כב' הש' פוגלמן ב</w:t>
      </w:r>
      <w:hyperlink r:id="rId37" w:history="1">
        <w:r w:rsidR="003B1976" w:rsidRPr="003B1976">
          <w:rPr>
            <w:rFonts w:ascii="Calibri" w:hAnsi="Calibri" w:hint="eastAsia"/>
            <w:color w:val="0000FF"/>
            <w:u w:val="single"/>
            <w:rtl/>
          </w:rPr>
          <w:t>ע</w:t>
        </w:r>
        <w:r w:rsidR="003B1976" w:rsidRPr="003B1976">
          <w:rPr>
            <w:rFonts w:ascii="Calibri" w:hAnsi="Calibri"/>
            <w:color w:val="0000FF"/>
            <w:u w:val="single"/>
            <w:rtl/>
          </w:rPr>
          <w:t>"</w:t>
        </w:r>
        <w:r w:rsidR="003B1976" w:rsidRPr="003B1976">
          <w:rPr>
            <w:rFonts w:ascii="Calibri" w:hAnsi="Calibri" w:hint="eastAsia"/>
            <w:color w:val="0000FF"/>
            <w:u w:val="single"/>
            <w:rtl/>
          </w:rPr>
          <w:t>פ</w:t>
        </w:r>
        <w:r w:rsidR="003B1976" w:rsidRPr="003B1976">
          <w:rPr>
            <w:rFonts w:ascii="Calibri" w:hAnsi="Calibri"/>
            <w:color w:val="0000FF"/>
            <w:u w:val="single"/>
            <w:rtl/>
          </w:rPr>
          <w:t xml:space="preserve"> 4456/14</w:t>
        </w:r>
      </w:hyperlink>
      <w:r>
        <w:rPr>
          <w:rFonts w:ascii="Calibri" w:hAnsi="Calibri" w:hint="cs"/>
          <w:b/>
          <w:bCs/>
          <w:rtl/>
        </w:rPr>
        <w:t xml:space="preserve"> לופליאנסקי נ' מ"י</w:t>
      </w:r>
      <w:r>
        <w:rPr>
          <w:rFonts w:ascii="Calibri" w:hAnsi="Calibri" w:hint="cs"/>
          <w:rtl/>
        </w:rPr>
        <w:t xml:space="preserve"> ( 29.12.15)</w:t>
      </w:r>
      <w:r>
        <w:rPr>
          <w:rFonts w:ascii="Calibri" w:hAnsi="Calibri" w:hint="cs"/>
          <w:b/>
          <w:bCs/>
          <w:rtl/>
        </w:rPr>
        <w:t>:</w:t>
      </w:r>
    </w:p>
    <w:p w14:paraId="49242F53" w14:textId="77777777" w:rsidR="002D2709" w:rsidRDefault="002D2709" w:rsidP="002D2709">
      <w:pPr>
        <w:spacing w:after="160" w:line="360" w:lineRule="auto"/>
        <w:jc w:val="both"/>
        <w:rPr>
          <w:rFonts w:ascii="Calibri" w:hAnsi="Calibri"/>
          <w:rtl/>
        </w:rPr>
      </w:pPr>
      <w:r>
        <w:rPr>
          <w:rFonts w:ascii="Calibri" w:hAnsi="Calibri" w:hint="cs"/>
          <w:rtl/>
        </w:rPr>
        <w:t>פסקה 218 :</w:t>
      </w:r>
    </w:p>
    <w:p w14:paraId="0C386CBB" w14:textId="77777777" w:rsidR="002D2709" w:rsidRDefault="002D2709" w:rsidP="002D2709">
      <w:pPr>
        <w:spacing w:after="160" w:line="360" w:lineRule="auto"/>
        <w:ind w:left="1134"/>
        <w:jc w:val="both"/>
        <w:rPr>
          <w:rFonts w:ascii="Calibri" w:hAnsi="Calibri"/>
          <w:b/>
          <w:bCs/>
          <w:rtl/>
        </w:rPr>
      </w:pPr>
      <w:r>
        <w:rPr>
          <w:rFonts w:ascii="Calibri" w:hAnsi="Calibri" w:hint="cs"/>
          <w:b/>
          <w:bCs/>
          <w:rtl/>
        </w:rPr>
        <w:t xml:space="preserve">"כך ראוי שנעשה, במקרים חריגים, גם לגבי חריגה לקולה ממתחם העונש ההולם במצבים שאינם נופלים לחריג השיקום. להשקפתי, בסוג כזה של מקרים לא ניתן להלום מצב שלפיו ייכפה על בית המשפט לגזור עונש בלתי מידתי. עם זאת, יודגש ויודגש היטב: פתח זה שאנו פותחים כאן לטובת חריגה ממתחם העונש ההולם – פתח צר הוא. פתח זה ראוי לו להיות מוסדר בחקיקה ראשית (ראו גם גזל אייל, בעמ' 29), אך בהעדר הסדר כאמור, אין מנוס מהתווייתו בדרך פסיקתית כנגזרת של הוראות </w:t>
      </w:r>
      <w:hyperlink r:id="rId38" w:history="1">
        <w:r w:rsidR="003B1976" w:rsidRPr="003B1976">
          <w:rPr>
            <w:rFonts w:ascii="Calibri" w:hAnsi="Calibri" w:hint="eastAsia"/>
            <w:b/>
            <w:bCs/>
            <w:color w:val="0000FF"/>
            <w:u w:val="single"/>
            <w:rtl/>
          </w:rPr>
          <w:t>חוק</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יסוד</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כבוד</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האדם</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וחירותו</w:t>
        </w:r>
      </w:hyperlink>
      <w:r>
        <w:rPr>
          <w:rFonts w:ascii="Calibri" w:hAnsi="Calibri" w:hint="cs"/>
          <w:b/>
          <w:bCs/>
          <w:rtl/>
        </w:rPr>
        <w:t>, המחייבות כמובן גם את הרשות השופטת. במסגרת חובה זאת, על בתי המשפט לפתח הלכות, לפרש דברים חקיקה ולתת סעדים שיתנו ביטוי לזכות האדם החוקתית. עמד על כך ברק:</w:t>
      </w:r>
    </w:p>
    <w:p w14:paraId="6BAFF2C9" w14:textId="77777777" w:rsidR="002D2709" w:rsidRDefault="002D2709" w:rsidP="002D2709">
      <w:pPr>
        <w:spacing w:after="160" w:line="360" w:lineRule="auto"/>
        <w:ind w:left="1134"/>
        <w:jc w:val="both"/>
        <w:rPr>
          <w:rFonts w:ascii="Calibri" w:hAnsi="Calibri"/>
          <w:b/>
          <w:bCs/>
        </w:rPr>
      </w:pPr>
      <w:r>
        <w:rPr>
          <w:rFonts w:ascii="Calibri" w:hAnsi="Calibri" w:hint="cs"/>
          <w:b/>
          <w:bCs/>
          <w:rtl/>
        </w:rPr>
        <w:t xml:space="preserve">"[...] בית-המשפט הוא זרוע של המדינה. כאשר בית-המשפט מדבר, המדינה מדברת, וכאשר בית-המשפט פועל, המדינה פועלת. הרשות השופטת היא רשות שלטונית, וזכויות האדם צריכות לקבל הגנה גם מפניה. בשיטת משפט שבה חקיקה של הרשות המחוקקת מוגבלת בהיקפה, וחייבת לפעול במסגרת פסקת הגבלה – חקוקה או הלכתית – אין כל טעם בשחרור המשפט המקובל, פרי היצירה של הרשות השופטת, מכל הגבלה" (אהרן </w:t>
      </w:r>
      <w:hyperlink r:id="rId39" w:history="1">
        <w:r w:rsidR="003B1976" w:rsidRPr="003B1976">
          <w:rPr>
            <w:rFonts w:ascii="Calibri" w:hAnsi="Calibri" w:hint="eastAsia"/>
            <w:b/>
            <w:bCs/>
            <w:color w:val="0000FF"/>
            <w:u w:val="single"/>
            <w:rtl/>
          </w:rPr>
          <w:t>ברק</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פרשנות</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במשפט</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כרך</w:t>
        </w:r>
        <w:r w:rsidR="003B1976" w:rsidRPr="003B1976">
          <w:rPr>
            <w:rFonts w:ascii="Calibri" w:hAnsi="Calibri"/>
            <w:b/>
            <w:bCs/>
            <w:color w:val="0000FF"/>
            <w:u w:val="single"/>
            <w:rtl/>
          </w:rPr>
          <w:t xml:space="preserve"> </w:t>
        </w:r>
        <w:r w:rsidR="003B1976" w:rsidRPr="003B1976">
          <w:rPr>
            <w:rFonts w:ascii="Calibri" w:hAnsi="Calibri" w:hint="eastAsia"/>
            <w:b/>
            <w:bCs/>
            <w:color w:val="0000FF"/>
            <w:u w:val="single"/>
            <w:rtl/>
          </w:rPr>
          <w:t>ג</w:t>
        </w:r>
      </w:hyperlink>
      <w:r>
        <w:rPr>
          <w:rFonts w:ascii="Calibri" w:hAnsi="Calibri" w:hint="cs"/>
          <w:b/>
          <w:bCs/>
          <w:rtl/>
        </w:rPr>
        <w:t xml:space="preserve"> – פרשנות חוקתית 663 (1994). ראו גם שם, עמ' 455-454)). </w:t>
      </w:r>
    </w:p>
    <w:p w14:paraId="5801F357" w14:textId="77777777" w:rsidR="002D2709" w:rsidRDefault="002D2709" w:rsidP="002D2709">
      <w:pPr>
        <w:spacing w:after="160" w:line="360" w:lineRule="auto"/>
        <w:jc w:val="both"/>
        <w:rPr>
          <w:rFonts w:ascii="Calibri" w:hAnsi="Calibri"/>
          <w:rtl/>
        </w:rPr>
      </w:pPr>
      <w:r>
        <w:rPr>
          <w:rFonts w:ascii="Calibri" w:hAnsi="Calibri" w:hint="cs"/>
          <w:rtl/>
        </w:rPr>
        <w:t xml:space="preserve">דברים אלה יפים ככלל, ויפים קל חומר בבואו של בית המשפט לגזור עונשו של אדם שהורשע בפלילים". </w:t>
      </w:r>
    </w:p>
    <w:p w14:paraId="5DE14737" w14:textId="77777777" w:rsidR="002D2709" w:rsidRDefault="002D2709" w:rsidP="002D2709">
      <w:pPr>
        <w:spacing w:after="160" w:line="360" w:lineRule="auto"/>
        <w:jc w:val="both"/>
        <w:rPr>
          <w:rFonts w:ascii="Calibri" w:hAnsi="Calibri"/>
          <w:rtl/>
        </w:rPr>
      </w:pPr>
      <w:r>
        <w:rPr>
          <w:rFonts w:ascii="Calibri" w:hAnsi="Calibri" w:hint="cs"/>
          <w:rtl/>
        </w:rPr>
        <w:t>פסקאות 222-221 :</w:t>
      </w:r>
    </w:p>
    <w:p w14:paraId="2675F76D" w14:textId="77777777" w:rsidR="002D2709" w:rsidRDefault="002D2709" w:rsidP="002D2709">
      <w:pPr>
        <w:spacing w:after="160" w:line="360" w:lineRule="auto"/>
        <w:ind w:left="1275"/>
        <w:jc w:val="both"/>
        <w:rPr>
          <w:rFonts w:ascii="Calibri" w:hAnsi="Calibri"/>
          <w:b/>
          <w:bCs/>
          <w:rtl/>
        </w:rPr>
      </w:pPr>
      <w:r>
        <w:rPr>
          <w:rFonts w:ascii="Calibri" w:hAnsi="Calibri" w:hint="cs"/>
          <w:b/>
          <w:bCs/>
          <w:rtl/>
        </w:rPr>
        <w:t>221. "בבוא בית המשפט לשקול חריגה מטעמי צדק ממתחם העונש ההולם, שומה עליו לאזן בין טעמי הצדק המצדיקים חריגה מן המתחם לבין חומרת המעשים שבהם הורשע הנאשם. בקטגוריה שבה עסקינן יש לבחון אם עונש של מאסר בפועל עלול לסכן את חייו של מי שהורשע בדין או לקצר בצורה ניכרת את תוחלת חייו, ולהביא מנגד, כאמור, את חומרת המעשים שבהם הורשע. תוצאת איזון זה עשויה להיות שליחתו של הנאשם לעונש מאסר בפועל הנמוך מתחתית מתחם הענישה שנקבע; או הימנעות מהשתת מאסר בפועל, גם מקום שבו "רצפת" מתחם העונש ההולם כוללת עונש מאסר בפועל, הכל לפי נסיבות המקרה.</w:t>
      </w:r>
    </w:p>
    <w:p w14:paraId="16A1E066" w14:textId="77777777" w:rsidR="002D2709" w:rsidRDefault="002D2709" w:rsidP="002D2709">
      <w:pPr>
        <w:spacing w:after="160" w:line="360" w:lineRule="auto"/>
        <w:ind w:left="1275"/>
        <w:jc w:val="both"/>
        <w:rPr>
          <w:rFonts w:ascii="Calibri" w:hAnsi="Calibri"/>
          <w:b/>
          <w:bCs/>
          <w:rtl/>
        </w:rPr>
      </w:pPr>
      <w:r>
        <w:rPr>
          <w:rFonts w:ascii="Calibri" w:hAnsi="Calibri" w:hint="cs"/>
          <w:b/>
          <w:bCs/>
          <w:rtl/>
        </w:rPr>
        <w:t xml:space="preserve">222. מכאן אתה למד כי גם נאשם החולה במחלה קשה, או כזה שהמאסר יסב לו סבל רב וייחודי, עלול להישלח לשאת בעונש מאסר בפועל, מאחורי סורג ובריח. הדברים נכונים גם כאשר עסקינן במי שמצבו הבריאותי רעוע. כבר נפסק כי "[...] מצב בריאותי קשה – איננו צריך בהכרח להקנות לעבריין פטור מעונש מאסר בפועל בגין מעשיו הרעים, ככל שעונש זה מוצדק לגביו לאחר הרשעתו [...]" (עניין פלוני, פסקה 14). כאשר עסקינן במצב רפואי, ככלל, הנחת המוצא היא כי גורמי הרפואה בשירות בתי הסוהר ערוכים לטפל באסירים במצבים רפואיים שונים, כולל כאלה שאינם פשוטים כלל ועיקר. את מצבו הרפואי של מי שהורשע בדין יש לאזן עם שיקולים רלוונטיים אחרים, ובכלל אלה הסיכון שנשקף לציבור ממנו. אין אפוא בדברינו אלה משום קביעת כלל שלפיו טענה לקיצור תוחלת חיים נושאת בצידה, מניה וביה, חסינות מפני עונש מאסר בפועל". </w:t>
      </w:r>
    </w:p>
    <w:p w14:paraId="5B2A6DB0" w14:textId="77777777" w:rsidR="002D2709" w:rsidRDefault="002D2709" w:rsidP="002D2709">
      <w:pPr>
        <w:spacing w:after="160" w:line="360" w:lineRule="auto"/>
        <w:jc w:val="both"/>
        <w:rPr>
          <w:rFonts w:ascii="Calibri" w:hAnsi="Calibri"/>
          <w:rtl/>
        </w:rPr>
      </w:pPr>
      <w:r>
        <w:rPr>
          <w:rFonts w:ascii="Calibri" w:hAnsi="Calibri" w:hint="cs"/>
          <w:rtl/>
        </w:rPr>
        <w:t xml:space="preserve">3. בהליך </w:t>
      </w:r>
      <w:hyperlink r:id="rId40" w:history="1">
        <w:r w:rsidR="003B1976" w:rsidRPr="003B1976">
          <w:rPr>
            <w:rFonts w:ascii="Calibri" w:hAnsi="Calibri" w:hint="eastAsia"/>
            <w:color w:val="0000FF"/>
            <w:u w:val="single"/>
            <w:rtl/>
          </w:rPr>
          <w:t>פש</w:t>
        </w:r>
        <w:r w:rsidR="003B1976" w:rsidRPr="003B1976">
          <w:rPr>
            <w:rFonts w:ascii="Calibri" w:hAnsi="Calibri"/>
            <w:color w:val="0000FF"/>
            <w:u w:val="single"/>
            <w:rtl/>
          </w:rPr>
          <w:t>"</w:t>
        </w:r>
        <w:r w:rsidR="003B1976" w:rsidRPr="003B1976">
          <w:rPr>
            <w:rFonts w:ascii="Calibri" w:hAnsi="Calibri" w:hint="eastAsia"/>
            <w:color w:val="0000FF"/>
            <w:u w:val="single"/>
            <w:rtl/>
          </w:rPr>
          <w:t>ר</w:t>
        </w:r>
        <w:r w:rsidR="003B1976" w:rsidRPr="003B1976">
          <w:rPr>
            <w:rFonts w:ascii="Calibri" w:hAnsi="Calibri"/>
            <w:color w:val="0000FF"/>
            <w:u w:val="single"/>
            <w:rtl/>
          </w:rPr>
          <w:t xml:space="preserve"> 22879-07-11</w:t>
        </w:r>
      </w:hyperlink>
      <w:r>
        <w:rPr>
          <w:rFonts w:ascii="Calibri" w:hAnsi="Calibri" w:hint="cs"/>
          <w:rtl/>
        </w:rPr>
        <w:t xml:space="preserve"> עתר הנאשם להכריז על עצמו כפושט רגל וליתן לו הפטר מחובותיו. הכונס הרשמי והמנהל המיוחד התנו הסכמתם בסילוק חוב הפיגורים אשר נוצר במסגרת ההליך. בית משפט זה (כבוד הש' עודד מאור) נענה לבקשת הנאשם והעניק לו הפטר ללא סילוק חוב הפיגורים, זאת לאחר שנדרש לנסיבותיו האישיות והמיוחדות (ראה לעניין זה החלטה מיום 19.11.17). </w:t>
      </w:r>
    </w:p>
    <w:p w14:paraId="05BEE177" w14:textId="77777777" w:rsidR="002D2709" w:rsidRDefault="002D2709" w:rsidP="002D2709">
      <w:pPr>
        <w:spacing w:after="160" w:line="360" w:lineRule="auto"/>
        <w:jc w:val="both"/>
        <w:rPr>
          <w:rFonts w:ascii="Calibri" w:hAnsi="Calibri"/>
        </w:rPr>
      </w:pPr>
      <w:r>
        <w:rPr>
          <w:rFonts w:ascii="Calibri" w:hAnsi="Calibri" w:hint="cs"/>
          <w:rtl/>
        </w:rPr>
        <w:t xml:space="preserve">הנה כי כן, שתי משוכות עיקריות הוסרו מדרכו של הנאשם לשיקום: קבלת רישיון לקנאביס רפואי ומצבו הכלכלי. </w:t>
      </w:r>
    </w:p>
    <w:p w14:paraId="06DC549F" w14:textId="77777777" w:rsidR="002D2709" w:rsidRDefault="002D2709" w:rsidP="002D2709">
      <w:pPr>
        <w:spacing w:after="160" w:line="360" w:lineRule="auto"/>
        <w:jc w:val="both"/>
        <w:rPr>
          <w:rFonts w:ascii="Calibri" w:hAnsi="Calibri"/>
          <w:rtl/>
        </w:rPr>
      </w:pPr>
      <w:r>
        <w:rPr>
          <w:rFonts w:ascii="Calibri" w:hAnsi="Calibri" w:hint="cs"/>
          <w:rtl/>
        </w:rPr>
        <w:t xml:space="preserve">לאלה יש להוסיף את העובדה כי מאז ביצוע העבירה ועד למועד הגשת כתב האישום -כשנתיים ימים – עשה הנאשם כברת דרך משמעותית לשיקום חייו. </w:t>
      </w:r>
    </w:p>
    <w:p w14:paraId="4DA708B0" w14:textId="77777777" w:rsidR="002D2709" w:rsidRDefault="002D2709" w:rsidP="002D2709">
      <w:pPr>
        <w:spacing w:after="160" w:line="360" w:lineRule="auto"/>
        <w:jc w:val="both"/>
        <w:rPr>
          <w:rFonts w:ascii="Calibri" w:hAnsi="Calibri"/>
          <w:rtl/>
        </w:rPr>
      </w:pPr>
      <w:r>
        <w:rPr>
          <w:rFonts w:ascii="Calibri" w:hAnsi="Calibri" w:hint="cs"/>
          <w:rtl/>
        </w:rPr>
        <w:t>להשלמת מכלול הנסיבות המיוחדות יש להפנות  למועד הכנסת החומר ל</w:t>
      </w:r>
      <w:hyperlink r:id="rId41" w:history="1">
        <w:r w:rsidR="003B1976" w:rsidRPr="003B1976">
          <w:rPr>
            <w:rFonts w:ascii="Calibri" w:hAnsi="Calibri" w:hint="eastAsia"/>
            <w:color w:val="0000FF"/>
            <w:u w:val="single"/>
            <w:rtl/>
          </w:rPr>
          <w:t>פקודת</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הסמים</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המסוכנים</w:t>
        </w:r>
      </w:hyperlink>
      <w:r>
        <w:rPr>
          <w:rFonts w:ascii="Calibri" w:hAnsi="Calibri" w:hint="cs"/>
          <w:rtl/>
        </w:rPr>
        <w:t xml:space="preserve"> חודשים ספורים לפני ביצוע העבירה.</w:t>
      </w:r>
    </w:p>
    <w:p w14:paraId="1C05393B" w14:textId="77777777" w:rsidR="002D2709" w:rsidRDefault="002D2709" w:rsidP="002D2709">
      <w:pPr>
        <w:spacing w:after="160" w:line="360" w:lineRule="auto"/>
        <w:jc w:val="both"/>
        <w:rPr>
          <w:rFonts w:ascii="Calibri" w:hAnsi="Calibri"/>
          <w:rtl/>
        </w:rPr>
      </w:pPr>
      <w:r>
        <w:rPr>
          <w:rFonts w:ascii="Calibri" w:hAnsi="Calibri" w:hint="cs"/>
          <w:rtl/>
        </w:rPr>
        <w:t>לא נעלמה מעיניי הוראת סעיף 4ד(ב) בבחינת מעשה עבירה ומידת אשם "בעלי חומרה יתרה". לא מצאתי כי הנסיבות עונות על הגדרה זו ואף לא נטען כך על-ידי המאשימה.</w:t>
      </w:r>
    </w:p>
    <w:p w14:paraId="0F71587D" w14:textId="77777777" w:rsidR="002D2709" w:rsidRDefault="002D2709" w:rsidP="002D2709">
      <w:pPr>
        <w:spacing w:after="160" w:line="360" w:lineRule="auto"/>
        <w:jc w:val="both"/>
        <w:rPr>
          <w:rFonts w:ascii="Calibri" w:hAnsi="Calibri"/>
          <w:rtl/>
        </w:rPr>
      </w:pPr>
      <w:r>
        <w:rPr>
          <w:rFonts w:ascii="Calibri" w:hAnsi="Calibri" w:hint="cs"/>
          <w:b/>
          <w:bCs/>
          <w:rtl/>
        </w:rPr>
        <w:t>אשר על כן אני גוזר על הנאשם את העונשים הבאים</w:t>
      </w:r>
      <w:r>
        <w:rPr>
          <w:rFonts w:ascii="Calibri" w:hAnsi="Calibri" w:hint="cs"/>
          <w:rtl/>
        </w:rPr>
        <w:t xml:space="preserve"> :</w:t>
      </w:r>
    </w:p>
    <w:p w14:paraId="0A5C74E7" w14:textId="77777777" w:rsidR="002D2709" w:rsidRDefault="002D2709" w:rsidP="002D2709">
      <w:pPr>
        <w:spacing w:after="160" w:line="360" w:lineRule="auto"/>
        <w:jc w:val="both"/>
        <w:rPr>
          <w:rFonts w:ascii="Calibri" w:hAnsi="Calibri"/>
          <w:rtl/>
        </w:rPr>
      </w:pPr>
      <w:r>
        <w:rPr>
          <w:rFonts w:ascii="Calibri" w:hAnsi="Calibri" w:hint="cs"/>
          <w:rtl/>
        </w:rPr>
        <w:t xml:space="preserve">א. שנה מאסר על תנאי והתנאי הוא שלא יעבור עבירה מסוג פשע על </w:t>
      </w:r>
      <w:hyperlink r:id="rId42" w:history="1">
        <w:r w:rsidR="003B1976" w:rsidRPr="003B1976">
          <w:rPr>
            <w:rFonts w:ascii="Calibri" w:hAnsi="Calibri" w:hint="eastAsia"/>
            <w:color w:val="0000FF"/>
            <w:u w:val="single"/>
            <w:rtl/>
          </w:rPr>
          <w:t>פקודת</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הסמים</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המסוכנים</w:t>
        </w:r>
      </w:hyperlink>
      <w:r>
        <w:rPr>
          <w:rFonts w:ascii="Calibri" w:hAnsi="Calibri" w:hint="cs"/>
          <w:rtl/>
        </w:rPr>
        <w:t xml:space="preserve"> במשך 3 שנים מהיום.</w:t>
      </w:r>
    </w:p>
    <w:p w14:paraId="17FD6BF5" w14:textId="77777777" w:rsidR="002D2709" w:rsidRDefault="002D2709" w:rsidP="002D2709">
      <w:pPr>
        <w:spacing w:after="160" w:line="360" w:lineRule="auto"/>
        <w:jc w:val="both"/>
        <w:rPr>
          <w:rFonts w:ascii="Calibri" w:hAnsi="Calibri"/>
          <w:rtl/>
        </w:rPr>
      </w:pPr>
      <w:r>
        <w:rPr>
          <w:rFonts w:ascii="Calibri" w:hAnsi="Calibri" w:hint="cs"/>
          <w:rtl/>
        </w:rPr>
        <w:t xml:space="preserve">ב. 5 ח' מאסר על תנאי והתנאי הוא שלא יעבור עבירה מסוג עוון על </w:t>
      </w:r>
      <w:hyperlink r:id="rId43" w:history="1">
        <w:r w:rsidR="003B1976" w:rsidRPr="003B1976">
          <w:rPr>
            <w:rFonts w:ascii="Calibri" w:hAnsi="Calibri" w:hint="eastAsia"/>
            <w:color w:val="0000FF"/>
            <w:u w:val="single"/>
            <w:rtl/>
          </w:rPr>
          <w:t>פקודת</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הסמים</w:t>
        </w:r>
        <w:r w:rsidR="003B1976" w:rsidRPr="003B1976">
          <w:rPr>
            <w:rFonts w:ascii="Calibri" w:hAnsi="Calibri"/>
            <w:color w:val="0000FF"/>
            <w:u w:val="single"/>
            <w:rtl/>
          </w:rPr>
          <w:t xml:space="preserve"> </w:t>
        </w:r>
        <w:r w:rsidR="003B1976" w:rsidRPr="003B1976">
          <w:rPr>
            <w:rFonts w:ascii="Calibri" w:hAnsi="Calibri" w:hint="eastAsia"/>
            <w:color w:val="0000FF"/>
            <w:u w:val="single"/>
            <w:rtl/>
          </w:rPr>
          <w:t>המסוכנים</w:t>
        </w:r>
      </w:hyperlink>
      <w:r>
        <w:rPr>
          <w:rFonts w:ascii="Calibri" w:hAnsi="Calibri" w:hint="cs"/>
          <w:rtl/>
        </w:rPr>
        <w:t xml:space="preserve"> במשך 3 שנים מהיום.</w:t>
      </w:r>
    </w:p>
    <w:p w14:paraId="702345A8" w14:textId="77777777" w:rsidR="002D2709" w:rsidRDefault="002D2709" w:rsidP="002D2709">
      <w:pPr>
        <w:spacing w:after="160" w:line="360" w:lineRule="auto"/>
        <w:jc w:val="both"/>
        <w:rPr>
          <w:rFonts w:ascii="Calibri" w:hAnsi="Calibri"/>
          <w:rtl/>
        </w:rPr>
      </w:pPr>
    </w:p>
    <w:p w14:paraId="14342BF4" w14:textId="77777777" w:rsidR="002D2709" w:rsidRDefault="002D2709" w:rsidP="002D2709">
      <w:pPr>
        <w:spacing w:after="160" w:line="360" w:lineRule="auto"/>
        <w:jc w:val="both"/>
        <w:rPr>
          <w:rFonts w:ascii="Calibri" w:hAnsi="Calibri"/>
          <w:rtl/>
        </w:rPr>
      </w:pPr>
      <w:r>
        <w:rPr>
          <w:rFonts w:ascii="Calibri" w:hAnsi="Calibri" w:hint="cs"/>
          <w:rtl/>
        </w:rPr>
        <w:t>ניתו  צו להשמדת הסמים.</w:t>
      </w:r>
    </w:p>
    <w:p w14:paraId="3086F51A" w14:textId="77777777" w:rsidR="002D2709" w:rsidRDefault="002D2709" w:rsidP="002D2709">
      <w:pPr>
        <w:spacing w:after="160" w:line="360" w:lineRule="auto"/>
        <w:jc w:val="both"/>
        <w:rPr>
          <w:rFonts w:ascii="Calibri" w:hAnsi="Calibri"/>
          <w:rtl/>
        </w:rPr>
      </w:pPr>
    </w:p>
    <w:p w14:paraId="4475A888" w14:textId="77777777" w:rsidR="002D2709" w:rsidRDefault="002D2709" w:rsidP="002D2709">
      <w:pPr>
        <w:spacing w:line="360" w:lineRule="auto"/>
        <w:jc w:val="both"/>
        <w:rPr>
          <w:rFonts w:ascii="Arial" w:hAnsi="Arial"/>
          <w:rtl/>
        </w:rPr>
      </w:pPr>
    </w:p>
    <w:p w14:paraId="70CF4B2F" w14:textId="77777777" w:rsidR="002D2709" w:rsidRDefault="002D2709" w:rsidP="002D2709">
      <w:pPr>
        <w:spacing w:line="360" w:lineRule="auto"/>
        <w:jc w:val="both"/>
        <w:rPr>
          <w:rFonts w:ascii="Arial" w:hAnsi="Arial"/>
          <w:b/>
          <w:bCs/>
        </w:rPr>
      </w:pPr>
      <w:r>
        <w:rPr>
          <w:rFonts w:ascii="Arial" w:hAnsi="Arial" w:hint="cs"/>
          <w:b/>
          <w:bCs/>
          <w:rtl/>
        </w:rPr>
        <w:t>זכות ערעור לבית משפט עליון תוך 45 יום.</w:t>
      </w:r>
    </w:p>
    <w:p w14:paraId="5B844BD9" w14:textId="77777777" w:rsidR="002D2709" w:rsidRDefault="002D2709" w:rsidP="002D2709">
      <w:pPr>
        <w:spacing w:line="360" w:lineRule="auto"/>
        <w:jc w:val="both"/>
        <w:rPr>
          <w:rFonts w:ascii="Arial" w:hAnsi="Arial"/>
          <w:rtl/>
        </w:rPr>
      </w:pPr>
    </w:p>
    <w:p w14:paraId="7D5EB4BF" w14:textId="77777777" w:rsidR="002D2709" w:rsidRDefault="002D2709" w:rsidP="002D2709">
      <w:pPr>
        <w:spacing w:line="360" w:lineRule="auto"/>
        <w:jc w:val="both"/>
        <w:rPr>
          <w:rFonts w:ascii="Arial" w:hAnsi="Arial"/>
          <w:rtl/>
        </w:rPr>
      </w:pPr>
    </w:p>
    <w:p w14:paraId="3548F953" w14:textId="77777777" w:rsidR="002D2709" w:rsidRDefault="003B1976" w:rsidP="002D2709">
      <w:pPr>
        <w:tabs>
          <w:tab w:val="left" w:pos="2553"/>
        </w:tabs>
        <w:spacing w:line="360" w:lineRule="auto"/>
        <w:ind w:left="5040"/>
        <w:jc w:val="both"/>
        <w:rPr>
          <w:noProof/>
          <w:rtl/>
        </w:rPr>
      </w:pPr>
      <w:r>
        <w:rPr>
          <w:rFonts w:ascii="Arial" w:hAnsi="Arial"/>
          <w:rtl/>
        </w:rPr>
        <w:t xml:space="preserve">ניתנה היום, ג' סיוון תשע"ח, 17 מאי 2018, במעמד  הצדדים. </w:t>
      </w:r>
      <w:r w:rsidR="002D2709">
        <w:rPr>
          <w:rFonts w:hint="cs"/>
          <w:rtl/>
        </w:rPr>
        <w:t xml:space="preserve">     </w:t>
      </w:r>
    </w:p>
    <w:p w14:paraId="4B91BB65" w14:textId="77777777" w:rsidR="002D2709" w:rsidRPr="003B1976" w:rsidRDefault="003B1976" w:rsidP="002D2709">
      <w:pPr>
        <w:tabs>
          <w:tab w:val="left" w:pos="2553"/>
        </w:tabs>
        <w:spacing w:line="360" w:lineRule="auto"/>
        <w:jc w:val="both"/>
        <w:rPr>
          <w:color w:val="FFFFFF"/>
          <w:sz w:val="2"/>
          <w:szCs w:val="2"/>
        </w:rPr>
      </w:pPr>
      <w:r w:rsidRPr="003B1976">
        <w:rPr>
          <w:color w:val="FFFFFF"/>
          <w:sz w:val="2"/>
          <w:szCs w:val="2"/>
          <w:rtl/>
        </w:rPr>
        <w:t>5129371</w:t>
      </w:r>
      <w:r w:rsidR="002D2709" w:rsidRPr="003B1976">
        <w:rPr>
          <w:rFonts w:hint="cs"/>
          <w:color w:val="FFFFFF"/>
          <w:sz w:val="2"/>
          <w:szCs w:val="2"/>
          <w:rtl/>
        </w:rPr>
        <w:tab/>
      </w:r>
      <w:r w:rsidR="002D2709" w:rsidRPr="003B1976">
        <w:rPr>
          <w:rFonts w:hint="cs"/>
          <w:color w:val="FFFFFF"/>
          <w:sz w:val="2"/>
          <w:szCs w:val="2"/>
          <w:rtl/>
        </w:rPr>
        <w:tab/>
      </w:r>
      <w:r w:rsidR="002D2709" w:rsidRPr="003B1976">
        <w:rPr>
          <w:rFonts w:hint="cs"/>
          <w:color w:val="FFFFFF"/>
          <w:sz w:val="2"/>
          <w:szCs w:val="2"/>
          <w:rtl/>
        </w:rPr>
        <w:tab/>
      </w:r>
      <w:r w:rsidR="002D2709" w:rsidRPr="003B1976">
        <w:rPr>
          <w:rFonts w:hint="cs"/>
          <w:color w:val="FFFFFF"/>
          <w:sz w:val="2"/>
          <w:szCs w:val="2"/>
          <w:rtl/>
        </w:rPr>
        <w:tab/>
        <w:t xml:space="preserve">        </w:t>
      </w:r>
      <w:r w:rsidR="002D2709" w:rsidRPr="003B1976">
        <w:rPr>
          <w:color w:val="FFFFFF"/>
          <w:sz w:val="2"/>
          <w:szCs w:val="2"/>
          <w:rtl/>
        </w:rPr>
        <w:t xml:space="preserve">     </w:t>
      </w:r>
    </w:p>
    <w:p w14:paraId="30CEEE27" w14:textId="77777777" w:rsidR="002D2709" w:rsidRPr="003B1976" w:rsidRDefault="003B1976" w:rsidP="002D2709">
      <w:pPr>
        <w:tabs>
          <w:tab w:val="left" w:pos="2553"/>
        </w:tabs>
        <w:spacing w:line="360" w:lineRule="auto"/>
        <w:jc w:val="both"/>
        <w:rPr>
          <w:rFonts w:ascii="Arial" w:hAnsi="Arial"/>
          <w:color w:val="FFFFFF"/>
          <w:sz w:val="2"/>
          <w:szCs w:val="2"/>
          <w:rtl/>
        </w:rPr>
      </w:pPr>
      <w:r w:rsidRPr="003B1976">
        <w:rPr>
          <w:rFonts w:ascii="Arial" w:hAnsi="Arial"/>
          <w:color w:val="FFFFFF"/>
          <w:sz w:val="2"/>
          <w:szCs w:val="2"/>
          <w:rtl/>
        </w:rPr>
        <w:t>54678313</w:t>
      </w:r>
    </w:p>
    <w:p w14:paraId="0D932D8E" w14:textId="77777777" w:rsidR="002D2709" w:rsidRPr="00B05847" w:rsidRDefault="002D2709" w:rsidP="002D2709">
      <w:pPr>
        <w:spacing w:line="360" w:lineRule="auto"/>
        <w:rPr>
          <w:rtl/>
        </w:rPr>
      </w:pPr>
    </w:p>
    <w:p w14:paraId="62475CD4" w14:textId="77777777" w:rsidR="002D2709" w:rsidRPr="00B05847" w:rsidRDefault="002D2709" w:rsidP="002D2709">
      <w:pPr>
        <w:spacing w:line="360" w:lineRule="auto"/>
        <w:rPr>
          <w:rtl/>
        </w:rPr>
      </w:pPr>
    </w:p>
    <w:p w14:paraId="66C10C5A" w14:textId="77777777" w:rsidR="002D2709" w:rsidRPr="00B05847" w:rsidRDefault="002D2709" w:rsidP="002D2709">
      <w:pPr>
        <w:spacing w:line="360" w:lineRule="auto"/>
        <w:rPr>
          <w:rtl/>
        </w:rPr>
      </w:pPr>
    </w:p>
    <w:p w14:paraId="1703C2A6" w14:textId="77777777" w:rsidR="002D2709" w:rsidRPr="00626ACB" w:rsidRDefault="00626ACB" w:rsidP="002D2709">
      <w:pPr>
        <w:pStyle w:val="a3"/>
        <w:rPr>
          <w:color w:val="FFFFFF"/>
          <w:sz w:val="2"/>
          <w:szCs w:val="2"/>
          <w:rtl/>
        </w:rPr>
      </w:pPr>
      <w:r w:rsidRPr="00626ACB">
        <w:rPr>
          <w:color w:val="FFFFFF"/>
          <w:sz w:val="2"/>
          <w:szCs w:val="2"/>
          <w:rtl/>
        </w:rPr>
        <w:t>5129371</w:t>
      </w:r>
    </w:p>
    <w:p w14:paraId="064F07A4" w14:textId="77777777" w:rsidR="002D7B2F" w:rsidRPr="00626ACB" w:rsidRDefault="00626ACB" w:rsidP="003B1976">
      <w:pPr>
        <w:keepNext/>
        <w:rPr>
          <w:rFonts w:ascii="David" w:hAnsi="David"/>
          <w:color w:val="FFFFFF"/>
          <w:sz w:val="2"/>
          <w:szCs w:val="2"/>
          <w:rtl/>
        </w:rPr>
      </w:pPr>
      <w:r w:rsidRPr="00626ACB">
        <w:rPr>
          <w:rFonts w:ascii="David" w:hAnsi="David"/>
          <w:color w:val="FFFFFF"/>
          <w:sz w:val="2"/>
          <w:szCs w:val="2"/>
          <w:rtl/>
        </w:rPr>
        <w:t>54678313</w:t>
      </w:r>
    </w:p>
    <w:p w14:paraId="20E4CDEF" w14:textId="77777777" w:rsidR="003B1976" w:rsidRDefault="003B1976" w:rsidP="003B1976">
      <w:pPr>
        <w:rPr>
          <w:rtl/>
        </w:rPr>
      </w:pPr>
    </w:p>
    <w:p w14:paraId="04BD1BE0" w14:textId="77777777" w:rsidR="003B1976" w:rsidRDefault="003B1976" w:rsidP="003B1976">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5E30FE1" w14:textId="77777777" w:rsidR="00626ACB" w:rsidRPr="00626ACB" w:rsidRDefault="00626ACB" w:rsidP="00626ACB">
      <w:pPr>
        <w:keepNext/>
        <w:rPr>
          <w:rFonts w:ascii="David" w:hAnsi="David"/>
          <w:color w:val="000000"/>
          <w:sz w:val="22"/>
          <w:szCs w:val="22"/>
          <w:rtl/>
        </w:rPr>
      </w:pPr>
    </w:p>
    <w:p w14:paraId="52E50AB8" w14:textId="77777777" w:rsidR="00626ACB" w:rsidRPr="00626ACB" w:rsidRDefault="00626ACB" w:rsidP="00626ACB">
      <w:pPr>
        <w:keepNext/>
        <w:rPr>
          <w:rFonts w:ascii="David" w:hAnsi="David"/>
          <w:color w:val="000000"/>
          <w:sz w:val="22"/>
          <w:szCs w:val="22"/>
          <w:rtl/>
        </w:rPr>
      </w:pPr>
      <w:r w:rsidRPr="00626ACB">
        <w:rPr>
          <w:rFonts w:ascii="David" w:hAnsi="David"/>
          <w:color w:val="000000"/>
          <w:sz w:val="22"/>
          <w:szCs w:val="22"/>
          <w:rtl/>
        </w:rPr>
        <w:t>ציון קאפח 54678313-/</w:t>
      </w:r>
    </w:p>
    <w:p w14:paraId="37D928D5" w14:textId="77777777" w:rsidR="003B1976" w:rsidRPr="003B1976" w:rsidRDefault="00626ACB" w:rsidP="00626ACB">
      <w:pPr>
        <w:rPr>
          <w:color w:val="0000FF"/>
          <w:u w:val="single"/>
        </w:rPr>
      </w:pPr>
      <w:r w:rsidRPr="00626ACB">
        <w:rPr>
          <w:color w:val="000000"/>
          <w:u w:val="single"/>
          <w:rtl/>
        </w:rPr>
        <w:t>נוסח מסמך זה כפוף לשינויי ניסוח ועריכה</w:t>
      </w:r>
    </w:p>
    <w:sectPr w:rsidR="003B1976" w:rsidRPr="003B1976" w:rsidSect="00626ACB">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89D3D" w14:textId="77777777" w:rsidR="005E0B93" w:rsidRDefault="005E0B93" w:rsidP="00916146">
      <w:r>
        <w:separator/>
      </w:r>
    </w:p>
  </w:endnote>
  <w:endnote w:type="continuationSeparator" w:id="0">
    <w:p w14:paraId="346CEFED" w14:textId="77777777" w:rsidR="005E0B93" w:rsidRDefault="005E0B93" w:rsidP="0091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77CD" w14:textId="77777777" w:rsidR="00626ACB" w:rsidRDefault="00626ACB" w:rsidP="00626A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CAC179" w14:textId="77777777" w:rsidR="006B6427" w:rsidRPr="00626ACB" w:rsidRDefault="00626ACB" w:rsidP="00626ACB">
    <w:pPr>
      <w:pStyle w:val="a5"/>
      <w:pBdr>
        <w:top w:val="single" w:sz="4" w:space="1" w:color="auto"/>
        <w:between w:val="single" w:sz="4" w:space="0" w:color="auto"/>
      </w:pBdr>
      <w:spacing w:after="60"/>
      <w:jc w:val="center"/>
      <w:rPr>
        <w:rFonts w:ascii="FrankRuehl" w:hAnsi="FrankRuehl" w:cs="FrankRuehl"/>
        <w:color w:val="000000"/>
      </w:rPr>
    </w:pPr>
    <w:r w:rsidRPr="00626A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E75F7" w14:textId="77777777" w:rsidR="00626ACB" w:rsidRDefault="00626ACB" w:rsidP="00626A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74FE">
      <w:rPr>
        <w:rFonts w:ascii="FrankRuehl" w:hAnsi="FrankRuehl" w:cs="FrankRuehl"/>
        <w:noProof/>
        <w:rtl/>
      </w:rPr>
      <w:t>1</w:t>
    </w:r>
    <w:r>
      <w:rPr>
        <w:rFonts w:ascii="FrankRuehl" w:hAnsi="FrankRuehl" w:cs="FrankRuehl"/>
        <w:rtl/>
      </w:rPr>
      <w:fldChar w:fldCharType="end"/>
    </w:r>
  </w:p>
  <w:p w14:paraId="06603E21" w14:textId="77777777" w:rsidR="006B6427" w:rsidRPr="00626ACB" w:rsidRDefault="00626ACB" w:rsidP="00626ACB">
    <w:pPr>
      <w:pStyle w:val="a5"/>
      <w:pBdr>
        <w:top w:val="single" w:sz="4" w:space="1" w:color="auto"/>
        <w:between w:val="single" w:sz="4" w:space="0" w:color="auto"/>
      </w:pBdr>
      <w:spacing w:after="60"/>
      <w:jc w:val="center"/>
      <w:rPr>
        <w:rFonts w:ascii="FrankRuehl" w:hAnsi="FrankRuehl" w:cs="FrankRuehl"/>
        <w:color w:val="000000"/>
      </w:rPr>
    </w:pPr>
    <w:r w:rsidRPr="00626ACB">
      <w:rPr>
        <w:rFonts w:ascii="FrankRuehl" w:hAnsi="FrankRuehl" w:cs="FrankRuehl"/>
        <w:color w:val="000000"/>
      </w:rPr>
      <w:pict w14:anchorId="76337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7A31F" w14:textId="77777777" w:rsidR="005E0B93" w:rsidRDefault="005E0B93" w:rsidP="00916146">
      <w:r>
        <w:separator/>
      </w:r>
    </w:p>
  </w:footnote>
  <w:footnote w:type="continuationSeparator" w:id="0">
    <w:p w14:paraId="2C17505A" w14:textId="77777777" w:rsidR="005E0B93" w:rsidRDefault="005E0B93" w:rsidP="00916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2C4C3" w14:textId="77777777" w:rsidR="003B1976" w:rsidRPr="00626ACB" w:rsidRDefault="00626ACB" w:rsidP="00626A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22611-02-17</w:t>
    </w:r>
    <w:r>
      <w:rPr>
        <w:rFonts w:ascii="David" w:hAnsi="David"/>
        <w:color w:val="000000"/>
        <w:sz w:val="22"/>
        <w:szCs w:val="22"/>
        <w:rtl/>
      </w:rPr>
      <w:tab/>
      <w:t xml:space="preserve"> מדינת ישראל נ' עמר מרדוש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DDDA3" w14:textId="77777777" w:rsidR="003B1976" w:rsidRPr="00626ACB" w:rsidRDefault="00626ACB" w:rsidP="00626A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22611-02-17</w:t>
    </w:r>
    <w:r>
      <w:rPr>
        <w:rFonts w:ascii="David" w:hAnsi="David"/>
        <w:color w:val="000000"/>
        <w:sz w:val="22"/>
        <w:szCs w:val="22"/>
        <w:rtl/>
      </w:rPr>
      <w:tab/>
      <w:t xml:space="preserve"> מדינת ישראל נ' עמר מרדוש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2709"/>
    <w:rsid w:val="001F4DCA"/>
    <w:rsid w:val="002D2709"/>
    <w:rsid w:val="002D7B2F"/>
    <w:rsid w:val="003B1976"/>
    <w:rsid w:val="005E0B93"/>
    <w:rsid w:val="00626ACB"/>
    <w:rsid w:val="006B6427"/>
    <w:rsid w:val="00916146"/>
    <w:rsid w:val="00BA16A0"/>
    <w:rsid w:val="00F07BA5"/>
    <w:rsid w:val="00F6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4B8FD4"/>
  <w15:chartTrackingRefBased/>
  <w15:docId w15:val="{BF5122A7-497C-4241-BB73-4949BBC5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7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2709"/>
    <w:pPr>
      <w:tabs>
        <w:tab w:val="center" w:pos="4153"/>
        <w:tab w:val="right" w:pos="8306"/>
      </w:tabs>
    </w:pPr>
  </w:style>
  <w:style w:type="character" w:customStyle="1" w:styleId="a4">
    <w:name w:val="כותרת עליונה תו"/>
    <w:link w:val="a3"/>
    <w:rsid w:val="002D2709"/>
    <w:rPr>
      <w:rFonts w:ascii="Times New Roman" w:eastAsia="Times New Roman" w:hAnsi="Times New Roman" w:cs="David"/>
      <w:sz w:val="24"/>
      <w:szCs w:val="24"/>
    </w:rPr>
  </w:style>
  <w:style w:type="paragraph" w:styleId="a5">
    <w:name w:val="footer"/>
    <w:basedOn w:val="a"/>
    <w:link w:val="a6"/>
    <w:rsid w:val="002D2709"/>
    <w:pPr>
      <w:tabs>
        <w:tab w:val="center" w:pos="4153"/>
        <w:tab w:val="right" w:pos="8306"/>
      </w:tabs>
    </w:pPr>
  </w:style>
  <w:style w:type="character" w:customStyle="1" w:styleId="a6">
    <w:name w:val="כותרת תחתונה תו"/>
    <w:link w:val="a5"/>
    <w:rsid w:val="002D2709"/>
    <w:rPr>
      <w:rFonts w:ascii="Times New Roman" w:eastAsia="Times New Roman" w:hAnsi="Times New Roman" w:cs="David"/>
      <w:sz w:val="24"/>
      <w:szCs w:val="24"/>
    </w:rPr>
  </w:style>
  <w:style w:type="table" w:styleId="a7">
    <w:name w:val="Table Grid"/>
    <w:basedOn w:val="a1"/>
    <w:rsid w:val="002D27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2709"/>
  </w:style>
  <w:style w:type="character" w:styleId="Hyperlink">
    <w:name w:val="Hyperlink"/>
    <w:rsid w:val="003B1976"/>
    <w:rPr>
      <w:color w:val="0563C1"/>
      <w:u w:val="single"/>
    </w:rPr>
  </w:style>
  <w:style w:type="character" w:styleId="a9">
    <w:name w:val="Unresolved Mention"/>
    <w:rsid w:val="003B19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1237083" TargetMode="External"/><Relationship Id="rId39" Type="http://schemas.openxmlformats.org/officeDocument/2006/relationships/hyperlink" Target="http://www.nevo.co.il/safrut/bookgroup/358"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18793705"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882858" TargetMode="External"/><Relationship Id="rId32" Type="http://schemas.openxmlformats.org/officeDocument/2006/relationships/hyperlink" Target="http://www.nevo.co.il/case/5549703" TargetMode="External"/><Relationship Id="rId37" Type="http://schemas.openxmlformats.org/officeDocument/2006/relationships/hyperlink" Target="http://www.nevo.co.il/case/17015235" TargetMode="External"/><Relationship Id="rId40" Type="http://schemas.openxmlformats.org/officeDocument/2006/relationships/hyperlink" Target="http://www.nevo.co.il/case/3752898"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0443128" TargetMode="External"/><Relationship Id="rId28" Type="http://schemas.openxmlformats.org/officeDocument/2006/relationships/hyperlink" Target="http://www.nevo.co.il/law/70301/29.a" TargetMode="External"/><Relationship Id="rId36" Type="http://schemas.openxmlformats.org/officeDocument/2006/relationships/hyperlink" Target="http://www.nevo.co.il/law/70301/40d.a" TargetMode="External"/><Relationship Id="rId49" Type="http://schemas.openxmlformats.org/officeDocument/2006/relationships/fontTable" Target="fontTable.xml"/><Relationship Id="rId10" Type="http://schemas.openxmlformats.org/officeDocument/2006/relationships/hyperlink" Target="http://www.nevo.co.il/law/127622/7.a"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7944138"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127622" TargetMode="External"/><Relationship Id="rId14" Type="http://schemas.openxmlformats.org/officeDocument/2006/relationships/hyperlink" Target="http://www.nevo.co.il/law/70320" TargetMode="External"/><Relationship Id="rId22" Type="http://schemas.openxmlformats.org/officeDocument/2006/relationships/hyperlink" Target="http://www.nevo.co.il/law/4216" TargetMode="External"/><Relationship Id="rId27" Type="http://schemas.openxmlformats.org/officeDocument/2006/relationships/hyperlink" Target="http://www.nevo.co.il/law/127622/7.a" TargetMode="External"/><Relationship Id="rId30" Type="http://schemas.openxmlformats.org/officeDocument/2006/relationships/hyperlink" Target="http://www.nevo.co.il/law/127622" TargetMode="External"/><Relationship Id="rId35" Type="http://schemas.openxmlformats.org/officeDocument/2006/relationships/hyperlink" Target="http://www.nevo.co.il/case/22799446"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29.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18178810" TargetMode="External"/><Relationship Id="rId33" Type="http://schemas.openxmlformats.org/officeDocument/2006/relationships/hyperlink" Target="http://www.nevo.co.il/case/2831675" TargetMode="External"/><Relationship Id="rId38" Type="http://schemas.openxmlformats.org/officeDocument/2006/relationships/hyperlink" Target="http://www.nevo.co.il/law/70320" TargetMode="External"/><Relationship Id="rId46" Type="http://schemas.openxmlformats.org/officeDocument/2006/relationships/header" Target="header2.xml"/><Relationship Id="rId20" Type="http://schemas.openxmlformats.org/officeDocument/2006/relationships/hyperlink" Target="http://www.nevo.co.il/case/13022249" TargetMode="External"/><Relationship Id="rId41"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2440</Words>
  <Characters>12203</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14614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3539064</vt:i4>
      </vt:variant>
      <vt:variant>
        <vt:i4>105</vt:i4>
      </vt:variant>
      <vt:variant>
        <vt:i4>0</vt:i4>
      </vt:variant>
      <vt:variant>
        <vt:i4>5</vt:i4>
      </vt:variant>
      <vt:variant>
        <vt:lpwstr>http://www.nevo.co.il/case/3752898</vt:lpwstr>
      </vt:variant>
      <vt:variant>
        <vt:lpwstr/>
      </vt:variant>
      <vt:variant>
        <vt:i4>2949165</vt:i4>
      </vt:variant>
      <vt:variant>
        <vt:i4>102</vt:i4>
      </vt:variant>
      <vt:variant>
        <vt:i4>0</vt:i4>
      </vt:variant>
      <vt:variant>
        <vt:i4>5</vt:i4>
      </vt:variant>
      <vt:variant>
        <vt:lpwstr>http://www.nevo.co.il/safrut/bookgroup/358</vt:lpwstr>
      </vt:variant>
      <vt:variant>
        <vt:lpwstr/>
      </vt:variant>
      <vt:variant>
        <vt:i4>7864420</vt:i4>
      </vt:variant>
      <vt:variant>
        <vt:i4>99</vt:i4>
      </vt:variant>
      <vt:variant>
        <vt:i4>0</vt:i4>
      </vt:variant>
      <vt:variant>
        <vt:i4>5</vt:i4>
      </vt:variant>
      <vt:variant>
        <vt:lpwstr>http://www.nevo.co.il/law/70320</vt:lpwstr>
      </vt:variant>
      <vt:variant>
        <vt:lpwstr/>
      </vt:variant>
      <vt:variant>
        <vt:i4>3604592</vt:i4>
      </vt:variant>
      <vt:variant>
        <vt:i4>96</vt:i4>
      </vt:variant>
      <vt:variant>
        <vt:i4>0</vt:i4>
      </vt:variant>
      <vt:variant>
        <vt:i4>5</vt:i4>
      </vt:variant>
      <vt:variant>
        <vt:lpwstr>http://www.nevo.co.il/case/17015235</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3670139</vt:i4>
      </vt:variant>
      <vt:variant>
        <vt:i4>90</vt:i4>
      </vt:variant>
      <vt:variant>
        <vt:i4>0</vt:i4>
      </vt:variant>
      <vt:variant>
        <vt:i4>5</vt:i4>
      </vt:variant>
      <vt:variant>
        <vt:lpwstr>http://www.nevo.co.il/case/22799446</vt:lpwstr>
      </vt:variant>
      <vt:variant>
        <vt:lpwstr/>
      </vt:variant>
      <vt:variant>
        <vt:i4>3473522</vt:i4>
      </vt:variant>
      <vt:variant>
        <vt:i4>87</vt:i4>
      </vt:variant>
      <vt:variant>
        <vt:i4>0</vt:i4>
      </vt:variant>
      <vt:variant>
        <vt:i4>5</vt:i4>
      </vt:variant>
      <vt:variant>
        <vt:lpwstr>http://www.nevo.co.il/case/18793705</vt:lpwstr>
      </vt:variant>
      <vt:variant>
        <vt:lpwstr/>
      </vt:variant>
      <vt:variant>
        <vt:i4>3276922</vt:i4>
      </vt:variant>
      <vt:variant>
        <vt:i4>84</vt:i4>
      </vt:variant>
      <vt:variant>
        <vt:i4>0</vt:i4>
      </vt:variant>
      <vt:variant>
        <vt:i4>5</vt:i4>
      </vt:variant>
      <vt:variant>
        <vt:lpwstr>http://www.nevo.co.il/case/2831675</vt:lpwstr>
      </vt:variant>
      <vt:variant>
        <vt:lpwstr/>
      </vt:variant>
      <vt:variant>
        <vt:i4>3473528</vt:i4>
      </vt:variant>
      <vt:variant>
        <vt:i4>81</vt:i4>
      </vt:variant>
      <vt:variant>
        <vt:i4>0</vt:i4>
      </vt:variant>
      <vt:variant>
        <vt:i4>5</vt:i4>
      </vt:variant>
      <vt:variant>
        <vt:lpwstr>http://www.nevo.co.il/case/5549703</vt:lpwstr>
      </vt:variant>
      <vt:variant>
        <vt:lpwstr/>
      </vt:variant>
      <vt:variant>
        <vt:i4>3801210</vt:i4>
      </vt:variant>
      <vt:variant>
        <vt:i4>78</vt:i4>
      </vt:variant>
      <vt:variant>
        <vt:i4>0</vt:i4>
      </vt:variant>
      <vt:variant>
        <vt:i4>5</vt:i4>
      </vt:variant>
      <vt:variant>
        <vt:lpwstr>http://www.nevo.co.il/case/7944138</vt:lpwstr>
      </vt:variant>
      <vt:variant>
        <vt:lpwstr/>
      </vt:variant>
      <vt:variant>
        <vt:i4>4980820</vt:i4>
      </vt:variant>
      <vt:variant>
        <vt:i4>75</vt:i4>
      </vt:variant>
      <vt:variant>
        <vt:i4>0</vt:i4>
      </vt:variant>
      <vt:variant>
        <vt:i4>5</vt:i4>
      </vt:variant>
      <vt:variant>
        <vt:lpwstr>http://www.nevo.co.il/law/127622</vt:lpwstr>
      </vt:variant>
      <vt:variant>
        <vt:lpwstr/>
      </vt:variant>
      <vt:variant>
        <vt:i4>7995492</vt:i4>
      </vt:variant>
      <vt:variant>
        <vt:i4>72</vt:i4>
      </vt:variant>
      <vt:variant>
        <vt:i4>0</vt:i4>
      </vt:variant>
      <vt:variant>
        <vt:i4>5</vt:i4>
      </vt:variant>
      <vt:variant>
        <vt:lpwstr>http://www.nevo.co.il/law/70301</vt:lpwstr>
      </vt:variant>
      <vt:variant>
        <vt:lpwstr/>
      </vt:variant>
      <vt:variant>
        <vt:i4>852041</vt:i4>
      </vt:variant>
      <vt:variant>
        <vt:i4>69</vt:i4>
      </vt:variant>
      <vt:variant>
        <vt:i4>0</vt:i4>
      </vt:variant>
      <vt:variant>
        <vt:i4>5</vt:i4>
      </vt:variant>
      <vt:variant>
        <vt:lpwstr>http://www.nevo.co.il/law/70301/29.a</vt:lpwstr>
      </vt:variant>
      <vt:variant>
        <vt:lpwstr/>
      </vt:variant>
      <vt:variant>
        <vt:i4>1704021</vt:i4>
      </vt:variant>
      <vt:variant>
        <vt:i4>66</vt:i4>
      </vt:variant>
      <vt:variant>
        <vt:i4>0</vt:i4>
      </vt:variant>
      <vt:variant>
        <vt:i4>5</vt:i4>
      </vt:variant>
      <vt:variant>
        <vt:lpwstr>http://www.nevo.co.il/law/127622/7.a</vt:lpwstr>
      </vt:variant>
      <vt:variant>
        <vt:lpwstr/>
      </vt:variant>
      <vt:variant>
        <vt:i4>3932278</vt:i4>
      </vt:variant>
      <vt:variant>
        <vt:i4>63</vt:i4>
      </vt:variant>
      <vt:variant>
        <vt:i4>0</vt:i4>
      </vt:variant>
      <vt:variant>
        <vt:i4>5</vt:i4>
      </vt:variant>
      <vt:variant>
        <vt:lpwstr>http://www.nevo.co.il/case/11237083</vt:lpwstr>
      </vt:variant>
      <vt:variant>
        <vt:lpwstr/>
      </vt:variant>
      <vt:variant>
        <vt:i4>3735667</vt:i4>
      </vt:variant>
      <vt:variant>
        <vt:i4>60</vt:i4>
      </vt:variant>
      <vt:variant>
        <vt:i4>0</vt:i4>
      </vt:variant>
      <vt:variant>
        <vt:i4>5</vt:i4>
      </vt:variant>
      <vt:variant>
        <vt:lpwstr>http://www.nevo.co.il/case/18178810</vt:lpwstr>
      </vt:variant>
      <vt:variant>
        <vt:lpwstr/>
      </vt:variant>
      <vt:variant>
        <vt:i4>3997813</vt:i4>
      </vt:variant>
      <vt:variant>
        <vt:i4>57</vt:i4>
      </vt:variant>
      <vt:variant>
        <vt:i4>0</vt:i4>
      </vt:variant>
      <vt:variant>
        <vt:i4>5</vt:i4>
      </vt:variant>
      <vt:variant>
        <vt:lpwstr>http://www.nevo.co.il/case/21882858</vt:lpwstr>
      </vt:variant>
      <vt:variant>
        <vt:lpwstr/>
      </vt:variant>
      <vt:variant>
        <vt:i4>3604593</vt:i4>
      </vt:variant>
      <vt:variant>
        <vt:i4>54</vt:i4>
      </vt:variant>
      <vt:variant>
        <vt:i4>0</vt:i4>
      </vt:variant>
      <vt:variant>
        <vt:i4>5</vt:i4>
      </vt:variant>
      <vt:variant>
        <vt:lpwstr>http://www.nevo.co.il/case/20443128</vt:lpwstr>
      </vt:variant>
      <vt:variant>
        <vt:lpwstr/>
      </vt:variant>
      <vt:variant>
        <vt:i4>8257637</vt:i4>
      </vt:variant>
      <vt:variant>
        <vt:i4>51</vt:i4>
      </vt:variant>
      <vt:variant>
        <vt:i4>0</vt:i4>
      </vt:variant>
      <vt:variant>
        <vt:i4>5</vt:i4>
      </vt:variant>
      <vt:variant>
        <vt:lpwstr>http://www.nevo.co.il/law/4216</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3604599</vt:i4>
      </vt:variant>
      <vt:variant>
        <vt:i4>45</vt:i4>
      </vt:variant>
      <vt:variant>
        <vt:i4>0</vt:i4>
      </vt:variant>
      <vt:variant>
        <vt:i4>5</vt:i4>
      </vt:variant>
      <vt:variant>
        <vt:lpwstr>http://www.nevo.co.il/case/13022249</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7864420</vt:i4>
      </vt:variant>
      <vt:variant>
        <vt:i4>27</vt:i4>
      </vt:variant>
      <vt:variant>
        <vt:i4>0</vt:i4>
      </vt:variant>
      <vt:variant>
        <vt:i4>5</vt:i4>
      </vt:variant>
      <vt:variant>
        <vt:lpwstr>http://www.nevo.co.il/law/70320</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1704021</vt:i4>
      </vt:variant>
      <vt:variant>
        <vt:i4>15</vt:i4>
      </vt:variant>
      <vt:variant>
        <vt:i4>0</vt:i4>
      </vt:variant>
      <vt:variant>
        <vt:i4>5</vt:i4>
      </vt:variant>
      <vt:variant>
        <vt:lpwstr>http://www.nevo.co.il/law/127622/7.a</vt:lpwstr>
      </vt:variant>
      <vt:variant>
        <vt:lpwstr/>
      </vt:variant>
      <vt:variant>
        <vt:i4>4980820</vt:i4>
      </vt:variant>
      <vt:variant>
        <vt:i4>12</vt:i4>
      </vt:variant>
      <vt:variant>
        <vt:i4>0</vt:i4>
      </vt:variant>
      <vt:variant>
        <vt:i4>5</vt:i4>
      </vt:variant>
      <vt:variant>
        <vt:lpwstr>http://www.nevo.co.il/law/127622</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2949165</vt:i4>
      </vt:variant>
      <vt:variant>
        <vt:i4>0</vt:i4>
      </vt:variant>
      <vt:variant>
        <vt:i4>0</vt:i4>
      </vt:variant>
      <vt:variant>
        <vt:i4>5</vt:i4>
      </vt:variant>
      <vt:variant>
        <vt:lpwstr>http://www.nevo.co.il/safrut/bookgroup/358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22611</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עמר מרדוש</vt:lpwstr>
  </property>
  <property fmtid="{D5CDD505-2E9C-101B-9397-08002B2CF9AE}" pid="10" name="LAWYER">
    <vt:lpwstr>ראאד ענוז;רחל נח;רונה שוורץ</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20180517</vt:lpwstr>
  </property>
  <property fmtid="{D5CDD505-2E9C-101B-9397-08002B2CF9AE}" pid="14" name="TYPE_N_DATE">
    <vt:lpwstr>39020180517</vt:lpwstr>
  </property>
  <property fmtid="{D5CDD505-2E9C-101B-9397-08002B2CF9AE}" pid="15" name="BOOKGROUPTMP1">
    <vt:lpwstr>358</vt:lpwstr>
  </property>
  <property fmtid="{D5CDD505-2E9C-101B-9397-08002B2CF9AE}" pid="16" name="CASESLISTTMP1">
    <vt:lpwstr>13022249;5738608;20443128;21882858;18178810;11237083;7944138;5549703;2831675;18793705;22799446;17015235;3752898</vt:lpwstr>
  </property>
  <property fmtid="{D5CDD505-2E9C-101B-9397-08002B2CF9AE}" pid="17" name="CASENOTES1">
    <vt:lpwstr>ProcID=209&amp;PartA=2620&amp;PartC=09</vt:lpwstr>
  </property>
  <property fmtid="{D5CDD505-2E9C-101B-9397-08002B2CF9AE}" pid="18" name="CASENOTES2">
    <vt:lpwstr>ProcID=209&amp;PartA=3929&amp;PartC=09</vt:lpwstr>
  </property>
  <property fmtid="{D5CDD505-2E9C-101B-9397-08002B2CF9AE}" pid="19" name="CASENOTES3">
    <vt:lpwstr>ProcID=209&amp;PartA=1072&amp;PartC=09</vt:lpwstr>
  </property>
  <property fmtid="{D5CDD505-2E9C-101B-9397-08002B2CF9AE}" pid="20" name="CASENOTES4">
    <vt:lpwstr>ProcID=213&amp;PartA=222&amp;PartC=22</vt:lpwstr>
  </property>
  <property fmtid="{D5CDD505-2E9C-101B-9397-08002B2CF9AE}" pid="21" name="WORDNUMPAGES">
    <vt:lpwstr>8</vt:lpwstr>
  </property>
  <property fmtid="{D5CDD505-2E9C-101B-9397-08002B2CF9AE}" pid="22" name="TYPE_ABS_DATE">
    <vt:lpwstr>390020180517</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4216/007.a:2;007.c:2</vt:lpwstr>
  </property>
  <property fmtid="{D5CDD505-2E9C-101B-9397-08002B2CF9AE}" pid="42" name="LAWLISTTMP2">
    <vt:lpwstr>127622/007.a</vt:lpwstr>
  </property>
  <property fmtid="{D5CDD505-2E9C-101B-9397-08002B2CF9AE}" pid="43" name="LAWLISTTMP3">
    <vt:lpwstr>70301/029.a;040d.a</vt:lpwstr>
  </property>
  <property fmtid="{D5CDD505-2E9C-101B-9397-08002B2CF9AE}" pid="44" name="LAWLISTTMP4">
    <vt:lpwstr>70320</vt:lpwstr>
  </property>
</Properties>
</file>