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E07C13" w:rsidRPr="00DA56CE" w14:paraId="7B851219" w14:textId="77777777" w:rsidTr="000154F0">
        <w:trPr>
          <w:trHeight w:hRule="exact" w:val="418"/>
          <w:jc w:val="center"/>
        </w:trPr>
        <w:tc>
          <w:tcPr>
            <w:tcW w:w="8721" w:type="dxa"/>
            <w:gridSpan w:val="2"/>
          </w:tcPr>
          <w:p w14:paraId="2CEF8319" w14:textId="77777777" w:rsidR="00E07C13" w:rsidRPr="00DA56CE" w:rsidRDefault="00E07C13" w:rsidP="00681FA7">
            <w:pPr>
              <w:pStyle w:val="a3"/>
              <w:jc w:val="center"/>
              <w:rPr>
                <w:rFonts w:ascii="Tahoma" w:hAnsi="Tahoma" w:cs="Tahoma"/>
                <w:color w:val="000080"/>
                <w:rtl/>
              </w:rPr>
            </w:pPr>
            <w:r w:rsidRPr="00DA56CE">
              <w:rPr>
                <w:rFonts w:ascii="Tahoma" w:hAnsi="Tahoma" w:cs="Tahoma"/>
                <w:b/>
                <w:bCs/>
                <w:color w:val="000080"/>
                <w:rtl/>
              </w:rPr>
              <w:t>בית המשפט המחוזי בבאר שבע</w:t>
            </w:r>
          </w:p>
        </w:tc>
      </w:tr>
      <w:tr w:rsidR="00E07C13" w:rsidRPr="00DA56CE" w14:paraId="53C98D82" w14:textId="77777777" w:rsidTr="000154F0">
        <w:trPr>
          <w:trHeight w:val="337"/>
          <w:jc w:val="center"/>
        </w:trPr>
        <w:tc>
          <w:tcPr>
            <w:tcW w:w="5062" w:type="dxa"/>
          </w:tcPr>
          <w:p w14:paraId="3B1435E1" w14:textId="77777777" w:rsidR="00E07C13" w:rsidRPr="00DA56CE" w:rsidRDefault="00E07C13" w:rsidP="00681FA7">
            <w:pPr>
              <w:rPr>
                <w:rFonts w:cs="FrankRuehl"/>
                <w:sz w:val="28"/>
                <w:szCs w:val="28"/>
                <w:rtl/>
              </w:rPr>
            </w:pPr>
            <w:r w:rsidRPr="00DA56CE">
              <w:rPr>
                <w:rFonts w:cs="FrankRuehl"/>
                <w:sz w:val="28"/>
                <w:szCs w:val="28"/>
                <w:rtl/>
              </w:rPr>
              <w:t>ת"פ</w:t>
            </w:r>
            <w:r w:rsidRPr="00DA56CE">
              <w:rPr>
                <w:rFonts w:cs="FrankRuehl" w:hint="cs"/>
                <w:sz w:val="28"/>
                <w:szCs w:val="28"/>
                <w:rtl/>
              </w:rPr>
              <w:t xml:space="preserve"> </w:t>
            </w:r>
            <w:r w:rsidRPr="00DA56CE">
              <w:rPr>
                <w:rFonts w:cs="FrankRuehl"/>
                <w:sz w:val="28"/>
                <w:szCs w:val="28"/>
                <w:rtl/>
              </w:rPr>
              <w:t>66609-06-17</w:t>
            </w:r>
            <w:r w:rsidRPr="00DA56CE">
              <w:rPr>
                <w:rFonts w:cs="FrankRuehl" w:hint="cs"/>
                <w:sz w:val="28"/>
                <w:szCs w:val="28"/>
                <w:rtl/>
              </w:rPr>
              <w:t xml:space="preserve"> </w:t>
            </w:r>
            <w:r w:rsidRPr="00DA56CE">
              <w:rPr>
                <w:rFonts w:cs="FrankRuehl"/>
                <w:sz w:val="28"/>
                <w:szCs w:val="28"/>
                <w:rtl/>
              </w:rPr>
              <w:t>מדינת ישראל נ' NGUYEN ט9064633(עציר)</w:t>
            </w:r>
          </w:p>
          <w:p w14:paraId="1163C8B1" w14:textId="77777777" w:rsidR="00E07C13" w:rsidRPr="00DA56CE" w:rsidRDefault="00E07C13" w:rsidP="00681FA7">
            <w:pPr>
              <w:pStyle w:val="a3"/>
              <w:rPr>
                <w:rFonts w:cs="FrankRuehl"/>
                <w:sz w:val="28"/>
                <w:szCs w:val="28"/>
                <w:rtl/>
              </w:rPr>
            </w:pPr>
          </w:p>
        </w:tc>
        <w:tc>
          <w:tcPr>
            <w:tcW w:w="3659" w:type="dxa"/>
          </w:tcPr>
          <w:p w14:paraId="3C16DA82" w14:textId="77777777" w:rsidR="00E07C13" w:rsidRPr="00DA56CE" w:rsidRDefault="00E07C13" w:rsidP="00681FA7">
            <w:pPr>
              <w:pStyle w:val="a3"/>
              <w:jc w:val="right"/>
              <w:rPr>
                <w:rFonts w:cs="FrankRuehl"/>
                <w:sz w:val="28"/>
                <w:szCs w:val="28"/>
                <w:rtl/>
              </w:rPr>
            </w:pPr>
          </w:p>
        </w:tc>
      </w:tr>
    </w:tbl>
    <w:p w14:paraId="76469DB9" w14:textId="77777777" w:rsidR="00E07C13" w:rsidRPr="00DA56CE" w:rsidRDefault="00E07C13" w:rsidP="00E07C13">
      <w:pPr>
        <w:pStyle w:val="a3"/>
        <w:rPr>
          <w:rtl/>
        </w:rPr>
      </w:pPr>
      <w:r w:rsidRPr="00DA56CE">
        <w:rPr>
          <w:rFonts w:hint="cs"/>
          <w:rtl/>
        </w:rPr>
        <w:t xml:space="preserve"> </w:t>
      </w:r>
    </w:p>
    <w:p w14:paraId="0E1DB8D2" w14:textId="77777777" w:rsidR="00E07C13" w:rsidRPr="00DA56CE" w:rsidRDefault="00E07C13" w:rsidP="00E07C13">
      <w:pPr>
        <w:spacing w:line="360" w:lineRule="auto"/>
        <w:rPr>
          <w:rFonts w:ascii="Arial" w:hAnsi="Arial"/>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5220"/>
        <w:gridCol w:w="1401"/>
        <w:gridCol w:w="867"/>
      </w:tblGrid>
      <w:tr w:rsidR="00681FA7" w:rsidRPr="00DA56CE" w14:paraId="59DEA42E" w14:textId="77777777" w:rsidTr="00E07C13">
        <w:trPr>
          <w:gridAfter w:val="1"/>
          <w:wAfter w:w="867" w:type="dxa"/>
          <w:trHeight w:val="295"/>
          <w:jc w:val="center"/>
        </w:trPr>
        <w:tc>
          <w:tcPr>
            <w:tcW w:w="7953" w:type="dxa"/>
            <w:gridSpan w:val="3"/>
            <w:tcBorders>
              <w:top w:val="nil"/>
              <w:left w:val="nil"/>
              <w:bottom w:val="nil"/>
              <w:right w:val="nil"/>
            </w:tcBorders>
            <w:shd w:val="clear" w:color="auto" w:fill="auto"/>
          </w:tcPr>
          <w:p w14:paraId="25481872" w14:textId="77777777" w:rsidR="00E07C13" w:rsidRPr="00DA56CE" w:rsidRDefault="00E07C13" w:rsidP="00E07C13">
            <w:pPr>
              <w:spacing w:line="360" w:lineRule="auto"/>
              <w:rPr>
                <w:rFonts w:ascii="Arial" w:hAnsi="Arial"/>
                <w:b/>
                <w:bCs/>
                <w:sz w:val="26"/>
                <w:szCs w:val="26"/>
              </w:rPr>
            </w:pPr>
            <w:r w:rsidRPr="00DA56CE">
              <w:rPr>
                <w:rFonts w:ascii="Arial" w:hAnsi="Arial" w:hint="cs"/>
                <w:b/>
                <w:bCs/>
                <w:sz w:val="26"/>
                <w:szCs w:val="26"/>
                <w:rtl/>
              </w:rPr>
              <w:t>בפני כב' סגן הנשיאה, השופט אליהו ביתן</w:t>
            </w:r>
          </w:p>
        </w:tc>
      </w:tr>
      <w:tr w:rsidR="00681FA7" w:rsidRPr="00DA56CE" w14:paraId="254383A3" w14:textId="77777777" w:rsidTr="00E07C13">
        <w:trPr>
          <w:trHeight w:val="355"/>
          <w:jc w:val="center"/>
        </w:trPr>
        <w:tc>
          <w:tcPr>
            <w:tcW w:w="1332" w:type="dxa"/>
            <w:tcBorders>
              <w:top w:val="nil"/>
              <w:left w:val="nil"/>
              <w:bottom w:val="nil"/>
              <w:right w:val="nil"/>
            </w:tcBorders>
            <w:shd w:val="clear" w:color="auto" w:fill="auto"/>
          </w:tcPr>
          <w:p w14:paraId="4D4D5F96" w14:textId="77777777" w:rsidR="00E07C13" w:rsidRPr="00DA56CE" w:rsidRDefault="00E07C13" w:rsidP="00E07C13">
            <w:pPr>
              <w:spacing w:line="360" w:lineRule="auto"/>
              <w:jc w:val="both"/>
              <w:rPr>
                <w:rFonts w:ascii="Arial" w:hAnsi="Arial"/>
                <w:b/>
                <w:bCs/>
                <w:sz w:val="26"/>
                <w:szCs w:val="26"/>
              </w:rPr>
            </w:pPr>
            <w:bookmarkStart w:id="0" w:name="LastJudge"/>
            <w:bookmarkEnd w:id="0"/>
            <w:r w:rsidRPr="00DA56CE">
              <w:rPr>
                <w:rFonts w:ascii="Arial" w:hAnsi="Arial" w:hint="cs"/>
                <w:b/>
                <w:bCs/>
                <w:sz w:val="26"/>
                <w:szCs w:val="26"/>
                <w:rtl/>
              </w:rPr>
              <w:t>בעניין:</w:t>
            </w:r>
          </w:p>
        </w:tc>
        <w:tc>
          <w:tcPr>
            <w:tcW w:w="5220" w:type="dxa"/>
            <w:tcBorders>
              <w:top w:val="nil"/>
              <w:left w:val="nil"/>
              <w:bottom w:val="nil"/>
              <w:right w:val="nil"/>
            </w:tcBorders>
            <w:shd w:val="clear" w:color="auto" w:fill="auto"/>
          </w:tcPr>
          <w:p w14:paraId="2C58E665" w14:textId="77777777" w:rsidR="00E07C13" w:rsidRPr="00DA56CE" w:rsidRDefault="00E07C13" w:rsidP="00E07C13">
            <w:pPr>
              <w:spacing w:line="360" w:lineRule="auto"/>
              <w:rPr>
                <w:rFonts w:ascii="Arial" w:hAnsi="Arial"/>
                <w:b/>
                <w:bCs/>
                <w:sz w:val="26"/>
                <w:szCs w:val="26"/>
              </w:rPr>
            </w:pPr>
            <w:r w:rsidRPr="00DA56CE">
              <w:rPr>
                <w:rFonts w:ascii="Arial" w:hAnsi="Arial"/>
                <w:b/>
                <w:bCs/>
                <w:sz w:val="26"/>
                <w:szCs w:val="26"/>
                <w:rtl/>
              </w:rPr>
              <w:t xml:space="preserve">     </w:t>
            </w:r>
          </w:p>
        </w:tc>
        <w:tc>
          <w:tcPr>
            <w:tcW w:w="2268" w:type="dxa"/>
            <w:gridSpan w:val="2"/>
            <w:tcBorders>
              <w:top w:val="nil"/>
              <w:left w:val="nil"/>
              <w:bottom w:val="nil"/>
              <w:right w:val="nil"/>
            </w:tcBorders>
            <w:shd w:val="clear" w:color="auto" w:fill="auto"/>
          </w:tcPr>
          <w:p w14:paraId="698B6F8E" w14:textId="77777777" w:rsidR="00E07C13" w:rsidRPr="00DA56CE" w:rsidRDefault="00E07C13" w:rsidP="00E07C13">
            <w:pPr>
              <w:spacing w:line="360" w:lineRule="auto"/>
              <w:jc w:val="both"/>
              <w:rPr>
                <w:rFonts w:ascii="Arial" w:hAnsi="Arial"/>
                <w:b/>
                <w:bCs/>
                <w:sz w:val="26"/>
                <w:szCs w:val="26"/>
              </w:rPr>
            </w:pPr>
          </w:p>
        </w:tc>
      </w:tr>
      <w:tr w:rsidR="00681FA7" w:rsidRPr="00DA56CE" w14:paraId="6DE8FE97" w14:textId="77777777" w:rsidTr="00E07C13">
        <w:trPr>
          <w:trHeight w:val="355"/>
          <w:jc w:val="center"/>
        </w:trPr>
        <w:tc>
          <w:tcPr>
            <w:tcW w:w="1332" w:type="dxa"/>
            <w:tcBorders>
              <w:top w:val="nil"/>
              <w:left w:val="nil"/>
              <w:bottom w:val="nil"/>
              <w:right w:val="nil"/>
            </w:tcBorders>
            <w:shd w:val="clear" w:color="auto" w:fill="auto"/>
          </w:tcPr>
          <w:p w14:paraId="2A1DD105" w14:textId="77777777" w:rsidR="00E07C13" w:rsidRPr="00DA56CE" w:rsidRDefault="00E07C13" w:rsidP="00E07C13">
            <w:pPr>
              <w:spacing w:line="360" w:lineRule="auto"/>
              <w:jc w:val="both"/>
              <w:rPr>
                <w:rFonts w:ascii="Arial" w:hAnsi="Arial"/>
                <w:b/>
                <w:bCs/>
                <w:sz w:val="26"/>
                <w:szCs w:val="26"/>
                <w:rtl/>
              </w:rPr>
            </w:pPr>
            <w:bookmarkStart w:id="1" w:name="FirstAppellant"/>
            <w:r w:rsidRPr="00DA56CE">
              <w:rPr>
                <w:rFonts w:ascii="Arial" w:hAnsi="Arial" w:hint="cs"/>
                <w:b/>
                <w:bCs/>
                <w:sz w:val="26"/>
                <w:szCs w:val="26"/>
                <w:rtl/>
              </w:rPr>
              <w:t>המאשימה:</w:t>
            </w:r>
          </w:p>
        </w:tc>
        <w:tc>
          <w:tcPr>
            <w:tcW w:w="5220" w:type="dxa"/>
            <w:tcBorders>
              <w:top w:val="nil"/>
              <w:left w:val="nil"/>
              <w:bottom w:val="nil"/>
              <w:right w:val="nil"/>
            </w:tcBorders>
            <w:shd w:val="clear" w:color="auto" w:fill="auto"/>
          </w:tcPr>
          <w:p w14:paraId="54E86742" w14:textId="77777777" w:rsidR="00E07C13" w:rsidRPr="00DA56CE" w:rsidRDefault="00E07C13" w:rsidP="00E07C13">
            <w:pPr>
              <w:spacing w:line="360" w:lineRule="auto"/>
              <w:jc w:val="both"/>
              <w:rPr>
                <w:rFonts w:ascii="Arial" w:hAnsi="Arial"/>
                <w:b/>
                <w:bCs/>
                <w:sz w:val="26"/>
                <w:szCs w:val="26"/>
                <w:rtl/>
              </w:rPr>
            </w:pPr>
            <w:r w:rsidRPr="00DA56CE">
              <w:rPr>
                <w:rFonts w:ascii="Arial" w:hAnsi="Arial" w:hint="cs"/>
                <w:b/>
                <w:bCs/>
                <w:sz w:val="26"/>
                <w:szCs w:val="26"/>
                <w:rtl/>
              </w:rPr>
              <w:t xml:space="preserve">מדינת ישראל </w:t>
            </w:r>
          </w:p>
        </w:tc>
        <w:tc>
          <w:tcPr>
            <w:tcW w:w="2268" w:type="dxa"/>
            <w:gridSpan w:val="2"/>
            <w:tcBorders>
              <w:top w:val="nil"/>
              <w:left w:val="nil"/>
              <w:bottom w:val="nil"/>
              <w:right w:val="nil"/>
            </w:tcBorders>
            <w:shd w:val="clear" w:color="auto" w:fill="auto"/>
          </w:tcPr>
          <w:p w14:paraId="72CE42E3" w14:textId="77777777" w:rsidR="00E07C13" w:rsidRPr="00DA56CE" w:rsidRDefault="00E07C13" w:rsidP="00E07C13">
            <w:pPr>
              <w:spacing w:line="360" w:lineRule="auto"/>
              <w:jc w:val="right"/>
              <w:rPr>
                <w:rFonts w:ascii="Arial" w:hAnsi="Arial"/>
                <w:b/>
                <w:bCs/>
                <w:sz w:val="26"/>
                <w:szCs w:val="26"/>
                <w:rtl/>
              </w:rPr>
            </w:pPr>
          </w:p>
        </w:tc>
      </w:tr>
      <w:bookmarkEnd w:id="1"/>
      <w:tr w:rsidR="00681FA7" w:rsidRPr="00DA56CE" w14:paraId="46E43064" w14:textId="77777777" w:rsidTr="00E07C13">
        <w:trPr>
          <w:trHeight w:val="355"/>
          <w:jc w:val="center"/>
        </w:trPr>
        <w:tc>
          <w:tcPr>
            <w:tcW w:w="1332" w:type="dxa"/>
            <w:tcBorders>
              <w:top w:val="nil"/>
              <w:left w:val="nil"/>
              <w:bottom w:val="nil"/>
              <w:right w:val="nil"/>
            </w:tcBorders>
            <w:shd w:val="clear" w:color="auto" w:fill="auto"/>
          </w:tcPr>
          <w:p w14:paraId="1E7BD813" w14:textId="77777777" w:rsidR="00E07C13" w:rsidRPr="00DA56CE" w:rsidRDefault="00E07C13" w:rsidP="00E07C13">
            <w:pPr>
              <w:spacing w:line="360" w:lineRule="auto"/>
              <w:jc w:val="both"/>
              <w:rPr>
                <w:rFonts w:ascii="Arial" w:hAnsi="Arial"/>
                <w:b/>
                <w:bCs/>
                <w:sz w:val="26"/>
                <w:szCs w:val="26"/>
                <w:rtl/>
              </w:rPr>
            </w:pPr>
          </w:p>
        </w:tc>
        <w:tc>
          <w:tcPr>
            <w:tcW w:w="7488" w:type="dxa"/>
            <w:gridSpan w:val="3"/>
            <w:tcBorders>
              <w:top w:val="nil"/>
              <w:left w:val="nil"/>
              <w:bottom w:val="nil"/>
              <w:right w:val="nil"/>
            </w:tcBorders>
            <w:shd w:val="clear" w:color="auto" w:fill="auto"/>
          </w:tcPr>
          <w:p w14:paraId="101D1610" w14:textId="77777777" w:rsidR="00E07C13" w:rsidRPr="00DA56CE" w:rsidRDefault="00E07C13" w:rsidP="00E07C13">
            <w:pPr>
              <w:spacing w:line="360" w:lineRule="auto"/>
              <w:jc w:val="center"/>
              <w:rPr>
                <w:rFonts w:ascii="Arial" w:hAnsi="Arial"/>
                <w:b/>
                <w:bCs/>
                <w:sz w:val="26"/>
                <w:szCs w:val="26"/>
              </w:rPr>
            </w:pPr>
            <w:r w:rsidRPr="00DA56CE">
              <w:rPr>
                <w:rFonts w:ascii="Arial" w:hAnsi="Arial"/>
                <w:b/>
                <w:bCs/>
                <w:sz w:val="30"/>
                <w:szCs w:val="30"/>
                <w:rtl/>
              </w:rPr>
              <w:t>נגד</w:t>
            </w:r>
          </w:p>
        </w:tc>
      </w:tr>
      <w:tr w:rsidR="00681FA7" w:rsidRPr="00DA56CE" w14:paraId="70A3ECB9" w14:textId="77777777" w:rsidTr="00E07C13">
        <w:trPr>
          <w:trHeight w:val="355"/>
          <w:jc w:val="center"/>
        </w:trPr>
        <w:tc>
          <w:tcPr>
            <w:tcW w:w="1332" w:type="dxa"/>
            <w:tcBorders>
              <w:top w:val="nil"/>
              <w:left w:val="nil"/>
              <w:bottom w:val="nil"/>
              <w:right w:val="nil"/>
            </w:tcBorders>
            <w:shd w:val="clear" w:color="auto" w:fill="auto"/>
          </w:tcPr>
          <w:p w14:paraId="3B21383B" w14:textId="77777777" w:rsidR="00E07C13" w:rsidRPr="00DA56CE" w:rsidRDefault="00E07C13" w:rsidP="00E07C13">
            <w:pPr>
              <w:spacing w:line="360" w:lineRule="auto"/>
              <w:rPr>
                <w:rFonts w:ascii="Arial" w:hAnsi="Arial"/>
                <w:b/>
                <w:bCs/>
                <w:sz w:val="26"/>
                <w:szCs w:val="26"/>
                <w:rtl/>
              </w:rPr>
            </w:pPr>
            <w:r w:rsidRPr="00DA56CE">
              <w:rPr>
                <w:rFonts w:ascii="Arial" w:hAnsi="Arial" w:hint="cs"/>
                <w:b/>
                <w:bCs/>
                <w:sz w:val="26"/>
                <w:szCs w:val="26"/>
                <w:rtl/>
              </w:rPr>
              <w:t>הנאשם:</w:t>
            </w:r>
          </w:p>
        </w:tc>
        <w:tc>
          <w:tcPr>
            <w:tcW w:w="5220" w:type="dxa"/>
            <w:tcBorders>
              <w:top w:val="nil"/>
              <w:left w:val="nil"/>
              <w:bottom w:val="nil"/>
              <w:right w:val="nil"/>
            </w:tcBorders>
            <w:shd w:val="clear" w:color="auto" w:fill="auto"/>
          </w:tcPr>
          <w:p w14:paraId="0477095A" w14:textId="77777777" w:rsidR="00E07C13" w:rsidRPr="00DA56CE" w:rsidRDefault="00E07C13" w:rsidP="00E07C13">
            <w:pPr>
              <w:spacing w:line="360" w:lineRule="auto"/>
              <w:rPr>
                <w:rFonts w:ascii="Arial" w:hAnsi="Arial"/>
                <w:b/>
                <w:bCs/>
                <w:sz w:val="26"/>
                <w:szCs w:val="26"/>
                <w:rtl/>
              </w:rPr>
            </w:pPr>
            <w:r w:rsidRPr="00DA56CE">
              <w:rPr>
                <w:rFonts w:ascii="Arial" w:hAnsi="Arial"/>
                <w:b/>
                <w:bCs/>
                <w:sz w:val="26"/>
                <w:szCs w:val="26"/>
                <w:rtl/>
              </w:rPr>
              <w:t>VAN THANG NGUYEN (עציר)</w:t>
            </w:r>
          </w:p>
        </w:tc>
        <w:tc>
          <w:tcPr>
            <w:tcW w:w="2268" w:type="dxa"/>
            <w:gridSpan w:val="2"/>
            <w:tcBorders>
              <w:top w:val="nil"/>
              <w:left w:val="nil"/>
              <w:bottom w:val="nil"/>
              <w:right w:val="nil"/>
            </w:tcBorders>
            <w:shd w:val="clear" w:color="auto" w:fill="auto"/>
          </w:tcPr>
          <w:p w14:paraId="65AE73F8" w14:textId="77777777" w:rsidR="00E07C13" w:rsidRPr="00DA56CE" w:rsidRDefault="00E07C13" w:rsidP="00E07C13">
            <w:pPr>
              <w:spacing w:line="360" w:lineRule="auto"/>
              <w:jc w:val="right"/>
              <w:rPr>
                <w:rFonts w:ascii="Arial" w:hAnsi="Arial"/>
                <w:b/>
                <w:bCs/>
                <w:sz w:val="26"/>
                <w:szCs w:val="26"/>
              </w:rPr>
            </w:pPr>
          </w:p>
        </w:tc>
      </w:tr>
      <w:tr w:rsidR="00681FA7" w:rsidRPr="004C04B9" w14:paraId="082D176F" w14:textId="77777777" w:rsidTr="00E07C13">
        <w:trPr>
          <w:trHeight w:val="355"/>
          <w:jc w:val="center"/>
        </w:trPr>
        <w:tc>
          <w:tcPr>
            <w:tcW w:w="8820" w:type="dxa"/>
            <w:gridSpan w:val="4"/>
            <w:tcBorders>
              <w:top w:val="nil"/>
              <w:left w:val="nil"/>
              <w:bottom w:val="nil"/>
              <w:right w:val="nil"/>
            </w:tcBorders>
            <w:shd w:val="clear" w:color="auto" w:fill="auto"/>
          </w:tcPr>
          <w:p w14:paraId="5BBD6A2B" w14:textId="77777777" w:rsidR="000154F0" w:rsidRPr="000154F0" w:rsidRDefault="000154F0" w:rsidP="000154F0">
            <w:pPr>
              <w:spacing w:after="120" w:line="240" w:lineRule="exact"/>
              <w:ind w:left="283" w:hanging="283"/>
              <w:jc w:val="both"/>
              <w:rPr>
                <w:rFonts w:ascii="FrankRuehl" w:hAnsi="FrankRuehl" w:cs="FrankRuehl"/>
                <w:rtl/>
              </w:rPr>
            </w:pPr>
            <w:bookmarkStart w:id="2" w:name="PsakDin" w:colFirst="0" w:colLast="0"/>
            <w:bookmarkStart w:id="3" w:name="LawTable"/>
            <w:bookmarkEnd w:id="3"/>
          </w:p>
          <w:p w14:paraId="0C9EE24B" w14:textId="77777777" w:rsidR="000154F0" w:rsidRPr="000154F0" w:rsidRDefault="000154F0" w:rsidP="000154F0">
            <w:pPr>
              <w:spacing w:after="120" w:line="240" w:lineRule="exact"/>
              <w:ind w:left="283" w:hanging="283"/>
              <w:jc w:val="both"/>
              <w:rPr>
                <w:rFonts w:ascii="FrankRuehl" w:hAnsi="FrankRuehl" w:cs="FrankRuehl"/>
                <w:rtl/>
              </w:rPr>
            </w:pPr>
            <w:r w:rsidRPr="000154F0">
              <w:rPr>
                <w:rFonts w:ascii="FrankRuehl" w:hAnsi="FrankRuehl" w:cs="FrankRuehl"/>
                <w:rtl/>
              </w:rPr>
              <w:t xml:space="preserve">חקיקה שאוזכרה: </w:t>
            </w:r>
          </w:p>
          <w:p w14:paraId="465C1596" w14:textId="77777777" w:rsidR="000154F0" w:rsidRPr="000154F0" w:rsidRDefault="000154F0" w:rsidP="000154F0">
            <w:pPr>
              <w:spacing w:after="120" w:line="240" w:lineRule="exact"/>
              <w:ind w:left="283" w:hanging="283"/>
              <w:jc w:val="both"/>
              <w:rPr>
                <w:rFonts w:ascii="FrankRuehl" w:hAnsi="FrankRuehl" w:cs="FrankRuehl"/>
                <w:rtl/>
              </w:rPr>
            </w:pPr>
            <w:hyperlink r:id="rId6" w:history="1">
              <w:r w:rsidRPr="000154F0">
                <w:rPr>
                  <w:rFonts w:ascii="FrankRuehl" w:hAnsi="FrankRuehl" w:cs="FrankRuehl"/>
                  <w:color w:val="0000FF"/>
                  <w:u w:val="single"/>
                  <w:rtl/>
                </w:rPr>
                <w:t>פקודת הסמים המסוכנים [נוסח חדש], תשל"ג-1973</w:t>
              </w:r>
            </w:hyperlink>
            <w:r w:rsidRPr="000154F0">
              <w:rPr>
                <w:rFonts w:ascii="FrankRuehl" w:hAnsi="FrankRuehl" w:cs="FrankRuehl"/>
                <w:rtl/>
              </w:rPr>
              <w:t xml:space="preserve">: סע'  </w:t>
            </w:r>
            <w:hyperlink r:id="rId7" w:history="1">
              <w:r w:rsidRPr="000154F0">
                <w:rPr>
                  <w:rFonts w:ascii="FrankRuehl" w:hAnsi="FrankRuehl" w:cs="FrankRuehl"/>
                  <w:color w:val="0000FF"/>
                  <w:u w:val="single"/>
                  <w:rtl/>
                </w:rPr>
                <w:t>13</w:t>
              </w:r>
            </w:hyperlink>
          </w:p>
          <w:p w14:paraId="55B4FA20" w14:textId="77777777" w:rsidR="000154F0" w:rsidRPr="000154F0" w:rsidRDefault="000154F0" w:rsidP="000154F0">
            <w:pPr>
              <w:spacing w:after="120" w:line="240" w:lineRule="exact"/>
              <w:ind w:left="283" w:hanging="283"/>
              <w:jc w:val="both"/>
              <w:rPr>
                <w:rFonts w:ascii="FrankRuehl" w:hAnsi="FrankRuehl" w:cs="FrankRuehl"/>
                <w:rtl/>
              </w:rPr>
            </w:pPr>
            <w:hyperlink r:id="rId8" w:history="1">
              <w:r w:rsidRPr="000154F0">
                <w:rPr>
                  <w:rFonts w:ascii="FrankRuehl" w:hAnsi="FrankRuehl" w:cs="FrankRuehl"/>
                  <w:color w:val="0000FF"/>
                  <w:u w:val="single"/>
                  <w:rtl/>
                </w:rPr>
                <w:t>חוק העונשין, תשל"ז-1977</w:t>
              </w:r>
            </w:hyperlink>
            <w:r w:rsidRPr="000154F0">
              <w:rPr>
                <w:rFonts w:ascii="FrankRuehl" w:hAnsi="FrankRuehl" w:cs="FrankRuehl"/>
                <w:rtl/>
              </w:rPr>
              <w:t xml:space="preserve">: סע'  </w:t>
            </w:r>
            <w:hyperlink r:id="rId9" w:history="1">
              <w:r w:rsidRPr="000154F0">
                <w:rPr>
                  <w:rFonts w:ascii="FrankRuehl" w:hAnsi="FrankRuehl" w:cs="FrankRuehl"/>
                  <w:color w:val="0000FF"/>
                  <w:u w:val="single"/>
                  <w:rtl/>
                </w:rPr>
                <w:t>441</w:t>
              </w:r>
            </w:hyperlink>
          </w:p>
          <w:p w14:paraId="1AEC8747" w14:textId="77777777" w:rsidR="000154F0" w:rsidRPr="000154F0" w:rsidRDefault="000154F0" w:rsidP="000154F0">
            <w:pPr>
              <w:spacing w:after="120" w:line="240" w:lineRule="exact"/>
              <w:ind w:left="283" w:hanging="283"/>
              <w:jc w:val="both"/>
              <w:rPr>
                <w:rFonts w:ascii="FrankRuehl" w:hAnsi="FrankRuehl" w:cs="FrankRuehl"/>
                <w:rtl/>
              </w:rPr>
            </w:pPr>
            <w:hyperlink r:id="rId10" w:history="1">
              <w:r w:rsidRPr="000154F0">
                <w:rPr>
                  <w:rFonts w:ascii="FrankRuehl" w:hAnsi="FrankRuehl" w:cs="FrankRuehl"/>
                  <w:color w:val="0000FF"/>
                  <w:u w:val="single"/>
                  <w:rtl/>
                </w:rPr>
                <w:t>חוק הכניסה לישראל, תשי"ב-1952</w:t>
              </w:r>
            </w:hyperlink>
            <w:r w:rsidRPr="000154F0">
              <w:rPr>
                <w:rFonts w:ascii="FrankRuehl" w:hAnsi="FrankRuehl" w:cs="FrankRuehl"/>
                <w:rtl/>
              </w:rPr>
              <w:t xml:space="preserve">: סע'  </w:t>
            </w:r>
            <w:hyperlink r:id="rId11" w:history="1">
              <w:r w:rsidRPr="000154F0">
                <w:rPr>
                  <w:rFonts w:ascii="FrankRuehl" w:hAnsi="FrankRuehl" w:cs="FrankRuehl"/>
                  <w:color w:val="0000FF"/>
                  <w:u w:val="single"/>
                  <w:rtl/>
                </w:rPr>
                <w:t>12(1)</w:t>
              </w:r>
            </w:hyperlink>
          </w:p>
          <w:p w14:paraId="7F0E669C" w14:textId="77777777" w:rsidR="000154F0" w:rsidRPr="000154F0" w:rsidRDefault="000154F0" w:rsidP="000154F0">
            <w:pPr>
              <w:spacing w:after="120" w:line="240" w:lineRule="exact"/>
              <w:ind w:left="283" w:hanging="283"/>
              <w:jc w:val="both"/>
              <w:rPr>
                <w:rFonts w:ascii="FrankRuehl" w:hAnsi="FrankRuehl" w:cs="FrankRuehl"/>
                <w:rtl/>
              </w:rPr>
            </w:pPr>
          </w:p>
          <w:p w14:paraId="66837B3C" w14:textId="77777777" w:rsidR="000154F0" w:rsidRPr="000154F0" w:rsidRDefault="000154F0" w:rsidP="00DA56CE">
            <w:pPr>
              <w:spacing w:line="360" w:lineRule="auto"/>
              <w:jc w:val="center"/>
              <w:rPr>
                <w:rFonts w:ascii="Arial" w:hAnsi="Arial"/>
                <w:sz w:val="28"/>
                <w:szCs w:val="28"/>
                <w:rtl/>
              </w:rPr>
            </w:pPr>
            <w:bookmarkStart w:id="4" w:name="LawTable_End"/>
            <w:bookmarkEnd w:id="4"/>
          </w:p>
          <w:p w14:paraId="5D1BA3B5" w14:textId="77777777" w:rsidR="00DA56CE" w:rsidRPr="00DA56CE" w:rsidRDefault="00DA56CE" w:rsidP="00DA56CE">
            <w:pPr>
              <w:spacing w:line="360" w:lineRule="auto"/>
              <w:jc w:val="center"/>
              <w:rPr>
                <w:rFonts w:ascii="Arial" w:hAnsi="Arial"/>
                <w:b/>
                <w:bCs/>
                <w:sz w:val="28"/>
                <w:szCs w:val="28"/>
                <w:u w:val="single"/>
                <w:rtl/>
              </w:rPr>
            </w:pPr>
            <w:r w:rsidRPr="00DA56CE">
              <w:rPr>
                <w:rFonts w:ascii="Arial" w:hAnsi="Arial"/>
                <w:b/>
                <w:bCs/>
                <w:sz w:val="28"/>
                <w:szCs w:val="28"/>
                <w:u w:val="single"/>
                <w:rtl/>
              </w:rPr>
              <w:t>גזר דין</w:t>
            </w:r>
          </w:p>
          <w:p w14:paraId="08643AB6" w14:textId="77777777" w:rsidR="00E07C13" w:rsidRPr="00DA56CE" w:rsidRDefault="00E07C13" w:rsidP="00DA56CE">
            <w:pPr>
              <w:spacing w:line="360" w:lineRule="auto"/>
              <w:jc w:val="center"/>
              <w:rPr>
                <w:rFonts w:ascii="Arial" w:hAnsi="Arial"/>
                <w:b/>
                <w:bCs/>
                <w:sz w:val="26"/>
                <w:szCs w:val="26"/>
                <w:u w:val="single"/>
                <w:rtl/>
              </w:rPr>
            </w:pPr>
          </w:p>
        </w:tc>
      </w:tr>
      <w:bookmarkEnd w:id="2"/>
    </w:tbl>
    <w:p w14:paraId="44E8C375" w14:textId="77777777" w:rsidR="00E07C13" w:rsidRPr="00B05847" w:rsidRDefault="00E07C13" w:rsidP="00E07C13">
      <w:pPr>
        <w:spacing w:line="360" w:lineRule="auto"/>
        <w:rPr>
          <w:rFonts w:ascii="Arial" w:hAnsi="Arial"/>
          <w:rtl/>
        </w:rPr>
      </w:pPr>
    </w:p>
    <w:p w14:paraId="309F39F2" w14:textId="77777777" w:rsidR="00E07C13" w:rsidRPr="00B05847" w:rsidRDefault="00E07C13" w:rsidP="00E07C13">
      <w:pPr>
        <w:spacing w:line="360" w:lineRule="auto"/>
        <w:jc w:val="both"/>
        <w:rPr>
          <w:rFonts w:ascii="Arial" w:hAnsi="Arial"/>
          <w:rtl/>
        </w:rPr>
      </w:pPr>
    </w:p>
    <w:p w14:paraId="677EB59B" w14:textId="77777777" w:rsidR="00E07C13" w:rsidRDefault="00E07C13" w:rsidP="00E07C13">
      <w:pPr>
        <w:autoSpaceDE w:val="0"/>
        <w:autoSpaceDN w:val="0"/>
        <w:adjustRightInd w:val="0"/>
        <w:spacing w:line="360" w:lineRule="auto"/>
        <w:ind w:left="720" w:hanging="720"/>
        <w:jc w:val="both"/>
      </w:pPr>
      <w:r>
        <w:rPr>
          <w:rFonts w:hint="cs"/>
          <w:rtl/>
        </w:rPr>
        <w:t>1.</w:t>
      </w:r>
      <w:r>
        <w:rPr>
          <w:rFonts w:hint="cs"/>
          <w:rtl/>
        </w:rPr>
        <w:tab/>
        <w:t xml:space="preserve">בטרם שמיעת הראיות בתיק, הגיעו הצדדים להסדר טיעון במסגרתו כתב האישום שהוגש נגד הנאשם תוקן, והנאשם הודה בעובדות כתב האישום המתוקן, שאלה עיקריהן- </w:t>
      </w:r>
    </w:p>
    <w:p w14:paraId="0309DA19" w14:textId="77777777" w:rsidR="00E07C13" w:rsidRDefault="00E07C13" w:rsidP="00E07C13">
      <w:pPr>
        <w:autoSpaceDE w:val="0"/>
        <w:autoSpaceDN w:val="0"/>
        <w:adjustRightInd w:val="0"/>
        <w:spacing w:line="360" w:lineRule="auto"/>
        <w:ind w:left="720"/>
        <w:jc w:val="both"/>
        <w:rPr>
          <w:rtl/>
        </w:rPr>
      </w:pPr>
      <w:r>
        <w:rPr>
          <w:rFonts w:hint="cs"/>
          <w:rtl/>
        </w:rPr>
        <w:t>הנאשם</w:t>
      </w:r>
      <w:r>
        <w:rPr>
          <w:rFonts w:hint="cs"/>
        </w:rPr>
        <w:t xml:space="preserve"> </w:t>
      </w:r>
      <w:r>
        <w:rPr>
          <w:rFonts w:hint="cs"/>
          <w:rtl/>
        </w:rPr>
        <w:t xml:space="preserve">הוא אזרח ויאטנם אשר הגיע לישראל בשנת 2010 ושהה בה בהתאם לאשרת עבודה שניתנה לו שתוקפה היה עד לתאריך 20.03.16, ומאז הוא שוהה בישראל שלא כדין. בתקופה הרלוונטית לכתב האישום, הנאשם עבד במושב מלילות. </w:t>
      </w:r>
    </w:p>
    <w:p w14:paraId="2C009BF1" w14:textId="77777777" w:rsidR="00E07C13" w:rsidRDefault="00E07C13" w:rsidP="00E07C13">
      <w:pPr>
        <w:autoSpaceDE w:val="0"/>
        <w:autoSpaceDN w:val="0"/>
        <w:adjustRightInd w:val="0"/>
        <w:spacing w:line="360" w:lineRule="auto"/>
        <w:ind w:left="720"/>
        <w:jc w:val="both"/>
        <w:rPr>
          <w:rtl/>
        </w:rPr>
      </w:pPr>
    </w:p>
    <w:p w14:paraId="2E6B427F" w14:textId="77777777" w:rsidR="00E07C13" w:rsidRDefault="00E07C13" w:rsidP="00E07C13">
      <w:pPr>
        <w:autoSpaceDE w:val="0"/>
        <w:autoSpaceDN w:val="0"/>
        <w:adjustRightInd w:val="0"/>
        <w:spacing w:line="360" w:lineRule="auto"/>
        <w:ind w:left="720"/>
        <w:jc w:val="both"/>
        <w:rPr>
          <w:rtl/>
        </w:rPr>
      </w:pPr>
      <w:r>
        <w:rPr>
          <w:rFonts w:hint="cs"/>
          <w:rtl/>
        </w:rPr>
        <w:t xml:space="preserve">במועד שאינו ידוע למאשימה, הנאשם התבקש ע"י אחרים לייבא כמות גדולה של סם מסוכן מסוג מתאמפתמין מויאטנם לישראל. לשם כך נמסר לנאשם, ע"י אחרים, דרכון של אזרח תאילנדי שהגיע לישראל באשרת עבודה בשנת 2015. </w:t>
      </w:r>
    </w:p>
    <w:p w14:paraId="63E2D9BA" w14:textId="77777777" w:rsidR="00E07C13" w:rsidRDefault="00E07C13" w:rsidP="00E07C13">
      <w:pPr>
        <w:autoSpaceDE w:val="0"/>
        <w:autoSpaceDN w:val="0"/>
        <w:adjustRightInd w:val="0"/>
        <w:spacing w:line="360" w:lineRule="auto"/>
        <w:ind w:left="720"/>
        <w:jc w:val="both"/>
        <w:rPr>
          <w:rtl/>
        </w:rPr>
      </w:pPr>
    </w:p>
    <w:p w14:paraId="10C79B60" w14:textId="77777777" w:rsidR="00E07C13" w:rsidRDefault="00E07C13" w:rsidP="00E07C13">
      <w:pPr>
        <w:autoSpaceDE w:val="0"/>
        <w:autoSpaceDN w:val="0"/>
        <w:adjustRightInd w:val="0"/>
        <w:spacing w:line="360" w:lineRule="auto"/>
        <w:ind w:left="720"/>
        <w:jc w:val="both"/>
        <w:rPr>
          <w:rtl/>
        </w:rPr>
      </w:pPr>
      <w:r>
        <w:rPr>
          <w:rFonts w:hint="cs"/>
          <w:rtl/>
        </w:rPr>
        <w:t xml:space="preserve">הנאשם פנה לחברו, סיפר לו שאמורה להגיע חבילה המיועדת לבעל הדרכון – שהוא חברו של הנאשם, וביקש ממנו סיוע בקבלתה עבור החבר, מבלי להודיע לו שהחבילה מכילה סם. </w:t>
      </w:r>
    </w:p>
    <w:p w14:paraId="54A06D71" w14:textId="77777777" w:rsidR="00E07C13" w:rsidRDefault="00E07C13" w:rsidP="00E07C13">
      <w:pPr>
        <w:autoSpaceDE w:val="0"/>
        <w:autoSpaceDN w:val="0"/>
        <w:adjustRightInd w:val="0"/>
        <w:spacing w:line="360" w:lineRule="auto"/>
        <w:ind w:left="720" w:hanging="720"/>
        <w:jc w:val="both"/>
        <w:rPr>
          <w:rtl/>
        </w:rPr>
      </w:pPr>
      <w:r>
        <w:rPr>
          <w:rFonts w:hint="cs"/>
          <w:rtl/>
        </w:rPr>
        <w:lastRenderedPageBreak/>
        <w:tab/>
        <w:t xml:space="preserve">בתאריך 08.06.17 הגיעה החבילה ובה הסמים לישראל באמצעות חברת </w:t>
      </w:r>
      <w:r>
        <w:t>UPS</w:t>
      </w:r>
      <w:r>
        <w:rPr>
          <w:rFonts w:hint="cs"/>
          <w:rtl/>
        </w:rPr>
        <w:t xml:space="preserve">, היא מוענה לבעל הדרכון במושב מלילות ונמסר מספר הטלפון של חברו של הנאשם ליצירת קשר. החבילה נבדקה ע"י המשטרה ורשות המיסים ונמצא כי היא מכילה ארבע חבילות של סם מסוכן מסוג מתאמפתמין. במסגרת פעילות המשטרה, בתאריך 11.06.17, שוטר הציג עצמו כשליח של חברת </w:t>
      </w:r>
      <w:r>
        <w:t>UPS</w:t>
      </w:r>
      <w:r>
        <w:rPr>
          <w:rFonts w:hint="cs"/>
          <w:rtl/>
        </w:rPr>
        <w:t xml:space="preserve"> וביקש למצוא את מקבל החבילה, ולאחר בירור עם חברי הנאשם, התקשר למעסיק של הנאשם, והמעסיק- שעודכן על ידי הנאשם כי הוא מחכה לחבילה, הנחה את השוטר כיצד להגיע למושב. כאשר השוטר הגיע למושב, הגיע אליו הנאשם, הציג בפניו את הדרכון שפרטיו הופיעו בפרטי המשלוח, וטען כי הוא הנמען. בחבילה היו ארבע אריזות של סם מסוכן מסוג מתאמפתמין במשקל כולל של </w:t>
      </w:r>
      <w:smartTag w:uri="urn:schemas-microsoft-com:office:smarttags" w:element="metricconverter">
        <w:smartTagPr>
          <w:attr w:name="ProductID" w:val="481.13 גרם"/>
        </w:smartTagPr>
        <w:r>
          <w:rPr>
            <w:rFonts w:hint="cs"/>
            <w:rtl/>
          </w:rPr>
          <w:t>481.13 גרם</w:t>
        </w:r>
      </w:smartTag>
      <w:r>
        <w:rPr>
          <w:rFonts w:hint="cs"/>
          <w:rtl/>
        </w:rPr>
        <w:t xml:space="preserve">. </w:t>
      </w:r>
    </w:p>
    <w:p w14:paraId="29937167" w14:textId="77777777" w:rsidR="00E07C13" w:rsidRDefault="00E07C13" w:rsidP="00E07C13">
      <w:pPr>
        <w:autoSpaceDE w:val="0"/>
        <w:autoSpaceDN w:val="0"/>
        <w:adjustRightInd w:val="0"/>
        <w:spacing w:line="360" w:lineRule="auto"/>
        <w:ind w:left="720" w:hanging="720"/>
        <w:jc w:val="both"/>
        <w:rPr>
          <w:rtl/>
        </w:rPr>
      </w:pPr>
    </w:p>
    <w:p w14:paraId="18723EBB" w14:textId="77777777" w:rsidR="00E07C13" w:rsidRDefault="00E07C13" w:rsidP="00E07C13">
      <w:pPr>
        <w:autoSpaceDE w:val="0"/>
        <w:autoSpaceDN w:val="0"/>
        <w:adjustRightInd w:val="0"/>
        <w:spacing w:line="360" w:lineRule="auto"/>
        <w:ind w:left="720" w:hanging="720"/>
        <w:jc w:val="both"/>
        <w:rPr>
          <w:rtl/>
        </w:rPr>
      </w:pPr>
      <w:r>
        <w:rPr>
          <w:rFonts w:hint="cs"/>
          <w:rtl/>
        </w:rPr>
        <w:t>2.</w:t>
      </w:r>
      <w:r>
        <w:rPr>
          <w:rFonts w:hint="cs"/>
          <w:rtl/>
        </w:rPr>
        <w:tab/>
        <w:t xml:space="preserve">על רקע הודאת הנאשם בעובדות כתב האישום המתוקן, כאמור, הוא הורשע בעבירות של ייבוא סם, לפי </w:t>
      </w:r>
      <w:hyperlink r:id="rId12" w:history="1">
        <w:r w:rsidR="000154F0" w:rsidRPr="000154F0">
          <w:rPr>
            <w:color w:val="0000FF"/>
            <w:u w:val="single"/>
            <w:rtl/>
          </w:rPr>
          <w:t>סעיף 13</w:t>
        </w:r>
      </w:hyperlink>
      <w:r>
        <w:rPr>
          <w:rFonts w:hint="cs"/>
          <w:rtl/>
        </w:rPr>
        <w:t xml:space="preserve"> ל</w:t>
      </w:r>
      <w:hyperlink r:id="rId13" w:history="1">
        <w:r w:rsidR="00DA56CE" w:rsidRPr="00DA56CE">
          <w:rPr>
            <w:color w:val="0000FF"/>
            <w:u w:val="single"/>
            <w:rtl/>
          </w:rPr>
          <w:t>פקודת הסמים המסוכנים</w:t>
        </w:r>
      </w:hyperlink>
      <w:r>
        <w:rPr>
          <w:rFonts w:hint="cs"/>
          <w:rtl/>
        </w:rPr>
        <w:t xml:space="preserve"> [נוסח חדש] תשל"ג-1973; התחזות לאחר, לפי </w:t>
      </w:r>
      <w:hyperlink r:id="rId14" w:history="1">
        <w:r w:rsidR="000154F0" w:rsidRPr="000154F0">
          <w:rPr>
            <w:color w:val="0000FF"/>
            <w:u w:val="single"/>
            <w:rtl/>
          </w:rPr>
          <w:t>סעיף 441</w:t>
        </w:r>
      </w:hyperlink>
      <w:r>
        <w:rPr>
          <w:rFonts w:hint="cs"/>
          <w:rtl/>
        </w:rPr>
        <w:t xml:space="preserve"> ל</w:t>
      </w:r>
      <w:hyperlink r:id="rId15" w:history="1">
        <w:r w:rsidR="00DA56CE" w:rsidRPr="00DA56CE">
          <w:rPr>
            <w:color w:val="0000FF"/>
            <w:u w:val="single"/>
            <w:rtl/>
          </w:rPr>
          <w:t>חוק העונשין</w:t>
        </w:r>
      </w:hyperlink>
      <w:r>
        <w:rPr>
          <w:rFonts w:hint="cs"/>
          <w:rtl/>
        </w:rPr>
        <w:t xml:space="preserve"> תשל"ז-1977; , ושהייה ללא היתר, לפי </w:t>
      </w:r>
      <w:hyperlink r:id="rId16" w:history="1">
        <w:r w:rsidR="000154F0" w:rsidRPr="000154F0">
          <w:rPr>
            <w:color w:val="0000FF"/>
            <w:u w:val="single"/>
            <w:rtl/>
          </w:rPr>
          <w:t>סעיף 12(1)</w:t>
        </w:r>
      </w:hyperlink>
      <w:r>
        <w:rPr>
          <w:rFonts w:hint="cs"/>
          <w:rtl/>
        </w:rPr>
        <w:t xml:space="preserve"> ל</w:t>
      </w:r>
      <w:hyperlink r:id="rId17" w:history="1">
        <w:r w:rsidR="00DA56CE" w:rsidRPr="00DA56CE">
          <w:rPr>
            <w:color w:val="0000FF"/>
            <w:u w:val="single"/>
            <w:rtl/>
          </w:rPr>
          <w:t>חוק הכניסה לישראל</w:t>
        </w:r>
      </w:hyperlink>
      <w:r>
        <w:rPr>
          <w:rFonts w:hint="cs"/>
          <w:rtl/>
        </w:rPr>
        <w:t>, התשי"ב-1952.</w:t>
      </w:r>
    </w:p>
    <w:p w14:paraId="71DD5C41" w14:textId="77777777" w:rsidR="00E07C13" w:rsidRDefault="00E07C13" w:rsidP="00E07C13">
      <w:pPr>
        <w:autoSpaceDE w:val="0"/>
        <w:autoSpaceDN w:val="0"/>
        <w:adjustRightInd w:val="0"/>
        <w:spacing w:line="360" w:lineRule="auto"/>
        <w:ind w:left="720" w:hanging="720"/>
        <w:jc w:val="both"/>
        <w:rPr>
          <w:rtl/>
        </w:rPr>
      </w:pPr>
    </w:p>
    <w:p w14:paraId="54291F06" w14:textId="77777777" w:rsidR="00E07C13" w:rsidRDefault="00E07C13" w:rsidP="00E07C13">
      <w:pPr>
        <w:autoSpaceDE w:val="0"/>
        <w:autoSpaceDN w:val="0"/>
        <w:adjustRightInd w:val="0"/>
        <w:spacing w:line="360" w:lineRule="auto"/>
        <w:ind w:left="720" w:hanging="720"/>
        <w:jc w:val="both"/>
        <w:rPr>
          <w:rtl/>
        </w:rPr>
      </w:pPr>
      <w:r>
        <w:rPr>
          <w:rFonts w:hint="cs"/>
          <w:rtl/>
        </w:rPr>
        <w:t>3.</w:t>
      </w:r>
      <w:r>
        <w:rPr>
          <w:rFonts w:hint="cs"/>
          <w:rtl/>
        </w:rPr>
        <w:tab/>
        <w:t>הודאת הנאשם באה במסגרת</w:t>
      </w:r>
      <w:r>
        <w:rPr>
          <w:rFonts w:hint="cs"/>
        </w:rPr>
        <w:t xml:space="preserve"> </w:t>
      </w:r>
      <w:r>
        <w:rPr>
          <w:rFonts w:hint="cs"/>
          <w:rtl/>
        </w:rPr>
        <w:t>הסדר</w:t>
      </w:r>
      <w:r>
        <w:rPr>
          <w:rFonts w:hint="cs"/>
        </w:rPr>
        <w:t xml:space="preserve"> </w:t>
      </w:r>
      <w:r>
        <w:rPr>
          <w:rFonts w:hint="cs"/>
          <w:rtl/>
        </w:rPr>
        <w:t>טיעון,</w:t>
      </w:r>
      <w:r>
        <w:rPr>
          <w:rFonts w:hint="cs"/>
        </w:rPr>
        <w:t xml:space="preserve"> </w:t>
      </w:r>
      <w:r>
        <w:rPr>
          <w:rFonts w:hint="cs"/>
          <w:rtl/>
        </w:rPr>
        <w:t xml:space="preserve">בגדרו המליצו הצדדים לבית המשפט להטיל על הנאשם 27 חודשי מאסר בפועל מיום מעצרו, מאסר על תנאי וקנס. </w:t>
      </w:r>
    </w:p>
    <w:p w14:paraId="48981B4C" w14:textId="77777777" w:rsidR="00E07C13" w:rsidRDefault="00E07C13" w:rsidP="00E07C13">
      <w:pPr>
        <w:autoSpaceDE w:val="0"/>
        <w:autoSpaceDN w:val="0"/>
        <w:adjustRightInd w:val="0"/>
        <w:spacing w:line="360" w:lineRule="auto"/>
        <w:ind w:left="720" w:hanging="720"/>
        <w:jc w:val="both"/>
        <w:rPr>
          <w:rtl/>
        </w:rPr>
      </w:pPr>
    </w:p>
    <w:p w14:paraId="0E5BFE97" w14:textId="77777777" w:rsidR="00E07C13" w:rsidRDefault="00E07C13" w:rsidP="00E07C13">
      <w:pPr>
        <w:autoSpaceDE w:val="0"/>
        <w:autoSpaceDN w:val="0"/>
        <w:adjustRightInd w:val="0"/>
        <w:spacing w:line="360" w:lineRule="auto"/>
        <w:ind w:left="720" w:hanging="720"/>
        <w:jc w:val="both"/>
        <w:rPr>
          <w:rtl/>
        </w:rPr>
      </w:pPr>
      <w:r>
        <w:rPr>
          <w:rFonts w:hint="cs"/>
          <w:rtl/>
        </w:rPr>
        <w:t>4.</w:t>
      </w:r>
      <w:r>
        <w:rPr>
          <w:rFonts w:hint="cs"/>
          <w:rtl/>
        </w:rPr>
        <w:tab/>
        <w:t xml:space="preserve">ב"כ המאשימה ביקשה לאמץ את הסדר הטיעון. היא ציינה כי ההסדר הושג לאחר הליך גישור. הוסיפה, כי המאשימה קיבלה את גרסת הנאשם לפיה הוא אינו הבעלים של הסם, אלא הוא נשלח על ידי אחר, והסבירה כי הרקע העיקרי להסדר הוא קושי ראייתי, ובין היתר, בעיות תרגום במהלך גביית אמרותיו של הנאשם, שבוצע טלפונית עם מתורגמנית; אי מיצוי גביית האמרות עד תום; והיעדר קול בחלק מהדיסקים המתעדים את חקירות הנאשם. עוד ציינה, כי נלקחה בחשבון העובדה שהנאשם אזרח זר שנשיאת מאסר בישראל קשה לו יותר; כי הנאשם הודה במיוחס לו; וחסך בזמן שיפוטי. </w:t>
      </w:r>
    </w:p>
    <w:p w14:paraId="7A42A15F" w14:textId="77777777" w:rsidR="00E07C13" w:rsidRDefault="00E07C13" w:rsidP="00E07C13">
      <w:pPr>
        <w:autoSpaceDE w:val="0"/>
        <w:autoSpaceDN w:val="0"/>
        <w:adjustRightInd w:val="0"/>
        <w:spacing w:line="360" w:lineRule="auto"/>
        <w:ind w:left="720" w:hanging="720"/>
        <w:jc w:val="both"/>
        <w:rPr>
          <w:rtl/>
        </w:rPr>
      </w:pPr>
    </w:p>
    <w:p w14:paraId="6935B464" w14:textId="77777777" w:rsidR="00E07C13" w:rsidRDefault="00E07C13" w:rsidP="00E07C13">
      <w:pPr>
        <w:autoSpaceDE w:val="0"/>
        <w:autoSpaceDN w:val="0"/>
        <w:adjustRightInd w:val="0"/>
        <w:spacing w:line="360" w:lineRule="auto"/>
        <w:ind w:left="720"/>
        <w:jc w:val="both"/>
        <w:rPr>
          <w:rtl/>
        </w:rPr>
      </w:pPr>
      <w:r>
        <w:rPr>
          <w:rFonts w:hint="cs"/>
          <w:rtl/>
        </w:rPr>
        <w:t xml:space="preserve">ב"כ הנאשם עתר לאמץ את הסדר הטיעון. הוסיף, כי הנאשם בן 30. נמצא בארץ מזה כחמש שנים ועובד בחקלאות. מצבה הכלכלי של משפחתו הגרה בויאטנם קשה מאד, והוא היה המפרנס היחיד שלה. הוסיף, כי בסופו של יום הסם נתפס, וציין כי היו מעורבים נוספים בפרשה שלא נעצרו ולא הובאו לדין. </w:t>
      </w:r>
    </w:p>
    <w:p w14:paraId="4C565C56" w14:textId="77777777" w:rsidR="00E07C13" w:rsidRDefault="00E07C13" w:rsidP="00E07C13">
      <w:pPr>
        <w:autoSpaceDE w:val="0"/>
        <w:autoSpaceDN w:val="0"/>
        <w:adjustRightInd w:val="0"/>
        <w:spacing w:line="360" w:lineRule="auto"/>
        <w:ind w:left="720"/>
        <w:jc w:val="both"/>
        <w:rPr>
          <w:rtl/>
        </w:rPr>
      </w:pPr>
    </w:p>
    <w:p w14:paraId="28211A52" w14:textId="77777777" w:rsidR="00E07C13" w:rsidRDefault="00E07C13" w:rsidP="00E07C13">
      <w:pPr>
        <w:autoSpaceDE w:val="0"/>
        <w:autoSpaceDN w:val="0"/>
        <w:adjustRightInd w:val="0"/>
        <w:spacing w:line="360" w:lineRule="auto"/>
        <w:ind w:left="720"/>
        <w:jc w:val="both"/>
        <w:rPr>
          <w:rFonts w:ascii="David"/>
          <w:rtl/>
        </w:rPr>
      </w:pPr>
      <w:r>
        <w:rPr>
          <w:rFonts w:hint="cs"/>
          <w:rtl/>
        </w:rPr>
        <w:t xml:space="preserve">הנאשם הביע צער על מעשיו וביקש התחשבות. </w:t>
      </w:r>
    </w:p>
    <w:p w14:paraId="18FB95C8" w14:textId="77777777" w:rsidR="00E07C13" w:rsidRDefault="00E07C13" w:rsidP="00E07C13">
      <w:pPr>
        <w:autoSpaceDE w:val="0"/>
        <w:autoSpaceDN w:val="0"/>
        <w:adjustRightInd w:val="0"/>
        <w:spacing w:line="360" w:lineRule="auto"/>
        <w:jc w:val="both"/>
      </w:pPr>
      <w:r>
        <w:rPr>
          <w:rFonts w:hint="cs"/>
        </w:rPr>
        <w:t xml:space="preserve"> </w:t>
      </w:r>
    </w:p>
    <w:p w14:paraId="06ADD2E8" w14:textId="77777777" w:rsidR="00E07C13" w:rsidRDefault="00E07C13" w:rsidP="00E07C13">
      <w:pPr>
        <w:spacing w:line="360" w:lineRule="auto"/>
        <w:ind w:left="720" w:hanging="720"/>
        <w:jc w:val="both"/>
        <w:rPr>
          <w:rtl/>
        </w:rPr>
      </w:pPr>
      <w:r>
        <w:rPr>
          <w:rFonts w:hint="cs"/>
          <w:rtl/>
        </w:rPr>
        <w:t>5.</w:t>
      </w:r>
      <w:r>
        <w:rPr>
          <w:rFonts w:hint="cs"/>
          <w:rtl/>
        </w:rPr>
        <w:tab/>
        <w:t xml:space="preserve">בהתחשב במעשה הנאשם, בסוג הסם ובכמותו, בעובדה שהסם נתפס ולא הופץ, ברקע להסדר הטיעון, בעבירות בהן הורשע הנאשם, בהודאת הנאשם, בענישה הנוהגת, בנסיבותיו </w:t>
      </w:r>
      <w:r>
        <w:rPr>
          <w:rFonts w:hint="cs"/>
          <w:rtl/>
        </w:rPr>
        <w:lastRenderedPageBreak/>
        <w:t>האישיות של הנאשם, ובקושי המיוחד של הנאשם, שהוא זר בישראל, אינו דובר את השפה העברית, ונמצא כאן בגפו, לשאת מאסר, נראה לי שהעונש המומלץ בהסדר הטיעון ראוי ויש לאמצו.</w:t>
      </w:r>
    </w:p>
    <w:p w14:paraId="5580B910" w14:textId="77777777" w:rsidR="00E07C13" w:rsidRDefault="00E07C13" w:rsidP="00E07C13">
      <w:pPr>
        <w:spacing w:line="360" w:lineRule="auto"/>
        <w:ind w:left="720" w:hanging="720"/>
        <w:jc w:val="both"/>
        <w:rPr>
          <w:rtl/>
        </w:rPr>
      </w:pPr>
    </w:p>
    <w:p w14:paraId="46489026" w14:textId="77777777" w:rsidR="00E07C13" w:rsidRDefault="00E07C13" w:rsidP="00E07C13">
      <w:pPr>
        <w:spacing w:line="360" w:lineRule="auto"/>
        <w:ind w:left="720" w:hanging="720"/>
        <w:jc w:val="both"/>
        <w:rPr>
          <w:rtl/>
        </w:rPr>
      </w:pPr>
    </w:p>
    <w:p w14:paraId="68CEECE0" w14:textId="77777777" w:rsidR="00E07C13" w:rsidRDefault="00E07C13" w:rsidP="00E07C13">
      <w:pPr>
        <w:autoSpaceDE w:val="0"/>
        <w:autoSpaceDN w:val="0"/>
        <w:adjustRightInd w:val="0"/>
        <w:spacing w:line="360" w:lineRule="auto"/>
        <w:ind w:left="720" w:hanging="720"/>
        <w:jc w:val="both"/>
        <w:rPr>
          <w:rtl/>
        </w:rPr>
      </w:pPr>
      <w:r>
        <w:rPr>
          <w:rFonts w:hint="cs"/>
          <w:rtl/>
        </w:rPr>
        <w:t>6.</w:t>
      </w:r>
      <w:r>
        <w:rPr>
          <w:rFonts w:hint="cs"/>
          <w:rtl/>
        </w:rPr>
        <w:tab/>
        <w:t>אני מטיל על הנאשם את העונשים הבאים:</w:t>
      </w:r>
    </w:p>
    <w:p w14:paraId="65623CDE" w14:textId="77777777" w:rsidR="00E07C13" w:rsidRDefault="00E07C13" w:rsidP="00E07C13">
      <w:pPr>
        <w:autoSpaceDE w:val="0"/>
        <w:autoSpaceDN w:val="0"/>
        <w:adjustRightInd w:val="0"/>
        <w:spacing w:line="360" w:lineRule="auto"/>
        <w:ind w:left="720" w:hanging="720"/>
        <w:jc w:val="both"/>
        <w:rPr>
          <w:rtl/>
        </w:rPr>
      </w:pPr>
    </w:p>
    <w:p w14:paraId="04C5F548" w14:textId="77777777" w:rsidR="00E07C13" w:rsidRDefault="00E07C13" w:rsidP="00E07C13">
      <w:pPr>
        <w:autoSpaceDE w:val="0"/>
        <w:autoSpaceDN w:val="0"/>
        <w:adjustRightInd w:val="0"/>
        <w:spacing w:line="360" w:lineRule="auto"/>
        <w:ind w:left="1440" w:hanging="720"/>
        <w:jc w:val="both"/>
        <w:rPr>
          <w:rtl/>
        </w:rPr>
      </w:pPr>
      <w:r>
        <w:rPr>
          <w:rFonts w:hint="cs"/>
          <w:rtl/>
        </w:rPr>
        <w:t>1.</w:t>
      </w:r>
      <w:r>
        <w:rPr>
          <w:rFonts w:hint="cs"/>
          <w:rtl/>
        </w:rPr>
        <w:tab/>
        <w:t>27 חודשי מאסר בפועל, מיום מעצרו.</w:t>
      </w:r>
    </w:p>
    <w:p w14:paraId="395F7C76" w14:textId="77777777" w:rsidR="00E07C13" w:rsidRDefault="00E07C13" w:rsidP="00E07C1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spacing w:line="360" w:lineRule="auto"/>
        <w:ind w:left="1440" w:hanging="1440"/>
        <w:jc w:val="both"/>
        <w:rPr>
          <w:rtl/>
        </w:rPr>
      </w:pPr>
      <w:r>
        <w:rPr>
          <w:rtl/>
        </w:rPr>
        <w:tab/>
      </w:r>
      <w:r>
        <w:rPr>
          <w:rFonts w:hint="cs"/>
          <w:rtl/>
        </w:rPr>
        <w:t>2.</w:t>
      </w:r>
      <w:r>
        <w:rPr>
          <w:rFonts w:hint="cs"/>
          <w:rtl/>
        </w:rPr>
        <w:tab/>
      </w:r>
      <w:r>
        <w:rPr>
          <w:rFonts w:hint="cs"/>
          <w:sz w:val="28"/>
          <w:rtl/>
          <w:lang w:eastAsia="he-IL"/>
        </w:rPr>
        <w:t xml:space="preserve">12 חודשי מאסר על תנאי למשך 3 שנים מיום שחרורו מהמאסר, שלא יעבור עבירה על </w:t>
      </w:r>
      <w:hyperlink r:id="rId18" w:history="1">
        <w:r w:rsidR="00DA56CE" w:rsidRPr="00DA56CE">
          <w:rPr>
            <w:color w:val="0000FF"/>
            <w:sz w:val="28"/>
            <w:u w:val="single"/>
            <w:rtl/>
            <w:lang w:eastAsia="he-IL"/>
          </w:rPr>
          <w:t>פקודת הסמים המסוכנים</w:t>
        </w:r>
      </w:hyperlink>
      <w:r>
        <w:rPr>
          <w:rFonts w:hint="cs"/>
          <w:sz w:val="28"/>
          <w:rtl/>
          <w:lang w:eastAsia="he-IL"/>
        </w:rPr>
        <w:t xml:space="preserve"> [נוסח חדש] התשל"ג-1973, המוגדרת כפשע.</w:t>
      </w:r>
    </w:p>
    <w:p w14:paraId="1F368247" w14:textId="77777777" w:rsidR="00E07C13" w:rsidRDefault="00E07C13" w:rsidP="00E07C1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spacing w:line="360" w:lineRule="auto"/>
        <w:ind w:left="1440" w:hanging="720"/>
        <w:jc w:val="both"/>
        <w:rPr>
          <w:rtl/>
        </w:rPr>
      </w:pPr>
      <w:r>
        <w:rPr>
          <w:rFonts w:hint="cs"/>
          <w:rtl/>
        </w:rPr>
        <w:t xml:space="preserve">3.   </w:t>
      </w:r>
      <w:r>
        <w:rPr>
          <w:rFonts w:hint="cs"/>
          <w:rtl/>
        </w:rPr>
        <w:tab/>
        <w:t xml:space="preserve">קנס בסך 1000 ₪ או שני ימי מאסר תחתיו. הקנס ישולם בתוך 60 יום מהיום. </w:t>
      </w:r>
    </w:p>
    <w:p w14:paraId="0930953E" w14:textId="77777777" w:rsidR="00E07C13" w:rsidRDefault="00E07C13" w:rsidP="00E07C13">
      <w:pPr>
        <w:autoSpaceDE w:val="0"/>
        <w:autoSpaceDN w:val="0"/>
        <w:adjustRightInd w:val="0"/>
        <w:spacing w:line="360" w:lineRule="auto"/>
        <w:jc w:val="both"/>
        <w:rPr>
          <w:rtl/>
        </w:rPr>
      </w:pPr>
    </w:p>
    <w:p w14:paraId="27DA2EE3" w14:textId="77777777" w:rsidR="00E07C13" w:rsidRDefault="00E07C13" w:rsidP="00E07C13">
      <w:pPr>
        <w:autoSpaceDE w:val="0"/>
        <w:autoSpaceDN w:val="0"/>
        <w:adjustRightInd w:val="0"/>
        <w:spacing w:line="360" w:lineRule="auto"/>
        <w:jc w:val="both"/>
        <w:rPr>
          <w:rtl/>
        </w:rPr>
      </w:pPr>
    </w:p>
    <w:p w14:paraId="78457940" w14:textId="77777777" w:rsidR="00E07C13" w:rsidRDefault="00E07C13" w:rsidP="00E07C13">
      <w:pPr>
        <w:autoSpaceDE w:val="0"/>
        <w:autoSpaceDN w:val="0"/>
        <w:adjustRightInd w:val="0"/>
        <w:spacing w:line="360" w:lineRule="auto"/>
        <w:jc w:val="both"/>
        <w:rPr>
          <w:rtl/>
          <w:lang w:eastAsia="he-IL"/>
        </w:rPr>
      </w:pPr>
      <w:r>
        <w:rPr>
          <w:rFonts w:hint="cs"/>
          <w:rtl/>
        </w:rPr>
        <w:t>זכות</w:t>
      </w:r>
      <w:r>
        <w:rPr>
          <w:rFonts w:hint="cs"/>
        </w:rPr>
        <w:t xml:space="preserve"> </w:t>
      </w:r>
      <w:r>
        <w:rPr>
          <w:rFonts w:hint="cs"/>
          <w:rtl/>
        </w:rPr>
        <w:t>ערעור</w:t>
      </w:r>
      <w:r>
        <w:rPr>
          <w:rFonts w:hint="cs"/>
        </w:rPr>
        <w:t xml:space="preserve"> </w:t>
      </w:r>
      <w:r>
        <w:rPr>
          <w:rFonts w:hint="cs"/>
          <w:rtl/>
        </w:rPr>
        <w:t>תוך</w:t>
      </w:r>
      <w:r>
        <w:rPr>
          <w:rFonts w:hint="cs"/>
        </w:rPr>
        <w:t xml:space="preserve"> 45 </w:t>
      </w:r>
      <w:r>
        <w:rPr>
          <w:rFonts w:hint="cs"/>
          <w:rtl/>
        </w:rPr>
        <w:t>יום</w:t>
      </w:r>
      <w:r>
        <w:rPr>
          <w:rFonts w:hint="cs"/>
        </w:rPr>
        <w:t xml:space="preserve"> </w:t>
      </w:r>
      <w:r>
        <w:rPr>
          <w:rFonts w:hint="cs"/>
          <w:rtl/>
        </w:rPr>
        <w:t>מהיום</w:t>
      </w:r>
      <w:r>
        <w:rPr>
          <w:rFonts w:hint="cs"/>
        </w:rPr>
        <w:t xml:space="preserve"> .</w:t>
      </w:r>
    </w:p>
    <w:p w14:paraId="1C4994B2" w14:textId="77777777" w:rsidR="00E07C13" w:rsidRPr="00DA56CE" w:rsidRDefault="00DA56CE" w:rsidP="00E07C13">
      <w:pPr>
        <w:spacing w:line="360" w:lineRule="auto"/>
        <w:jc w:val="both"/>
        <w:rPr>
          <w:color w:val="FFFFFF"/>
          <w:sz w:val="2"/>
          <w:szCs w:val="2"/>
          <w:rtl/>
        </w:rPr>
      </w:pPr>
      <w:r w:rsidRPr="00DA56CE">
        <w:rPr>
          <w:color w:val="FFFFFF"/>
          <w:sz w:val="2"/>
          <w:szCs w:val="2"/>
          <w:rtl/>
        </w:rPr>
        <w:t>5129371</w:t>
      </w:r>
    </w:p>
    <w:p w14:paraId="4DDA41A9" w14:textId="77777777" w:rsidR="00E07C13" w:rsidRPr="00DA56CE" w:rsidRDefault="00DA56CE" w:rsidP="00E07C13">
      <w:pPr>
        <w:spacing w:line="360" w:lineRule="auto"/>
        <w:jc w:val="both"/>
        <w:rPr>
          <w:color w:val="FFFFFF"/>
          <w:sz w:val="2"/>
          <w:szCs w:val="2"/>
          <w:rtl/>
        </w:rPr>
      </w:pPr>
      <w:r w:rsidRPr="00DA56CE">
        <w:rPr>
          <w:color w:val="FFFFFF"/>
          <w:sz w:val="2"/>
          <w:szCs w:val="2"/>
          <w:rtl/>
        </w:rPr>
        <w:t>54678313</w:t>
      </w:r>
    </w:p>
    <w:p w14:paraId="4915D7CC" w14:textId="77777777" w:rsidR="00E07C13" w:rsidRPr="00B05847" w:rsidRDefault="00E07C13" w:rsidP="00E07C13">
      <w:pPr>
        <w:spacing w:line="360" w:lineRule="auto"/>
        <w:rPr>
          <w:rtl/>
        </w:rPr>
      </w:pPr>
    </w:p>
    <w:p w14:paraId="66047A0F" w14:textId="77777777" w:rsidR="00E07C13" w:rsidRDefault="00DA56CE" w:rsidP="00E07C13">
      <w:pPr>
        <w:spacing w:line="360" w:lineRule="auto"/>
        <w:rPr>
          <w:rFonts w:cs="FrankRuehl"/>
          <w:sz w:val="28"/>
          <w:szCs w:val="28"/>
          <w:rtl/>
        </w:rPr>
      </w:pPr>
      <w:r>
        <w:rPr>
          <w:rFonts w:ascii="Arial" w:hAnsi="Arial"/>
          <w:rtl/>
        </w:rPr>
        <w:t xml:space="preserve">ניתן היום,  י"ז חשוון תשע"ח, 06 נובמבר 2017, בהעדר הצדדים. </w:t>
      </w:r>
    </w:p>
    <w:p w14:paraId="54CB8031" w14:textId="77777777" w:rsidR="00E07C13" w:rsidRDefault="00E07C13" w:rsidP="00E07C13">
      <w:pPr>
        <w:spacing w:line="360" w:lineRule="auto"/>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1E01C37A" w14:textId="77777777" w:rsidR="00E07C13" w:rsidRPr="000154F0" w:rsidRDefault="000154F0" w:rsidP="00E07C13">
      <w:pPr>
        <w:spacing w:line="360" w:lineRule="auto"/>
        <w:jc w:val="center"/>
        <w:rPr>
          <w:rFonts w:ascii="Arial" w:hAnsi="Arial" w:cs="FrankRuehl"/>
          <w:color w:val="FFFFFF"/>
          <w:sz w:val="2"/>
          <w:szCs w:val="2"/>
          <w:rtl/>
        </w:rPr>
      </w:pPr>
      <w:r w:rsidRPr="000154F0">
        <w:rPr>
          <w:rFonts w:ascii="Arial" w:hAnsi="Arial" w:cs="FrankRuehl"/>
          <w:color w:val="FFFFFF"/>
          <w:sz w:val="2"/>
          <w:szCs w:val="2"/>
          <w:rtl/>
        </w:rPr>
        <w:t>5129371</w:t>
      </w:r>
    </w:p>
    <w:p w14:paraId="44B4D378" w14:textId="77777777" w:rsidR="002D7B2F" w:rsidRPr="000154F0" w:rsidRDefault="000154F0" w:rsidP="00DA56CE">
      <w:pPr>
        <w:keepNext/>
        <w:rPr>
          <w:rFonts w:ascii="David" w:hAnsi="David"/>
          <w:color w:val="FFFFFF"/>
          <w:sz w:val="2"/>
          <w:szCs w:val="2"/>
          <w:rtl/>
        </w:rPr>
      </w:pPr>
      <w:r w:rsidRPr="000154F0">
        <w:rPr>
          <w:rFonts w:ascii="David" w:hAnsi="David"/>
          <w:color w:val="FFFFFF"/>
          <w:sz w:val="2"/>
          <w:szCs w:val="2"/>
          <w:rtl/>
        </w:rPr>
        <w:t>54678313</w:t>
      </w:r>
    </w:p>
    <w:p w14:paraId="68218C9D" w14:textId="77777777" w:rsidR="00DA56CE" w:rsidRPr="00DA56CE" w:rsidRDefault="00DA56CE" w:rsidP="00DA56CE">
      <w:pPr>
        <w:keepNext/>
        <w:rPr>
          <w:rFonts w:ascii="David" w:hAnsi="David"/>
          <w:color w:val="000000"/>
          <w:sz w:val="22"/>
          <w:szCs w:val="22"/>
          <w:rtl/>
        </w:rPr>
      </w:pPr>
      <w:r w:rsidRPr="00DA56CE">
        <w:rPr>
          <w:rFonts w:ascii="David" w:hAnsi="David"/>
          <w:color w:val="000000"/>
          <w:sz w:val="22"/>
          <w:szCs w:val="22"/>
          <w:rtl/>
        </w:rPr>
        <w:t>אליהו ביתן 54678313</w:t>
      </w:r>
    </w:p>
    <w:p w14:paraId="6A1C640F" w14:textId="77777777" w:rsidR="00DA56CE" w:rsidRDefault="00DA56CE" w:rsidP="00DA56CE">
      <w:r w:rsidRPr="00DA56CE">
        <w:rPr>
          <w:color w:val="000000"/>
          <w:rtl/>
        </w:rPr>
        <w:t>נוסח מסמך זה כפוף לשינויי ניסוח ועריכה</w:t>
      </w:r>
    </w:p>
    <w:p w14:paraId="5E378B68" w14:textId="77777777" w:rsidR="00DA56CE" w:rsidRDefault="00DA56CE" w:rsidP="00DA56CE">
      <w:pPr>
        <w:rPr>
          <w:rtl/>
        </w:rPr>
      </w:pPr>
    </w:p>
    <w:p w14:paraId="13EC0D92" w14:textId="77777777" w:rsidR="00DA56CE" w:rsidRDefault="00DA56CE" w:rsidP="00DA56CE">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61D14605" w14:textId="77777777" w:rsidR="000154F0" w:rsidRPr="000154F0" w:rsidRDefault="000154F0" w:rsidP="000154F0">
      <w:pPr>
        <w:keepNext/>
        <w:rPr>
          <w:rFonts w:ascii="David" w:hAnsi="David"/>
          <w:color w:val="000000"/>
          <w:sz w:val="22"/>
          <w:szCs w:val="22"/>
          <w:rtl/>
        </w:rPr>
      </w:pPr>
    </w:p>
    <w:sectPr w:rsidR="000154F0" w:rsidRPr="000154F0" w:rsidSect="000154F0">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B7CAD8" w14:textId="77777777" w:rsidR="00200DE8" w:rsidRDefault="00200DE8" w:rsidP="00AD6A6F">
      <w:r>
        <w:separator/>
      </w:r>
    </w:p>
  </w:endnote>
  <w:endnote w:type="continuationSeparator" w:id="0">
    <w:p w14:paraId="533AF470" w14:textId="77777777" w:rsidR="00200DE8" w:rsidRDefault="00200DE8" w:rsidP="00AD6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DEC6A" w14:textId="77777777" w:rsidR="000154F0" w:rsidRDefault="000154F0" w:rsidP="000154F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3336CE2" w14:textId="77777777" w:rsidR="00681FA7" w:rsidRPr="000154F0" w:rsidRDefault="000154F0" w:rsidP="000154F0">
    <w:pPr>
      <w:pStyle w:val="a5"/>
      <w:pBdr>
        <w:top w:val="single" w:sz="4" w:space="1" w:color="auto"/>
        <w:between w:val="single" w:sz="4" w:space="0" w:color="auto"/>
      </w:pBdr>
      <w:spacing w:after="60"/>
      <w:jc w:val="center"/>
      <w:rPr>
        <w:rFonts w:ascii="FrankRuehl" w:hAnsi="FrankRuehl" w:cs="FrankRuehl"/>
        <w:color w:val="000000"/>
      </w:rPr>
    </w:pPr>
    <w:r w:rsidRPr="000154F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9767B" w14:textId="77777777" w:rsidR="000154F0" w:rsidRDefault="000154F0" w:rsidP="000154F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40D23">
      <w:rPr>
        <w:rFonts w:ascii="FrankRuehl" w:hAnsi="FrankRuehl" w:cs="FrankRuehl"/>
        <w:noProof/>
        <w:rtl/>
      </w:rPr>
      <w:t>1</w:t>
    </w:r>
    <w:r>
      <w:rPr>
        <w:rFonts w:ascii="FrankRuehl" w:hAnsi="FrankRuehl" w:cs="FrankRuehl"/>
        <w:rtl/>
      </w:rPr>
      <w:fldChar w:fldCharType="end"/>
    </w:r>
  </w:p>
  <w:p w14:paraId="40F32E51" w14:textId="77777777" w:rsidR="00681FA7" w:rsidRPr="000154F0" w:rsidRDefault="000154F0" w:rsidP="000154F0">
    <w:pPr>
      <w:pStyle w:val="a5"/>
      <w:pBdr>
        <w:top w:val="single" w:sz="4" w:space="1" w:color="auto"/>
        <w:between w:val="single" w:sz="4" w:space="0" w:color="auto"/>
      </w:pBdr>
      <w:spacing w:after="60"/>
      <w:jc w:val="center"/>
      <w:rPr>
        <w:rFonts w:ascii="FrankRuehl" w:hAnsi="FrankRuehl" w:cs="FrankRuehl"/>
        <w:color w:val="000000"/>
      </w:rPr>
    </w:pPr>
    <w:r w:rsidRPr="000154F0">
      <w:rPr>
        <w:rFonts w:ascii="FrankRuehl" w:hAnsi="FrankRuehl" w:cs="FrankRuehl"/>
        <w:color w:val="000000"/>
      </w:rPr>
      <w:pict w14:anchorId="707841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5F8072" w14:textId="77777777" w:rsidR="00200DE8" w:rsidRDefault="00200DE8" w:rsidP="00AD6A6F">
      <w:r>
        <w:separator/>
      </w:r>
    </w:p>
  </w:footnote>
  <w:footnote w:type="continuationSeparator" w:id="0">
    <w:p w14:paraId="6E109290" w14:textId="77777777" w:rsidR="00200DE8" w:rsidRDefault="00200DE8" w:rsidP="00AD6A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34C1A" w14:textId="77777777" w:rsidR="00DA56CE" w:rsidRPr="000154F0" w:rsidRDefault="000154F0" w:rsidP="000154F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66609-06-17</w:t>
    </w:r>
    <w:r>
      <w:rPr>
        <w:rFonts w:ascii="David" w:hAnsi="David"/>
        <w:color w:val="000000"/>
        <w:sz w:val="22"/>
        <w:szCs w:val="22"/>
        <w:rtl/>
      </w:rPr>
      <w:tab/>
      <w:t xml:space="preserve"> מדינת ישראל נ' </w:t>
    </w:r>
    <w:r>
      <w:rPr>
        <w:rFonts w:ascii="David" w:hAnsi="David"/>
        <w:color w:val="000000"/>
        <w:sz w:val="22"/>
        <w:szCs w:val="22"/>
      </w:rPr>
      <w:t>VAN THANG NGUYEN</w:t>
    </w:r>
    <w:r>
      <w:rPr>
        <w:rFonts w:ascii="David" w:hAnsi="David"/>
        <w:color w:val="000000"/>
        <w:sz w:val="22"/>
        <w:szCs w:val="22"/>
        <w:rt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FC7B26" w14:textId="77777777" w:rsidR="00DA56CE" w:rsidRPr="000154F0" w:rsidRDefault="000154F0" w:rsidP="000154F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66609-06-17</w:t>
    </w:r>
    <w:r>
      <w:rPr>
        <w:rFonts w:ascii="David" w:hAnsi="David"/>
        <w:color w:val="000000"/>
        <w:sz w:val="22"/>
        <w:szCs w:val="22"/>
        <w:rtl/>
      </w:rPr>
      <w:tab/>
      <w:t xml:space="preserve"> מדינת ישראל נ' </w:t>
    </w:r>
    <w:r>
      <w:rPr>
        <w:rFonts w:ascii="David" w:hAnsi="David"/>
        <w:color w:val="000000"/>
        <w:sz w:val="22"/>
        <w:szCs w:val="22"/>
      </w:rPr>
      <w:t>VAN THANG NGUYEN</w:t>
    </w:r>
    <w:r>
      <w:rPr>
        <w:rFonts w:ascii="David" w:hAnsi="David"/>
        <w:color w:val="000000"/>
        <w:sz w:val="22"/>
        <w:szCs w:val="22"/>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07C13"/>
    <w:rsid w:val="000154F0"/>
    <w:rsid w:val="000C412D"/>
    <w:rsid w:val="00140D23"/>
    <w:rsid w:val="00200DE8"/>
    <w:rsid w:val="002D7B2F"/>
    <w:rsid w:val="00383105"/>
    <w:rsid w:val="00681FA7"/>
    <w:rsid w:val="00AD6A6F"/>
    <w:rsid w:val="00BA16A0"/>
    <w:rsid w:val="00DA56CE"/>
    <w:rsid w:val="00E07C13"/>
  </w:rsids>
  <m:mathPr>
    <m:mathFont m:val="Cambria Math"/>
    <m:brkBin m:val="before"/>
    <m:brkBinSub m:val="--"/>
    <m:smallFrac m:val="0"/>
    <m:dispDef/>
    <m:lMargin m:val="0"/>
    <m:rMargin m:val="0"/>
    <m:defJc m:val="centerGroup"/>
    <m:wrapIndent m:val="1440"/>
    <m:intLim m:val="subSup"/>
    <m:naryLim m:val="undOvr"/>
  </m:mathPr>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microsoft.com/office/drawing/2016/ink"/>
  <w:attachedSchema w:val="http://schemas.microsoft.com/office/drawing/2017/model3d"/>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14:docId w14:val="2D6040F2"/>
  <w15:chartTrackingRefBased/>
  <w15:docId w15:val="{C7496310-C90B-40C6-ACCF-A9A8C379B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07C1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07C13"/>
    <w:pPr>
      <w:tabs>
        <w:tab w:val="center" w:pos="4153"/>
        <w:tab w:val="right" w:pos="8306"/>
      </w:tabs>
    </w:pPr>
  </w:style>
  <w:style w:type="character" w:customStyle="1" w:styleId="a4">
    <w:name w:val="כותרת עליונה תו"/>
    <w:link w:val="a3"/>
    <w:rsid w:val="00E07C13"/>
    <w:rPr>
      <w:rFonts w:ascii="Times New Roman" w:eastAsia="Times New Roman" w:hAnsi="Times New Roman" w:cs="David"/>
      <w:sz w:val="24"/>
      <w:szCs w:val="24"/>
    </w:rPr>
  </w:style>
  <w:style w:type="paragraph" w:styleId="a5">
    <w:name w:val="footer"/>
    <w:basedOn w:val="a"/>
    <w:link w:val="a6"/>
    <w:rsid w:val="00E07C13"/>
    <w:pPr>
      <w:tabs>
        <w:tab w:val="center" w:pos="4153"/>
        <w:tab w:val="right" w:pos="8306"/>
      </w:tabs>
    </w:pPr>
  </w:style>
  <w:style w:type="character" w:customStyle="1" w:styleId="a6">
    <w:name w:val="כותרת תחתונה תו"/>
    <w:link w:val="a5"/>
    <w:rsid w:val="00E07C13"/>
    <w:rPr>
      <w:rFonts w:ascii="Times New Roman" w:eastAsia="Times New Roman" w:hAnsi="Times New Roman" w:cs="David"/>
      <w:sz w:val="24"/>
      <w:szCs w:val="24"/>
    </w:rPr>
  </w:style>
  <w:style w:type="table" w:styleId="a7">
    <w:name w:val="Table Grid"/>
    <w:basedOn w:val="a1"/>
    <w:rsid w:val="00E07C1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07C13"/>
  </w:style>
  <w:style w:type="character" w:styleId="Hyperlink">
    <w:name w:val="Hyperlink"/>
    <w:rsid w:val="00DA56C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4216" TargetMode="External"/><Relationship Id="rId18" Type="http://schemas.openxmlformats.org/officeDocument/2006/relationships/hyperlink" Target="http://www.nevo.co.il/law/4216"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4216/13" TargetMode="External"/><Relationship Id="rId12" Type="http://schemas.openxmlformats.org/officeDocument/2006/relationships/hyperlink" Target="http://www.nevo.co.il/law/4216/13" TargetMode="External"/><Relationship Id="rId17" Type="http://schemas.openxmlformats.org/officeDocument/2006/relationships/hyperlink" Target="http://www.nevo.co.il/law/90721"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90721/12.1"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90721/12.1"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footer" Target="footer2.xml"/><Relationship Id="rId10" Type="http://schemas.openxmlformats.org/officeDocument/2006/relationships/hyperlink" Target="http://www.nevo.co.il/law/90721"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441" TargetMode="External"/><Relationship Id="rId14" Type="http://schemas.openxmlformats.org/officeDocument/2006/relationships/hyperlink" Target="http://www.nevo.co.il/law/70301/441"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755</Words>
  <Characters>3777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4523</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8257637</vt:i4>
      </vt:variant>
      <vt:variant>
        <vt:i4>36</vt:i4>
      </vt:variant>
      <vt:variant>
        <vt:i4>0</vt:i4>
      </vt:variant>
      <vt:variant>
        <vt:i4>5</vt:i4>
      </vt:variant>
      <vt:variant>
        <vt:lpwstr>http://www.nevo.co.il/law/4216</vt:lpwstr>
      </vt:variant>
      <vt:variant>
        <vt:lpwstr/>
      </vt:variant>
      <vt:variant>
        <vt:i4>7864430</vt:i4>
      </vt:variant>
      <vt:variant>
        <vt:i4>33</vt:i4>
      </vt:variant>
      <vt:variant>
        <vt:i4>0</vt:i4>
      </vt:variant>
      <vt:variant>
        <vt:i4>5</vt:i4>
      </vt:variant>
      <vt:variant>
        <vt:lpwstr>http://www.nevo.co.il/law/90721</vt:lpwstr>
      </vt:variant>
      <vt:variant>
        <vt:lpwstr/>
      </vt:variant>
      <vt:variant>
        <vt:i4>5505088</vt:i4>
      </vt:variant>
      <vt:variant>
        <vt:i4>30</vt:i4>
      </vt:variant>
      <vt:variant>
        <vt:i4>0</vt:i4>
      </vt:variant>
      <vt:variant>
        <vt:i4>5</vt:i4>
      </vt:variant>
      <vt:variant>
        <vt:lpwstr>http://www.nevo.co.il/law/90721/12.1</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6357089</vt:i4>
      </vt:variant>
      <vt:variant>
        <vt:i4>24</vt:i4>
      </vt:variant>
      <vt:variant>
        <vt:i4>0</vt:i4>
      </vt:variant>
      <vt:variant>
        <vt:i4>5</vt:i4>
      </vt:variant>
      <vt:variant>
        <vt:lpwstr>http://www.nevo.co.il/law/70301/441</vt:lpwstr>
      </vt:variant>
      <vt:variant>
        <vt:lpwstr/>
      </vt:variant>
      <vt:variant>
        <vt:i4>8257637</vt:i4>
      </vt:variant>
      <vt:variant>
        <vt:i4>21</vt:i4>
      </vt:variant>
      <vt:variant>
        <vt:i4>0</vt:i4>
      </vt:variant>
      <vt:variant>
        <vt:i4>5</vt:i4>
      </vt:variant>
      <vt:variant>
        <vt:lpwstr>http://www.nevo.co.il/law/4216</vt:lpwstr>
      </vt:variant>
      <vt:variant>
        <vt:lpwstr/>
      </vt:variant>
      <vt:variant>
        <vt:i4>5177418</vt:i4>
      </vt:variant>
      <vt:variant>
        <vt:i4>18</vt:i4>
      </vt:variant>
      <vt:variant>
        <vt:i4>0</vt:i4>
      </vt:variant>
      <vt:variant>
        <vt:i4>5</vt:i4>
      </vt:variant>
      <vt:variant>
        <vt:lpwstr>http://www.nevo.co.il/law/4216/13</vt:lpwstr>
      </vt:variant>
      <vt:variant>
        <vt:lpwstr/>
      </vt:variant>
      <vt:variant>
        <vt:i4>5505088</vt:i4>
      </vt:variant>
      <vt:variant>
        <vt:i4>15</vt:i4>
      </vt:variant>
      <vt:variant>
        <vt:i4>0</vt:i4>
      </vt:variant>
      <vt:variant>
        <vt:i4>5</vt:i4>
      </vt:variant>
      <vt:variant>
        <vt:lpwstr>http://www.nevo.co.il/law/90721/12.1</vt:lpwstr>
      </vt:variant>
      <vt:variant>
        <vt:lpwstr/>
      </vt:variant>
      <vt:variant>
        <vt:i4>7864430</vt:i4>
      </vt:variant>
      <vt:variant>
        <vt:i4>12</vt:i4>
      </vt:variant>
      <vt:variant>
        <vt:i4>0</vt:i4>
      </vt:variant>
      <vt:variant>
        <vt:i4>5</vt:i4>
      </vt:variant>
      <vt:variant>
        <vt:lpwstr>http://www.nevo.co.il/law/90721</vt:lpwstr>
      </vt:variant>
      <vt:variant>
        <vt:lpwstr/>
      </vt:variant>
      <vt:variant>
        <vt:i4>6357089</vt:i4>
      </vt:variant>
      <vt:variant>
        <vt:i4>9</vt:i4>
      </vt:variant>
      <vt:variant>
        <vt:i4>0</vt:i4>
      </vt:variant>
      <vt:variant>
        <vt:i4>5</vt:i4>
      </vt:variant>
      <vt:variant>
        <vt:lpwstr>http://www.nevo.co.il/law/70301/441</vt:lpwstr>
      </vt:variant>
      <vt:variant>
        <vt:lpwstr/>
      </vt:variant>
      <vt:variant>
        <vt:i4>7995492</vt:i4>
      </vt:variant>
      <vt:variant>
        <vt:i4>6</vt:i4>
      </vt:variant>
      <vt:variant>
        <vt:i4>0</vt:i4>
      </vt:variant>
      <vt:variant>
        <vt:i4>5</vt:i4>
      </vt:variant>
      <vt:variant>
        <vt:lpwstr>http://www.nevo.co.il/law/70301</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2025-04-22T20:50:00Z</dcterms:created>
  <dcterms:modified xsi:type="dcterms:W3CDTF">2025-04-22T20:50:00Z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66609</vt:lpwstr>
  </property>
  <property fmtid="{D5CDD505-2E9C-101B-9397-08002B2CF9AE}" pid="6" name="NEWPARTB">
    <vt:lpwstr>06</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VAN THANG NGUYEN </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20171106</vt:lpwstr>
  </property>
  <property fmtid="{D5CDD505-2E9C-101B-9397-08002B2CF9AE}" pid="13" name="TYPE_N_DATE">
    <vt:lpwstr>39020171106</vt:lpwstr>
  </property>
  <property fmtid="{D5CDD505-2E9C-101B-9397-08002B2CF9AE}" pid="14" name="WORDNUMPAGES">
    <vt:lpwstr>3</vt:lpwstr>
  </property>
  <property fmtid="{D5CDD505-2E9C-101B-9397-08002B2CF9AE}" pid="15" name="TYPE_ABS_DATE">
    <vt:lpwstr>390020171106</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LAWLISTTMP1">
    <vt:lpwstr>4216/013</vt:lpwstr>
  </property>
  <property fmtid="{D5CDD505-2E9C-101B-9397-08002B2CF9AE}" pid="35" name="LAWLISTTMP2">
    <vt:lpwstr>70301/441</vt:lpwstr>
  </property>
  <property fmtid="{D5CDD505-2E9C-101B-9397-08002B2CF9AE}" pid="36" name="LAWLISTTMP3">
    <vt:lpwstr>90721/012.1</vt:lpwstr>
  </property>
</Properties>
</file>