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8"/>
        <w:gridCol w:w="3663"/>
      </w:tblGrid>
      <w:tr w:rsidR="0089227E" w:rsidRPr="000C73AC" w14:paraId="6DB08C66" w14:textId="77777777" w:rsidTr="00CA79EE">
        <w:trPr>
          <w:trHeight w:hRule="exact" w:val="418"/>
          <w:jc w:val="center"/>
        </w:trPr>
        <w:tc>
          <w:tcPr>
            <w:tcW w:w="8721" w:type="dxa"/>
            <w:gridSpan w:val="2"/>
          </w:tcPr>
          <w:p w14:paraId="3A306572" w14:textId="77777777" w:rsidR="0089227E" w:rsidRPr="000C73AC" w:rsidRDefault="0089227E" w:rsidP="00447158">
            <w:pPr>
              <w:pStyle w:val="a3"/>
              <w:jc w:val="center"/>
              <w:rPr>
                <w:rFonts w:ascii="Tahoma" w:hAnsi="Tahoma" w:cs="Tahoma"/>
                <w:color w:val="000080"/>
                <w:rtl/>
              </w:rPr>
            </w:pPr>
            <w:bookmarkStart w:id="0" w:name="LastJudge"/>
            <w:r w:rsidRPr="000C73AC">
              <w:rPr>
                <w:rFonts w:ascii="Tahoma" w:hAnsi="Tahoma" w:cs="Tahoma"/>
                <w:b/>
                <w:bCs/>
                <w:color w:val="000080"/>
                <w:rtl/>
              </w:rPr>
              <w:t>בית המשפט המחוזי בחיפה</w:t>
            </w:r>
          </w:p>
        </w:tc>
      </w:tr>
      <w:tr w:rsidR="0089227E" w:rsidRPr="000C73AC" w14:paraId="16A6883C" w14:textId="77777777" w:rsidTr="00CA79EE">
        <w:trPr>
          <w:trHeight w:val="337"/>
          <w:jc w:val="center"/>
        </w:trPr>
        <w:tc>
          <w:tcPr>
            <w:tcW w:w="5058" w:type="dxa"/>
          </w:tcPr>
          <w:p w14:paraId="29070890" w14:textId="77777777" w:rsidR="0089227E" w:rsidRPr="000C73AC" w:rsidRDefault="0089227E" w:rsidP="00447158">
            <w:pPr>
              <w:rPr>
                <w:rFonts w:cs="FrankRuehl"/>
                <w:sz w:val="28"/>
                <w:szCs w:val="28"/>
                <w:rtl/>
              </w:rPr>
            </w:pPr>
            <w:r w:rsidRPr="000C73AC">
              <w:rPr>
                <w:rFonts w:cs="FrankRuehl"/>
                <w:sz w:val="28"/>
                <w:szCs w:val="28"/>
                <w:rtl/>
              </w:rPr>
              <w:t>ת"פ</w:t>
            </w:r>
            <w:r w:rsidRPr="000C73AC">
              <w:rPr>
                <w:rFonts w:cs="FrankRuehl" w:hint="cs"/>
                <w:sz w:val="28"/>
                <w:szCs w:val="28"/>
                <w:rtl/>
              </w:rPr>
              <w:t xml:space="preserve"> </w:t>
            </w:r>
            <w:r w:rsidRPr="000C73AC">
              <w:rPr>
                <w:rFonts w:cs="FrankRuehl"/>
                <w:sz w:val="28"/>
                <w:szCs w:val="28"/>
                <w:rtl/>
              </w:rPr>
              <w:t>62318-07-17</w:t>
            </w:r>
            <w:r w:rsidRPr="000C73AC">
              <w:rPr>
                <w:rFonts w:cs="FrankRuehl" w:hint="cs"/>
                <w:sz w:val="28"/>
                <w:szCs w:val="28"/>
                <w:rtl/>
              </w:rPr>
              <w:t xml:space="preserve"> </w:t>
            </w:r>
            <w:r w:rsidRPr="000C73AC">
              <w:rPr>
                <w:rFonts w:cs="FrankRuehl"/>
                <w:sz w:val="28"/>
                <w:szCs w:val="28"/>
                <w:rtl/>
              </w:rPr>
              <w:t>מדינת ישראל נ' ברמכי(עציר)</w:t>
            </w:r>
          </w:p>
          <w:p w14:paraId="0DE0382F" w14:textId="77777777" w:rsidR="0089227E" w:rsidRPr="000C73AC" w:rsidRDefault="0089227E" w:rsidP="00447158">
            <w:pPr>
              <w:pStyle w:val="a3"/>
              <w:rPr>
                <w:rFonts w:cs="FrankRuehl"/>
                <w:sz w:val="28"/>
                <w:szCs w:val="28"/>
                <w:rtl/>
              </w:rPr>
            </w:pPr>
          </w:p>
        </w:tc>
        <w:tc>
          <w:tcPr>
            <w:tcW w:w="3663" w:type="dxa"/>
          </w:tcPr>
          <w:p w14:paraId="6DD81B91" w14:textId="77777777" w:rsidR="0089227E" w:rsidRPr="000C73AC" w:rsidRDefault="0089227E" w:rsidP="00447158">
            <w:pPr>
              <w:pStyle w:val="a3"/>
              <w:jc w:val="right"/>
              <w:rPr>
                <w:rFonts w:cs="FrankRuehl"/>
                <w:sz w:val="28"/>
                <w:szCs w:val="28"/>
                <w:rtl/>
              </w:rPr>
            </w:pPr>
          </w:p>
        </w:tc>
      </w:tr>
    </w:tbl>
    <w:p w14:paraId="0DC51155" w14:textId="77777777" w:rsidR="0089227E" w:rsidRPr="000C73AC" w:rsidRDefault="0089227E" w:rsidP="0089227E">
      <w:pPr>
        <w:pStyle w:val="a3"/>
        <w:rPr>
          <w:rtl/>
        </w:rPr>
      </w:pPr>
      <w:r w:rsidRPr="000C73AC">
        <w:rPr>
          <w:rFonts w:hint="cs"/>
          <w:rtl/>
        </w:rPr>
        <w:t xml:space="preserve"> </w:t>
      </w:r>
    </w:p>
    <w:p w14:paraId="5C36B1CF" w14:textId="77777777" w:rsidR="0089227E" w:rsidRPr="000C73AC" w:rsidRDefault="0089227E" w:rsidP="0089227E">
      <w:pPr>
        <w:spacing w:line="360" w:lineRule="auto"/>
        <w:jc w:val="both"/>
        <w:rPr>
          <w:sz w:val="6"/>
          <w:szCs w:val="6"/>
          <w:rtl/>
        </w:rPr>
      </w:pPr>
    </w:p>
    <w:tbl>
      <w:tblPr>
        <w:bidiVisual/>
        <w:tblW w:w="8802" w:type="dxa"/>
        <w:tblInd w:w="-28" w:type="dxa"/>
        <w:tblLook w:val="01E0" w:firstRow="1" w:lastRow="1" w:firstColumn="1" w:lastColumn="1" w:noHBand="0" w:noVBand="0"/>
      </w:tblPr>
      <w:tblGrid>
        <w:gridCol w:w="2880"/>
        <w:gridCol w:w="5838"/>
        <w:gridCol w:w="84"/>
      </w:tblGrid>
      <w:tr w:rsidR="0089227E" w:rsidRPr="000C73AC" w14:paraId="55DE3479" w14:textId="77777777" w:rsidTr="0089227E">
        <w:trPr>
          <w:gridAfter w:val="1"/>
          <w:wAfter w:w="56" w:type="dxa"/>
        </w:trPr>
        <w:tc>
          <w:tcPr>
            <w:tcW w:w="8718" w:type="dxa"/>
            <w:gridSpan w:val="2"/>
            <w:shd w:val="clear" w:color="auto" w:fill="auto"/>
          </w:tcPr>
          <w:p w14:paraId="39503A6D" w14:textId="77777777" w:rsidR="0089227E" w:rsidRPr="000C73AC" w:rsidRDefault="0089227E" w:rsidP="00447158">
            <w:pPr>
              <w:rPr>
                <w:b/>
                <w:bCs/>
                <w:sz w:val="26"/>
                <w:szCs w:val="26"/>
                <w:rtl/>
              </w:rPr>
            </w:pPr>
            <w:r w:rsidRPr="000C73AC">
              <w:rPr>
                <w:rFonts w:hint="cs"/>
                <w:b/>
                <w:bCs/>
                <w:sz w:val="26"/>
                <w:szCs w:val="26"/>
                <w:rtl/>
              </w:rPr>
              <w:t>לפני כבוד השופט אמיר טובי</w:t>
            </w:r>
            <w:r w:rsidRPr="000C73AC">
              <w:rPr>
                <w:rStyle w:val="TimesNewRomanTimesNewRoman"/>
                <w:rFonts w:hint="cs"/>
                <w:rtl/>
              </w:rPr>
              <w:t xml:space="preserve"> </w:t>
            </w:r>
          </w:p>
        </w:tc>
      </w:tr>
      <w:tr w:rsidR="0089227E" w:rsidRPr="000C73AC" w14:paraId="35DC9177" w14:textId="77777777" w:rsidTr="0089227E">
        <w:trPr>
          <w:cantSplit/>
          <w:trHeight w:val="724"/>
        </w:trPr>
        <w:tc>
          <w:tcPr>
            <w:tcW w:w="2880" w:type="dxa"/>
            <w:shd w:val="clear" w:color="auto" w:fill="auto"/>
          </w:tcPr>
          <w:p w14:paraId="488FEDBC" w14:textId="77777777" w:rsidR="0089227E" w:rsidRPr="000C73AC" w:rsidRDefault="0089227E" w:rsidP="0089227E">
            <w:pPr>
              <w:ind w:left="26"/>
              <w:rPr>
                <w:b/>
                <w:bCs/>
                <w:sz w:val="26"/>
                <w:szCs w:val="26"/>
                <w:rtl/>
              </w:rPr>
            </w:pPr>
            <w:bookmarkStart w:id="1" w:name="FirstAppellant"/>
          </w:p>
          <w:p w14:paraId="54A00EBA" w14:textId="77777777" w:rsidR="0089227E" w:rsidRPr="000C73AC" w:rsidRDefault="0089227E" w:rsidP="0089227E">
            <w:pPr>
              <w:ind w:left="26"/>
              <w:rPr>
                <w:b/>
                <w:bCs/>
                <w:sz w:val="26"/>
                <w:szCs w:val="26"/>
                <w:rtl/>
              </w:rPr>
            </w:pPr>
            <w:r w:rsidRPr="000C73AC">
              <w:rPr>
                <w:rFonts w:hint="cs"/>
                <w:b/>
                <w:bCs/>
                <w:sz w:val="26"/>
                <w:szCs w:val="26"/>
                <w:rtl/>
              </w:rPr>
              <w:t>המאשימה</w:t>
            </w:r>
          </w:p>
        </w:tc>
        <w:tc>
          <w:tcPr>
            <w:tcW w:w="5922" w:type="dxa"/>
            <w:gridSpan w:val="2"/>
            <w:shd w:val="clear" w:color="auto" w:fill="auto"/>
          </w:tcPr>
          <w:p w14:paraId="1B61CFB6" w14:textId="77777777" w:rsidR="0089227E" w:rsidRPr="000C73AC" w:rsidRDefault="0089227E" w:rsidP="00447158">
            <w:pPr>
              <w:rPr>
                <w:rtl/>
              </w:rPr>
            </w:pPr>
          </w:p>
          <w:p w14:paraId="126A404D" w14:textId="77777777" w:rsidR="0089227E" w:rsidRPr="000C73AC" w:rsidRDefault="0089227E" w:rsidP="00447158">
            <w:pPr>
              <w:rPr>
                <w:b/>
                <w:bCs/>
                <w:sz w:val="26"/>
                <w:szCs w:val="26"/>
                <w:rtl/>
              </w:rPr>
            </w:pPr>
            <w:r w:rsidRPr="000C73AC">
              <w:rPr>
                <w:rtl/>
              </w:rPr>
              <w:t xml:space="preserve"> </w:t>
            </w:r>
            <w:r w:rsidRPr="000C73AC">
              <w:rPr>
                <w:rFonts w:hint="cs"/>
                <w:b/>
                <w:bCs/>
                <w:sz w:val="26"/>
                <w:szCs w:val="26"/>
                <w:rtl/>
              </w:rPr>
              <w:t>מדינת ישראל</w:t>
            </w:r>
          </w:p>
          <w:p w14:paraId="113192E2" w14:textId="77777777" w:rsidR="0089227E" w:rsidRPr="000C73AC" w:rsidRDefault="0089227E" w:rsidP="00447158">
            <w:pPr>
              <w:rPr>
                <w:b/>
                <w:bCs/>
                <w:sz w:val="26"/>
                <w:szCs w:val="26"/>
                <w:rtl/>
              </w:rPr>
            </w:pPr>
          </w:p>
        </w:tc>
      </w:tr>
      <w:bookmarkEnd w:id="1"/>
      <w:tr w:rsidR="0089227E" w:rsidRPr="000C73AC" w14:paraId="79B64BB5" w14:textId="77777777" w:rsidTr="0089227E">
        <w:tc>
          <w:tcPr>
            <w:tcW w:w="8802" w:type="dxa"/>
            <w:gridSpan w:val="3"/>
            <w:shd w:val="clear" w:color="auto" w:fill="auto"/>
            <w:vAlign w:val="center"/>
          </w:tcPr>
          <w:p w14:paraId="69C53FE5" w14:textId="77777777" w:rsidR="0089227E" w:rsidRPr="000C73AC" w:rsidRDefault="0089227E" w:rsidP="0089227E">
            <w:pPr>
              <w:jc w:val="center"/>
              <w:rPr>
                <w:rFonts w:ascii="Arial" w:hAnsi="Arial"/>
                <w:b/>
                <w:bCs/>
                <w:sz w:val="26"/>
                <w:szCs w:val="26"/>
                <w:rtl/>
              </w:rPr>
            </w:pPr>
          </w:p>
          <w:p w14:paraId="4F3120D6" w14:textId="77777777" w:rsidR="0089227E" w:rsidRPr="000C73AC" w:rsidRDefault="0089227E" w:rsidP="0089227E">
            <w:pPr>
              <w:jc w:val="center"/>
              <w:rPr>
                <w:rFonts w:ascii="Arial" w:hAnsi="Arial"/>
                <w:b/>
                <w:bCs/>
                <w:sz w:val="26"/>
                <w:szCs w:val="26"/>
                <w:rtl/>
              </w:rPr>
            </w:pPr>
            <w:r w:rsidRPr="000C73AC">
              <w:rPr>
                <w:rFonts w:ascii="Arial" w:hAnsi="Arial" w:hint="cs"/>
                <w:b/>
                <w:bCs/>
                <w:sz w:val="26"/>
                <w:szCs w:val="26"/>
                <w:rtl/>
              </w:rPr>
              <w:t>נגד</w:t>
            </w:r>
          </w:p>
          <w:p w14:paraId="2AC59A1E" w14:textId="77777777" w:rsidR="0089227E" w:rsidRPr="000C73AC" w:rsidRDefault="0089227E" w:rsidP="00447158">
            <w:pPr>
              <w:rPr>
                <w:rFonts w:ascii="Arial" w:hAnsi="Arial"/>
                <w:b/>
                <w:bCs/>
                <w:sz w:val="26"/>
                <w:szCs w:val="26"/>
                <w:rtl/>
              </w:rPr>
            </w:pPr>
          </w:p>
        </w:tc>
      </w:tr>
      <w:tr w:rsidR="0089227E" w:rsidRPr="000C73AC" w14:paraId="41CA4BCC" w14:textId="77777777" w:rsidTr="0089227E">
        <w:tc>
          <w:tcPr>
            <w:tcW w:w="2880" w:type="dxa"/>
            <w:shd w:val="clear" w:color="auto" w:fill="auto"/>
          </w:tcPr>
          <w:p w14:paraId="618364A6" w14:textId="77777777" w:rsidR="0089227E" w:rsidRPr="000C73AC" w:rsidRDefault="0089227E" w:rsidP="0089227E">
            <w:pPr>
              <w:ind w:left="26"/>
              <w:rPr>
                <w:b/>
                <w:bCs/>
                <w:sz w:val="26"/>
                <w:szCs w:val="26"/>
              </w:rPr>
            </w:pPr>
            <w:r w:rsidRPr="000C73AC">
              <w:rPr>
                <w:rFonts w:hint="cs"/>
                <w:b/>
                <w:bCs/>
                <w:sz w:val="26"/>
                <w:szCs w:val="26"/>
                <w:rtl/>
              </w:rPr>
              <w:t>הנאשם</w:t>
            </w:r>
          </w:p>
        </w:tc>
        <w:tc>
          <w:tcPr>
            <w:tcW w:w="5922" w:type="dxa"/>
            <w:gridSpan w:val="2"/>
            <w:shd w:val="clear" w:color="auto" w:fill="auto"/>
          </w:tcPr>
          <w:p w14:paraId="08B924ED" w14:textId="77777777" w:rsidR="0089227E" w:rsidRPr="000C73AC" w:rsidRDefault="0089227E" w:rsidP="00447158">
            <w:pPr>
              <w:rPr>
                <w:b/>
                <w:bCs/>
                <w:sz w:val="26"/>
                <w:szCs w:val="26"/>
                <w:rtl/>
              </w:rPr>
            </w:pPr>
            <w:r w:rsidRPr="000C73AC">
              <w:rPr>
                <w:rtl/>
              </w:rPr>
              <w:t xml:space="preserve"> </w:t>
            </w:r>
            <w:r w:rsidRPr="000C73AC">
              <w:rPr>
                <w:rFonts w:hint="cs"/>
                <w:b/>
                <w:bCs/>
                <w:sz w:val="26"/>
                <w:szCs w:val="26"/>
                <w:rtl/>
              </w:rPr>
              <w:t>רמי ברמכי (עציר)</w:t>
            </w:r>
            <w:r w:rsidRPr="000C73AC">
              <w:rPr>
                <w:rtl/>
              </w:rPr>
              <w:t xml:space="preserve"> </w:t>
            </w:r>
            <w:r w:rsidRPr="000C73AC">
              <w:rPr>
                <w:rFonts w:hint="cs"/>
                <w:b/>
                <w:bCs/>
                <w:sz w:val="26"/>
                <w:szCs w:val="26"/>
                <w:rtl/>
              </w:rPr>
              <w:t xml:space="preserve">ת.ז.  </w:t>
            </w:r>
            <w:r w:rsidR="000C73AC">
              <w:rPr>
                <w:b/>
                <w:bCs/>
                <w:sz w:val="26"/>
                <w:szCs w:val="26"/>
              </w:rPr>
              <w:t>xxxxxxxxxx</w:t>
            </w:r>
          </w:p>
        </w:tc>
      </w:tr>
    </w:tbl>
    <w:p w14:paraId="08CAB7B1" w14:textId="77777777" w:rsidR="0089227E" w:rsidRPr="000C73AC" w:rsidRDefault="0089227E" w:rsidP="0089227E">
      <w:pPr>
        <w:spacing w:line="360" w:lineRule="auto"/>
        <w:jc w:val="both"/>
        <w:rPr>
          <w:rFonts w:ascii="David" w:hAnsi="David"/>
          <w:sz w:val="6"/>
          <w:szCs w:val="6"/>
          <w:rtl/>
        </w:rPr>
      </w:pPr>
      <w:r w:rsidRPr="000C73AC">
        <w:rPr>
          <w:rFonts w:hint="cs"/>
          <w:sz w:val="6"/>
          <w:szCs w:val="6"/>
          <w:rtl/>
        </w:rPr>
        <w:t>&lt;#1#&gt;</w:t>
      </w:r>
    </w:p>
    <w:p w14:paraId="63F5A7F6" w14:textId="77777777" w:rsidR="0089227E" w:rsidRPr="000C73AC" w:rsidRDefault="0089227E" w:rsidP="0089227E">
      <w:pPr>
        <w:pStyle w:val="12"/>
        <w:rPr>
          <w:b w:val="0"/>
          <w:bCs w:val="0"/>
          <w:u w:val="none"/>
          <w:rtl/>
        </w:rPr>
      </w:pPr>
    </w:p>
    <w:p w14:paraId="62397E14" w14:textId="77777777" w:rsidR="0089227E" w:rsidRPr="000C73AC" w:rsidRDefault="0089227E" w:rsidP="0089227E">
      <w:pPr>
        <w:pStyle w:val="12"/>
        <w:rPr>
          <w:u w:val="none"/>
          <w:rtl/>
        </w:rPr>
      </w:pPr>
      <w:r w:rsidRPr="000C73AC">
        <w:rPr>
          <w:rFonts w:hint="cs"/>
          <w:u w:val="none"/>
          <w:rtl/>
        </w:rPr>
        <w:t>נוכחים:</w:t>
      </w:r>
    </w:p>
    <w:p w14:paraId="52A6ACD1" w14:textId="77777777" w:rsidR="0089227E" w:rsidRPr="000C73AC" w:rsidRDefault="0089227E" w:rsidP="0089227E">
      <w:pPr>
        <w:pStyle w:val="12"/>
        <w:rPr>
          <w:b w:val="0"/>
          <w:bCs w:val="0"/>
          <w:u w:val="none"/>
          <w:rtl/>
        </w:rPr>
      </w:pPr>
      <w:bookmarkStart w:id="2" w:name="FirstLawyer"/>
      <w:r w:rsidRPr="000C73AC">
        <w:rPr>
          <w:rFonts w:hint="cs"/>
          <w:b w:val="0"/>
          <w:bCs w:val="0"/>
          <w:u w:val="none"/>
          <w:rtl/>
        </w:rPr>
        <w:t>ב"כ</w:t>
      </w:r>
      <w:bookmarkEnd w:id="2"/>
      <w:r w:rsidRPr="000C73AC">
        <w:rPr>
          <w:rFonts w:hint="cs"/>
          <w:b w:val="0"/>
          <w:bCs w:val="0"/>
          <w:u w:val="none"/>
          <w:rtl/>
        </w:rPr>
        <w:t xml:space="preserve"> המאשימה: עו"ד טל עופר  </w:t>
      </w:r>
    </w:p>
    <w:p w14:paraId="5F40A8D0" w14:textId="77777777" w:rsidR="0089227E" w:rsidRPr="000C73AC" w:rsidRDefault="0089227E" w:rsidP="0089227E">
      <w:pPr>
        <w:pStyle w:val="12"/>
        <w:rPr>
          <w:b w:val="0"/>
          <w:bCs w:val="0"/>
          <w:u w:val="none"/>
          <w:rtl/>
        </w:rPr>
      </w:pPr>
      <w:r w:rsidRPr="000C73AC">
        <w:rPr>
          <w:rFonts w:hint="cs"/>
          <w:b w:val="0"/>
          <w:bCs w:val="0"/>
          <w:u w:val="none"/>
          <w:rtl/>
        </w:rPr>
        <w:t>ב"כ הנאשם: עו"ד סאהר פאר</w:t>
      </w:r>
    </w:p>
    <w:p w14:paraId="4E991A10" w14:textId="77777777" w:rsidR="00FB1E4A" w:rsidRDefault="0089227E" w:rsidP="0089227E">
      <w:pPr>
        <w:pStyle w:val="12"/>
        <w:rPr>
          <w:b w:val="0"/>
          <w:bCs w:val="0"/>
          <w:u w:val="none"/>
          <w:rtl/>
        </w:rPr>
      </w:pPr>
      <w:r w:rsidRPr="000C73AC">
        <w:rPr>
          <w:rFonts w:hint="cs"/>
          <w:b w:val="0"/>
          <w:bCs w:val="0"/>
          <w:u w:val="none"/>
          <w:rtl/>
        </w:rPr>
        <w:t xml:space="preserve">הנאשם באמצעות הליווי </w:t>
      </w:r>
      <w:bookmarkStart w:id="3" w:name="LawTable"/>
      <w:bookmarkEnd w:id="3"/>
    </w:p>
    <w:p w14:paraId="6289C43B" w14:textId="77777777" w:rsidR="00FB1E4A" w:rsidRPr="00FB1E4A" w:rsidRDefault="00FB1E4A" w:rsidP="00FB1E4A">
      <w:pPr>
        <w:pStyle w:val="12"/>
        <w:spacing w:after="120" w:line="240" w:lineRule="exact"/>
        <w:ind w:left="283" w:hanging="283"/>
        <w:jc w:val="both"/>
        <w:rPr>
          <w:rFonts w:ascii="FrankRuehl" w:hAnsi="FrankRuehl" w:cs="FrankRuehl"/>
          <w:b w:val="0"/>
          <w:bCs w:val="0"/>
          <w:u w:val="none"/>
          <w:rtl/>
        </w:rPr>
      </w:pPr>
    </w:p>
    <w:p w14:paraId="5A3A0544" w14:textId="77777777" w:rsidR="00FB1E4A" w:rsidRPr="00FB1E4A" w:rsidRDefault="00FB1E4A" w:rsidP="00FB1E4A">
      <w:pPr>
        <w:pStyle w:val="12"/>
        <w:spacing w:after="120" w:line="240" w:lineRule="exact"/>
        <w:ind w:left="283" w:hanging="283"/>
        <w:jc w:val="both"/>
        <w:rPr>
          <w:rFonts w:ascii="FrankRuehl" w:hAnsi="FrankRuehl" w:cs="FrankRuehl"/>
          <w:b w:val="0"/>
          <w:bCs w:val="0"/>
          <w:u w:val="none"/>
          <w:rtl/>
        </w:rPr>
      </w:pPr>
      <w:r w:rsidRPr="00FB1E4A">
        <w:rPr>
          <w:rFonts w:ascii="FrankRuehl" w:hAnsi="FrankRuehl" w:cs="FrankRuehl"/>
          <w:b w:val="0"/>
          <w:bCs w:val="0"/>
          <w:u w:val="none"/>
          <w:rtl/>
        </w:rPr>
        <w:t xml:space="preserve">חקיקה שאוזכרה: </w:t>
      </w:r>
    </w:p>
    <w:p w14:paraId="7EE8E8E0" w14:textId="77777777" w:rsidR="00FB1E4A" w:rsidRPr="00FB1E4A" w:rsidRDefault="00FB1E4A" w:rsidP="00FB1E4A">
      <w:pPr>
        <w:pStyle w:val="12"/>
        <w:spacing w:after="120" w:line="240" w:lineRule="exact"/>
        <w:ind w:left="283" w:hanging="283"/>
        <w:jc w:val="both"/>
        <w:rPr>
          <w:rFonts w:ascii="FrankRuehl" w:hAnsi="FrankRuehl" w:cs="FrankRuehl"/>
          <w:b w:val="0"/>
          <w:bCs w:val="0"/>
          <w:u w:val="none"/>
          <w:rtl/>
        </w:rPr>
      </w:pPr>
      <w:hyperlink r:id="rId6" w:history="1">
        <w:r w:rsidRPr="00FB1E4A">
          <w:rPr>
            <w:rFonts w:ascii="FrankRuehl" w:hAnsi="FrankRuehl" w:cs="FrankRuehl"/>
            <w:b w:val="0"/>
            <w:bCs w:val="0"/>
            <w:color w:val="0000FF"/>
            <w:rtl/>
          </w:rPr>
          <w:t>חוק העונשין, תשל"ז-1977</w:t>
        </w:r>
      </w:hyperlink>
      <w:r w:rsidRPr="00FB1E4A">
        <w:rPr>
          <w:rFonts w:ascii="FrankRuehl" w:hAnsi="FrankRuehl" w:cs="FrankRuehl"/>
          <w:b w:val="0"/>
          <w:bCs w:val="0"/>
          <w:u w:val="none"/>
          <w:rtl/>
        </w:rPr>
        <w:t xml:space="preserve">: סע'  </w:t>
      </w:r>
      <w:hyperlink r:id="rId7" w:history="1">
        <w:r w:rsidRPr="00FB1E4A">
          <w:rPr>
            <w:rFonts w:ascii="FrankRuehl" w:hAnsi="FrankRuehl" w:cs="FrankRuehl"/>
            <w:b w:val="0"/>
            <w:bCs w:val="0"/>
            <w:color w:val="0000FF"/>
            <w:rtl/>
          </w:rPr>
          <w:t>29</w:t>
        </w:r>
      </w:hyperlink>
      <w:r w:rsidRPr="00FB1E4A">
        <w:rPr>
          <w:rFonts w:ascii="FrankRuehl" w:hAnsi="FrankRuehl" w:cs="FrankRuehl"/>
          <w:b w:val="0"/>
          <w:bCs w:val="0"/>
          <w:u w:val="none"/>
          <w:rtl/>
        </w:rPr>
        <w:t xml:space="preserve">, </w:t>
      </w:r>
      <w:hyperlink r:id="rId8" w:history="1">
        <w:r w:rsidRPr="00FB1E4A">
          <w:rPr>
            <w:rFonts w:ascii="FrankRuehl" w:hAnsi="FrankRuehl" w:cs="FrankRuehl"/>
            <w:b w:val="0"/>
            <w:bCs w:val="0"/>
            <w:color w:val="0000FF"/>
            <w:rtl/>
          </w:rPr>
          <w:t>338(א)(1)</w:t>
        </w:r>
      </w:hyperlink>
      <w:r w:rsidRPr="00FB1E4A">
        <w:rPr>
          <w:rFonts w:ascii="FrankRuehl" w:hAnsi="FrankRuehl" w:cs="FrankRuehl"/>
          <w:b w:val="0"/>
          <w:bCs w:val="0"/>
          <w:u w:val="none"/>
          <w:rtl/>
        </w:rPr>
        <w:t xml:space="preserve">, </w:t>
      </w:r>
      <w:hyperlink r:id="rId9" w:history="1">
        <w:r w:rsidRPr="00FB1E4A">
          <w:rPr>
            <w:rFonts w:ascii="FrankRuehl" w:hAnsi="FrankRuehl" w:cs="FrankRuehl"/>
            <w:b w:val="0"/>
            <w:bCs w:val="0"/>
            <w:color w:val="0000FF"/>
            <w:rtl/>
          </w:rPr>
          <w:t>381(א)(2)</w:t>
        </w:r>
      </w:hyperlink>
      <w:r w:rsidRPr="00FB1E4A">
        <w:rPr>
          <w:rFonts w:ascii="FrankRuehl" w:hAnsi="FrankRuehl" w:cs="FrankRuehl"/>
          <w:b w:val="0"/>
          <w:bCs w:val="0"/>
          <w:u w:val="none"/>
          <w:rtl/>
        </w:rPr>
        <w:t xml:space="preserve">, </w:t>
      </w:r>
      <w:hyperlink r:id="rId10" w:history="1">
        <w:r w:rsidRPr="00FB1E4A">
          <w:rPr>
            <w:rFonts w:ascii="FrankRuehl" w:hAnsi="FrankRuehl" w:cs="FrankRuehl"/>
            <w:b w:val="0"/>
            <w:bCs w:val="0"/>
            <w:color w:val="0000FF"/>
            <w:rtl/>
          </w:rPr>
          <w:t>384</w:t>
        </w:r>
      </w:hyperlink>
      <w:r w:rsidRPr="00FB1E4A">
        <w:rPr>
          <w:rFonts w:ascii="FrankRuehl" w:hAnsi="FrankRuehl" w:cs="FrankRuehl"/>
          <w:b w:val="0"/>
          <w:bCs w:val="0"/>
          <w:u w:val="none"/>
          <w:rtl/>
        </w:rPr>
        <w:t xml:space="preserve">, </w:t>
      </w:r>
      <w:hyperlink r:id="rId11" w:history="1">
        <w:r w:rsidRPr="00FB1E4A">
          <w:rPr>
            <w:rFonts w:ascii="FrankRuehl" w:hAnsi="FrankRuehl" w:cs="FrankRuehl"/>
            <w:b w:val="0"/>
            <w:bCs w:val="0"/>
            <w:color w:val="0000FF"/>
            <w:rtl/>
          </w:rPr>
          <w:t>40יג</w:t>
        </w:r>
      </w:hyperlink>
    </w:p>
    <w:p w14:paraId="483ADE26" w14:textId="77777777" w:rsidR="00FB1E4A" w:rsidRPr="00FB1E4A" w:rsidRDefault="00FB1E4A" w:rsidP="00FB1E4A">
      <w:pPr>
        <w:pStyle w:val="12"/>
        <w:spacing w:after="120" w:line="240" w:lineRule="exact"/>
        <w:ind w:left="283" w:hanging="283"/>
        <w:jc w:val="both"/>
        <w:rPr>
          <w:rFonts w:ascii="FrankRuehl" w:hAnsi="FrankRuehl" w:cs="FrankRuehl"/>
          <w:b w:val="0"/>
          <w:bCs w:val="0"/>
          <w:u w:val="none"/>
          <w:rtl/>
        </w:rPr>
      </w:pPr>
      <w:hyperlink r:id="rId12" w:history="1">
        <w:r w:rsidRPr="00FB1E4A">
          <w:rPr>
            <w:rFonts w:ascii="FrankRuehl" w:hAnsi="FrankRuehl" w:cs="FrankRuehl"/>
            <w:b w:val="0"/>
            <w:bCs w:val="0"/>
            <w:color w:val="0000FF"/>
            <w:rtl/>
          </w:rPr>
          <w:t>פקודת הסמים המסוכנים [נוסח חדש], תשל"ג-1973</w:t>
        </w:r>
      </w:hyperlink>
      <w:r w:rsidRPr="00FB1E4A">
        <w:rPr>
          <w:rFonts w:ascii="FrankRuehl" w:hAnsi="FrankRuehl" w:cs="FrankRuehl"/>
          <w:b w:val="0"/>
          <w:bCs w:val="0"/>
          <w:u w:val="none"/>
          <w:rtl/>
        </w:rPr>
        <w:t xml:space="preserve">: סע'  </w:t>
      </w:r>
      <w:hyperlink r:id="rId13" w:history="1">
        <w:r w:rsidRPr="00FB1E4A">
          <w:rPr>
            <w:rFonts w:ascii="FrankRuehl" w:hAnsi="FrankRuehl" w:cs="FrankRuehl"/>
            <w:b w:val="0"/>
            <w:bCs w:val="0"/>
            <w:color w:val="0000FF"/>
            <w:rtl/>
          </w:rPr>
          <w:t>13</w:t>
        </w:r>
      </w:hyperlink>
      <w:r w:rsidRPr="00FB1E4A">
        <w:rPr>
          <w:rFonts w:ascii="FrankRuehl" w:hAnsi="FrankRuehl" w:cs="FrankRuehl"/>
          <w:b w:val="0"/>
          <w:bCs w:val="0"/>
          <w:u w:val="none"/>
          <w:rtl/>
        </w:rPr>
        <w:t xml:space="preserve">, </w:t>
      </w:r>
      <w:hyperlink r:id="rId14" w:history="1">
        <w:r w:rsidRPr="00FB1E4A">
          <w:rPr>
            <w:rFonts w:ascii="FrankRuehl" w:hAnsi="FrankRuehl" w:cs="FrankRuehl"/>
            <w:b w:val="0"/>
            <w:bCs w:val="0"/>
            <w:color w:val="0000FF"/>
            <w:rtl/>
          </w:rPr>
          <w:t>19א'</w:t>
        </w:r>
      </w:hyperlink>
    </w:p>
    <w:p w14:paraId="15692C8D" w14:textId="77777777" w:rsidR="00FB1E4A" w:rsidRPr="00FB1E4A" w:rsidRDefault="00FB1E4A" w:rsidP="00FB1E4A">
      <w:pPr>
        <w:pStyle w:val="12"/>
        <w:spacing w:after="120" w:line="240" w:lineRule="exact"/>
        <w:ind w:left="283" w:hanging="283"/>
        <w:jc w:val="both"/>
        <w:rPr>
          <w:rFonts w:ascii="FrankRuehl" w:hAnsi="FrankRuehl" w:cs="FrankRuehl"/>
          <w:b w:val="0"/>
          <w:bCs w:val="0"/>
          <w:u w:val="none"/>
          <w:rtl/>
        </w:rPr>
      </w:pPr>
      <w:hyperlink r:id="rId15" w:history="1">
        <w:r w:rsidRPr="00FB1E4A">
          <w:rPr>
            <w:rFonts w:ascii="FrankRuehl" w:hAnsi="FrankRuehl" w:cs="FrankRuehl"/>
            <w:b w:val="0"/>
            <w:bCs w:val="0"/>
            <w:color w:val="0000FF"/>
            <w:rtl/>
          </w:rPr>
          <w:t>חוק סדר הדין הפלילי [נוסח משולב], תשמ"ב-1982</w:t>
        </w:r>
      </w:hyperlink>
    </w:p>
    <w:p w14:paraId="7EDEE167" w14:textId="77777777" w:rsidR="00FB1E4A" w:rsidRPr="00FB1E4A" w:rsidRDefault="00FB1E4A" w:rsidP="00FB1E4A">
      <w:pPr>
        <w:pStyle w:val="12"/>
        <w:spacing w:after="120" w:line="240" w:lineRule="exact"/>
        <w:ind w:left="283" w:hanging="283"/>
        <w:jc w:val="both"/>
        <w:rPr>
          <w:rFonts w:ascii="FrankRuehl" w:hAnsi="FrankRuehl" w:cs="FrankRuehl"/>
          <w:b w:val="0"/>
          <w:bCs w:val="0"/>
          <w:u w:val="none"/>
          <w:rtl/>
        </w:rPr>
      </w:pPr>
    </w:p>
    <w:p w14:paraId="477A37DC" w14:textId="77777777" w:rsidR="00FB1E4A" w:rsidRPr="00FB1E4A" w:rsidRDefault="00FB1E4A" w:rsidP="0089227E">
      <w:pPr>
        <w:pStyle w:val="12"/>
        <w:rPr>
          <w:b w:val="0"/>
          <w:bCs w:val="0"/>
          <w:u w:val="none"/>
          <w:rtl/>
        </w:rPr>
      </w:pPr>
      <w:bookmarkStart w:id="4" w:name="LawTable_End"/>
      <w:bookmarkEnd w:id="4"/>
    </w:p>
    <w:p w14:paraId="36BDCE1C" w14:textId="77777777" w:rsidR="00FB1E4A" w:rsidRPr="00FB1E4A" w:rsidRDefault="00FB1E4A" w:rsidP="0089227E">
      <w:pPr>
        <w:pStyle w:val="12"/>
        <w:rPr>
          <w:b w:val="0"/>
          <w:bCs w:val="0"/>
          <w:u w:val="none"/>
          <w:rtl/>
        </w:rPr>
      </w:pPr>
    </w:p>
    <w:p w14:paraId="2A98E42F" w14:textId="77777777" w:rsidR="0089227E" w:rsidRPr="00FB1E4A" w:rsidRDefault="0089227E" w:rsidP="0089227E">
      <w:pPr>
        <w:pStyle w:val="12"/>
        <w:rPr>
          <w:b w:val="0"/>
          <w:bCs w:val="0"/>
          <w:u w:val="none"/>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89227E" w14:paraId="67DA1389" w14:textId="77777777" w:rsidTr="0089227E">
        <w:trPr>
          <w:trHeight w:val="355"/>
          <w:jc w:val="center"/>
        </w:trPr>
        <w:tc>
          <w:tcPr>
            <w:tcW w:w="8820" w:type="dxa"/>
            <w:tcBorders>
              <w:top w:val="nil"/>
              <w:left w:val="nil"/>
              <w:bottom w:val="nil"/>
              <w:right w:val="nil"/>
            </w:tcBorders>
            <w:shd w:val="clear" w:color="auto" w:fill="auto"/>
          </w:tcPr>
          <w:p w14:paraId="4676BB03" w14:textId="77777777" w:rsidR="000C73AC" w:rsidRPr="000C73AC" w:rsidRDefault="000C73AC" w:rsidP="000C73AC">
            <w:pPr>
              <w:jc w:val="center"/>
              <w:rPr>
                <w:rFonts w:ascii="Arial" w:hAnsi="Arial" w:cs="FrankRuehl"/>
                <w:b/>
                <w:bCs/>
                <w:sz w:val="32"/>
                <w:szCs w:val="32"/>
                <w:u w:val="single"/>
                <w:rtl/>
              </w:rPr>
            </w:pPr>
            <w:bookmarkStart w:id="5" w:name="PsakDin" w:colFirst="0" w:colLast="0"/>
            <w:bookmarkEnd w:id="0"/>
            <w:r w:rsidRPr="000C73AC">
              <w:rPr>
                <w:rFonts w:ascii="Arial" w:hAnsi="Arial" w:cs="FrankRuehl"/>
                <w:b/>
                <w:bCs/>
                <w:sz w:val="32"/>
                <w:szCs w:val="32"/>
                <w:u w:val="single"/>
                <w:rtl/>
              </w:rPr>
              <w:t>גזר דין</w:t>
            </w:r>
          </w:p>
          <w:p w14:paraId="53F1370F" w14:textId="77777777" w:rsidR="0089227E" w:rsidRPr="000C73AC" w:rsidRDefault="0089227E" w:rsidP="000C73AC">
            <w:pPr>
              <w:jc w:val="center"/>
              <w:rPr>
                <w:rFonts w:ascii="Arial" w:hAnsi="Arial" w:cs="FrankRuehl"/>
                <w:bCs/>
                <w:sz w:val="32"/>
                <w:szCs w:val="32"/>
                <w:u w:val="single"/>
                <w:rtl/>
              </w:rPr>
            </w:pPr>
          </w:p>
        </w:tc>
      </w:tr>
      <w:bookmarkEnd w:id="5"/>
    </w:tbl>
    <w:p w14:paraId="342C6DD9" w14:textId="77777777" w:rsidR="0089227E" w:rsidRPr="00B05847" w:rsidRDefault="0089227E" w:rsidP="0089227E">
      <w:pPr>
        <w:spacing w:line="360" w:lineRule="auto"/>
        <w:rPr>
          <w:rFonts w:ascii="Arial" w:hAnsi="Arial"/>
          <w:rtl/>
        </w:rPr>
      </w:pPr>
    </w:p>
    <w:p w14:paraId="277EFA12" w14:textId="77777777" w:rsidR="0089227E" w:rsidRPr="003D31C5" w:rsidRDefault="0089227E" w:rsidP="0089227E">
      <w:pPr>
        <w:spacing w:after="240" w:line="360" w:lineRule="auto"/>
        <w:rPr>
          <w:u w:val="single"/>
        </w:rPr>
      </w:pPr>
      <w:r w:rsidRPr="003D31C5">
        <w:rPr>
          <w:u w:val="single"/>
          <w:rtl/>
        </w:rPr>
        <w:t>כתב האישום</w:t>
      </w:r>
      <w:r>
        <w:rPr>
          <w:rFonts w:hint="cs"/>
          <w:u w:val="single"/>
          <w:rtl/>
        </w:rPr>
        <w:t xml:space="preserve"> בתיק העיקרי</w:t>
      </w:r>
    </w:p>
    <w:p w14:paraId="4D4C4F04" w14:textId="77777777" w:rsidR="0089227E" w:rsidRDefault="0089227E" w:rsidP="0089227E">
      <w:pPr>
        <w:spacing w:line="360" w:lineRule="auto"/>
        <w:ind w:left="720" w:hanging="720"/>
        <w:jc w:val="both"/>
        <w:rPr>
          <w:rtl/>
        </w:rPr>
      </w:pPr>
      <w:r w:rsidRPr="003D31C5">
        <w:rPr>
          <w:rtl/>
        </w:rPr>
        <w:t>1.</w:t>
      </w:r>
      <w:r w:rsidRPr="003D31C5">
        <w:rPr>
          <w:rtl/>
        </w:rPr>
        <w:tab/>
      </w:r>
      <w:bookmarkStart w:id="6" w:name="ABSTRACT_START"/>
      <w:bookmarkEnd w:id="6"/>
      <w:r w:rsidRPr="003D31C5">
        <w:rPr>
          <w:rtl/>
        </w:rPr>
        <w:t>הנאשם הורשע ע</w:t>
      </w:r>
      <w:r>
        <w:rPr>
          <w:rtl/>
        </w:rPr>
        <w:t xml:space="preserve">ל פי הודייתו בעובדות כתב אישום </w:t>
      </w:r>
      <w:r>
        <w:rPr>
          <w:rFonts w:hint="cs"/>
          <w:rtl/>
        </w:rPr>
        <w:t>ש</w:t>
      </w:r>
      <w:r w:rsidRPr="003D31C5">
        <w:rPr>
          <w:rtl/>
        </w:rPr>
        <w:t>תוקן (להלן: "</w:t>
      </w:r>
      <w:r w:rsidRPr="003D31C5">
        <w:rPr>
          <w:b/>
          <w:bCs/>
          <w:rtl/>
        </w:rPr>
        <w:t>כתב האישום</w:t>
      </w:r>
      <w:r w:rsidRPr="003D31C5">
        <w:rPr>
          <w:rtl/>
        </w:rPr>
        <w:t xml:space="preserve">"), </w:t>
      </w:r>
      <w:r>
        <w:rPr>
          <w:rFonts w:hint="cs"/>
          <w:rtl/>
        </w:rPr>
        <w:t>ב</w:t>
      </w:r>
      <w:r w:rsidRPr="003D31C5">
        <w:rPr>
          <w:rtl/>
        </w:rPr>
        <w:t>מסגרת הסדר טיעון אשר לא כלל הסכמה לעניין העונש, ב</w:t>
      </w:r>
      <w:r>
        <w:rPr>
          <w:rFonts w:hint="cs"/>
          <w:rtl/>
        </w:rPr>
        <w:t xml:space="preserve">שתי </w:t>
      </w:r>
      <w:r w:rsidRPr="003D31C5">
        <w:rPr>
          <w:rtl/>
        </w:rPr>
        <w:t>עביר</w:t>
      </w:r>
      <w:r>
        <w:rPr>
          <w:rFonts w:hint="cs"/>
          <w:rtl/>
        </w:rPr>
        <w:t>ות תקיפה לשם גניבה</w:t>
      </w:r>
      <w:r w:rsidRPr="003D31C5">
        <w:rPr>
          <w:rtl/>
        </w:rPr>
        <w:t>, לפי סעי</w:t>
      </w:r>
      <w:r>
        <w:rPr>
          <w:rFonts w:hint="cs"/>
          <w:rtl/>
        </w:rPr>
        <w:t>פים</w:t>
      </w:r>
      <w:r w:rsidRPr="003D31C5">
        <w:rPr>
          <w:rtl/>
        </w:rPr>
        <w:t xml:space="preserve"> </w:t>
      </w:r>
      <w:hyperlink r:id="rId16" w:history="1">
        <w:r w:rsidR="00CA79EE" w:rsidRPr="00CA79EE">
          <w:rPr>
            <w:color w:val="0000FF"/>
            <w:u w:val="single"/>
            <w:rtl/>
          </w:rPr>
          <w:t>381(א)(2)</w:t>
        </w:r>
      </w:hyperlink>
      <w:r w:rsidR="00CA79EE">
        <w:rPr>
          <w:rFonts w:hint="cs"/>
          <w:rtl/>
        </w:rPr>
        <w:t xml:space="preserve"> </w:t>
      </w:r>
      <w:r>
        <w:rPr>
          <w:rFonts w:hint="cs"/>
          <w:rtl/>
        </w:rPr>
        <w:t xml:space="preserve">+ </w:t>
      </w:r>
      <w:hyperlink r:id="rId17" w:history="1">
        <w:r w:rsidR="00CA79EE" w:rsidRPr="00CA79EE">
          <w:rPr>
            <w:color w:val="0000FF"/>
            <w:u w:val="single"/>
            <w:rtl/>
          </w:rPr>
          <w:t>29</w:t>
        </w:r>
      </w:hyperlink>
      <w:r>
        <w:rPr>
          <w:rFonts w:hint="cs"/>
          <w:rtl/>
        </w:rPr>
        <w:t xml:space="preserve"> </w:t>
      </w:r>
      <w:r>
        <w:rPr>
          <w:rtl/>
        </w:rPr>
        <w:t>ל</w:t>
      </w:r>
      <w:hyperlink r:id="rId18" w:history="1">
        <w:r w:rsidR="000C73AC" w:rsidRPr="000C73AC">
          <w:rPr>
            <w:color w:val="0000FF"/>
            <w:u w:val="single"/>
            <w:rtl/>
          </w:rPr>
          <w:t>חוק העונשין</w:t>
        </w:r>
      </w:hyperlink>
      <w:r>
        <w:rPr>
          <w:rtl/>
        </w:rPr>
        <w:t>, תשל"ז</w:t>
      </w:r>
      <w:r>
        <w:rPr>
          <w:rFonts w:hint="cs"/>
          <w:rtl/>
        </w:rPr>
        <w:t>-</w:t>
      </w:r>
      <w:r w:rsidRPr="003D31C5">
        <w:rPr>
          <w:rtl/>
        </w:rPr>
        <w:t>1977 (להלן: "</w:t>
      </w:r>
      <w:r w:rsidRPr="003D31C5">
        <w:rPr>
          <w:b/>
          <w:bCs/>
          <w:rtl/>
        </w:rPr>
        <w:t>חוק העונשין</w:t>
      </w:r>
      <w:r>
        <w:rPr>
          <w:rtl/>
        </w:rPr>
        <w:t>")</w:t>
      </w:r>
      <w:r>
        <w:rPr>
          <w:rFonts w:hint="cs"/>
          <w:rtl/>
        </w:rPr>
        <w:t xml:space="preserve">, שתי עבירות גניבה לפי סעיפים </w:t>
      </w:r>
      <w:r w:rsidR="00CA79EE">
        <w:rPr>
          <w:rFonts w:hint="cs"/>
          <w:rtl/>
        </w:rPr>
        <w:t xml:space="preserve"> </w:t>
      </w:r>
      <w:hyperlink r:id="rId19" w:history="1">
        <w:r w:rsidR="00CA79EE" w:rsidRPr="00CA79EE">
          <w:rPr>
            <w:color w:val="0000FF"/>
            <w:u w:val="single"/>
            <w:rtl/>
          </w:rPr>
          <w:t>29</w:t>
        </w:r>
      </w:hyperlink>
      <w:r>
        <w:rPr>
          <w:rFonts w:hint="cs"/>
          <w:rtl/>
        </w:rPr>
        <w:t>+</w:t>
      </w:r>
      <w:r w:rsidR="00CA79EE">
        <w:rPr>
          <w:rFonts w:hint="cs"/>
          <w:rtl/>
        </w:rPr>
        <w:t xml:space="preserve"> </w:t>
      </w:r>
      <w:hyperlink r:id="rId20" w:history="1">
        <w:r w:rsidR="00CA79EE" w:rsidRPr="00CA79EE">
          <w:rPr>
            <w:color w:val="0000FF"/>
            <w:u w:val="single"/>
            <w:rtl/>
          </w:rPr>
          <w:t>384</w:t>
        </w:r>
      </w:hyperlink>
      <w:r>
        <w:rPr>
          <w:rFonts w:hint="cs"/>
          <w:rtl/>
        </w:rPr>
        <w:t xml:space="preserve"> לחוק העונשין ובעבירת מעשה פזיזות ורשלנות לפי סעיפים </w:t>
      </w:r>
      <w:hyperlink r:id="rId21" w:history="1">
        <w:r w:rsidR="00CA79EE" w:rsidRPr="00CA79EE">
          <w:rPr>
            <w:color w:val="0000FF"/>
            <w:u w:val="single"/>
            <w:rtl/>
          </w:rPr>
          <w:t>338(א)(1)</w:t>
        </w:r>
      </w:hyperlink>
      <w:r w:rsidR="00CA79EE">
        <w:rPr>
          <w:rFonts w:hint="cs"/>
          <w:rtl/>
        </w:rPr>
        <w:t xml:space="preserve"> </w:t>
      </w:r>
      <w:r>
        <w:rPr>
          <w:rFonts w:hint="cs"/>
          <w:rtl/>
        </w:rPr>
        <w:t>+</w:t>
      </w:r>
      <w:r w:rsidR="00CA79EE">
        <w:rPr>
          <w:rFonts w:hint="cs"/>
          <w:rtl/>
        </w:rPr>
        <w:t xml:space="preserve"> </w:t>
      </w:r>
      <w:hyperlink r:id="rId22" w:history="1">
        <w:r w:rsidR="00CA79EE" w:rsidRPr="00CA79EE">
          <w:rPr>
            <w:color w:val="0000FF"/>
            <w:u w:val="single"/>
            <w:rtl/>
          </w:rPr>
          <w:t>29</w:t>
        </w:r>
      </w:hyperlink>
      <w:r>
        <w:rPr>
          <w:rFonts w:hint="cs"/>
          <w:rtl/>
        </w:rPr>
        <w:t xml:space="preserve"> לחוק העונשין.</w:t>
      </w:r>
    </w:p>
    <w:p w14:paraId="03803B6D" w14:textId="77777777" w:rsidR="0089227E" w:rsidRDefault="0089227E" w:rsidP="0089227E">
      <w:pPr>
        <w:spacing w:line="360" w:lineRule="auto"/>
        <w:ind w:left="720" w:hanging="720"/>
        <w:rPr>
          <w:rtl/>
        </w:rPr>
      </w:pPr>
      <w:bookmarkStart w:id="7" w:name="ABSTRACT_END"/>
      <w:bookmarkEnd w:id="7"/>
    </w:p>
    <w:p w14:paraId="69747872" w14:textId="77777777" w:rsidR="0089227E" w:rsidRDefault="0089227E" w:rsidP="0089227E">
      <w:pPr>
        <w:spacing w:line="360" w:lineRule="auto"/>
        <w:ind w:left="720" w:hanging="720"/>
        <w:jc w:val="both"/>
        <w:rPr>
          <w:rtl/>
        </w:rPr>
      </w:pPr>
      <w:r>
        <w:rPr>
          <w:rFonts w:hint="cs"/>
          <w:rtl/>
        </w:rPr>
        <w:t>2.</w:t>
      </w:r>
      <w:r>
        <w:rPr>
          <w:rFonts w:hint="cs"/>
          <w:rtl/>
        </w:rPr>
        <w:tab/>
        <w:t>בעובדות כתב האישום נאמר כי הנאשם הינו חברו של אחד, פאדי מיגל כמיל (להלן: "</w:t>
      </w:r>
      <w:r w:rsidRPr="00DD400D">
        <w:rPr>
          <w:rFonts w:hint="cs"/>
          <w:b/>
          <w:bCs/>
          <w:rtl/>
        </w:rPr>
        <w:t>פאדי</w:t>
      </w:r>
      <w:r>
        <w:rPr>
          <w:rFonts w:hint="cs"/>
          <w:rtl/>
        </w:rPr>
        <w:t xml:space="preserve">"), שהינו הבעלים של אופנוע מסוג </w:t>
      </w:r>
      <w:r>
        <w:rPr>
          <w:rFonts w:hint="cs"/>
        </w:rPr>
        <w:t>TMAX</w:t>
      </w:r>
      <w:r>
        <w:rPr>
          <w:rFonts w:hint="cs"/>
          <w:rtl/>
        </w:rPr>
        <w:t xml:space="preserve"> (להלן: "</w:t>
      </w:r>
      <w:r w:rsidRPr="00A31753">
        <w:rPr>
          <w:rFonts w:hint="cs"/>
          <w:b/>
          <w:bCs/>
          <w:rtl/>
        </w:rPr>
        <w:t>האופנוע</w:t>
      </w:r>
      <w:r>
        <w:rPr>
          <w:rFonts w:hint="cs"/>
          <w:rtl/>
        </w:rPr>
        <w:t xml:space="preserve">"), וכן כי הנאשם ידע שפאדי מעולם לא הורשה לנהוג ולא החזיק ברשיון נהיגה תקף. </w:t>
      </w:r>
    </w:p>
    <w:p w14:paraId="343DA1EE" w14:textId="77777777" w:rsidR="0089227E" w:rsidRDefault="0089227E" w:rsidP="0089227E">
      <w:pPr>
        <w:spacing w:line="360" w:lineRule="auto"/>
        <w:ind w:left="720" w:hanging="720"/>
        <w:rPr>
          <w:rtl/>
        </w:rPr>
      </w:pPr>
    </w:p>
    <w:p w14:paraId="3B79EC3F" w14:textId="77777777" w:rsidR="0089227E" w:rsidRDefault="0089227E" w:rsidP="0089227E">
      <w:pPr>
        <w:spacing w:line="360" w:lineRule="auto"/>
        <w:ind w:left="720" w:hanging="720"/>
        <w:jc w:val="both"/>
        <w:rPr>
          <w:rtl/>
        </w:rPr>
      </w:pPr>
      <w:r>
        <w:rPr>
          <w:rFonts w:hint="cs"/>
          <w:rtl/>
        </w:rPr>
        <w:t>3.</w:t>
      </w:r>
      <w:r>
        <w:rPr>
          <w:rFonts w:hint="cs"/>
          <w:rtl/>
        </w:rPr>
        <w:tab/>
        <w:t>על פי האישום הראשון, ביום 13.7.2017 בשעה 17:30 או בסמוך לכך, לאחר תיאום מראש, נסעו פאדי והנאשם באופנוע, כשפאדי נוהג בו, לכיוון מרכז הכרמל. במהלך נסיעתם הבחינו השניים במתלוננת, אדוה שי, ילידת 1972 (להלן: "</w:t>
      </w:r>
      <w:r w:rsidRPr="00A31753">
        <w:rPr>
          <w:rFonts w:hint="cs"/>
          <w:b/>
          <w:bCs/>
          <w:rtl/>
        </w:rPr>
        <w:t>המתלוננת</w:t>
      </w:r>
      <w:r>
        <w:rPr>
          <w:rFonts w:hint="cs"/>
          <w:rtl/>
        </w:rPr>
        <w:t>") הולכת לבדה כשהיא אוחזת בידה מכשיר טלפון נייד (להלן: "</w:t>
      </w:r>
      <w:r w:rsidRPr="009B24D3">
        <w:rPr>
          <w:rFonts w:hint="cs"/>
          <w:b/>
          <w:bCs/>
          <w:rtl/>
        </w:rPr>
        <w:t>הטלפון</w:t>
      </w:r>
      <w:r>
        <w:rPr>
          <w:rFonts w:hint="cs"/>
          <w:rtl/>
        </w:rPr>
        <w:t>"), עם כיסוי שבתוכו היו 350 ₪ במזומן, רישיון נהיגה, כרטיס אשראי וכרטיס קופת חולים (להלן: "</w:t>
      </w:r>
      <w:r w:rsidRPr="009B24D3">
        <w:rPr>
          <w:rFonts w:hint="cs"/>
          <w:b/>
          <w:bCs/>
          <w:rtl/>
        </w:rPr>
        <w:t>הכסף</w:t>
      </w:r>
      <w:r>
        <w:rPr>
          <w:rFonts w:hint="cs"/>
          <w:rtl/>
        </w:rPr>
        <w:t>" ו"</w:t>
      </w:r>
      <w:r w:rsidRPr="009B24D3">
        <w:rPr>
          <w:rFonts w:hint="cs"/>
          <w:b/>
          <w:bCs/>
          <w:rtl/>
        </w:rPr>
        <w:t>הכרטיסים</w:t>
      </w:r>
      <w:r>
        <w:rPr>
          <w:rFonts w:hint="cs"/>
          <w:rtl/>
        </w:rPr>
        <w:t xml:space="preserve">"). פאדי והנאשם החליטו ליטול מהמתלוננת את הטלפון. השניים חלפו על פניה של המתלוננת בעודם רוכבים על האופנוע, הסתובבו על המדרכה והתקרבו אל המתלוננת בנסיעה. כשהגיעו סמוך למתלוננת, אחז הנאשם במפתיע בטלפון שהיה בידה, משך אותו בחזקה והוציאו מידה של המתלוננת. הנאשם ופאדי עזבו את המקום בנסיעה על האופנוע, כשהטלפון, הכסף והכרטיסים ברשותם, בכוונה לשלול אותם שלילת קבע. שוויו של הטלפון הינו כ- 900 ₪. </w:t>
      </w:r>
    </w:p>
    <w:p w14:paraId="4F68FCFC" w14:textId="77777777" w:rsidR="0089227E" w:rsidRDefault="0089227E" w:rsidP="0089227E">
      <w:pPr>
        <w:spacing w:line="360" w:lineRule="auto"/>
        <w:ind w:left="720" w:hanging="720"/>
        <w:jc w:val="both"/>
        <w:rPr>
          <w:rtl/>
        </w:rPr>
      </w:pPr>
      <w:r>
        <w:rPr>
          <w:rFonts w:hint="cs"/>
          <w:rtl/>
        </w:rPr>
        <w:t xml:space="preserve">4. </w:t>
      </w:r>
      <w:r>
        <w:rPr>
          <w:rtl/>
        </w:rPr>
        <w:tab/>
      </w:r>
      <w:r>
        <w:rPr>
          <w:rFonts w:hint="cs"/>
          <w:rtl/>
        </w:rPr>
        <w:t xml:space="preserve">על פי האישום השני, בהמשך לעובדות שתוארו באישום הראשון, בשעה 18:25 או בסמוך לכך, הבחינו הנאשם ופאדי ב-א' ג', קטינה ילידת 2002, על המדרכה בשדרות הנשיא בחיפה, כשהיא אוחזת בידה מכשיר טלפון נייד. לאחר שהחליטו ליטול ממנה את הטלפון, התקרבו אליה כשהם רוכבים על האופנוע. בהגיעם סמוך אליה, אחז הנאשם במפתיע בטלפון שהיה בידה, משך אותו בחזקה והוציאו מידה של הקטינה. הנאשם ופאדי עזבו את המקום בנסיעה על האופנוע, כשהטלפון, ששוויו כ- 2000 ₪ ברשותם, בכוונה לשלול אותו שלילת קבע. </w:t>
      </w:r>
    </w:p>
    <w:p w14:paraId="09BE300F" w14:textId="77777777" w:rsidR="0089227E" w:rsidRDefault="0089227E" w:rsidP="0089227E">
      <w:pPr>
        <w:spacing w:line="360" w:lineRule="auto"/>
        <w:ind w:left="720"/>
        <w:rPr>
          <w:rtl/>
        </w:rPr>
      </w:pPr>
    </w:p>
    <w:p w14:paraId="60466120" w14:textId="77777777" w:rsidR="0089227E" w:rsidRDefault="0089227E" w:rsidP="0089227E">
      <w:pPr>
        <w:spacing w:line="360" w:lineRule="auto"/>
        <w:ind w:left="720" w:hanging="720"/>
        <w:jc w:val="both"/>
        <w:rPr>
          <w:rtl/>
        </w:rPr>
      </w:pPr>
      <w:r>
        <w:rPr>
          <w:rFonts w:hint="cs"/>
          <w:rtl/>
        </w:rPr>
        <w:t xml:space="preserve">5. </w:t>
      </w:r>
      <w:r>
        <w:rPr>
          <w:rtl/>
        </w:rPr>
        <w:tab/>
      </w:r>
      <w:r>
        <w:rPr>
          <w:rFonts w:hint="cs"/>
          <w:rtl/>
        </w:rPr>
        <w:t>על פי האישום השלישי, בהמשך לעובדות שתוארו באישום השני, נסעו הנאשם ופאדי בנסיעה מהירה בשדרות הנשיא בחיפה, כשפאדי נוהג באופנוע, וכשהם נוסעים בנתיב כנגד כיוון התנועה, כאשר לאחר מכן השתלבו בנתיב עם כיוון התנועה. השוטר בן אזולאי (להלן: "</w:t>
      </w:r>
      <w:r w:rsidRPr="00FB00B7">
        <w:rPr>
          <w:rFonts w:hint="cs"/>
          <w:b/>
          <w:bCs/>
          <w:rtl/>
        </w:rPr>
        <w:t>אזולאי</w:t>
      </w:r>
      <w:r>
        <w:rPr>
          <w:rFonts w:hint="cs"/>
          <w:rtl/>
        </w:rPr>
        <w:t>") הבחין בשניים והחל נוסע אחריהם, כשהאורות המשטרתיים והסירנה באופנוע המשטרתי דלוקים. הנאשם ופאדי עצרו את נסיעתם בהגיעם לרמזור שהראה אור אדום. אזולאי נעצר בצמוד אליהם וקרא להם לעצור, אולם השניים לא שעו לקריאותיו והמשיכו בנסיעתם. הנאשם</w:t>
      </w:r>
      <w:r>
        <w:rPr>
          <w:rtl/>
        </w:rPr>
        <w:t xml:space="preserve"> </w:t>
      </w:r>
      <w:r>
        <w:rPr>
          <w:rFonts w:hint="cs"/>
          <w:rtl/>
        </w:rPr>
        <w:t>ופאדי</w:t>
      </w:r>
      <w:r>
        <w:rPr>
          <w:rtl/>
        </w:rPr>
        <w:t xml:space="preserve"> </w:t>
      </w:r>
      <w:r>
        <w:rPr>
          <w:rFonts w:hint="cs"/>
          <w:rtl/>
        </w:rPr>
        <w:t>נסעו</w:t>
      </w:r>
      <w:r>
        <w:rPr>
          <w:rtl/>
        </w:rPr>
        <w:t xml:space="preserve"> </w:t>
      </w:r>
      <w:r>
        <w:rPr>
          <w:rFonts w:hint="cs"/>
          <w:rtl/>
        </w:rPr>
        <w:t>במהירות</w:t>
      </w:r>
      <w:r>
        <w:rPr>
          <w:rtl/>
        </w:rPr>
        <w:t xml:space="preserve"> </w:t>
      </w:r>
      <w:r>
        <w:rPr>
          <w:rFonts w:hint="cs"/>
          <w:rtl/>
        </w:rPr>
        <w:t>שאינה</w:t>
      </w:r>
      <w:r>
        <w:rPr>
          <w:rtl/>
        </w:rPr>
        <w:t xml:space="preserve"> </w:t>
      </w:r>
      <w:r>
        <w:rPr>
          <w:rFonts w:hint="cs"/>
          <w:rtl/>
        </w:rPr>
        <w:t>תואמת</w:t>
      </w:r>
      <w:r>
        <w:rPr>
          <w:rtl/>
        </w:rPr>
        <w:t xml:space="preserve"> </w:t>
      </w:r>
      <w:r>
        <w:rPr>
          <w:rFonts w:hint="cs"/>
          <w:rtl/>
        </w:rPr>
        <w:t>את</w:t>
      </w:r>
      <w:r>
        <w:rPr>
          <w:rtl/>
        </w:rPr>
        <w:t xml:space="preserve"> </w:t>
      </w:r>
      <w:r>
        <w:rPr>
          <w:rFonts w:hint="cs"/>
          <w:rtl/>
        </w:rPr>
        <w:t>תנאי</w:t>
      </w:r>
      <w:r>
        <w:rPr>
          <w:rtl/>
        </w:rPr>
        <w:t xml:space="preserve"> </w:t>
      </w:r>
      <w:r>
        <w:rPr>
          <w:rFonts w:hint="cs"/>
          <w:rtl/>
        </w:rPr>
        <w:t>הדרך</w:t>
      </w:r>
      <w:r>
        <w:rPr>
          <w:rtl/>
        </w:rPr>
        <w:t xml:space="preserve">, </w:t>
      </w:r>
      <w:r>
        <w:rPr>
          <w:rFonts w:hint="cs"/>
          <w:rtl/>
        </w:rPr>
        <w:t>בעת</w:t>
      </w:r>
      <w:r>
        <w:rPr>
          <w:rtl/>
        </w:rPr>
        <w:t xml:space="preserve"> </w:t>
      </w:r>
      <w:r>
        <w:rPr>
          <w:rFonts w:hint="cs"/>
          <w:rtl/>
        </w:rPr>
        <w:t>שכלי</w:t>
      </w:r>
      <w:r>
        <w:rPr>
          <w:rtl/>
        </w:rPr>
        <w:t xml:space="preserve"> </w:t>
      </w:r>
      <w:r>
        <w:rPr>
          <w:rFonts w:hint="cs"/>
          <w:rtl/>
        </w:rPr>
        <w:t>רכב</w:t>
      </w:r>
      <w:r>
        <w:rPr>
          <w:rtl/>
        </w:rPr>
        <w:t xml:space="preserve"> </w:t>
      </w:r>
      <w:r>
        <w:rPr>
          <w:rFonts w:hint="cs"/>
          <w:rtl/>
        </w:rPr>
        <w:t>רבים</w:t>
      </w:r>
      <w:r>
        <w:rPr>
          <w:rtl/>
        </w:rPr>
        <w:t xml:space="preserve"> </w:t>
      </w:r>
      <w:r>
        <w:rPr>
          <w:rFonts w:hint="cs"/>
          <w:rtl/>
        </w:rPr>
        <w:t>נסעו</w:t>
      </w:r>
      <w:r>
        <w:rPr>
          <w:rtl/>
        </w:rPr>
        <w:t xml:space="preserve"> </w:t>
      </w:r>
      <w:r>
        <w:rPr>
          <w:rFonts w:hint="cs"/>
          <w:rtl/>
        </w:rPr>
        <w:t>על הכביש</w:t>
      </w:r>
      <w:r>
        <w:rPr>
          <w:rtl/>
        </w:rPr>
        <w:t xml:space="preserve">, </w:t>
      </w:r>
      <w:r>
        <w:rPr>
          <w:rFonts w:hint="cs"/>
          <w:rtl/>
        </w:rPr>
        <w:t>תוך</w:t>
      </w:r>
      <w:r>
        <w:rPr>
          <w:rtl/>
        </w:rPr>
        <w:t xml:space="preserve"> </w:t>
      </w:r>
      <w:r>
        <w:rPr>
          <w:rFonts w:hint="cs"/>
          <w:rtl/>
        </w:rPr>
        <w:t>מעבר</w:t>
      </w:r>
      <w:r>
        <w:rPr>
          <w:rtl/>
        </w:rPr>
        <w:t xml:space="preserve"> </w:t>
      </w:r>
      <w:r>
        <w:rPr>
          <w:rFonts w:hint="cs"/>
          <w:rtl/>
        </w:rPr>
        <w:t>מהיר</w:t>
      </w:r>
      <w:r>
        <w:rPr>
          <w:rtl/>
        </w:rPr>
        <w:t xml:space="preserve"> </w:t>
      </w:r>
      <w:r>
        <w:rPr>
          <w:rFonts w:hint="cs"/>
          <w:rtl/>
        </w:rPr>
        <w:t>בין</w:t>
      </w:r>
      <w:r>
        <w:rPr>
          <w:rtl/>
        </w:rPr>
        <w:t xml:space="preserve"> </w:t>
      </w:r>
      <w:r>
        <w:rPr>
          <w:rFonts w:hint="cs"/>
          <w:rtl/>
        </w:rPr>
        <w:t>נתיבים</w:t>
      </w:r>
      <w:r>
        <w:rPr>
          <w:rtl/>
        </w:rPr>
        <w:t xml:space="preserve">, </w:t>
      </w:r>
      <w:r>
        <w:rPr>
          <w:rFonts w:hint="cs"/>
          <w:rtl/>
        </w:rPr>
        <w:t>ביצוע</w:t>
      </w:r>
      <w:r>
        <w:rPr>
          <w:rtl/>
        </w:rPr>
        <w:t xml:space="preserve"> </w:t>
      </w:r>
      <w:r>
        <w:rPr>
          <w:rFonts w:hint="cs"/>
          <w:rtl/>
        </w:rPr>
        <w:t>עקיפות</w:t>
      </w:r>
      <w:r>
        <w:rPr>
          <w:rtl/>
        </w:rPr>
        <w:t xml:space="preserve"> </w:t>
      </w:r>
      <w:r>
        <w:rPr>
          <w:rFonts w:hint="cs"/>
          <w:rtl/>
        </w:rPr>
        <w:t>מסוכנות</w:t>
      </w:r>
      <w:r>
        <w:rPr>
          <w:rtl/>
        </w:rPr>
        <w:t xml:space="preserve">, </w:t>
      </w:r>
      <w:r>
        <w:rPr>
          <w:rFonts w:hint="cs"/>
          <w:rtl/>
        </w:rPr>
        <w:t>חצית</w:t>
      </w:r>
      <w:r>
        <w:rPr>
          <w:rtl/>
        </w:rPr>
        <w:t xml:space="preserve"> </w:t>
      </w:r>
      <w:r>
        <w:rPr>
          <w:rFonts w:hint="cs"/>
          <w:rtl/>
        </w:rPr>
        <w:t>קו</w:t>
      </w:r>
      <w:r>
        <w:rPr>
          <w:rtl/>
        </w:rPr>
        <w:t xml:space="preserve"> </w:t>
      </w:r>
      <w:r>
        <w:rPr>
          <w:rFonts w:hint="cs"/>
          <w:rtl/>
        </w:rPr>
        <w:t>הפרדה</w:t>
      </w:r>
      <w:r>
        <w:rPr>
          <w:rtl/>
        </w:rPr>
        <w:t xml:space="preserve">, </w:t>
      </w:r>
      <w:r>
        <w:rPr>
          <w:rFonts w:hint="cs"/>
          <w:rtl/>
        </w:rPr>
        <w:t>נסיעה</w:t>
      </w:r>
      <w:r>
        <w:rPr>
          <w:rtl/>
        </w:rPr>
        <w:t xml:space="preserve"> </w:t>
      </w:r>
      <w:r>
        <w:rPr>
          <w:rFonts w:hint="cs"/>
          <w:rtl/>
        </w:rPr>
        <w:t>על אי</w:t>
      </w:r>
      <w:r>
        <w:rPr>
          <w:rtl/>
        </w:rPr>
        <w:t>-</w:t>
      </w:r>
      <w:r>
        <w:rPr>
          <w:rFonts w:hint="cs"/>
          <w:rtl/>
        </w:rPr>
        <w:t>תנועה</w:t>
      </w:r>
      <w:r>
        <w:rPr>
          <w:rtl/>
        </w:rPr>
        <w:t xml:space="preserve"> </w:t>
      </w:r>
      <w:r>
        <w:rPr>
          <w:rFonts w:hint="cs"/>
          <w:rtl/>
        </w:rPr>
        <w:t>ואי</w:t>
      </w:r>
      <w:r>
        <w:rPr>
          <w:rtl/>
        </w:rPr>
        <w:t>-</w:t>
      </w:r>
      <w:r>
        <w:rPr>
          <w:rFonts w:hint="cs"/>
          <w:rtl/>
        </w:rPr>
        <w:t>מתן</w:t>
      </w:r>
      <w:r>
        <w:rPr>
          <w:rtl/>
        </w:rPr>
        <w:t xml:space="preserve"> </w:t>
      </w:r>
      <w:r>
        <w:rPr>
          <w:rFonts w:hint="cs"/>
          <w:rtl/>
        </w:rPr>
        <w:t>זכות</w:t>
      </w:r>
      <w:r>
        <w:rPr>
          <w:rtl/>
        </w:rPr>
        <w:t xml:space="preserve"> </w:t>
      </w:r>
      <w:r>
        <w:rPr>
          <w:rFonts w:hint="cs"/>
          <w:rtl/>
        </w:rPr>
        <w:t>קדימה</w:t>
      </w:r>
      <w:r>
        <w:rPr>
          <w:rtl/>
        </w:rPr>
        <w:t xml:space="preserve"> </w:t>
      </w:r>
      <w:r>
        <w:rPr>
          <w:rFonts w:hint="cs"/>
          <w:rtl/>
        </w:rPr>
        <w:t>להולכי</w:t>
      </w:r>
      <w:r>
        <w:rPr>
          <w:rtl/>
        </w:rPr>
        <w:t xml:space="preserve"> </w:t>
      </w:r>
      <w:r>
        <w:rPr>
          <w:rFonts w:hint="cs"/>
          <w:rtl/>
        </w:rPr>
        <w:t>רגל</w:t>
      </w:r>
      <w:r>
        <w:rPr>
          <w:rtl/>
        </w:rPr>
        <w:t xml:space="preserve"> </w:t>
      </w:r>
      <w:r>
        <w:rPr>
          <w:rFonts w:hint="cs"/>
          <w:rtl/>
        </w:rPr>
        <w:t>במעברי</w:t>
      </w:r>
      <w:r>
        <w:rPr>
          <w:rtl/>
        </w:rPr>
        <w:t xml:space="preserve"> </w:t>
      </w:r>
      <w:r>
        <w:rPr>
          <w:rFonts w:hint="cs"/>
          <w:rtl/>
        </w:rPr>
        <w:t>חציה</w:t>
      </w:r>
      <w:r>
        <w:rPr>
          <w:rtl/>
        </w:rPr>
        <w:t xml:space="preserve">, </w:t>
      </w:r>
      <w:r>
        <w:rPr>
          <w:rFonts w:hint="cs"/>
          <w:rtl/>
        </w:rPr>
        <w:t>באופן</w:t>
      </w:r>
      <w:r>
        <w:rPr>
          <w:rtl/>
        </w:rPr>
        <w:t xml:space="preserve"> </w:t>
      </w:r>
      <w:r>
        <w:rPr>
          <w:rFonts w:hint="cs"/>
          <w:rtl/>
        </w:rPr>
        <w:t>שיש</w:t>
      </w:r>
      <w:r>
        <w:rPr>
          <w:rtl/>
        </w:rPr>
        <w:t xml:space="preserve"> </w:t>
      </w:r>
      <w:r>
        <w:rPr>
          <w:rFonts w:hint="cs"/>
          <w:rtl/>
        </w:rPr>
        <w:t>בו</w:t>
      </w:r>
      <w:r>
        <w:rPr>
          <w:rtl/>
        </w:rPr>
        <w:t xml:space="preserve"> </w:t>
      </w:r>
      <w:r>
        <w:rPr>
          <w:rFonts w:hint="cs"/>
          <w:rtl/>
        </w:rPr>
        <w:t>כדי</w:t>
      </w:r>
      <w:r>
        <w:rPr>
          <w:rtl/>
        </w:rPr>
        <w:t xml:space="preserve"> </w:t>
      </w:r>
      <w:r>
        <w:rPr>
          <w:rFonts w:hint="cs"/>
          <w:rtl/>
        </w:rPr>
        <w:t>לסכן</w:t>
      </w:r>
      <w:r>
        <w:rPr>
          <w:rtl/>
        </w:rPr>
        <w:t xml:space="preserve"> </w:t>
      </w:r>
      <w:r>
        <w:rPr>
          <w:rFonts w:hint="cs"/>
          <w:rtl/>
        </w:rPr>
        <w:t>חיי אדם</w:t>
      </w:r>
      <w:r>
        <w:rPr>
          <w:rtl/>
        </w:rPr>
        <w:t xml:space="preserve"> </w:t>
      </w:r>
      <w:r>
        <w:rPr>
          <w:rFonts w:hint="cs"/>
          <w:rtl/>
        </w:rPr>
        <w:t>או</w:t>
      </w:r>
      <w:r>
        <w:rPr>
          <w:rtl/>
        </w:rPr>
        <w:t xml:space="preserve"> </w:t>
      </w:r>
      <w:r>
        <w:rPr>
          <w:rFonts w:hint="cs"/>
          <w:rtl/>
        </w:rPr>
        <w:t>לגרום</w:t>
      </w:r>
      <w:r>
        <w:rPr>
          <w:rtl/>
        </w:rPr>
        <w:t xml:space="preserve"> </w:t>
      </w:r>
      <w:r>
        <w:rPr>
          <w:rFonts w:hint="cs"/>
          <w:rtl/>
        </w:rPr>
        <w:t>לו</w:t>
      </w:r>
      <w:r>
        <w:rPr>
          <w:rtl/>
        </w:rPr>
        <w:t xml:space="preserve"> </w:t>
      </w:r>
      <w:r>
        <w:rPr>
          <w:rFonts w:hint="cs"/>
          <w:rtl/>
        </w:rPr>
        <w:t>לחבלה</w:t>
      </w:r>
      <w:r>
        <w:rPr>
          <w:rtl/>
        </w:rPr>
        <w:t>.</w:t>
      </w:r>
      <w:r>
        <w:rPr>
          <w:rFonts w:hint="cs"/>
          <w:rtl/>
        </w:rPr>
        <w:t xml:space="preserve"> בהמשך</w:t>
      </w:r>
      <w:r>
        <w:rPr>
          <w:rtl/>
        </w:rPr>
        <w:t xml:space="preserve">, </w:t>
      </w:r>
      <w:r>
        <w:rPr>
          <w:rFonts w:hint="cs"/>
          <w:rtl/>
        </w:rPr>
        <w:t>פנו הנאשם</w:t>
      </w:r>
      <w:r>
        <w:rPr>
          <w:rtl/>
        </w:rPr>
        <w:t xml:space="preserve"> </w:t>
      </w:r>
      <w:r>
        <w:rPr>
          <w:rFonts w:hint="cs"/>
          <w:rtl/>
        </w:rPr>
        <w:t>ופאדי</w:t>
      </w:r>
      <w:r>
        <w:rPr>
          <w:rtl/>
        </w:rPr>
        <w:t xml:space="preserve"> </w:t>
      </w:r>
      <w:r>
        <w:rPr>
          <w:rFonts w:hint="cs"/>
          <w:rtl/>
        </w:rPr>
        <w:t>לשדרות</w:t>
      </w:r>
      <w:r>
        <w:rPr>
          <w:rtl/>
        </w:rPr>
        <w:t xml:space="preserve"> </w:t>
      </w:r>
      <w:r>
        <w:rPr>
          <w:rFonts w:hint="cs"/>
          <w:rtl/>
        </w:rPr>
        <w:t>מאפו</w:t>
      </w:r>
      <w:r>
        <w:rPr>
          <w:rtl/>
        </w:rPr>
        <w:t xml:space="preserve">, </w:t>
      </w:r>
      <w:r>
        <w:rPr>
          <w:rFonts w:hint="cs"/>
          <w:rtl/>
        </w:rPr>
        <w:t>תוך</w:t>
      </w:r>
      <w:r>
        <w:rPr>
          <w:rtl/>
        </w:rPr>
        <w:t xml:space="preserve"> </w:t>
      </w:r>
      <w:r>
        <w:rPr>
          <w:rFonts w:hint="cs"/>
          <w:rtl/>
        </w:rPr>
        <w:t>שהם ממשיכים</w:t>
      </w:r>
      <w:r>
        <w:rPr>
          <w:rtl/>
        </w:rPr>
        <w:t xml:space="preserve"> </w:t>
      </w:r>
      <w:r>
        <w:rPr>
          <w:rFonts w:hint="cs"/>
          <w:rtl/>
        </w:rPr>
        <w:t>בנסיעה</w:t>
      </w:r>
      <w:r>
        <w:rPr>
          <w:rtl/>
        </w:rPr>
        <w:t xml:space="preserve"> </w:t>
      </w:r>
      <w:r>
        <w:rPr>
          <w:rFonts w:hint="cs"/>
          <w:rtl/>
        </w:rPr>
        <w:t>מהירה</w:t>
      </w:r>
      <w:r>
        <w:rPr>
          <w:rtl/>
        </w:rPr>
        <w:t xml:space="preserve">, </w:t>
      </w:r>
      <w:r>
        <w:rPr>
          <w:rFonts w:hint="cs"/>
          <w:rtl/>
        </w:rPr>
        <w:t>וחוצים</w:t>
      </w:r>
      <w:r>
        <w:rPr>
          <w:rtl/>
        </w:rPr>
        <w:t xml:space="preserve"> </w:t>
      </w:r>
      <w:r>
        <w:rPr>
          <w:rFonts w:hint="cs"/>
          <w:rtl/>
        </w:rPr>
        <w:t>את</w:t>
      </w:r>
      <w:r>
        <w:rPr>
          <w:rtl/>
        </w:rPr>
        <w:t xml:space="preserve"> </w:t>
      </w:r>
      <w:r>
        <w:rPr>
          <w:rFonts w:hint="cs"/>
          <w:rtl/>
        </w:rPr>
        <w:t>אי</w:t>
      </w:r>
      <w:r>
        <w:rPr>
          <w:rtl/>
        </w:rPr>
        <w:t xml:space="preserve"> </w:t>
      </w:r>
      <w:r>
        <w:rPr>
          <w:rFonts w:hint="cs"/>
          <w:rtl/>
        </w:rPr>
        <w:t>התנועה</w:t>
      </w:r>
      <w:r>
        <w:rPr>
          <w:rtl/>
        </w:rPr>
        <w:t xml:space="preserve"> </w:t>
      </w:r>
      <w:r>
        <w:rPr>
          <w:rFonts w:hint="cs"/>
          <w:rtl/>
        </w:rPr>
        <w:t>לנתיב</w:t>
      </w:r>
      <w:r>
        <w:rPr>
          <w:rtl/>
        </w:rPr>
        <w:t xml:space="preserve"> </w:t>
      </w:r>
      <w:r>
        <w:rPr>
          <w:rFonts w:hint="cs"/>
          <w:rtl/>
        </w:rPr>
        <w:t>הנגדי</w:t>
      </w:r>
      <w:r>
        <w:rPr>
          <w:rtl/>
        </w:rPr>
        <w:t xml:space="preserve"> </w:t>
      </w:r>
      <w:r>
        <w:rPr>
          <w:rFonts w:hint="cs"/>
          <w:rtl/>
        </w:rPr>
        <w:t>כדי</w:t>
      </w:r>
      <w:r>
        <w:rPr>
          <w:rtl/>
        </w:rPr>
        <w:t xml:space="preserve"> </w:t>
      </w:r>
      <w:r>
        <w:rPr>
          <w:rFonts w:hint="cs"/>
          <w:rtl/>
        </w:rPr>
        <w:t>לעקוף</w:t>
      </w:r>
      <w:r>
        <w:rPr>
          <w:rtl/>
        </w:rPr>
        <w:t xml:space="preserve"> </w:t>
      </w:r>
      <w:r>
        <w:rPr>
          <w:rFonts w:hint="cs"/>
          <w:rtl/>
        </w:rPr>
        <w:t>כלי</w:t>
      </w:r>
      <w:r>
        <w:rPr>
          <w:rtl/>
        </w:rPr>
        <w:t xml:space="preserve"> </w:t>
      </w:r>
      <w:r>
        <w:rPr>
          <w:rFonts w:hint="cs"/>
          <w:rtl/>
        </w:rPr>
        <w:t>רכב</w:t>
      </w:r>
      <w:r>
        <w:rPr>
          <w:rtl/>
        </w:rPr>
        <w:t xml:space="preserve"> </w:t>
      </w:r>
      <w:r>
        <w:rPr>
          <w:rFonts w:hint="cs"/>
          <w:rtl/>
        </w:rPr>
        <w:t>שנסעו בנתיב</w:t>
      </w:r>
      <w:r>
        <w:rPr>
          <w:rtl/>
        </w:rPr>
        <w:t xml:space="preserve"> </w:t>
      </w:r>
      <w:r>
        <w:rPr>
          <w:rFonts w:hint="cs"/>
          <w:rtl/>
        </w:rPr>
        <w:t>התחבורה</w:t>
      </w:r>
      <w:r>
        <w:rPr>
          <w:rtl/>
        </w:rPr>
        <w:t>.</w:t>
      </w:r>
      <w:r>
        <w:rPr>
          <w:rFonts w:hint="cs"/>
          <w:rtl/>
        </w:rPr>
        <w:t xml:space="preserve"> לאחר מכן</w:t>
      </w:r>
      <w:r>
        <w:rPr>
          <w:rtl/>
        </w:rPr>
        <w:t xml:space="preserve">, </w:t>
      </w:r>
      <w:r>
        <w:rPr>
          <w:rFonts w:hint="cs"/>
          <w:rtl/>
        </w:rPr>
        <w:t>נכנסו הנאשם</w:t>
      </w:r>
      <w:r>
        <w:rPr>
          <w:rtl/>
        </w:rPr>
        <w:t xml:space="preserve"> </w:t>
      </w:r>
      <w:r>
        <w:rPr>
          <w:rFonts w:hint="cs"/>
          <w:rtl/>
        </w:rPr>
        <w:t>ופאדי</w:t>
      </w:r>
      <w:r>
        <w:rPr>
          <w:rtl/>
        </w:rPr>
        <w:t xml:space="preserve"> </w:t>
      </w:r>
      <w:r>
        <w:rPr>
          <w:rFonts w:hint="cs"/>
          <w:rtl/>
        </w:rPr>
        <w:t>לרחוב</w:t>
      </w:r>
      <w:r>
        <w:rPr>
          <w:rtl/>
        </w:rPr>
        <w:t xml:space="preserve"> </w:t>
      </w:r>
      <w:r>
        <w:rPr>
          <w:rFonts w:hint="cs"/>
          <w:rtl/>
        </w:rPr>
        <w:t>תל</w:t>
      </w:r>
      <w:r>
        <w:rPr>
          <w:rtl/>
        </w:rPr>
        <w:t xml:space="preserve"> </w:t>
      </w:r>
      <w:r>
        <w:rPr>
          <w:rFonts w:hint="cs"/>
          <w:rtl/>
        </w:rPr>
        <w:t>מאנה</w:t>
      </w:r>
      <w:r>
        <w:rPr>
          <w:rtl/>
        </w:rPr>
        <w:t xml:space="preserve">, </w:t>
      </w:r>
      <w:r>
        <w:rPr>
          <w:rFonts w:hint="cs"/>
          <w:rtl/>
        </w:rPr>
        <w:t>בניגוד</w:t>
      </w:r>
      <w:r>
        <w:rPr>
          <w:rtl/>
        </w:rPr>
        <w:t xml:space="preserve"> </w:t>
      </w:r>
      <w:r>
        <w:rPr>
          <w:rFonts w:hint="cs"/>
          <w:rtl/>
        </w:rPr>
        <w:t xml:space="preserve">לתמרור </w:t>
      </w:r>
      <w:r>
        <w:rPr>
          <w:rtl/>
        </w:rPr>
        <w:t>"</w:t>
      </w:r>
      <w:r>
        <w:rPr>
          <w:rFonts w:hint="cs"/>
          <w:rtl/>
        </w:rPr>
        <w:t>אין</w:t>
      </w:r>
      <w:r>
        <w:rPr>
          <w:rtl/>
        </w:rPr>
        <w:t xml:space="preserve"> </w:t>
      </w:r>
      <w:r>
        <w:rPr>
          <w:rFonts w:hint="cs"/>
          <w:rtl/>
        </w:rPr>
        <w:t>כניסה</w:t>
      </w:r>
      <w:r>
        <w:rPr>
          <w:rtl/>
        </w:rPr>
        <w:t xml:space="preserve">" </w:t>
      </w:r>
      <w:r>
        <w:rPr>
          <w:rFonts w:hint="cs"/>
          <w:rtl/>
        </w:rPr>
        <w:t>שהוצב</w:t>
      </w:r>
      <w:r>
        <w:rPr>
          <w:rtl/>
        </w:rPr>
        <w:t xml:space="preserve"> </w:t>
      </w:r>
      <w:r>
        <w:rPr>
          <w:rFonts w:hint="cs"/>
          <w:rtl/>
        </w:rPr>
        <w:t>במקום</w:t>
      </w:r>
      <w:r>
        <w:rPr>
          <w:rtl/>
        </w:rPr>
        <w:t xml:space="preserve">, </w:t>
      </w:r>
      <w:r>
        <w:rPr>
          <w:rFonts w:hint="cs"/>
          <w:rtl/>
        </w:rPr>
        <w:t>ונסעו</w:t>
      </w:r>
      <w:r>
        <w:rPr>
          <w:rtl/>
        </w:rPr>
        <w:t xml:space="preserve"> </w:t>
      </w:r>
      <w:r>
        <w:rPr>
          <w:rFonts w:hint="cs"/>
          <w:rtl/>
        </w:rPr>
        <w:t>ברחוב</w:t>
      </w:r>
      <w:r>
        <w:rPr>
          <w:rtl/>
        </w:rPr>
        <w:t xml:space="preserve"> </w:t>
      </w:r>
      <w:r>
        <w:rPr>
          <w:rFonts w:hint="cs"/>
          <w:rtl/>
        </w:rPr>
        <w:t>זה</w:t>
      </w:r>
      <w:r>
        <w:rPr>
          <w:rtl/>
        </w:rPr>
        <w:t xml:space="preserve"> </w:t>
      </w:r>
      <w:r>
        <w:rPr>
          <w:rFonts w:hint="cs"/>
          <w:rtl/>
        </w:rPr>
        <w:t>כנגד</w:t>
      </w:r>
      <w:r>
        <w:rPr>
          <w:rtl/>
        </w:rPr>
        <w:t xml:space="preserve"> </w:t>
      </w:r>
      <w:r>
        <w:rPr>
          <w:rFonts w:hint="cs"/>
          <w:rtl/>
        </w:rPr>
        <w:t>כיוון</w:t>
      </w:r>
      <w:r>
        <w:rPr>
          <w:rtl/>
        </w:rPr>
        <w:t xml:space="preserve"> </w:t>
      </w:r>
      <w:r>
        <w:rPr>
          <w:rFonts w:hint="cs"/>
          <w:rtl/>
        </w:rPr>
        <w:t>התנועה</w:t>
      </w:r>
      <w:r>
        <w:rPr>
          <w:rtl/>
        </w:rPr>
        <w:t xml:space="preserve">, </w:t>
      </w:r>
      <w:r>
        <w:rPr>
          <w:rFonts w:hint="cs"/>
          <w:rtl/>
        </w:rPr>
        <w:t>במהירות</w:t>
      </w:r>
      <w:r>
        <w:rPr>
          <w:rtl/>
        </w:rPr>
        <w:t xml:space="preserve">, </w:t>
      </w:r>
      <w:r>
        <w:rPr>
          <w:rFonts w:hint="cs"/>
          <w:rtl/>
        </w:rPr>
        <w:t>ובאופן</w:t>
      </w:r>
      <w:r>
        <w:rPr>
          <w:rtl/>
        </w:rPr>
        <w:t xml:space="preserve"> </w:t>
      </w:r>
      <w:r>
        <w:rPr>
          <w:rFonts w:hint="cs"/>
          <w:rtl/>
        </w:rPr>
        <w:t>שיש</w:t>
      </w:r>
      <w:r>
        <w:rPr>
          <w:rtl/>
        </w:rPr>
        <w:t xml:space="preserve"> </w:t>
      </w:r>
      <w:r>
        <w:rPr>
          <w:rFonts w:hint="cs"/>
          <w:rtl/>
        </w:rPr>
        <w:t>בו כדי</w:t>
      </w:r>
      <w:r>
        <w:rPr>
          <w:rtl/>
        </w:rPr>
        <w:t xml:space="preserve"> </w:t>
      </w:r>
      <w:r>
        <w:rPr>
          <w:rFonts w:hint="cs"/>
          <w:rtl/>
        </w:rPr>
        <w:t>לסכן</w:t>
      </w:r>
      <w:r>
        <w:rPr>
          <w:rtl/>
        </w:rPr>
        <w:t xml:space="preserve"> </w:t>
      </w:r>
      <w:r>
        <w:rPr>
          <w:rFonts w:hint="cs"/>
          <w:rtl/>
        </w:rPr>
        <w:t>חיי</w:t>
      </w:r>
      <w:r>
        <w:rPr>
          <w:rtl/>
        </w:rPr>
        <w:t xml:space="preserve"> </w:t>
      </w:r>
      <w:r>
        <w:rPr>
          <w:rFonts w:hint="cs"/>
          <w:rtl/>
        </w:rPr>
        <w:t>אדם</w:t>
      </w:r>
      <w:r>
        <w:rPr>
          <w:rtl/>
        </w:rPr>
        <w:t xml:space="preserve"> </w:t>
      </w:r>
      <w:r>
        <w:rPr>
          <w:rFonts w:hint="cs"/>
          <w:rtl/>
        </w:rPr>
        <w:t>או</w:t>
      </w:r>
      <w:r>
        <w:rPr>
          <w:rtl/>
        </w:rPr>
        <w:t xml:space="preserve"> </w:t>
      </w:r>
      <w:r>
        <w:rPr>
          <w:rFonts w:hint="cs"/>
          <w:rtl/>
        </w:rPr>
        <w:t>לגרום</w:t>
      </w:r>
      <w:r>
        <w:rPr>
          <w:rtl/>
        </w:rPr>
        <w:t xml:space="preserve"> </w:t>
      </w:r>
      <w:r>
        <w:rPr>
          <w:rFonts w:hint="cs"/>
          <w:rtl/>
        </w:rPr>
        <w:t>לו</w:t>
      </w:r>
      <w:r>
        <w:rPr>
          <w:rtl/>
        </w:rPr>
        <w:t xml:space="preserve"> </w:t>
      </w:r>
      <w:r>
        <w:rPr>
          <w:rFonts w:hint="cs"/>
          <w:rtl/>
        </w:rPr>
        <w:t>לחבלה</w:t>
      </w:r>
      <w:r>
        <w:rPr>
          <w:rtl/>
        </w:rPr>
        <w:t xml:space="preserve">. </w:t>
      </w:r>
      <w:r>
        <w:rPr>
          <w:rFonts w:hint="cs"/>
          <w:rtl/>
        </w:rPr>
        <w:t>אזולאי</w:t>
      </w:r>
      <w:r>
        <w:rPr>
          <w:rtl/>
        </w:rPr>
        <w:t xml:space="preserve"> </w:t>
      </w:r>
      <w:r>
        <w:rPr>
          <w:rFonts w:hint="cs"/>
          <w:rtl/>
        </w:rPr>
        <w:t>ניסה</w:t>
      </w:r>
      <w:r>
        <w:rPr>
          <w:rtl/>
        </w:rPr>
        <w:t xml:space="preserve"> </w:t>
      </w:r>
      <w:r>
        <w:rPr>
          <w:rFonts w:hint="cs"/>
          <w:rtl/>
        </w:rPr>
        <w:t>לעקוף</w:t>
      </w:r>
      <w:r>
        <w:rPr>
          <w:rtl/>
        </w:rPr>
        <w:t xml:space="preserve"> </w:t>
      </w:r>
      <w:r>
        <w:rPr>
          <w:rFonts w:hint="cs"/>
          <w:rtl/>
        </w:rPr>
        <w:t>אותם</w:t>
      </w:r>
      <w:r>
        <w:rPr>
          <w:rtl/>
        </w:rPr>
        <w:t xml:space="preserve">, </w:t>
      </w:r>
      <w:r>
        <w:rPr>
          <w:rFonts w:hint="cs"/>
          <w:rtl/>
        </w:rPr>
        <w:t>אולם</w:t>
      </w:r>
      <w:r>
        <w:rPr>
          <w:rtl/>
        </w:rPr>
        <w:t xml:space="preserve"> </w:t>
      </w:r>
      <w:r>
        <w:rPr>
          <w:rFonts w:hint="cs"/>
          <w:rtl/>
        </w:rPr>
        <w:t>הנאשם</w:t>
      </w:r>
      <w:r>
        <w:rPr>
          <w:rtl/>
        </w:rPr>
        <w:t xml:space="preserve"> </w:t>
      </w:r>
      <w:r>
        <w:rPr>
          <w:rFonts w:hint="cs"/>
          <w:rtl/>
        </w:rPr>
        <w:t>ופאדי חסמו</w:t>
      </w:r>
      <w:r>
        <w:rPr>
          <w:rtl/>
        </w:rPr>
        <w:t xml:space="preserve"> </w:t>
      </w:r>
      <w:r>
        <w:rPr>
          <w:rFonts w:hint="cs"/>
          <w:rtl/>
        </w:rPr>
        <w:t>אותו</w:t>
      </w:r>
      <w:r>
        <w:rPr>
          <w:rtl/>
        </w:rPr>
        <w:t xml:space="preserve">, </w:t>
      </w:r>
      <w:r>
        <w:rPr>
          <w:rFonts w:hint="cs"/>
          <w:rtl/>
        </w:rPr>
        <w:t>באופן</w:t>
      </w:r>
      <w:r>
        <w:rPr>
          <w:rtl/>
        </w:rPr>
        <w:t xml:space="preserve"> </w:t>
      </w:r>
      <w:r>
        <w:rPr>
          <w:rFonts w:hint="cs"/>
          <w:rtl/>
        </w:rPr>
        <w:t>שסיכן</w:t>
      </w:r>
      <w:r>
        <w:rPr>
          <w:rtl/>
        </w:rPr>
        <w:t xml:space="preserve"> </w:t>
      </w:r>
      <w:r>
        <w:rPr>
          <w:rFonts w:hint="cs"/>
          <w:rtl/>
        </w:rPr>
        <w:t>את</w:t>
      </w:r>
      <w:r>
        <w:rPr>
          <w:rtl/>
        </w:rPr>
        <w:t xml:space="preserve"> </w:t>
      </w:r>
      <w:r>
        <w:rPr>
          <w:rFonts w:hint="cs"/>
          <w:rtl/>
        </w:rPr>
        <w:t>בטיחותו</w:t>
      </w:r>
      <w:r>
        <w:rPr>
          <w:rtl/>
        </w:rPr>
        <w:t xml:space="preserve">, </w:t>
      </w:r>
      <w:r>
        <w:rPr>
          <w:rFonts w:hint="cs"/>
          <w:rtl/>
        </w:rPr>
        <w:t>ולא</w:t>
      </w:r>
      <w:r>
        <w:rPr>
          <w:rtl/>
        </w:rPr>
        <w:t xml:space="preserve"> </w:t>
      </w:r>
      <w:r>
        <w:rPr>
          <w:rFonts w:hint="cs"/>
          <w:rtl/>
        </w:rPr>
        <w:t>אפשרו</w:t>
      </w:r>
      <w:r>
        <w:rPr>
          <w:rtl/>
        </w:rPr>
        <w:t xml:space="preserve"> </w:t>
      </w:r>
      <w:r>
        <w:rPr>
          <w:rFonts w:hint="cs"/>
          <w:rtl/>
        </w:rPr>
        <w:t>לו</w:t>
      </w:r>
      <w:r>
        <w:rPr>
          <w:rtl/>
        </w:rPr>
        <w:t xml:space="preserve"> </w:t>
      </w:r>
      <w:r>
        <w:rPr>
          <w:rFonts w:hint="cs"/>
          <w:rtl/>
        </w:rPr>
        <w:t>לעשות</w:t>
      </w:r>
      <w:r>
        <w:rPr>
          <w:rtl/>
        </w:rPr>
        <w:t xml:space="preserve"> </w:t>
      </w:r>
      <w:r>
        <w:rPr>
          <w:rFonts w:hint="cs"/>
          <w:rtl/>
        </w:rPr>
        <w:t>כן</w:t>
      </w:r>
      <w:r>
        <w:rPr>
          <w:rtl/>
        </w:rPr>
        <w:t>.</w:t>
      </w:r>
      <w:r>
        <w:rPr>
          <w:rFonts w:hint="cs"/>
          <w:rtl/>
        </w:rPr>
        <w:t xml:space="preserve"> בהמשך</w:t>
      </w:r>
      <w:r>
        <w:rPr>
          <w:rtl/>
        </w:rPr>
        <w:t xml:space="preserve">, </w:t>
      </w:r>
      <w:r>
        <w:rPr>
          <w:rFonts w:hint="cs"/>
          <w:rtl/>
        </w:rPr>
        <w:t>חזרו השניים</w:t>
      </w:r>
      <w:r>
        <w:rPr>
          <w:rtl/>
        </w:rPr>
        <w:t xml:space="preserve"> </w:t>
      </w:r>
      <w:r>
        <w:rPr>
          <w:rFonts w:hint="cs"/>
          <w:rtl/>
        </w:rPr>
        <w:t>לשדרות מאפו ונסעו בנתיב</w:t>
      </w:r>
      <w:r>
        <w:rPr>
          <w:rtl/>
        </w:rPr>
        <w:t xml:space="preserve"> </w:t>
      </w:r>
      <w:r>
        <w:rPr>
          <w:rFonts w:hint="cs"/>
          <w:rtl/>
        </w:rPr>
        <w:t>כנגד</w:t>
      </w:r>
      <w:r>
        <w:rPr>
          <w:rtl/>
        </w:rPr>
        <w:t xml:space="preserve"> </w:t>
      </w:r>
      <w:r>
        <w:rPr>
          <w:rFonts w:hint="cs"/>
          <w:rtl/>
        </w:rPr>
        <w:t>כיוון</w:t>
      </w:r>
      <w:r>
        <w:rPr>
          <w:rtl/>
        </w:rPr>
        <w:t xml:space="preserve"> </w:t>
      </w:r>
      <w:r>
        <w:rPr>
          <w:rFonts w:hint="cs"/>
          <w:rtl/>
        </w:rPr>
        <w:t>התנועה</w:t>
      </w:r>
      <w:r>
        <w:rPr>
          <w:rtl/>
        </w:rPr>
        <w:t xml:space="preserve"> </w:t>
      </w:r>
      <w:r>
        <w:rPr>
          <w:rFonts w:hint="cs"/>
          <w:rtl/>
        </w:rPr>
        <w:t>מספר</w:t>
      </w:r>
      <w:r>
        <w:rPr>
          <w:rtl/>
        </w:rPr>
        <w:t xml:space="preserve"> </w:t>
      </w:r>
      <w:r>
        <w:rPr>
          <w:rFonts w:hint="cs"/>
          <w:rtl/>
        </w:rPr>
        <w:t>מטרים</w:t>
      </w:r>
      <w:r>
        <w:rPr>
          <w:rtl/>
        </w:rPr>
        <w:t xml:space="preserve">, </w:t>
      </w:r>
      <w:r>
        <w:rPr>
          <w:rFonts w:hint="cs"/>
          <w:rtl/>
        </w:rPr>
        <w:t>חצו את</w:t>
      </w:r>
      <w:r>
        <w:rPr>
          <w:rtl/>
        </w:rPr>
        <w:t xml:space="preserve"> </w:t>
      </w:r>
      <w:r>
        <w:rPr>
          <w:rFonts w:hint="cs"/>
          <w:rtl/>
        </w:rPr>
        <w:t>אי</w:t>
      </w:r>
      <w:r>
        <w:rPr>
          <w:rtl/>
        </w:rPr>
        <w:t>-</w:t>
      </w:r>
      <w:r>
        <w:rPr>
          <w:rFonts w:hint="cs"/>
          <w:rtl/>
        </w:rPr>
        <w:t>התנועה</w:t>
      </w:r>
      <w:r>
        <w:rPr>
          <w:rtl/>
        </w:rPr>
        <w:t xml:space="preserve">, </w:t>
      </w:r>
      <w:r>
        <w:rPr>
          <w:rFonts w:hint="cs"/>
          <w:rtl/>
        </w:rPr>
        <w:t>והשתלבו</w:t>
      </w:r>
      <w:r>
        <w:rPr>
          <w:rtl/>
        </w:rPr>
        <w:t xml:space="preserve"> </w:t>
      </w:r>
      <w:r>
        <w:rPr>
          <w:rFonts w:hint="cs"/>
          <w:rtl/>
        </w:rPr>
        <w:lastRenderedPageBreak/>
        <w:t>בנתיב</w:t>
      </w:r>
      <w:r>
        <w:rPr>
          <w:rtl/>
        </w:rPr>
        <w:t xml:space="preserve"> </w:t>
      </w:r>
      <w:r>
        <w:rPr>
          <w:rFonts w:hint="cs"/>
          <w:rtl/>
        </w:rPr>
        <w:t>עם</w:t>
      </w:r>
      <w:r>
        <w:rPr>
          <w:rtl/>
        </w:rPr>
        <w:t xml:space="preserve"> </w:t>
      </w:r>
      <w:r>
        <w:rPr>
          <w:rFonts w:hint="cs"/>
          <w:rtl/>
        </w:rPr>
        <w:t>כיוון</w:t>
      </w:r>
      <w:r>
        <w:rPr>
          <w:rtl/>
        </w:rPr>
        <w:t xml:space="preserve"> </w:t>
      </w:r>
      <w:r>
        <w:rPr>
          <w:rFonts w:hint="cs"/>
          <w:rtl/>
        </w:rPr>
        <w:t>התנועה</w:t>
      </w:r>
      <w:r>
        <w:rPr>
          <w:rtl/>
        </w:rPr>
        <w:t>.</w:t>
      </w:r>
      <w:r>
        <w:rPr>
          <w:rFonts w:hint="cs"/>
          <w:rtl/>
        </w:rPr>
        <w:t xml:space="preserve"> בשלב זה התנגשו השניים בניידת משטרתית אשר עמדה על אי התנועה בשדרות מאפו וכתוצאה מכך נגרמו נזקים לניידת ולאופנוע, והנאשם ופאדי נזקקו לטיפול רפואי. </w:t>
      </w:r>
    </w:p>
    <w:p w14:paraId="0708F2E1" w14:textId="77777777" w:rsidR="0089227E" w:rsidRDefault="0089227E" w:rsidP="0089227E">
      <w:pPr>
        <w:spacing w:line="360" w:lineRule="auto"/>
        <w:ind w:left="720" w:hanging="720"/>
        <w:rPr>
          <w:rtl/>
        </w:rPr>
      </w:pPr>
    </w:p>
    <w:p w14:paraId="7D5A4494" w14:textId="77777777" w:rsidR="0089227E" w:rsidRDefault="0089227E" w:rsidP="0089227E">
      <w:pPr>
        <w:spacing w:line="360" w:lineRule="auto"/>
        <w:ind w:left="720" w:hanging="720"/>
      </w:pPr>
      <w:r>
        <w:rPr>
          <w:rFonts w:hint="cs"/>
          <w:u w:val="single"/>
          <w:rtl/>
        </w:rPr>
        <w:t>איחוד הדיון עם תיק נוסף</w:t>
      </w:r>
    </w:p>
    <w:p w14:paraId="0B05CD5E" w14:textId="77777777" w:rsidR="0089227E" w:rsidRDefault="0089227E" w:rsidP="0089227E">
      <w:pPr>
        <w:spacing w:line="360" w:lineRule="auto"/>
        <w:ind w:left="720" w:hanging="720"/>
        <w:rPr>
          <w:rtl/>
        </w:rPr>
      </w:pPr>
    </w:p>
    <w:p w14:paraId="78A43C54" w14:textId="77777777" w:rsidR="0089227E" w:rsidRDefault="0089227E" w:rsidP="0089227E">
      <w:pPr>
        <w:spacing w:after="240" w:line="360" w:lineRule="auto"/>
        <w:ind w:left="720" w:hanging="720"/>
        <w:jc w:val="both"/>
        <w:rPr>
          <w:rtl/>
        </w:rPr>
      </w:pPr>
      <w:r>
        <w:rPr>
          <w:rFonts w:hint="cs"/>
          <w:rtl/>
        </w:rPr>
        <w:t>6.</w:t>
      </w:r>
      <w:r>
        <w:rPr>
          <w:rFonts w:hint="cs"/>
          <w:rtl/>
        </w:rPr>
        <w:tab/>
        <w:t xml:space="preserve">בטרם החלו להישמע הראיות בתיק, הודיעו הצדדים ביום 17.1.2018 </w:t>
      </w:r>
      <w:r w:rsidRPr="000614D7">
        <w:rPr>
          <w:rtl/>
        </w:rPr>
        <w:t xml:space="preserve">כי הגיעו להסדר טיעון </w:t>
      </w:r>
      <w:r>
        <w:rPr>
          <w:rFonts w:hint="cs"/>
          <w:rtl/>
        </w:rPr>
        <w:t>כפי שפורט לעיל</w:t>
      </w:r>
      <w:r w:rsidRPr="000614D7">
        <w:rPr>
          <w:rtl/>
        </w:rPr>
        <w:t xml:space="preserve">. </w:t>
      </w:r>
      <w:r>
        <w:rPr>
          <w:rFonts w:hint="cs"/>
          <w:rtl/>
        </w:rPr>
        <w:t xml:space="preserve">הסדר הטיעון כלל הסכמה על צירוף </w:t>
      </w:r>
      <w:hyperlink r:id="rId23" w:history="1">
        <w:r w:rsidR="000C73AC" w:rsidRPr="000C73AC">
          <w:rPr>
            <w:color w:val="0000FF"/>
            <w:u w:val="single"/>
            <w:rtl/>
          </w:rPr>
          <w:t>תיק פלילי 5007/17</w:t>
        </w:r>
      </w:hyperlink>
      <w:r>
        <w:rPr>
          <w:rFonts w:hint="cs"/>
          <w:rtl/>
        </w:rPr>
        <w:t xml:space="preserve"> התלוי ועומד כנגד הנאשם בבית משפט השלום בעכו. בהחלטתי מיום 24.1.2018 הוריתי על צירוף התיק הנ"ל, בו הודה הנאשם והורשע על פי הודאתו, בהתאם להסדר הטיעון. לשם הנוחות ייקרא כתב האישום אליו התייחסתי בסעיפים 1-5 דלעיל:  "</w:t>
      </w:r>
      <w:r w:rsidRPr="005473A1">
        <w:rPr>
          <w:rFonts w:hint="cs"/>
          <w:b/>
          <w:bCs/>
          <w:rtl/>
        </w:rPr>
        <w:t>התיק העיקרי</w:t>
      </w:r>
      <w:r>
        <w:rPr>
          <w:rFonts w:hint="cs"/>
          <w:rtl/>
        </w:rPr>
        <w:t>", וכתב האישום ב</w:t>
      </w:r>
      <w:hyperlink r:id="rId24" w:history="1">
        <w:r w:rsidR="000C73AC" w:rsidRPr="000C73AC">
          <w:rPr>
            <w:color w:val="0000FF"/>
            <w:u w:val="single"/>
            <w:rtl/>
          </w:rPr>
          <w:t>ת"פ 5007/17</w:t>
        </w:r>
      </w:hyperlink>
      <w:r>
        <w:rPr>
          <w:rFonts w:hint="cs"/>
          <w:rtl/>
        </w:rPr>
        <w:t xml:space="preserve"> "</w:t>
      </w:r>
      <w:r>
        <w:rPr>
          <w:rFonts w:hint="cs"/>
          <w:b/>
          <w:bCs/>
          <w:rtl/>
        </w:rPr>
        <w:t>ה</w:t>
      </w:r>
      <w:r w:rsidRPr="003418C5">
        <w:rPr>
          <w:rFonts w:hint="cs"/>
          <w:b/>
          <w:bCs/>
          <w:rtl/>
        </w:rPr>
        <w:t>תיק ה</w:t>
      </w:r>
      <w:r w:rsidRPr="00317E43">
        <w:rPr>
          <w:rFonts w:hint="cs"/>
          <w:b/>
          <w:bCs/>
          <w:rtl/>
        </w:rPr>
        <w:t>נלווה</w:t>
      </w:r>
      <w:r>
        <w:rPr>
          <w:rFonts w:hint="cs"/>
          <w:rtl/>
        </w:rPr>
        <w:t xml:space="preserve">". </w:t>
      </w:r>
    </w:p>
    <w:p w14:paraId="4FAB50A9" w14:textId="77777777" w:rsidR="0089227E" w:rsidRPr="00152290" w:rsidRDefault="0089227E" w:rsidP="0089227E">
      <w:pPr>
        <w:spacing w:after="240" w:line="360" w:lineRule="auto"/>
        <w:ind w:left="720" w:hanging="720"/>
        <w:rPr>
          <w:u w:val="single"/>
          <w:rtl/>
        </w:rPr>
      </w:pPr>
      <w:r>
        <w:rPr>
          <w:rFonts w:hint="cs"/>
          <w:u w:val="single"/>
          <w:rtl/>
        </w:rPr>
        <w:t>כתב האישום בתיק הנלווה</w:t>
      </w:r>
    </w:p>
    <w:p w14:paraId="7A423DD4" w14:textId="77777777" w:rsidR="0089227E" w:rsidRDefault="0089227E" w:rsidP="0089227E">
      <w:pPr>
        <w:spacing w:line="360" w:lineRule="auto"/>
        <w:ind w:left="720" w:hanging="720"/>
        <w:jc w:val="both"/>
        <w:rPr>
          <w:rtl/>
        </w:rPr>
      </w:pPr>
      <w:r>
        <w:rPr>
          <w:rFonts w:hint="cs"/>
          <w:rtl/>
        </w:rPr>
        <w:t>7.</w:t>
      </w:r>
      <w:r>
        <w:rPr>
          <w:rFonts w:hint="cs"/>
          <w:rtl/>
        </w:rPr>
        <w:tab/>
        <w:t>כתב האישום בתיק הנלווה מחזיק שלושה אישומים אשר רק האישומים הראשון והשלישי שבו מתייחסים לנאשם. האישום השני מתייחס לנאשם נוסף שהועמד לדין יחד עם הנאשם (להלן: "הנאשם האחר").</w:t>
      </w:r>
    </w:p>
    <w:p w14:paraId="5A4AF76F" w14:textId="77777777" w:rsidR="0089227E" w:rsidRDefault="0089227E" w:rsidP="0089227E">
      <w:pPr>
        <w:spacing w:line="360" w:lineRule="auto"/>
        <w:ind w:left="720" w:hanging="720"/>
        <w:rPr>
          <w:rtl/>
        </w:rPr>
      </w:pPr>
      <w:r>
        <w:rPr>
          <w:rFonts w:hint="cs"/>
          <w:rtl/>
        </w:rPr>
        <w:t xml:space="preserve"> </w:t>
      </w:r>
    </w:p>
    <w:p w14:paraId="09033C43" w14:textId="77777777" w:rsidR="0089227E" w:rsidRDefault="0089227E" w:rsidP="0089227E">
      <w:pPr>
        <w:spacing w:line="360" w:lineRule="auto"/>
        <w:ind w:left="720" w:hanging="720"/>
        <w:jc w:val="both"/>
        <w:rPr>
          <w:rtl/>
        </w:rPr>
      </w:pPr>
      <w:r>
        <w:rPr>
          <w:rtl/>
        </w:rPr>
        <w:tab/>
      </w:r>
      <w:r>
        <w:rPr>
          <w:rFonts w:hint="cs"/>
          <w:rtl/>
        </w:rPr>
        <w:t xml:space="preserve">במבוא הכללי לכתב האישום בתיק הנלווה נאמר כי במועדים הרלוונטיים שימשה יאנה שמאילוב סוכנת סמויה שפעלה וסייעה למשטרה באיסוף ראיות כנגד סוחרי סמים מסוכנים (להלן: "הסוכנת"). באישום הראשון נאמר ביום 3.4.2017 במהלך שיחות טלפון בין הנאשם האחר לבין הסוכנת, קשרו השניים קשר לפיו הנאשם האחר ימכור לסוכנת סם מסוג חשיש תמורת 1,000 ₪. בהמשך לאותו תיאום ועל פי סיכום שנעשה בין השניים, הגיעה הסוכנת לנקודת המפגש המוסכמת שם פגשה בשני הנאשמים יחדיו. הנאשם האחר ביקש מהסוכנת שתמסור לידיהם את הכסף תמורת הסם ואמר כי הנאשם ייגש להביא עבורה את הסם. הסוכנת סירבה למסור את הכסף מבלי לקבל במקביל את הסם ולכן מסר לה הנאשם את מכשיר הטלפון הנייד שלו עד שיביא לה את הסם. הסוכנת זרקה לעבר הנאשם את הכסף והלה אסף את הכסף וניגש להביא לה את הסם. בהמשך, בחלוף מספר דקות, חזר הנאשם ופגש בסוכנת ובנאשם האחר ובמעמד זה מסר הנאשם לסוכנת את הסם המסוכן מסוג חשיש במשקל נטל של 9.60 גרם. באותו מעמד החזירה הסוכנת לנאשם את מכשיר הטלפון הנייד שלו. </w:t>
      </w:r>
    </w:p>
    <w:p w14:paraId="5C2B8F22" w14:textId="77777777" w:rsidR="0089227E" w:rsidRDefault="0089227E" w:rsidP="0089227E">
      <w:pPr>
        <w:spacing w:line="360" w:lineRule="auto"/>
        <w:ind w:left="720" w:hanging="720"/>
        <w:rPr>
          <w:rtl/>
        </w:rPr>
      </w:pPr>
    </w:p>
    <w:p w14:paraId="0E1EFF6B" w14:textId="77777777" w:rsidR="0089227E" w:rsidRDefault="0089227E" w:rsidP="0089227E">
      <w:pPr>
        <w:spacing w:line="360" w:lineRule="auto"/>
        <w:ind w:left="720" w:hanging="720"/>
        <w:jc w:val="both"/>
        <w:rPr>
          <w:rtl/>
        </w:rPr>
      </w:pPr>
      <w:r>
        <w:rPr>
          <w:rtl/>
        </w:rPr>
        <w:tab/>
      </w:r>
      <w:r>
        <w:rPr>
          <w:rFonts w:hint="cs"/>
          <w:rtl/>
        </w:rPr>
        <w:t xml:space="preserve">האישום השלישי מתייחס לאירוע מיום 23.5.2017 במהלכו פגש הנאשם את הסוכנת, לאחר תיאום טלפוני ביניהם. באותו מעמד, ובהתאם לסיכום מוקדם בין השניים, מכר הנאשם לסוכנת סם מסוכן מסוג חשיש במשקל נטו של 8.88 גרם וזאת תמורת 500 ₪ אותם העבירה הסוכנת לנאשם באותו מעמד. </w:t>
      </w:r>
    </w:p>
    <w:p w14:paraId="56396D35" w14:textId="77777777" w:rsidR="0089227E" w:rsidRDefault="0089227E" w:rsidP="0089227E">
      <w:pPr>
        <w:spacing w:line="360" w:lineRule="auto"/>
        <w:ind w:left="720" w:hanging="720"/>
        <w:rPr>
          <w:rtl/>
        </w:rPr>
      </w:pPr>
    </w:p>
    <w:p w14:paraId="741F7313" w14:textId="77777777" w:rsidR="0089227E" w:rsidRDefault="0089227E" w:rsidP="0089227E">
      <w:pPr>
        <w:spacing w:line="360" w:lineRule="auto"/>
        <w:ind w:left="720" w:hanging="720"/>
        <w:jc w:val="both"/>
        <w:rPr>
          <w:rtl/>
        </w:rPr>
      </w:pPr>
      <w:r>
        <w:rPr>
          <w:rtl/>
        </w:rPr>
        <w:tab/>
      </w:r>
      <w:r>
        <w:rPr>
          <w:rFonts w:hint="cs"/>
          <w:rtl/>
        </w:rPr>
        <w:t xml:space="preserve">בגין שני האישומים דלעיל, ייחסה המאשימה לנאשם עבירה של סחר בסם מסוכן, לפי </w:t>
      </w:r>
      <w:hyperlink r:id="rId25" w:history="1">
        <w:r w:rsidR="00CA79EE" w:rsidRPr="00CA79EE">
          <w:rPr>
            <w:color w:val="0000FF"/>
            <w:u w:val="single"/>
            <w:rtl/>
          </w:rPr>
          <w:t>סעיפים 13</w:t>
        </w:r>
      </w:hyperlink>
      <w:r>
        <w:rPr>
          <w:rFonts w:hint="cs"/>
          <w:rtl/>
        </w:rPr>
        <w:t xml:space="preserve"> ו- </w:t>
      </w:r>
      <w:hyperlink r:id="rId26" w:history="1">
        <w:r w:rsidR="00CA79EE" w:rsidRPr="00CA79EE">
          <w:rPr>
            <w:color w:val="0000FF"/>
            <w:u w:val="single"/>
            <w:rtl/>
          </w:rPr>
          <w:t>19א'</w:t>
        </w:r>
      </w:hyperlink>
      <w:r>
        <w:rPr>
          <w:rFonts w:hint="cs"/>
          <w:rtl/>
        </w:rPr>
        <w:t xml:space="preserve"> ל</w:t>
      </w:r>
      <w:hyperlink r:id="rId27" w:history="1">
        <w:r w:rsidR="000C73AC" w:rsidRPr="000C73AC">
          <w:rPr>
            <w:color w:val="0000FF"/>
            <w:u w:val="single"/>
            <w:rtl/>
          </w:rPr>
          <w:t>פקודת הסמים המסוכנים</w:t>
        </w:r>
      </w:hyperlink>
      <w:r>
        <w:rPr>
          <w:rFonts w:hint="cs"/>
          <w:rtl/>
        </w:rPr>
        <w:t xml:space="preserve"> (נוסח חדש), תשל"ג-1973.</w:t>
      </w:r>
    </w:p>
    <w:p w14:paraId="758EA486" w14:textId="77777777" w:rsidR="0089227E" w:rsidRDefault="0089227E" w:rsidP="0089227E">
      <w:pPr>
        <w:spacing w:line="360" w:lineRule="auto"/>
        <w:ind w:left="567" w:hanging="567"/>
        <w:rPr>
          <w:rFonts w:ascii="David" w:hAnsi="David"/>
          <w:u w:val="single"/>
          <w:rtl/>
        </w:rPr>
      </w:pPr>
    </w:p>
    <w:p w14:paraId="7C4A95FF" w14:textId="77777777" w:rsidR="0089227E" w:rsidRPr="00BE75EF" w:rsidRDefault="0089227E" w:rsidP="0089227E">
      <w:pPr>
        <w:spacing w:line="360" w:lineRule="auto"/>
        <w:ind w:left="567" w:hanging="567"/>
      </w:pPr>
      <w:r w:rsidRPr="00BE75EF">
        <w:rPr>
          <w:rFonts w:ascii="David" w:hAnsi="David" w:hint="cs"/>
          <w:u w:val="single"/>
          <w:rtl/>
        </w:rPr>
        <w:t xml:space="preserve">תסקיר </w:t>
      </w:r>
      <w:r>
        <w:rPr>
          <w:rFonts w:ascii="David" w:hAnsi="David" w:hint="cs"/>
          <w:u w:val="single"/>
          <w:rtl/>
        </w:rPr>
        <w:t xml:space="preserve">שירות המבחן </w:t>
      </w:r>
    </w:p>
    <w:p w14:paraId="54695870" w14:textId="77777777" w:rsidR="0089227E" w:rsidRPr="00BE75EF" w:rsidRDefault="000C73AC" w:rsidP="0089227E">
      <w:pPr>
        <w:spacing w:line="360" w:lineRule="auto"/>
        <w:ind w:left="567" w:hanging="567"/>
        <w:rPr>
          <w:rtl/>
        </w:rPr>
      </w:pPr>
      <w:r>
        <w:rPr>
          <w:rFonts w:ascii="David" w:hAnsi="David" w:hint="cs"/>
          <w:rtl/>
        </w:rPr>
        <w:t xml:space="preserve"> </w:t>
      </w:r>
    </w:p>
    <w:p w14:paraId="6872A3D1" w14:textId="77777777" w:rsidR="0089227E" w:rsidRPr="00935335" w:rsidRDefault="0089227E" w:rsidP="0089227E">
      <w:pPr>
        <w:spacing w:after="240" w:line="360" w:lineRule="auto"/>
        <w:ind w:left="720" w:hanging="720"/>
        <w:jc w:val="both"/>
      </w:pPr>
      <w:r>
        <w:rPr>
          <w:rFonts w:hint="cs"/>
          <w:rtl/>
        </w:rPr>
        <w:t>8</w:t>
      </w:r>
      <w:r w:rsidRPr="00BE75EF">
        <w:rPr>
          <w:rFonts w:hint="cs"/>
          <w:rtl/>
        </w:rPr>
        <w:t>.</w:t>
      </w:r>
      <w:r w:rsidRPr="00BE75EF">
        <w:rPr>
          <w:rFonts w:hint="cs"/>
          <w:rtl/>
        </w:rPr>
        <w:tab/>
      </w:r>
      <w:r w:rsidRPr="00BF3D5C">
        <w:rPr>
          <w:rFonts w:hint="cs"/>
          <w:rtl/>
        </w:rPr>
        <w:t>נוכח גילו של הנאשם, יליד 199</w:t>
      </w:r>
      <w:r>
        <w:rPr>
          <w:rFonts w:hint="cs"/>
          <w:rtl/>
        </w:rPr>
        <w:t>7</w:t>
      </w:r>
      <w:r w:rsidRPr="00BF3D5C">
        <w:rPr>
          <w:rFonts w:hint="cs"/>
          <w:rtl/>
        </w:rPr>
        <w:t>, וחובת התסקיר המעוגנת בדין, נתבקש שירות המבחן לערוך תסקיר בעניינו בטרם שמיעת הטיעונים לעונש.</w:t>
      </w:r>
    </w:p>
    <w:p w14:paraId="11036EAE" w14:textId="77777777" w:rsidR="0089227E" w:rsidRDefault="0089227E" w:rsidP="0089227E">
      <w:pPr>
        <w:spacing w:after="240" w:line="360" w:lineRule="auto"/>
        <w:ind w:left="720" w:hanging="720"/>
        <w:jc w:val="both"/>
        <w:rPr>
          <w:rtl/>
        </w:rPr>
      </w:pPr>
      <w:r>
        <w:rPr>
          <w:rFonts w:hint="cs"/>
          <w:rtl/>
        </w:rPr>
        <w:t>9.</w:t>
      </w:r>
      <w:r>
        <w:rPr>
          <w:rFonts w:hint="cs"/>
          <w:rtl/>
        </w:rPr>
        <w:tab/>
        <w:t xml:space="preserve">בתסקיר מיום 19.3.2018 נסקרו הרקע האישי והמשפחתי של הנאשם, עליהם לא ארחיב משיקולי צנעת הפרט. אציין רק כי מדובר בצעיר כבן 20 מחיפה, בן למשפחה במצב סוציואקונומי קשה אשר גדל בשכונה שלדבריו התאפיינה ברמת עבריינות גבוהה. הנאשם ציין בפני שירות המבחן כי  מגיל צעיר הוא ביטא התנהגויות שוליות וחבר לגורמי שוליים. יחד עם זאת, מדובר בבן הבכור למשפחה המונה חמש נפשות. הואיל והוריו התגרשו עוד בהיותו בן 7, הפך הנאשם למפרנס העיקרי של המשפחה ודמות משמעותית בה. </w:t>
      </w:r>
    </w:p>
    <w:p w14:paraId="4BB9D650" w14:textId="77777777" w:rsidR="0089227E" w:rsidRDefault="0089227E" w:rsidP="0089227E">
      <w:pPr>
        <w:spacing w:after="240" w:line="360" w:lineRule="auto"/>
        <w:ind w:left="720" w:hanging="720"/>
        <w:jc w:val="both"/>
        <w:rPr>
          <w:rtl/>
        </w:rPr>
      </w:pPr>
      <w:r>
        <w:rPr>
          <w:rFonts w:hint="cs"/>
          <w:rtl/>
        </w:rPr>
        <w:t>10.</w:t>
      </w:r>
      <w:r>
        <w:rPr>
          <w:rtl/>
        </w:rPr>
        <w:tab/>
      </w:r>
      <w:r>
        <w:rPr>
          <w:rFonts w:hint="cs"/>
          <w:rtl/>
        </w:rPr>
        <w:t xml:space="preserve">עיון ברישומו הפלילי של הנאשם מגלה כי לחובתו ארבע הרשעות קודמות בעבירות של תקיפה, הפרת הוראה חוקית, החזקת סכין והיזק לרכוש במזיד.    </w:t>
      </w:r>
    </w:p>
    <w:p w14:paraId="335F9162" w14:textId="77777777" w:rsidR="0089227E" w:rsidRDefault="0089227E" w:rsidP="0089227E">
      <w:pPr>
        <w:spacing w:after="240" w:line="360" w:lineRule="auto"/>
        <w:ind w:left="720" w:hanging="720"/>
        <w:jc w:val="both"/>
        <w:rPr>
          <w:rtl/>
        </w:rPr>
      </w:pPr>
      <w:r>
        <w:rPr>
          <w:rFonts w:hint="cs"/>
          <w:rtl/>
        </w:rPr>
        <w:t>11.</w:t>
      </w:r>
      <w:r>
        <w:rPr>
          <w:rFonts w:hint="cs"/>
          <w:rtl/>
        </w:rPr>
        <w:tab/>
      </w:r>
      <w:r w:rsidRPr="008F7CBD">
        <w:rPr>
          <w:rFonts w:hint="cs"/>
          <w:rtl/>
        </w:rPr>
        <w:t xml:space="preserve">בהתייחס לעבירות נשוא </w:t>
      </w:r>
      <w:r>
        <w:rPr>
          <w:rFonts w:hint="cs"/>
          <w:rtl/>
        </w:rPr>
        <w:t>הדיון</w:t>
      </w:r>
      <w:r w:rsidRPr="008F7CBD">
        <w:rPr>
          <w:rFonts w:hint="cs"/>
          <w:rtl/>
        </w:rPr>
        <w:t xml:space="preserve">, </w:t>
      </w:r>
      <w:r>
        <w:rPr>
          <w:rFonts w:hint="cs"/>
          <w:rtl/>
        </w:rPr>
        <w:t xml:space="preserve">התרשם שירות המבחן כי אף שהנאשם מודה באופן מילולי בביצוען, הרי שהוא מתקשה לקחת אחריות על מעורבותו בהן, ומשליך את סיבת הרשעתו על גורמי שליטה חיצוניים, בהם שותפו לעבירה והסוכן הסמוי שביקש להפלילו. עוד התרשם שירות המבחן כי הנאשם מתקשה להתבונן על התנהלותו הכללית, על אף אמירותיו כי הוא מעוניין לשקם את חייו, לאחר שיסיים לרצות את מאסרו. צוין כי לצד זאת, ניכר שלנאשם יכולת לראות את נפגעי העבירות ולהביע כלפיהם אמפתיה ביחס לפגיעה שהסב להם. שירות המבחן הפנה לתסקיר שהוגש בעניינו של הנאשם, במסגרת תיק המעצר, שם לא הומלץ לשחררו לחלופה נוכח ההתרשמות מרמת מסוכנות גבוהה. </w:t>
      </w:r>
    </w:p>
    <w:p w14:paraId="745919AA" w14:textId="77777777" w:rsidR="0089227E" w:rsidRDefault="0089227E" w:rsidP="0089227E">
      <w:pPr>
        <w:spacing w:after="240" w:line="360" w:lineRule="auto"/>
        <w:ind w:left="720" w:hanging="720"/>
        <w:jc w:val="both"/>
        <w:rPr>
          <w:rtl/>
        </w:rPr>
      </w:pPr>
      <w:r>
        <w:rPr>
          <w:rFonts w:hint="cs"/>
          <w:rtl/>
        </w:rPr>
        <w:t xml:space="preserve"> 12</w:t>
      </w:r>
      <w:r w:rsidRPr="00384BB6">
        <w:rPr>
          <w:rFonts w:hint="cs"/>
          <w:rtl/>
        </w:rPr>
        <w:t>.</w:t>
      </w:r>
      <w:r>
        <w:rPr>
          <w:rtl/>
        </w:rPr>
        <w:tab/>
      </w:r>
      <w:r>
        <w:rPr>
          <w:rFonts w:hint="cs"/>
          <w:rtl/>
        </w:rPr>
        <w:t xml:space="preserve">בבואו להעריך את הסיכון להישנות מקרים דומים בעתיד והסיכוי לשיקום, ציין שירות המבחן כי מדובר במי שמגיל צעיר מזדהה עם ערכים של תת תרבות עבריינות, מנהל קשרים חברתיים שוליים, אינו מפיק תועלת מסנקציות עונשיות שהוטלו עליו בעבר ומתקשה להתבונן ולבדוק את התנהלותו לאורך השנים. עוד צוין כי ניכר שהנאשם גדל בסביבה בעייתית ורכש דפוסי התנהגות שליליים שמלווים אותו עד ליום זה, דבר שבא לידי ביטוי בקושי לתת אמון בגורמי טיפול. בנוסף, היעדר יכולת לזהות מצבי סיכון ולהתרחק מהם ונטייתו להתנהגות אימפולסיבית מהווים גורם מעלה סיכון. בשקלול הגורמים הנ"ל, העריך שירות המבחן כי קיימת סבירות גבוהה להישנות מקרים דומים בעתיד. לצד זאת, צוין כי הנאשם הביע נזקקות טיפולית ואמר כי הוא זקוק לעזרה והכוונה לניהול אורח חיים נורמטיבי, דבר שיש בו כדי להפחית את הסיכון להסתבכות עתידית. </w:t>
      </w:r>
    </w:p>
    <w:p w14:paraId="193A9063" w14:textId="77777777" w:rsidR="0089227E" w:rsidRDefault="0089227E" w:rsidP="0089227E">
      <w:pPr>
        <w:spacing w:after="240" w:line="360" w:lineRule="auto"/>
        <w:ind w:left="720"/>
        <w:jc w:val="both"/>
        <w:rPr>
          <w:rtl/>
        </w:rPr>
      </w:pPr>
      <w:r>
        <w:rPr>
          <w:rFonts w:hint="cs"/>
          <w:rtl/>
        </w:rPr>
        <w:t>נוכח חומרת העבירות וההתרשמות מרמת מסוכנות גבוהה להישנות מקרים דומים בעתיד, נמנע שירות המבחן ממתן המלצה לטיפול בקהילה. לצד זאת הוסיף כי במידה ויוטל על הנאשם מאסר בפועל, יש לאפשר לו ליטול חלק בהליך טיפולי שיקומי במסגרת המאסר.</w:t>
      </w:r>
    </w:p>
    <w:p w14:paraId="76C1E2BB" w14:textId="77777777" w:rsidR="0089227E" w:rsidRDefault="0089227E" w:rsidP="0089227E">
      <w:pPr>
        <w:spacing w:after="240" w:line="360" w:lineRule="auto"/>
        <w:ind w:left="720"/>
        <w:jc w:val="both"/>
        <w:rPr>
          <w:rtl/>
        </w:rPr>
      </w:pPr>
    </w:p>
    <w:p w14:paraId="072405B1" w14:textId="77777777" w:rsidR="0089227E" w:rsidRPr="003D31C5" w:rsidRDefault="0089227E" w:rsidP="0089227E">
      <w:pPr>
        <w:spacing w:after="240" w:line="360" w:lineRule="auto"/>
        <w:rPr>
          <w:u w:val="single"/>
        </w:rPr>
      </w:pPr>
      <w:r>
        <w:rPr>
          <w:rFonts w:hint="cs"/>
          <w:u w:val="single"/>
          <w:rtl/>
        </w:rPr>
        <w:t>ראיות הצדדים לעונש</w:t>
      </w:r>
    </w:p>
    <w:p w14:paraId="0BFAFE31" w14:textId="77777777" w:rsidR="0089227E" w:rsidRDefault="0089227E" w:rsidP="0089227E">
      <w:pPr>
        <w:spacing w:after="240" w:line="360" w:lineRule="auto"/>
        <w:ind w:left="720" w:hanging="720"/>
        <w:jc w:val="both"/>
        <w:rPr>
          <w:rtl/>
        </w:rPr>
      </w:pPr>
      <w:r>
        <w:rPr>
          <w:rFonts w:hint="cs"/>
          <w:rtl/>
        </w:rPr>
        <w:t>13.</w:t>
      </w:r>
      <w:r>
        <w:rPr>
          <w:rFonts w:hint="cs"/>
          <w:rtl/>
        </w:rPr>
        <w:tab/>
        <w:t xml:space="preserve">בטרם נשמעו טיעוני הצדדים לעונש, הגישה המאשימה העתק מהמרשם הפלילי של הנאשם (מע/1) ממנו עולה כי הלה הועמד לדין בפני בית משפט השלום לנוער בחיפה בארבעה תיקים שונים. ביום 14.1.2015 הורשע הנאשם בעבירות של הפרת הוראת חוקית והיזק לרכוש במזיד. קדמה להרשעה זו הרשעה מיום 10.11.2014 בעבירה של החזקת אגרופן או סכין שלא למטרה כשרה, בגינה אף הוטל על הנאשם מאסר בפועל למשך 6 חודשים. לבד משתי הרשעות אלו, התנהלו כנגד הנאשם שני הליכים פליליים בגין הפרת הוראה חוקית (שתי עבירות), החזקת אגרופן או סכין שלא למטרה כשרה ותקיפה סתם. הליכים אחרונים אלה הסתיימו ברישום ללא הרשעה ובגינם הוטלו על הנאשם צו מבחן, וצו של"צ בהיקף של 20 שעות בתיק האחד ו- 50 שעות בתיק האחר.  </w:t>
      </w:r>
    </w:p>
    <w:p w14:paraId="36F65BB1" w14:textId="77777777" w:rsidR="0089227E" w:rsidRDefault="0089227E" w:rsidP="0089227E">
      <w:pPr>
        <w:spacing w:after="240" w:line="360" w:lineRule="auto"/>
        <w:ind w:left="720" w:hanging="720"/>
        <w:rPr>
          <w:rtl/>
        </w:rPr>
      </w:pPr>
      <w:r>
        <w:rPr>
          <w:rFonts w:hint="cs"/>
          <w:rtl/>
        </w:rPr>
        <w:t>14.</w:t>
      </w:r>
      <w:r>
        <w:rPr>
          <w:rFonts w:hint="cs"/>
          <w:rtl/>
        </w:rPr>
        <w:tab/>
      </w:r>
      <w:r w:rsidRPr="006A3E9E">
        <w:rPr>
          <w:rFonts w:hint="cs"/>
          <w:rtl/>
        </w:rPr>
        <w:t xml:space="preserve">מטעם הנאשם </w:t>
      </w:r>
      <w:r>
        <w:rPr>
          <w:rFonts w:hint="cs"/>
          <w:rtl/>
        </w:rPr>
        <w:t xml:space="preserve">לא </w:t>
      </w:r>
      <w:r w:rsidRPr="006A3E9E">
        <w:rPr>
          <w:rFonts w:hint="cs"/>
          <w:rtl/>
        </w:rPr>
        <w:t>הוגשו</w:t>
      </w:r>
      <w:r>
        <w:rPr>
          <w:rFonts w:hint="cs"/>
          <w:rtl/>
        </w:rPr>
        <w:t xml:space="preserve"> כל ראיות לעונש.</w:t>
      </w:r>
    </w:p>
    <w:p w14:paraId="2428707E" w14:textId="77777777" w:rsidR="0089227E" w:rsidRPr="003D31C5" w:rsidRDefault="0089227E" w:rsidP="0089227E">
      <w:pPr>
        <w:spacing w:after="240" w:line="360" w:lineRule="auto"/>
        <w:rPr>
          <w:u w:val="single"/>
        </w:rPr>
      </w:pPr>
      <w:r>
        <w:rPr>
          <w:rFonts w:hint="cs"/>
          <w:u w:val="single"/>
          <w:rtl/>
        </w:rPr>
        <w:t xml:space="preserve">טיעוני המאשימה </w:t>
      </w:r>
    </w:p>
    <w:p w14:paraId="3E70476C" w14:textId="77777777" w:rsidR="0089227E" w:rsidRDefault="0089227E" w:rsidP="0089227E">
      <w:pPr>
        <w:spacing w:after="240" w:line="360" w:lineRule="auto"/>
        <w:ind w:left="720" w:hanging="720"/>
        <w:jc w:val="both"/>
        <w:rPr>
          <w:rtl/>
        </w:rPr>
      </w:pPr>
      <w:r>
        <w:rPr>
          <w:rFonts w:hint="cs"/>
          <w:rtl/>
        </w:rPr>
        <w:t>15.</w:t>
      </w:r>
      <w:r>
        <w:rPr>
          <w:rFonts w:hint="cs"/>
          <w:rtl/>
        </w:rPr>
        <w:tab/>
      </w:r>
      <w:r w:rsidRPr="00366636">
        <w:rPr>
          <w:rFonts w:hint="cs"/>
          <w:rtl/>
        </w:rPr>
        <w:t xml:space="preserve">בטיעוניה </w:t>
      </w:r>
      <w:r>
        <w:rPr>
          <w:rFonts w:hint="cs"/>
          <w:rtl/>
        </w:rPr>
        <w:t xml:space="preserve">עתרה המאשימה לקבוע שלושה מתחמי ענישה נפרדים: אחד בגין עבירות הרכוש, שני בגין עבירת הפזיזות והרשלנות ושלישי בגין עבירות הסמים. </w:t>
      </w:r>
    </w:p>
    <w:p w14:paraId="7470D62B" w14:textId="77777777" w:rsidR="0089227E" w:rsidRPr="00366636" w:rsidRDefault="0089227E" w:rsidP="0089227E">
      <w:pPr>
        <w:spacing w:after="240" w:line="360" w:lineRule="auto"/>
        <w:ind w:left="720" w:hanging="720"/>
        <w:jc w:val="both"/>
        <w:rPr>
          <w:rtl/>
        </w:rPr>
      </w:pPr>
      <w:r>
        <w:rPr>
          <w:rFonts w:hint="cs"/>
          <w:rtl/>
        </w:rPr>
        <w:t>16.</w:t>
      </w:r>
      <w:r>
        <w:rPr>
          <w:rFonts w:hint="cs"/>
          <w:rtl/>
        </w:rPr>
        <w:tab/>
        <w:t xml:space="preserve">אשר לעבירות הרכוש, </w:t>
      </w:r>
      <w:r w:rsidRPr="00366636">
        <w:rPr>
          <w:rFonts w:hint="cs"/>
          <w:rtl/>
        </w:rPr>
        <w:t>ציינה המאשימה כי הער</w:t>
      </w:r>
      <w:r>
        <w:rPr>
          <w:rFonts w:hint="cs"/>
          <w:rtl/>
        </w:rPr>
        <w:t>כים</w:t>
      </w:r>
      <w:r w:rsidRPr="00366636">
        <w:rPr>
          <w:rFonts w:hint="cs"/>
          <w:rtl/>
        </w:rPr>
        <w:t xml:space="preserve"> החברתי</w:t>
      </w:r>
      <w:r>
        <w:rPr>
          <w:rFonts w:hint="cs"/>
          <w:rtl/>
        </w:rPr>
        <w:t>ים</w:t>
      </w:r>
      <w:r w:rsidRPr="00366636">
        <w:rPr>
          <w:rFonts w:hint="cs"/>
          <w:rtl/>
        </w:rPr>
        <w:t xml:space="preserve"> </w:t>
      </w:r>
      <w:r>
        <w:rPr>
          <w:rFonts w:hint="cs"/>
          <w:rtl/>
        </w:rPr>
        <w:t xml:space="preserve">המוגנים </w:t>
      </w:r>
      <w:r w:rsidRPr="00366636">
        <w:rPr>
          <w:rFonts w:hint="cs"/>
          <w:rtl/>
        </w:rPr>
        <w:t>שנפגע</w:t>
      </w:r>
      <w:r>
        <w:rPr>
          <w:rFonts w:hint="cs"/>
          <w:rtl/>
        </w:rPr>
        <w:t>ו</w:t>
      </w:r>
      <w:r w:rsidRPr="00366636">
        <w:rPr>
          <w:rFonts w:hint="cs"/>
          <w:rtl/>
        </w:rPr>
        <w:t xml:space="preserve"> </w:t>
      </w:r>
      <w:r>
        <w:rPr>
          <w:rFonts w:hint="cs"/>
          <w:rtl/>
        </w:rPr>
        <w:t>בענייננו הם הגנה על רכושו וקניינו של הציבור ושמירה על תחושת בטחונו האישי. בהתייחסה לנסיבות ביצוע ה</w:t>
      </w:r>
      <w:r w:rsidRPr="00366636">
        <w:rPr>
          <w:rFonts w:hint="cs"/>
          <w:rtl/>
        </w:rPr>
        <w:t xml:space="preserve">עבירות, </w:t>
      </w:r>
      <w:r>
        <w:rPr>
          <w:rFonts w:hint="cs"/>
          <w:rtl/>
        </w:rPr>
        <w:t>הדגישה המאשימה את</w:t>
      </w:r>
      <w:r w:rsidRPr="00366636">
        <w:rPr>
          <w:rFonts w:hint="cs"/>
          <w:rtl/>
        </w:rPr>
        <w:t xml:space="preserve"> </w:t>
      </w:r>
      <w:r w:rsidRPr="00B22E64">
        <w:rPr>
          <w:rFonts w:hint="cs"/>
          <w:rtl/>
        </w:rPr>
        <w:t>ה</w:t>
      </w:r>
      <w:r>
        <w:rPr>
          <w:rFonts w:hint="cs"/>
          <w:rtl/>
        </w:rPr>
        <w:t xml:space="preserve">עובדה שקדם להן תכנון, את חלקו המרכזי של הנאשם במעשים, הנזק שנגרם מהן ואת מודעותו של הנאשם לחומרת מעשיו ולהשלכותיהם. </w:t>
      </w:r>
      <w:r w:rsidRPr="00366636">
        <w:rPr>
          <w:rFonts w:hint="cs"/>
          <w:rtl/>
        </w:rPr>
        <w:t xml:space="preserve">המאשימה הפנתה לפסיקה המשקפת לגישתה את מדיניות הענישה הנוהגת במקרים דומים, בהם </w:t>
      </w:r>
      <w:r>
        <w:rPr>
          <w:rFonts w:hint="cs"/>
          <w:rtl/>
        </w:rPr>
        <w:t>נקבעו מתחמי ענישה</w:t>
      </w:r>
      <w:r w:rsidRPr="00366636">
        <w:rPr>
          <w:rFonts w:hint="cs"/>
          <w:rtl/>
        </w:rPr>
        <w:t xml:space="preserve"> </w:t>
      </w:r>
      <w:r>
        <w:rPr>
          <w:rFonts w:hint="cs"/>
          <w:rtl/>
        </w:rPr>
        <w:t xml:space="preserve">הנעים בין 3 ועד 24 חודשי מאסר בפועל, תוך שהיא מציינת כי מדיניות הענישה היא אך שיקול אחד בקביעת מתחם העונש. </w:t>
      </w:r>
      <w:r w:rsidRPr="00366636">
        <w:rPr>
          <w:rFonts w:hint="cs"/>
          <w:rtl/>
        </w:rPr>
        <w:t xml:space="preserve">נוכח האמור, ביקשה המאשימה לקבוע כי מתחם העונש ההולם </w:t>
      </w:r>
      <w:r>
        <w:rPr>
          <w:rFonts w:hint="cs"/>
          <w:rtl/>
        </w:rPr>
        <w:t xml:space="preserve">בגין שתי עבירות הרכוש, בהן הורשע הנאשם, </w:t>
      </w:r>
      <w:r w:rsidRPr="00366636">
        <w:rPr>
          <w:rFonts w:hint="cs"/>
          <w:rtl/>
        </w:rPr>
        <w:t xml:space="preserve">נע בין </w:t>
      </w:r>
      <w:r>
        <w:rPr>
          <w:rFonts w:hint="cs"/>
          <w:rtl/>
        </w:rPr>
        <w:t>12 ל- 24</w:t>
      </w:r>
      <w:r w:rsidRPr="00366636">
        <w:rPr>
          <w:rFonts w:hint="cs"/>
          <w:rtl/>
        </w:rPr>
        <w:t xml:space="preserve"> </w:t>
      </w:r>
      <w:r>
        <w:rPr>
          <w:rFonts w:hint="cs"/>
          <w:rtl/>
        </w:rPr>
        <w:t>חודשי</w:t>
      </w:r>
      <w:r w:rsidRPr="00366636">
        <w:rPr>
          <w:rFonts w:hint="cs"/>
          <w:rtl/>
        </w:rPr>
        <w:t xml:space="preserve"> מאסר בפועל. </w:t>
      </w:r>
    </w:p>
    <w:p w14:paraId="27D52AF4" w14:textId="77777777" w:rsidR="0089227E" w:rsidRDefault="0089227E" w:rsidP="0089227E">
      <w:pPr>
        <w:spacing w:after="240" w:line="360" w:lineRule="auto"/>
        <w:ind w:left="720" w:hanging="720"/>
        <w:jc w:val="both"/>
        <w:rPr>
          <w:rtl/>
        </w:rPr>
      </w:pPr>
      <w:r w:rsidRPr="00146D96">
        <w:rPr>
          <w:rFonts w:hint="cs"/>
          <w:rtl/>
        </w:rPr>
        <w:t>1</w:t>
      </w:r>
      <w:r>
        <w:rPr>
          <w:rFonts w:hint="cs"/>
          <w:rtl/>
        </w:rPr>
        <w:t>7</w:t>
      </w:r>
      <w:r w:rsidRPr="00146D96">
        <w:rPr>
          <w:rFonts w:hint="cs"/>
          <w:rtl/>
        </w:rPr>
        <w:t>.</w:t>
      </w:r>
      <w:r w:rsidRPr="00366636">
        <w:rPr>
          <w:rFonts w:hint="cs"/>
          <w:rtl/>
        </w:rPr>
        <w:tab/>
      </w:r>
      <w:r>
        <w:rPr>
          <w:rFonts w:hint="cs"/>
          <w:rtl/>
        </w:rPr>
        <w:t xml:space="preserve">אשר לעבירת הפזיזות, צוין </w:t>
      </w:r>
      <w:r w:rsidRPr="00366636">
        <w:rPr>
          <w:rFonts w:hint="cs"/>
          <w:rtl/>
        </w:rPr>
        <w:t>כי הער</w:t>
      </w:r>
      <w:r>
        <w:rPr>
          <w:rFonts w:hint="cs"/>
          <w:rtl/>
        </w:rPr>
        <w:t>כים</w:t>
      </w:r>
      <w:r w:rsidRPr="00366636">
        <w:rPr>
          <w:rFonts w:hint="cs"/>
          <w:rtl/>
        </w:rPr>
        <w:t xml:space="preserve"> החברתי</w:t>
      </w:r>
      <w:r>
        <w:rPr>
          <w:rFonts w:hint="cs"/>
          <w:rtl/>
        </w:rPr>
        <w:t>ים</w:t>
      </w:r>
      <w:r w:rsidRPr="00366636">
        <w:rPr>
          <w:rFonts w:hint="cs"/>
          <w:rtl/>
        </w:rPr>
        <w:t xml:space="preserve"> </w:t>
      </w:r>
      <w:r>
        <w:rPr>
          <w:rFonts w:hint="cs"/>
          <w:rtl/>
        </w:rPr>
        <w:t xml:space="preserve">המוגנים </w:t>
      </w:r>
      <w:r w:rsidRPr="00366636">
        <w:rPr>
          <w:rFonts w:hint="cs"/>
          <w:rtl/>
        </w:rPr>
        <w:t>שנפגע</w:t>
      </w:r>
      <w:r>
        <w:rPr>
          <w:rFonts w:hint="cs"/>
          <w:rtl/>
        </w:rPr>
        <w:t>ו</w:t>
      </w:r>
      <w:r w:rsidRPr="00366636">
        <w:rPr>
          <w:rFonts w:hint="cs"/>
          <w:rtl/>
        </w:rPr>
        <w:t xml:space="preserve"> </w:t>
      </w:r>
      <w:r>
        <w:rPr>
          <w:rFonts w:hint="cs"/>
          <w:rtl/>
        </w:rPr>
        <w:t>הם הגנה על שלום הציבור ובטחונו, שמירה על גוף האדם, שלטון החוק והסדר הציבורי והגנה על ציבור המשתמשים בכביש. בהתייחס לנסיבות ביצוע ה</w:t>
      </w:r>
      <w:r w:rsidRPr="00366636">
        <w:rPr>
          <w:rFonts w:hint="cs"/>
          <w:rtl/>
        </w:rPr>
        <w:t>עבירות,</w:t>
      </w:r>
      <w:r>
        <w:rPr>
          <w:rFonts w:hint="cs"/>
          <w:rtl/>
        </w:rPr>
        <w:t xml:space="preserve"> הודגש כי העובדה שלא הנאשם הוא זה שנהג באופנוע אינה מפחיתה מחומרת מעשיו, שהרי הוא עלה על האופנוע אף שידע כי הנהג אינו מחזיק ברישיון נהיגה. כמו כן, הנאשם לא גרם לנהג לעצור את האופנוע ואף היה לו אינטרס זהה להימלט מהזירה. על כן חלקו של הנאשם במעשה הוא שווה ערך לזה של שותפו, הנהג. עוד צוין, כי המעשים בהם הורשע הנאשם מצויים ברף חומרה גבוה, עת נסע יחד עם שותפו על אופנוע במרכזה של עיר, באזור סואן בשעת ערב מוקדמת, שעה שברחובות בני אדם רבים, תוך ביצוע עקיפות מסוכנות, נגד כיוון התנועה ובמהירות רבה. לטענת המאשימה, רק בנס לא נגרמו נזקים לרכוש ובנפש, לעוברי אורח תמימים. יחד עם זאת, הסיכון התממש חלקית כאשר הנאשם ושותפו התנגשו בניידת משטרה, גרמו לה נזק ונזקקו לטיפול רפואי. לעניין מדיניות הענישה הנוהגת הפנתה המאשימה לפסקי דין מהם ניתן ללמוד, לשיטתה, על אודות מדיניות הענישה במקרים כגון דא, בהם נקבעו מתחמי ענישה הנעים בין מספר חודשי מאסר ועד 24 חודשי מאסר. </w:t>
      </w:r>
      <w:r w:rsidRPr="00366636">
        <w:rPr>
          <w:rFonts w:hint="cs"/>
          <w:rtl/>
        </w:rPr>
        <w:t xml:space="preserve">נוכח האמור, ביקשה המאשימה לקבוע כי מתחם העונש ההולם </w:t>
      </w:r>
      <w:r>
        <w:rPr>
          <w:rFonts w:hint="cs"/>
          <w:rtl/>
        </w:rPr>
        <w:t xml:space="preserve">בגין עבירת הפזיזות והרשלנות </w:t>
      </w:r>
      <w:r w:rsidRPr="00366636">
        <w:rPr>
          <w:rFonts w:hint="cs"/>
          <w:rtl/>
        </w:rPr>
        <w:t xml:space="preserve">נע בין </w:t>
      </w:r>
      <w:r>
        <w:rPr>
          <w:rFonts w:hint="cs"/>
          <w:rtl/>
        </w:rPr>
        <w:t>6 ל- 18</w:t>
      </w:r>
      <w:r w:rsidRPr="00366636">
        <w:rPr>
          <w:rFonts w:hint="cs"/>
          <w:rtl/>
        </w:rPr>
        <w:t xml:space="preserve"> </w:t>
      </w:r>
      <w:r>
        <w:rPr>
          <w:rFonts w:hint="cs"/>
          <w:rtl/>
        </w:rPr>
        <w:t>חודשי</w:t>
      </w:r>
      <w:r w:rsidRPr="00366636">
        <w:rPr>
          <w:rFonts w:hint="cs"/>
          <w:rtl/>
        </w:rPr>
        <w:t xml:space="preserve"> מאסר בפועל.</w:t>
      </w:r>
    </w:p>
    <w:p w14:paraId="37DDABE2" w14:textId="77777777" w:rsidR="0089227E" w:rsidRDefault="0089227E" w:rsidP="0089227E">
      <w:pPr>
        <w:spacing w:after="240" w:line="360" w:lineRule="auto"/>
        <w:ind w:left="720" w:hanging="720"/>
        <w:jc w:val="both"/>
        <w:rPr>
          <w:rtl/>
        </w:rPr>
      </w:pPr>
      <w:r>
        <w:rPr>
          <w:rFonts w:hint="cs"/>
          <w:rtl/>
        </w:rPr>
        <w:t>18.</w:t>
      </w:r>
      <w:r>
        <w:rPr>
          <w:rFonts w:hint="cs"/>
          <w:rtl/>
        </w:rPr>
        <w:tab/>
        <w:t xml:space="preserve">אשר לעבירות הסחר בסמים ציינה המאשימה כי </w:t>
      </w:r>
      <w:r w:rsidRPr="00366636">
        <w:rPr>
          <w:rFonts w:hint="cs"/>
          <w:rtl/>
        </w:rPr>
        <w:t>הער</w:t>
      </w:r>
      <w:r>
        <w:rPr>
          <w:rFonts w:hint="cs"/>
          <w:rtl/>
        </w:rPr>
        <w:t>כים</w:t>
      </w:r>
      <w:r w:rsidRPr="00366636">
        <w:rPr>
          <w:rFonts w:hint="cs"/>
          <w:rtl/>
        </w:rPr>
        <w:t xml:space="preserve"> החברתי</w:t>
      </w:r>
      <w:r>
        <w:rPr>
          <w:rFonts w:hint="cs"/>
          <w:rtl/>
        </w:rPr>
        <w:t>ים</w:t>
      </w:r>
      <w:r w:rsidRPr="00366636">
        <w:rPr>
          <w:rFonts w:hint="cs"/>
          <w:rtl/>
        </w:rPr>
        <w:t xml:space="preserve"> </w:t>
      </w:r>
      <w:r>
        <w:rPr>
          <w:rFonts w:hint="cs"/>
          <w:rtl/>
        </w:rPr>
        <w:t xml:space="preserve">המוגנים </w:t>
      </w:r>
      <w:r w:rsidRPr="00366636">
        <w:rPr>
          <w:rFonts w:hint="cs"/>
          <w:rtl/>
        </w:rPr>
        <w:t>שנפגע</w:t>
      </w:r>
      <w:r>
        <w:rPr>
          <w:rFonts w:hint="cs"/>
          <w:rtl/>
        </w:rPr>
        <w:t>ו</w:t>
      </w:r>
      <w:r w:rsidRPr="00366636">
        <w:rPr>
          <w:rFonts w:hint="cs"/>
          <w:rtl/>
        </w:rPr>
        <w:t xml:space="preserve"> </w:t>
      </w:r>
      <w:r>
        <w:rPr>
          <w:rFonts w:hint="cs"/>
          <w:rtl/>
        </w:rPr>
        <w:t xml:space="preserve">הם הגנה על הציבור בכללותו מפני נגע הסמים וכן הגנה על גופם של צרכני הסמים המסוכנים. המאשימה הפנתה לפסיקת בית המשפט לפיה אין להקל ראש בעבירות הנוגעות לסמים המוגדרים כ-"קלים", כגון חשיש, וכי העובדה שסם זה הפך לנפוץ אינה צריכה להביא להתייחסות מקלה עם אלה המבקשים לעשות רווח ממנו. באשר למדיניות הענישה, הפנתה המאשימה למקרה דומה בו נגזרו 8 חודשי מאסר בגין שתי עבירות סחר בסם מסוג חשיש. כן הפנתה המאשימה לעונש שהוטל, במסגרת התיק הנלווה, על שותפו של הנאשם אשר נדון ל-7 חודשי מאסר בפועל, בגין שתי עבירות סחר בסמים </w:t>
      </w:r>
      <w:r>
        <w:rPr>
          <w:rtl/>
        </w:rPr>
        <w:t>–</w:t>
      </w:r>
      <w:r>
        <w:rPr>
          <w:rFonts w:hint="cs"/>
          <w:rtl/>
        </w:rPr>
        <w:t xml:space="preserve"> האחת סחר בסם מסוג חשיש, שביצע יחד עם הנאשם, והשניה סחר ב-10 טבליות סם מסוכן מסוג </w:t>
      </w:r>
      <w:r>
        <w:rPr>
          <w:rFonts w:hint="cs"/>
        </w:rPr>
        <w:t>MDMA</w:t>
      </w:r>
      <w:r>
        <w:rPr>
          <w:rFonts w:hint="cs"/>
          <w:rtl/>
        </w:rPr>
        <w:t xml:space="preserve">. </w:t>
      </w:r>
      <w:r w:rsidRPr="00366636">
        <w:rPr>
          <w:rFonts w:hint="cs"/>
          <w:rtl/>
        </w:rPr>
        <w:t xml:space="preserve">נוכח האמור, ביקשה המאשימה לקבוע כי מתחם העונש ההולם </w:t>
      </w:r>
      <w:r>
        <w:rPr>
          <w:rFonts w:hint="cs"/>
          <w:rtl/>
        </w:rPr>
        <w:t xml:space="preserve">בגין העבירות נשוא התיק הנלווה </w:t>
      </w:r>
      <w:r w:rsidRPr="00366636">
        <w:rPr>
          <w:rFonts w:hint="cs"/>
          <w:rtl/>
        </w:rPr>
        <w:t xml:space="preserve">נע בין </w:t>
      </w:r>
      <w:r>
        <w:rPr>
          <w:rFonts w:hint="cs"/>
          <w:rtl/>
        </w:rPr>
        <w:t>8 ל- 18</w:t>
      </w:r>
      <w:r w:rsidRPr="00366636">
        <w:rPr>
          <w:rFonts w:hint="cs"/>
          <w:rtl/>
        </w:rPr>
        <w:t xml:space="preserve"> </w:t>
      </w:r>
      <w:r>
        <w:rPr>
          <w:rFonts w:hint="cs"/>
          <w:rtl/>
        </w:rPr>
        <w:t>חודשי</w:t>
      </w:r>
      <w:r w:rsidRPr="00366636">
        <w:rPr>
          <w:rFonts w:hint="cs"/>
          <w:rtl/>
        </w:rPr>
        <w:t xml:space="preserve"> מאסר בפועל.</w:t>
      </w:r>
    </w:p>
    <w:p w14:paraId="4E17BD64" w14:textId="77777777" w:rsidR="0089227E" w:rsidRDefault="0089227E" w:rsidP="0089227E">
      <w:pPr>
        <w:spacing w:after="240" w:line="360" w:lineRule="auto"/>
        <w:ind w:left="720" w:hanging="720"/>
        <w:jc w:val="both"/>
        <w:rPr>
          <w:rtl/>
        </w:rPr>
      </w:pPr>
      <w:r>
        <w:rPr>
          <w:rFonts w:hint="cs"/>
          <w:rtl/>
        </w:rPr>
        <w:t>19.</w:t>
      </w:r>
      <w:r>
        <w:rPr>
          <w:rFonts w:hint="cs"/>
          <w:rtl/>
        </w:rPr>
        <w:tab/>
      </w:r>
      <w:r w:rsidRPr="00366636">
        <w:rPr>
          <w:rFonts w:hint="cs"/>
          <w:rtl/>
        </w:rPr>
        <w:t>באשר לנסיבות שאינן קשורות בביצוע העבירות, צוין כי</w:t>
      </w:r>
      <w:r>
        <w:rPr>
          <w:rFonts w:hint="cs"/>
          <w:rtl/>
        </w:rPr>
        <w:t xml:space="preserve"> הנאשם הודה במיוחס לו בשני כתבי האישום ובכך חסך זמן שיפוטי יקר. יחד עם זאת, הודגש, כי הנאשם הבין היטב את מעשיו ואת השלכותיהם, וכי אין בעניינו קרבה לסייג לאחריות פלילית.</w:t>
      </w:r>
    </w:p>
    <w:p w14:paraId="7FC97952" w14:textId="77777777" w:rsidR="0089227E" w:rsidRDefault="0089227E" w:rsidP="0089227E">
      <w:pPr>
        <w:spacing w:after="240" w:line="360" w:lineRule="auto"/>
        <w:ind w:left="720" w:hanging="720"/>
        <w:jc w:val="both"/>
        <w:rPr>
          <w:highlight w:val="yellow"/>
          <w:rtl/>
        </w:rPr>
      </w:pPr>
      <w:r>
        <w:rPr>
          <w:rFonts w:hint="cs"/>
          <w:rtl/>
        </w:rPr>
        <w:t xml:space="preserve">20. </w:t>
      </w:r>
      <w:r>
        <w:rPr>
          <w:rtl/>
        </w:rPr>
        <w:tab/>
      </w:r>
      <w:r>
        <w:rPr>
          <w:rFonts w:hint="cs"/>
          <w:rtl/>
        </w:rPr>
        <w:t xml:space="preserve">בשים לב לעברו הפלילי של הנאשם </w:t>
      </w:r>
      <w:r>
        <w:rPr>
          <w:rtl/>
        </w:rPr>
        <w:t>–</w:t>
      </w:r>
      <w:r>
        <w:rPr>
          <w:rFonts w:hint="cs"/>
          <w:rtl/>
        </w:rPr>
        <w:t xml:space="preserve"> שביחס לגילו הצעיר נטען כי זהו עבר מכביד </w:t>
      </w:r>
      <w:r>
        <w:rPr>
          <w:rtl/>
        </w:rPr>
        <w:t>–</w:t>
      </w:r>
      <w:r>
        <w:rPr>
          <w:rFonts w:hint="cs"/>
          <w:rtl/>
        </w:rPr>
        <w:t xml:space="preserve"> וכן בשים לב לרצף המעשים הפליליים ולדרגת החומרה הגבוהה בה מצויים מעשיו, </w:t>
      </w:r>
      <w:r w:rsidRPr="00A909CA">
        <w:rPr>
          <w:rFonts w:hint="cs"/>
          <w:rtl/>
        </w:rPr>
        <w:t>עתרה המאשימה להטיל על</w:t>
      </w:r>
      <w:r>
        <w:rPr>
          <w:rFonts w:hint="cs"/>
          <w:rtl/>
        </w:rPr>
        <w:t>יו</w:t>
      </w:r>
      <w:r w:rsidRPr="00A909CA">
        <w:rPr>
          <w:rFonts w:hint="cs"/>
          <w:rtl/>
        </w:rPr>
        <w:t xml:space="preserve"> עונשי מאסר בפועל בכל אחד מהמתחמים, מאמצעו של המתחם ומעלה, במצטבר אחד לשני, וכן </w:t>
      </w:r>
      <w:r>
        <w:rPr>
          <w:rFonts w:hint="cs"/>
          <w:rtl/>
        </w:rPr>
        <w:t xml:space="preserve">להשית עליו </w:t>
      </w:r>
      <w:r w:rsidRPr="00A909CA">
        <w:rPr>
          <w:rFonts w:hint="cs"/>
          <w:rtl/>
        </w:rPr>
        <w:t>מאסרים מותנים ארוכים, קנס, פיצוי לנפגעות העבירה ופסילת רשיון נהיגה.</w:t>
      </w:r>
    </w:p>
    <w:p w14:paraId="6F403061" w14:textId="77777777" w:rsidR="0089227E" w:rsidRDefault="0089227E" w:rsidP="0089227E">
      <w:pPr>
        <w:spacing w:after="240" w:line="360" w:lineRule="auto"/>
        <w:ind w:left="720" w:hanging="720"/>
        <w:jc w:val="both"/>
        <w:rPr>
          <w:highlight w:val="yellow"/>
          <w:rtl/>
        </w:rPr>
      </w:pPr>
    </w:p>
    <w:p w14:paraId="0C8CE12B" w14:textId="77777777" w:rsidR="0089227E" w:rsidRDefault="0089227E" w:rsidP="0089227E">
      <w:pPr>
        <w:spacing w:after="240" w:line="360" w:lineRule="auto"/>
        <w:ind w:left="720" w:hanging="720"/>
        <w:jc w:val="both"/>
        <w:rPr>
          <w:highlight w:val="yellow"/>
          <w:rtl/>
        </w:rPr>
      </w:pPr>
    </w:p>
    <w:p w14:paraId="13A6DFB4" w14:textId="77777777" w:rsidR="0089227E" w:rsidRPr="00574CB8" w:rsidRDefault="0089227E" w:rsidP="0089227E">
      <w:pPr>
        <w:spacing w:after="240" w:line="360" w:lineRule="auto"/>
        <w:rPr>
          <w:u w:val="single"/>
        </w:rPr>
      </w:pPr>
      <w:r w:rsidRPr="00574CB8">
        <w:rPr>
          <w:rFonts w:hint="cs"/>
          <w:u w:val="single"/>
          <w:rtl/>
        </w:rPr>
        <w:t>טיעוני ההגנה לעונש</w:t>
      </w:r>
    </w:p>
    <w:p w14:paraId="03E0AEE5" w14:textId="77777777" w:rsidR="0089227E" w:rsidRPr="00574CB8" w:rsidRDefault="0089227E" w:rsidP="0089227E">
      <w:pPr>
        <w:spacing w:after="240" w:line="360" w:lineRule="auto"/>
        <w:ind w:left="720" w:hanging="720"/>
        <w:jc w:val="both"/>
        <w:rPr>
          <w:rtl/>
        </w:rPr>
      </w:pPr>
      <w:r>
        <w:rPr>
          <w:rFonts w:hint="cs"/>
          <w:rtl/>
        </w:rPr>
        <w:t>21</w:t>
      </w:r>
      <w:r w:rsidRPr="00574CB8">
        <w:rPr>
          <w:rFonts w:hint="cs"/>
          <w:rtl/>
        </w:rPr>
        <w:t>.</w:t>
      </w:r>
      <w:r w:rsidRPr="00574CB8">
        <w:rPr>
          <w:rFonts w:hint="cs"/>
          <w:rtl/>
        </w:rPr>
        <w:tab/>
        <w:t xml:space="preserve">בטיעוניו לעונש, ציין הסנגור כי </w:t>
      </w:r>
      <w:r>
        <w:rPr>
          <w:rFonts w:hint="cs"/>
          <w:rtl/>
        </w:rPr>
        <w:t>אף שאינו מקל</w:t>
      </w:r>
      <w:r w:rsidRPr="00574CB8">
        <w:rPr>
          <w:rFonts w:hint="cs"/>
          <w:rtl/>
        </w:rPr>
        <w:t xml:space="preserve"> ראש במעשיו של הנאשם, </w:t>
      </w:r>
      <w:r>
        <w:rPr>
          <w:rFonts w:hint="cs"/>
          <w:rtl/>
        </w:rPr>
        <w:t xml:space="preserve">הרי שכתב </w:t>
      </w:r>
      <w:r w:rsidRPr="00574CB8">
        <w:rPr>
          <w:rFonts w:hint="cs"/>
          <w:rtl/>
        </w:rPr>
        <w:t xml:space="preserve">האישום תוקן באופן מהותי ביותר, </w:t>
      </w:r>
      <w:r>
        <w:rPr>
          <w:rFonts w:hint="cs"/>
          <w:rtl/>
        </w:rPr>
        <w:t xml:space="preserve">שכן בתחילה </w:t>
      </w:r>
      <w:r w:rsidRPr="00574CB8">
        <w:rPr>
          <w:rFonts w:hint="cs"/>
          <w:rtl/>
        </w:rPr>
        <w:t>יוחסו ל</w:t>
      </w:r>
      <w:r>
        <w:rPr>
          <w:rFonts w:hint="cs"/>
          <w:rtl/>
        </w:rPr>
        <w:t>ו</w:t>
      </w:r>
      <w:r w:rsidRPr="00574CB8">
        <w:rPr>
          <w:rFonts w:hint="cs"/>
          <w:rtl/>
        </w:rPr>
        <w:t xml:space="preserve"> עבירות מסוג פשע, ו</w:t>
      </w:r>
      <w:r>
        <w:rPr>
          <w:rFonts w:hint="cs"/>
          <w:rtl/>
        </w:rPr>
        <w:t xml:space="preserve">אילו </w:t>
      </w:r>
      <w:r w:rsidRPr="00574CB8">
        <w:rPr>
          <w:rFonts w:hint="cs"/>
          <w:rtl/>
        </w:rPr>
        <w:t>בכתב האישום כיום העבירות הן מסוג עוון. עוד צוין, כי שותפו של הנאשם "גרר אותו למעשים", וכי לא היה תכנון של ממש מצד הנאשם ביחס לעבירות. אשר לאלימות שהפעיל הנ</w:t>
      </w:r>
      <w:r>
        <w:rPr>
          <w:rFonts w:hint="cs"/>
          <w:rtl/>
        </w:rPr>
        <w:t>אשם כלפי המתלוננות צוין כי היא מינורית</w:t>
      </w:r>
      <w:r w:rsidRPr="00574CB8">
        <w:rPr>
          <w:rFonts w:hint="cs"/>
          <w:rtl/>
        </w:rPr>
        <w:t xml:space="preserve">, והתבטאה בכך שהנאשם משך בחזקה את הטלפון מידיהן. </w:t>
      </w:r>
    </w:p>
    <w:p w14:paraId="5DA24B00" w14:textId="77777777" w:rsidR="0089227E" w:rsidRPr="00574CB8" w:rsidRDefault="0089227E" w:rsidP="0089227E">
      <w:pPr>
        <w:spacing w:after="240" w:line="360" w:lineRule="auto"/>
        <w:ind w:left="720" w:hanging="720"/>
        <w:jc w:val="both"/>
        <w:rPr>
          <w:rtl/>
        </w:rPr>
      </w:pPr>
      <w:r>
        <w:rPr>
          <w:rFonts w:hint="cs"/>
          <w:rtl/>
        </w:rPr>
        <w:t>22</w:t>
      </w:r>
      <w:r w:rsidRPr="00574CB8">
        <w:rPr>
          <w:rFonts w:hint="cs"/>
          <w:rtl/>
        </w:rPr>
        <w:t>.</w:t>
      </w:r>
      <w:r w:rsidRPr="00574CB8">
        <w:rPr>
          <w:rFonts w:hint="cs"/>
          <w:rtl/>
        </w:rPr>
        <w:tab/>
      </w:r>
      <w:r>
        <w:rPr>
          <w:rFonts w:hint="cs"/>
          <w:rtl/>
        </w:rPr>
        <w:t xml:space="preserve">בהתייחס </w:t>
      </w:r>
      <w:r w:rsidRPr="00574CB8">
        <w:rPr>
          <w:rFonts w:hint="cs"/>
          <w:rtl/>
        </w:rPr>
        <w:t>למתחמי הענישה להם עתרה המאשימה, ציין הסנגור תחילה כי כל המעשים בתיק העיקרי מהווים אירוע אחד, ב</w:t>
      </w:r>
      <w:r>
        <w:rPr>
          <w:rFonts w:hint="cs"/>
          <w:rtl/>
        </w:rPr>
        <w:t xml:space="preserve">משמעות </w:t>
      </w:r>
      <w:hyperlink r:id="rId28" w:history="1">
        <w:r w:rsidR="00CA79EE" w:rsidRPr="00CA79EE">
          <w:rPr>
            <w:color w:val="0000FF"/>
            <w:u w:val="single"/>
            <w:rtl/>
          </w:rPr>
          <w:t>סעיף 40יג</w:t>
        </w:r>
      </w:hyperlink>
      <w:r w:rsidRPr="00574CB8">
        <w:rPr>
          <w:rFonts w:hint="cs"/>
          <w:rtl/>
        </w:rPr>
        <w:t xml:space="preserve"> ל</w:t>
      </w:r>
      <w:hyperlink r:id="rId29" w:history="1">
        <w:r w:rsidR="000C73AC" w:rsidRPr="000C73AC">
          <w:rPr>
            <w:color w:val="0000FF"/>
            <w:u w:val="single"/>
            <w:rtl/>
          </w:rPr>
          <w:t>חוק העונשין</w:t>
        </w:r>
      </w:hyperlink>
      <w:r>
        <w:rPr>
          <w:rFonts w:hint="cs"/>
          <w:rtl/>
        </w:rPr>
        <w:t>, ולפיכך יש לקבוע להם מתחם ענישה</w:t>
      </w:r>
      <w:r w:rsidRPr="00574CB8">
        <w:rPr>
          <w:rFonts w:hint="cs"/>
          <w:rtl/>
        </w:rPr>
        <w:t xml:space="preserve"> אחד. עוד צוין, כי מדיניות הענישה</w:t>
      </w:r>
      <w:r>
        <w:rPr>
          <w:rFonts w:hint="cs"/>
          <w:rtl/>
        </w:rPr>
        <w:t xml:space="preserve"> הנהוגה </w:t>
      </w:r>
      <w:r w:rsidRPr="00574CB8">
        <w:rPr>
          <w:rFonts w:hint="cs"/>
          <w:rtl/>
        </w:rPr>
        <w:t>בפסיקה במקרים דומים</w:t>
      </w:r>
      <w:r>
        <w:rPr>
          <w:rFonts w:hint="cs"/>
          <w:rtl/>
        </w:rPr>
        <w:t>,</w:t>
      </w:r>
      <w:r w:rsidRPr="00574CB8">
        <w:rPr>
          <w:rFonts w:hint="cs"/>
          <w:rtl/>
        </w:rPr>
        <w:t xml:space="preserve"> הינה מקלה יותר </w:t>
      </w:r>
      <w:r>
        <w:rPr>
          <w:rFonts w:hint="cs"/>
          <w:rtl/>
        </w:rPr>
        <w:t xml:space="preserve">מכפי </w:t>
      </w:r>
      <w:r w:rsidRPr="00574CB8">
        <w:rPr>
          <w:rFonts w:hint="cs"/>
          <w:rtl/>
        </w:rPr>
        <w:t xml:space="preserve">שביקשה המאשימה לגזור על הנאשם, </w:t>
      </w:r>
      <w:r>
        <w:rPr>
          <w:rFonts w:hint="cs"/>
          <w:rtl/>
        </w:rPr>
        <w:t>מה גם ש</w:t>
      </w:r>
      <w:r w:rsidRPr="00574CB8">
        <w:rPr>
          <w:rFonts w:hint="cs"/>
          <w:rtl/>
        </w:rPr>
        <w:t>המקרים שהובאו על ידי המאשימה ה</w:t>
      </w:r>
      <w:r>
        <w:rPr>
          <w:rFonts w:hint="cs"/>
          <w:rtl/>
        </w:rPr>
        <w:t>נם</w:t>
      </w:r>
      <w:r w:rsidRPr="00574CB8">
        <w:rPr>
          <w:rFonts w:hint="cs"/>
          <w:rtl/>
        </w:rPr>
        <w:t xml:space="preserve"> חמור</w:t>
      </w:r>
      <w:r>
        <w:rPr>
          <w:rFonts w:hint="cs"/>
          <w:rtl/>
        </w:rPr>
        <w:t>ים</w:t>
      </w:r>
      <w:r w:rsidRPr="00574CB8">
        <w:rPr>
          <w:rFonts w:hint="cs"/>
          <w:rtl/>
        </w:rPr>
        <w:t xml:space="preserve"> יותר מ</w:t>
      </w:r>
      <w:r>
        <w:rPr>
          <w:rFonts w:hint="cs"/>
          <w:rtl/>
        </w:rPr>
        <w:t>נסיבות המקרה דכאן</w:t>
      </w:r>
      <w:r w:rsidRPr="00574CB8">
        <w:rPr>
          <w:rFonts w:hint="cs"/>
          <w:rtl/>
        </w:rPr>
        <w:t>.</w:t>
      </w:r>
    </w:p>
    <w:p w14:paraId="3624279A" w14:textId="77777777" w:rsidR="0089227E" w:rsidRDefault="0089227E" w:rsidP="0089227E">
      <w:pPr>
        <w:spacing w:after="240" w:line="360" w:lineRule="auto"/>
        <w:ind w:left="720" w:hanging="720"/>
        <w:jc w:val="both"/>
        <w:rPr>
          <w:rtl/>
        </w:rPr>
      </w:pPr>
      <w:r>
        <w:rPr>
          <w:rFonts w:hint="cs"/>
          <w:rtl/>
        </w:rPr>
        <w:t>23</w:t>
      </w:r>
      <w:r w:rsidRPr="00574CB8">
        <w:rPr>
          <w:rFonts w:hint="cs"/>
          <w:rtl/>
        </w:rPr>
        <w:t>.</w:t>
      </w:r>
      <w:r w:rsidRPr="00574CB8">
        <w:rPr>
          <w:rtl/>
        </w:rPr>
        <w:tab/>
      </w:r>
      <w:r>
        <w:rPr>
          <w:rFonts w:hint="cs"/>
          <w:rtl/>
        </w:rPr>
        <w:t xml:space="preserve">הסנגור </w:t>
      </w:r>
      <w:r w:rsidRPr="00366636">
        <w:rPr>
          <w:rFonts w:hint="cs"/>
          <w:rtl/>
        </w:rPr>
        <w:t>הפנ</w:t>
      </w:r>
      <w:r>
        <w:rPr>
          <w:rFonts w:hint="cs"/>
          <w:rtl/>
        </w:rPr>
        <w:t>ה לפסיקה המשקפת לשיטתו</w:t>
      </w:r>
      <w:r w:rsidRPr="00366636">
        <w:rPr>
          <w:rFonts w:hint="cs"/>
          <w:rtl/>
        </w:rPr>
        <w:t xml:space="preserve"> את מדיניות הענישה במקרים דומים</w:t>
      </w:r>
      <w:r>
        <w:rPr>
          <w:rFonts w:hint="cs"/>
          <w:rtl/>
        </w:rPr>
        <w:t>.</w:t>
      </w:r>
      <w:r w:rsidRPr="00366636">
        <w:rPr>
          <w:rFonts w:hint="cs"/>
          <w:rtl/>
        </w:rPr>
        <w:t xml:space="preserve"> </w:t>
      </w:r>
      <w:r>
        <w:rPr>
          <w:rFonts w:hint="cs"/>
          <w:rtl/>
        </w:rPr>
        <w:t xml:space="preserve">אשר לתיק העיקרי עתר הסנגור לקבוע מתחם ענישה הנע בין חודשי מאסר בודדים ועד 12 חודשי מאסר, ולגזור את עונשו של הנאשם ברף התחתון של המתחם. בנוגע לתיק הנלווה, הפנה הסנגור לתיק נוסף מאותה פרשיה, שם הוטלו  8 חודשי מאסר על נאשם שסחר בסם בשלוש עסקאות (חלף שתיים כבענייננו). בהתייחס לנסיבות האישיות הקשורות לנאשם צוין כי אמנם לחובתו הרשעות קודמות, אך עברו אינו מכביד, ומכל מקום אין לחובתו הרשעות בתחום הסמים או האלימות.  </w:t>
      </w:r>
    </w:p>
    <w:p w14:paraId="2410084D" w14:textId="77777777" w:rsidR="0089227E" w:rsidRPr="00DA79D4" w:rsidRDefault="0089227E" w:rsidP="0089227E">
      <w:pPr>
        <w:spacing w:after="240" w:line="360" w:lineRule="auto"/>
        <w:ind w:left="720" w:hanging="720"/>
        <w:rPr>
          <w:rtl/>
        </w:rPr>
      </w:pPr>
      <w:r>
        <w:rPr>
          <w:rFonts w:hint="cs"/>
          <w:rtl/>
        </w:rPr>
        <w:t>24</w:t>
      </w:r>
      <w:r w:rsidRPr="00DA79D4">
        <w:rPr>
          <w:rFonts w:hint="cs"/>
          <w:rtl/>
        </w:rPr>
        <w:t>.</w:t>
      </w:r>
      <w:r w:rsidRPr="00DA79D4">
        <w:rPr>
          <w:rFonts w:hint="cs"/>
          <w:rtl/>
        </w:rPr>
        <w:tab/>
      </w:r>
      <w:r>
        <w:rPr>
          <w:rFonts w:hint="cs"/>
          <w:rtl/>
        </w:rPr>
        <w:t xml:space="preserve">הנאשם ויתר על זכותו לומר את דברו האחרון. </w:t>
      </w:r>
    </w:p>
    <w:p w14:paraId="161B4525" w14:textId="77777777" w:rsidR="0089227E" w:rsidRDefault="0089227E" w:rsidP="0089227E">
      <w:pPr>
        <w:spacing w:after="240" w:line="360" w:lineRule="auto"/>
        <w:ind w:left="720" w:hanging="720"/>
        <w:rPr>
          <w:u w:val="single"/>
          <w:rtl/>
        </w:rPr>
      </w:pPr>
      <w:r>
        <w:rPr>
          <w:rFonts w:hint="cs"/>
          <w:u w:val="single"/>
          <w:rtl/>
        </w:rPr>
        <w:t xml:space="preserve">דיון והכרעה </w:t>
      </w:r>
    </w:p>
    <w:p w14:paraId="2F3867BF" w14:textId="77777777" w:rsidR="0089227E" w:rsidRDefault="0089227E" w:rsidP="0089227E">
      <w:pPr>
        <w:pStyle w:val="NoSpacing"/>
        <w:spacing w:line="360" w:lineRule="auto"/>
        <w:jc w:val="both"/>
        <w:rPr>
          <w:rFonts w:cs="David"/>
          <w:sz w:val="24"/>
          <w:szCs w:val="24"/>
          <w:u w:val="single"/>
          <w:rtl/>
        </w:rPr>
      </w:pPr>
      <w:r w:rsidRPr="00AD1E20">
        <w:rPr>
          <w:rFonts w:cs="David" w:hint="cs"/>
          <w:sz w:val="24"/>
          <w:szCs w:val="24"/>
          <w:u w:val="single"/>
          <w:rtl/>
        </w:rPr>
        <w:t>אירוע אחד או מספר אירועים?</w:t>
      </w:r>
    </w:p>
    <w:p w14:paraId="21F0D2EB" w14:textId="77777777" w:rsidR="0089227E" w:rsidRPr="00AD1E20" w:rsidRDefault="0089227E" w:rsidP="0089227E">
      <w:pPr>
        <w:pStyle w:val="NoSpacing"/>
        <w:spacing w:line="360" w:lineRule="auto"/>
        <w:jc w:val="both"/>
        <w:rPr>
          <w:rFonts w:cs="David"/>
          <w:sz w:val="24"/>
          <w:szCs w:val="24"/>
          <w:u w:val="single"/>
          <w:rtl/>
        </w:rPr>
      </w:pPr>
    </w:p>
    <w:p w14:paraId="2ED8549E" w14:textId="77777777" w:rsidR="0089227E" w:rsidRPr="00981666" w:rsidRDefault="0089227E" w:rsidP="0089227E">
      <w:pPr>
        <w:pStyle w:val="NoSpacing"/>
        <w:spacing w:line="360" w:lineRule="auto"/>
        <w:ind w:left="720"/>
        <w:jc w:val="both"/>
        <w:rPr>
          <w:rFonts w:cs="David"/>
          <w:sz w:val="6"/>
          <w:szCs w:val="6"/>
          <w:rtl/>
        </w:rPr>
      </w:pPr>
    </w:p>
    <w:p w14:paraId="3C3303AC" w14:textId="77777777" w:rsidR="0089227E" w:rsidRPr="00AD1E20" w:rsidRDefault="0089227E" w:rsidP="0089227E">
      <w:pPr>
        <w:spacing w:after="240" w:line="360" w:lineRule="auto"/>
        <w:ind w:left="720" w:hanging="720"/>
        <w:jc w:val="both"/>
        <w:rPr>
          <w:rtl/>
        </w:rPr>
      </w:pPr>
      <w:r>
        <w:rPr>
          <w:rFonts w:hint="cs"/>
          <w:rtl/>
        </w:rPr>
        <w:t>25.</w:t>
      </w:r>
      <w:r>
        <w:rPr>
          <w:rFonts w:hint="cs"/>
          <w:rtl/>
        </w:rPr>
        <w:tab/>
        <w:t xml:space="preserve">בהתאם </w:t>
      </w:r>
      <w:hyperlink r:id="rId30" w:history="1">
        <w:r w:rsidR="00CA79EE" w:rsidRPr="00CA79EE">
          <w:rPr>
            <w:color w:val="0000FF"/>
            <w:u w:val="single"/>
            <w:rtl/>
          </w:rPr>
          <w:t>לסעיף 40יג</w:t>
        </w:r>
      </w:hyperlink>
      <w:r>
        <w:rPr>
          <w:rFonts w:hint="cs"/>
          <w:rtl/>
        </w:rPr>
        <w:t xml:space="preserve"> ל</w:t>
      </w:r>
      <w:hyperlink r:id="rId31" w:history="1">
        <w:r w:rsidR="000C73AC" w:rsidRPr="000C73AC">
          <w:rPr>
            <w:color w:val="0000FF"/>
            <w:u w:val="single"/>
            <w:rtl/>
          </w:rPr>
          <w:t>חוק העונשין</w:t>
        </w:r>
      </w:hyperlink>
      <w:r>
        <w:rPr>
          <w:rFonts w:hint="cs"/>
          <w:rtl/>
        </w:rPr>
        <w:t xml:space="preserve">, כאשר מורשע נאשם במספר עבירות, יש תחילה לקבוע האם העבירות השונות מהוות </w:t>
      </w:r>
      <w:r w:rsidRPr="001118E3">
        <w:rPr>
          <w:rFonts w:hint="cs"/>
          <w:u w:val="single"/>
          <w:rtl/>
        </w:rPr>
        <w:t>אירוע אחד</w:t>
      </w:r>
      <w:r>
        <w:rPr>
          <w:rFonts w:hint="cs"/>
          <w:rtl/>
        </w:rPr>
        <w:t xml:space="preserve"> או </w:t>
      </w:r>
      <w:r w:rsidRPr="001118E3">
        <w:rPr>
          <w:rFonts w:hint="cs"/>
          <w:u w:val="single"/>
          <w:rtl/>
        </w:rPr>
        <w:t>מספר אירועים</w:t>
      </w:r>
      <w:r>
        <w:rPr>
          <w:rFonts w:hint="cs"/>
          <w:rtl/>
        </w:rPr>
        <w:t>, וככל שמדובר באירועים אחדים יש לקבוע מתחם ענישה הולם לכל אירוע בנפרד. לעניין אופן סיווג האירועים, נפסק ב</w:t>
      </w:r>
      <w:hyperlink r:id="rId32" w:history="1">
        <w:r w:rsidR="000C73AC" w:rsidRPr="000C73AC">
          <w:rPr>
            <w:color w:val="0000FF"/>
            <w:u w:val="single"/>
            <w:rtl/>
          </w:rPr>
          <w:t>ע"פ 4910/13</w:t>
        </w:r>
      </w:hyperlink>
      <w:r>
        <w:rPr>
          <w:rFonts w:hint="cs"/>
          <w:rtl/>
        </w:rPr>
        <w:t xml:space="preserve"> </w:t>
      </w:r>
      <w:r>
        <w:rPr>
          <w:rFonts w:hint="cs"/>
          <w:b/>
          <w:bCs/>
          <w:rtl/>
        </w:rPr>
        <w:t xml:space="preserve">ג'אבר נ' מדינת ישראל </w:t>
      </w:r>
      <w:r>
        <w:rPr>
          <w:rFonts w:hint="cs"/>
          <w:rtl/>
        </w:rPr>
        <w:t>(29.10.2014) כי:</w:t>
      </w:r>
    </w:p>
    <w:p w14:paraId="0C20A1E6" w14:textId="77777777" w:rsidR="0089227E" w:rsidRDefault="0089227E" w:rsidP="0089227E">
      <w:pPr>
        <w:spacing w:line="360" w:lineRule="auto"/>
        <w:ind w:left="1440" w:right="709"/>
        <w:jc w:val="both"/>
        <w:rPr>
          <w:rtl/>
        </w:rPr>
      </w:pPr>
      <w:r>
        <w:rPr>
          <w:rFonts w:hint="cs"/>
          <w:rtl/>
        </w:rPr>
        <w:t>"</w:t>
      </w:r>
      <w:r w:rsidRPr="00851237">
        <w:rPr>
          <w:rFonts w:hint="cs"/>
          <w:rtl/>
        </w:rPr>
        <w:t xml:space="preserve">נקודת המוצא לפרשנותו של המונח "אירוע" צריכה להיגזר מהבנת התכלית העומדת ביסוד דרישתו של תיקון 113 כי בית המשפט יקדים לגזירת הדין את תחימת גבולותיו של ה"אירוע". ביסוד הדברים עומדת ההכרה בערך הנודע לכך שבית המשפט יקבע מתחם ענישה אחד לפעולות שיש ביניהן קשר ענייני הדוק, תוך התייחסות לכך שהתבצעו בדרך זו. בעיקרו של דבר, התשובה לשאלה מהם גדרי ה"אירוע" תיגזר מניסיון החיים, כך שעבירות שיש ביניהן קשר הדוק ייחשבו לאירוע אחד. המובן שיינתן למונח "קשר הדוק" יתפתח ממקרה למקרה ואין צורך לקבוע אותו באופן קשיח כבר כעת. עם זאת, ניתן לומר כי ברגיל קשר כזה בין עבירות יימצא כאשר תהיה ביניהן סמיכות זמנים או כאשר הן תהיינה חלק מאותה תוכנית עבריינית אף כאשר הן בוצעו לאורך תקופת זמן שאינה קצרה (אך מבלי שפרמטרים אלה ימצו את מבחני העזר האפשריים לבחינת עוצמתו של הקשר בין העבירות). </w:t>
      </w:r>
      <w:r w:rsidRPr="00851237">
        <w:rPr>
          <w:rFonts w:hint="cs"/>
          <w:b/>
          <w:bCs/>
          <w:rtl/>
        </w:rPr>
        <w:t>כך, לדוגמה, ניתן להתייחס למקרה שבו אדם פורץ לבית, גונב ממנו פריטים שונים ונמלט מן המקום כשהוא נוסע באופנוע במהירות מופרזת. המשטרה דולקת בעקבותיו, ומתנהל מרדף שבסופו הוא נתפס לאחר שגם ניסה לתקוף שוטר. ברי כי בדוגמה זו עבר המבצע עבירות רבות ושונות, וכי אף ניתן לפצלן למספר "מעשים". עם זאת, כולן בוצעו בסמיכות זמנים רבה ויש ביניהן קשר הדוק, כך שיש לראות בהן חלק מ"אירוע" אחד</w:t>
      </w:r>
      <w:r>
        <w:rPr>
          <w:rFonts w:hint="cs"/>
          <w:rtl/>
        </w:rPr>
        <w:t xml:space="preserve">" (ההדגשה אינה במקור </w:t>
      </w:r>
      <w:r>
        <w:rPr>
          <w:rtl/>
        </w:rPr>
        <w:t>–</w:t>
      </w:r>
      <w:r>
        <w:rPr>
          <w:rFonts w:hint="cs"/>
          <w:rtl/>
        </w:rPr>
        <w:t xml:space="preserve"> א.ט). </w:t>
      </w:r>
      <w:r w:rsidRPr="00851237">
        <w:rPr>
          <w:rFonts w:hint="cs"/>
          <w:rtl/>
        </w:rPr>
        <w:t xml:space="preserve"> </w:t>
      </w:r>
    </w:p>
    <w:p w14:paraId="5AEFA1CF" w14:textId="77777777" w:rsidR="0089227E" w:rsidRPr="00851237" w:rsidRDefault="0089227E" w:rsidP="0089227E">
      <w:pPr>
        <w:spacing w:line="360" w:lineRule="auto"/>
        <w:ind w:left="1440" w:right="709"/>
        <w:rPr>
          <w:rtl/>
        </w:rPr>
      </w:pPr>
    </w:p>
    <w:p w14:paraId="361F7750" w14:textId="77777777" w:rsidR="0089227E" w:rsidRPr="00C57201" w:rsidRDefault="0089227E" w:rsidP="0089227E">
      <w:pPr>
        <w:pStyle w:val="NoSpacing"/>
        <w:spacing w:line="360" w:lineRule="auto"/>
        <w:ind w:left="720"/>
        <w:rPr>
          <w:rFonts w:cs="David"/>
          <w:sz w:val="24"/>
          <w:szCs w:val="24"/>
        </w:rPr>
      </w:pPr>
      <w:r>
        <w:rPr>
          <w:rFonts w:cs="David" w:hint="cs"/>
          <w:sz w:val="24"/>
          <w:szCs w:val="24"/>
          <w:rtl/>
        </w:rPr>
        <w:t>יפים לענייננו אף דברי בית המשפט ב</w:t>
      </w:r>
      <w:hyperlink r:id="rId33" w:history="1">
        <w:r w:rsidR="000C73AC" w:rsidRPr="000C73AC">
          <w:rPr>
            <w:rFonts w:cs="David" w:hint="cs"/>
            <w:color w:val="0000FF"/>
            <w:sz w:val="24"/>
            <w:szCs w:val="24"/>
            <w:u w:val="single"/>
            <w:rtl/>
          </w:rPr>
          <w:t>ע</w:t>
        </w:r>
        <w:r w:rsidR="000C73AC" w:rsidRPr="000C73AC">
          <w:rPr>
            <w:rFonts w:cs="David"/>
            <w:color w:val="0000FF"/>
            <w:sz w:val="24"/>
            <w:szCs w:val="24"/>
            <w:u w:val="single"/>
            <w:rtl/>
          </w:rPr>
          <w:t>"</w:t>
        </w:r>
        <w:r w:rsidR="000C73AC" w:rsidRPr="000C73AC">
          <w:rPr>
            <w:rFonts w:cs="David" w:hint="cs"/>
            <w:color w:val="0000FF"/>
            <w:sz w:val="24"/>
            <w:szCs w:val="24"/>
            <w:u w:val="single"/>
            <w:rtl/>
          </w:rPr>
          <w:t>פ</w:t>
        </w:r>
        <w:r w:rsidR="000C73AC" w:rsidRPr="000C73AC">
          <w:rPr>
            <w:rFonts w:cs="David"/>
            <w:color w:val="0000FF"/>
            <w:sz w:val="24"/>
            <w:szCs w:val="24"/>
            <w:u w:val="single"/>
            <w:rtl/>
          </w:rPr>
          <w:t xml:space="preserve"> 1261/15</w:t>
        </w:r>
      </w:hyperlink>
      <w:r w:rsidRPr="00C57201">
        <w:rPr>
          <w:rFonts w:cs="David" w:hint="cs"/>
          <w:sz w:val="24"/>
          <w:szCs w:val="24"/>
          <w:rtl/>
        </w:rPr>
        <w:t xml:space="preserve"> ‏</w:t>
      </w:r>
      <w:r w:rsidRPr="00C57201">
        <w:rPr>
          <w:rFonts w:cs="David" w:hint="cs"/>
          <w:b/>
          <w:bCs/>
          <w:sz w:val="24"/>
          <w:szCs w:val="24"/>
          <w:rtl/>
        </w:rPr>
        <w:t>מדינת ישראל נ' יוסף דלאל</w:t>
      </w:r>
      <w:r w:rsidRPr="00C57201">
        <w:rPr>
          <w:rFonts w:cs="David" w:hint="cs"/>
          <w:sz w:val="24"/>
          <w:szCs w:val="24"/>
          <w:rtl/>
        </w:rPr>
        <w:t xml:space="preserve"> (3.9.2015)</w:t>
      </w:r>
      <w:r>
        <w:rPr>
          <w:rFonts w:cs="David" w:hint="cs"/>
          <w:sz w:val="24"/>
          <w:szCs w:val="24"/>
          <w:rtl/>
        </w:rPr>
        <w:t>, שם נקבע כי:</w:t>
      </w:r>
    </w:p>
    <w:p w14:paraId="70310E3A" w14:textId="77777777" w:rsidR="0089227E" w:rsidRPr="00DF1CC1" w:rsidRDefault="0089227E" w:rsidP="0089227E">
      <w:pPr>
        <w:pStyle w:val="NoSpacing"/>
        <w:spacing w:line="360" w:lineRule="auto"/>
        <w:ind w:left="720"/>
        <w:jc w:val="both"/>
        <w:rPr>
          <w:rFonts w:cs="David"/>
          <w:sz w:val="24"/>
          <w:szCs w:val="24"/>
          <w:rtl/>
        </w:rPr>
      </w:pPr>
    </w:p>
    <w:p w14:paraId="24FBC2EE" w14:textId="77777777" w:rsidR="0089227E" w:rsidRDefault="0089227E" w:rsidP="0089227E">
      <w:pPr>
        <w:spacing w:line="360" w:lineRule="auto"/>
        <w:ind w:left="1440" w:right="709"/>
        <w:jc w:val="both"/>
        <w:rPr>
          <w:rtl/>
        </w:rPr>
      </w:pPr>
      <w:r>
        <w:rPr>
          <w:rFonts w:hint="cs"/>
          <w:rtl/>
        </w:rPr>
        <w:t>"</w:t>
      </w:r>
      <w:r w:rsidRPr="00C57201">
        <w:rPr>
          <w:rFonts w:hint="cs"/>
          <w:rtl/>
        </w:rPr>
        <w:t xml:space="preserve">כדי לעמוד על עוצמת הקשר שבין העבירות שׂוּמה על בית המשפט לעמוד על נסיבותיו העובדתיות של העניין שלפניו, ולבחון אם יש בהן כדי להצביע על קשר הדוק בין העבירות. נסיבות עובדתיות אלה מהוות "מבחני עזר" לקביעת עוצמת הקשר. במסגרת זו ניתן לבחון, למשל, האם ביצוען של העבירות מאופיין בתכנון; האם ניתן להצביע על שיטתיות בביצוע העבירות; </w:t>
      </w:r>
      <w:r w:rsidRPr="00C57201">
        <w:rPr>
          <w:rFonts w:hint="cs"/>
          <w:b/>
          <w:bCs/>
          <w:rtl/>
        </w:rPr>
        <w:t>האם העבירות התרחשו בסמיכות של זמן או מקום; האם ביצועה של עבירה אחת נועד לאפשר את ביצועה של העבירה האחרת או את ההימלטות לאחר ביצועה, וכיוצא באלו נסיבות עובדתיות. קיומה של נסיבה אחת או יותר מנסיבות אלו (ואין זו רשימה סגורה) עשוי להעיד על קשר הדוק בין העבירות השונות, המלמד כי באירוע אחד עסקינן</w:t>
      </w:r>
      <w:r w:rsidRPr="00C57201">
        <w:rPr>
          <w:rFonts w:hint="cs"/>
          <w:rtl/>
        </w:rPr>
        <w:t>. בבחינת הנסיבות העובדתיות, מן ההכרח לבית המשפט להעמיד לנגד עיניו את השאלה האם השקפה על העבירות כעל כמה אירועים תהא מלאכותית, באופן שיגרע ממהות העניין בכללותו, או שלא ישקף את סיפור המעשה כהווייתו</w:t>
      </w:r>
      <w:r>
        <w:rPr>
          <w:rFonts w:hint="cs"/>
          <w:rtl/>
        </w:rPr>
        <w:t xml:space="preserve">" (ההדגשה שלי </w:t>
      </w:r>
      <w:r>
        <w:rPr>
          <w:rtl/>
        </w:rPr>
        <w:t>–</w:t>
      </w:r>
      <w:r>
        <w:rPr>
          <w:rFonts w:hint="cs"/>
          <w:rtl/>
        </w:rPr>
        <w:t xml:space="preserve"> א.ט)</w:t>
      </w:r>
      <w:r w:rsidRPr="00C57201">
        <w:rPr>
          <w:rFonts w:hint="cs"/>
          <w:rtl/>
        </w:rPr>
        <w:t xml:space="preserve">.  </w:t>
      </w:r>
    </w:p>
    <w:p w14:paraId="6971E1AD" w14:textId="77777777" w:rsidR="0089227E" w:rsidRPr="00981666" w:rsidRDefault="0089227E" w:rsidP="0089227E">
      <w:pPr>
        <w:pStyle w:val="NoSpacing"/>
        <w:spacing w:line="360" w:lineRule="auto"/>
        <w:ind w:left="720"/>
        <w:jc w:val="both"/>
        <w:rPr>
          <w:rFonts w:cs="David"/>
          <w:sz w:val="6"/>
          <w:szCs w:val="6"/>
          <w:rtl/>
        </w:rPr>
      </w:pPr>
    </w:p>
    <w:p w14:paraId="50EB930C" w14:textId="77777777" w:rsidR="0089227E" w:rsidRPr="001118E3" w:rsidRDefault="0089227E" w:rsidP="0089227E">
      <w:pPr>
        <w:spacing w:line="360" w:lineRule="auto"/>
        <w:ind w:left="1440" w:right="709"/>
        <w:rPr>
          <w:rtl/>
        </w:rPr>
      </w:pPr>
    </w:p>
    <w:p w14:paraId="78750E18" w14:textId="77777777" w:rsidR="0089227E" w:rsidRDefault="0089227E" w:rsidP="0089227E">
      <w:pPr>
        <w:spacing w:after="240" w:line="360" w:lineRule="auto"/>
        <w:ind w:left="720" w:hanging="720"/>
        <w:jc w:val="both"/>
        <w:rPr>
          <w:rtl/>
        </w:rPr>
      </w:pPr>
      <w:r>
        <w:rPr>
          <w:rFonts w:hint="cs"/>
          <w:rtl/>
        </w:rPr>
        <w:t>26.</w:t>
      </w:r>
      <w:r>
        <w:rPr>
          <w:rFonts w:hint="cs"/>
          <w:rtl/>
        </w:rPr>
        <w:tab/>
        <w:t xml:space="preserve">בענייננו, </w:t>
      </w:r>
      <w:r w:rsidRPr="00851237">
        <w:rPr>
          <w:rFonts w:hint="cs"/>
          <w:rtl/>
        </w:rPr>
        <w:t>אין מחלוקת בין הצדדים, כי המעשים ב</w:t>
      </w:r>
      <w:r>
        <w:rPr>
          <w:rFonts w:hint="cs"/>
          <w:rtl/>
        </w:rPr>
        <w:t>גינ</w:t>
      </w:r>
      <w:r w:rsidRPr="00851237">
        <w:rPr>
          <w:rFonts w:hint="cs"/>
          <w:rtl/>
        </w:rPr>
        <w:t>ם הורשע הנאשם בתיק ה</w:t>
      </w:r>
      <w:r>
        <w:rPr>
          <w:rFonts w:hint="cs"/>
          <w:rtl/>
        </w:rPr>
        <w:t>נלווה</w:t>
      </w:r>
      <w:r w:rsidRPr="00851237">
        <w:rPr>
          <w:rFonts w:hint="cs"/>
          <w:rtl/>
        </w:rPr>
        <w:t xml:space="preserve"> </w:t>
      </w:r>
      <w:r>
        <w:rPr>
          <w:rFonts w:hint="cs"/>
          <w:rtl/>
        </w:rPr>
        <w:t xml:space="preserve">(עבירות הסמים) </w:t>
      </w:r>
      <w:r w:rsidRPr="00851237">
        <w:rPr>
          <w:rFonts w:hint="cs"/>
          <w:rtl/>
        </w:rPr>
        <w:t xml:space="preserve">מבססים אירוע </w:t>
      </w:r>
      <w:r>
        <w:rPr>
          <w:rFonts w:hint="cs"/>
          <w:rtl/>
        </w:rPr>
        <w:t>נפרד ו</w:t>
      </w:r>
      <w:r w:rsidRPr="00851237">
        <w:rPr>
          <w:rFonts w:hint="cs"/>
          <w:rtl/>
        </w:rPr>
        <w:t>שונה מאלה המתוארים בתיק העיקרי</w:t>
      </w:r>
      <w:r>
        <w:rPr>
          <w:rFonts w:hint="cs"/>
          <w:rtl/>
        </w:rPr>
        <w:t xml:space="preserve"> (עבירות התקיפה והגניבה והנהיגה הפוחזת לאחריהן), וכי יש לקבוע מתחמי ענישה נפרדים לכל אחד מהם. אף אני סבור כי מדובר באירועים נפרדים שאינם קשורים זה לזה, ובהעדר מחלוקת לא אדרש לכך בהרחבה.</w:t>
      </w:r>
    </w:p>
    <w:p w14:paraId="3DAAADA6" w14:textId="77777777" w:rsidR="0089227E" w:rsidRDefault="0089227E" w:rsidP="0089227E">
      <w:pPr>
        <w:spacing w:after="240" w:line="360" w:lineRule="auto"/>
        <w:ind w:left="720" w:hanging="720"/>
        <w:jc w:val="both"/>
        <w:rPr>
          <w:rtl/>
        </w:rPr>
      </w:pPr>
      <w:r>
        <w:rPr>
          <w:rFonts w:hint="cs"/>
          <w:rtl/>
        </w:rPr>
        <w:t>27.</w:t>
      </w:r>
      <w:r>
        <w:rPr>
          <w:rFonts w:hint="cs"/>
          <w:rtl/>
        </w:rPr>
        <w:tab/>
        <w:t xml:space="preserve">כעת אפנה לשאלה האם העובדות המתוארות בתיק העיקרי מקימות אירוע עברייני אחד, או שמא שני אירועים שונים? לשיטת המאשימה, מעשי התקיפה והגניבה שביצע הנאשם מקימים אירוע נפרד מהנהיגה הפוחזת באופנוע. </w:t>
      </w:r>
    </w:p>
    <w:p w14:paraId="57D487C1" w14:textId="77777777" w:rsidR="0089227E" w:rsidRDefault="0089227E" w:rsidP="0089227E">
      <w:pPr>
        <w:pStyle w:val="NoSpacing"/>
        <w:spacing w:line="360" w:lineRule="auto"/>
        <w:ind w:left="720" w:hanging="720"/>
        <w:jc w:val="both"/>
        <w:rPr>
          <w:rFonts w:cs="David"/>
          <w:sz w:val="24"/>
          <w:szCs w:val="24"/>
          <w:rtl/>
        </w:rPr>
      </w:pPr>
      <w:r>
        <w:rPr>
          <w:rFonts w:cs="David" w:hint="cs"/>
          <w:sz w:val="24"/>
          <w:szCs w:val="24"/>
          <w:rtl/>
        </w:rPr>
        <w:t>28.</w:t>
      </w:r>
      <w:r>
        <w:rPr>
          <w:rFonts w:cs="David" w:hint="cs"/>
          <w:sz w:val="24"/>
          <w:szCs w:val="24"/>
          <w:rtl/>
        </w:rPr>
        <w:tab/>
        <w:t xml:space="preserve">סבורני כי </w:t>
      </w:r>
      <w:r w:rsidRPr="005138A4">
        <w:rPr>
          <w:rFonts w:cs="David" w:hint="cs"/>
          <w:sz w:val="24"/>
          <w:szCs w:val="24"/>
          <w:rtl/>
        </w:rPr>
        <w:t xml:space="preserve">בהתאם לאמות המידה שהותוו בפסיקה </w:t>
      </w:r>
      <w:r>
        <w:rPr>
          <w:rFonts w:cs="David" w:hint="cs"/>
          <w:sz w:val="24"/>
          <w:szCs w:val="24"/>
          <w:rtl/>
        </w:rPr>
        <w:t xml:space="preserve">כאמור </w:t>
      </w:r>
      <w:r w:rsidRPr="005138A4">
        <w:rPr>
          <w:rFonts w:cs="David" w:hint="cs"/>
          <w:sz w:val="24"/>
          <w:szCs w:val="24"/>
          <w:rtl/>
        </w:rPr>
        <w:t xml:space="preserve">לעיל, </w:t>
      </w:r>
      <w:r>
        <w:rPr>
          <w:rFonts w:cs="David" w:hint="cs"/>
          <w:sz w:val="24"/>
          <w:szCs w:val="24"/>
          <w:rtl/>
        </w:rPr>
        <w:t>הרי שהעבירות בהן הורשע הנאשם</w:t>
      </w:r>
      <w:r w:rsidRPr="005138A4">
        <w:rPr>
          <w:rFonts w:cs="David" w:hint="cs"/>
          <w:sz w:val="24"/>
          <w:szCs w:val="24"/>
          <w:rtl/>
        </w:rPr>
        <w:t xml:space="preserve"> </w:t>
      </w:r>
      <w:r>
        <w:rPr>
          <w:rFonts w:cs="David" w:hint="cs"/>
          <w:sz w:val="24"/>
          <w:szCs w:val="24"/>
          <w:rtl/>
        </w:rPr>
        <w:t xml:space="preserve">בתיק העיקרי מקימות </w:t>
      </w:r>
      <w:r w:rsidRPr="005138A4">
        <w:rPr>
          <w:rFonts w:cs="David" w:hint="cs"/>
          <w:sz w:val="24"/>
          <w:szCs w:val="24"/>
          <w:rtl/>
        </w:rPr>
        <w:t xml:space="preserve">אירוע עברייני </w:t>
      </w:r>
      <w:r w:rsidRPr="00C57201">
        <w:rPr>
          <w:rFonts w:cs="David" w:hint="cs"/>
          <w:sz w:val="24"/>
          <w:szCs w:val="24"/>
          <w:u w:val="single"/>
          <w:rtl/>
        </w:rPr>
        <w:t>אחד</w:t>
      </w:r>
      <w:r>
        <w:rPr>
          <w:rFonts w:cs="David" w:hint="cs"/>
          <w:sz w:val="24"/>
          <w:szCs w:val="24"/>
          <w:rtl/>
        </w:rPr>
        <w:t xml:space="preserve"> , שכן קיימת סמיכות זמנים וסמיכות גאוגרפית בין המעשים, והנהיגה הרשלנית באופנוע נועדה לאפשר את הימלטות הנאשם ושותפו לאחר ביצוע עבירות התקיפה והגניבה, באופן היוצר קשר הדוק בין המעשים.</w:t>
      </w:r>
    </w:p>
    <w:p w14:paraId="0F68D7C6" w14:textId="77777777" w:rsidR="0089227E" w:rsidRDefault="0089227E" w:rsidP="0089227E">
      <w:pPr>
        <w:pStyle w:val="NoSpacing"/>
        <w:spacing w:line="360" w:lineRule="auto"/>
        <w:ind w:left="720" w:hanging="720"/>
        <w:jc w:val="both"/>
        <w:rPr>
          <w:rFonts w:cs="David"/>
          <w:sz w:val="24"/>
          <w:szCs w:val="24"/>
          <w:rtl/>
        </w:rPr>
      </w:pPr>
    </w:p>
    <w:p w14:paraId="442A868B" w14:textId="77777777" w:rsidR="0089227E" w:rsidRDefault="0089227E" w:rsidP="0089227E">
      <w:pPr>
        <w:pStyle w:val="NoSpacing"/>
        <w:spacing w:line="360" w:lineRule="auto"/>
        <w:ind w:left="720" w:hanging="720"/>
        <w:jc w:val="both"/>
        <w:rPr>
          <w:rFonts w:cs="David"/>
          <w:sz w:val="24"/>
          <w:szCs w:val="24"/>
          <w:rtl/>
        </w:rPr>
      </w:pPr>
      <w:r>
        <w:rPr>
          <w:rFonts w:cs="David" w:hint="cs"/>
          <w:sz w:val="24"/>
          <w:szCs w:val="24"/>
          <w:rtl/>
        </w:rPr>
        <w:t>29.</w:t>
      </w:r>
      <w:r>
        <w:rPr>
          <w:rFonts w:cs="David" w:hint="cs"/>
          <w:sz w:val="24"/>
          <w:szCs w:val="24"/>
          <w:rtl/>
        </w:rPr>
        <w:tab/>
        <w:t>לפיכך, אני קובע כי כל אחד מכתבי האישום בהם עסקינן מבסס אירוע עברייני אחד, ובהתאם ייקבע מתחם עונש הולם לכל אחד מהם בנפרד.</w:t>
      </w:r>
    </w:p>
    <w:p w14:paraId="2E786481" w14:textId="77777777" w:rsidR="0089227E" w:rsidRDefault="0089227E" w:rsidP="0089227E">
      <w:pPr>
        <w:pStyle w:val="NoSpacing"/>
        <w:spacing w:line="360" w:lineRule="auto"/>
        <w:ind w:left="720"/>
        <w:jc w:val="both"/>
        <w:rPr>
          <w:rFonts w:cs="David"/>
          <w:sz w:val="24"/>
          <w:szCs w:val="24"/>
          <w:rtl/>
        </w:rPr>
      </w:pPr>
    </w:p>
    <w:p w14:paraId="5BB472D1" w14:textId="77777777" w:rsidR="0089227E" w:rsidRPr="00DA79D4" w:rsidRDefault="0089227E" w:rsidP="0089227E">
      <w:pPr>
        <w:spacing w:after="240" w:line="360" w:lineRule="auto"/>
        <w:ind w:left="720" w:hanging="720"/>
        <w:rPr>
          <w:u w:val="single"/>
        </w:rPr>
      </w:pPr>
      <w:r>
        <w:rPr>
          <w:rFonts w:hint="cs"/>
          <w:u w:val="single"/>
          <w:rtl/>
        </w:rPr>
        <w:t>קביעת מתחמי ענישה הולמים</w:t>
      </w:r>
    </w:p>
    <w:p w14:paraId="34A5A07B" w14:textId="77777777" w:rsidR="0089227E" w:rsidRDefault="0089227E" w:rsidP="0089227E">
      <w:pPr>
        <w:spacing w:after="240" w:line="360" w:lineRule="auto"/>
        <w:ind w:left="720" w:hanging="720"/>
        <w:jc w:val="both"/>
        <w:rPr>
          <w:rtl/>
        </w:rPr>
      </w:pPr>
      <w:r>
        <w:rPr>
          <w:rFonts w:hint="cs"/>
          <w:rtl/>
        </w:rPr>
        <w:t>30</w:t>
      </w:r>
      <w:r w:rsidRPr="00DA79D4">
        <w:rPr>
          <w:rFonts w:hint="cs"/>
          <w:rtl/>
        </w:rPr>
        <w:t>.</w:t>
      </w:r>
      <w:r w:rsidRPr="00DA79D4">
        <w:rPr>
          <w:rFonts w:hint="cs"/>
          <w:rtl/>
        </w:rPr>
        <w:tab/>
      </w:r>
      <w:r>
        <w:rPr>
          <w:rFonts w:hint="cs"/>
          <w:rtl/>
        </w:rPr>
        <w:t>בקביעת מתחם העונש ההולם, על בית המשפט להתחשב בערכים החברתיים שנפגעו כתוצאה מביצוע העבירה, במידת הפגיעה בהם, במדיניות הענישה הנהוגה ובנסיבות הקשורות בביצוע העבירה.</w:t>
      </w:r>
    </w:p>
    <w:p w14:paraId="510A5F61" w14:textId="77777777" w:rsidR="0089227E" w:rsidRDefault="0089227E" w:rsidP="0089227E">
      <w:pPr>
        <w:spacing w:after="240" w:line="360" w:lineRule="auto"/>
        <w:ind w:left="720"/>
        <w:jc w:val="both"/>
        <w:rPr>
          <w:rtl/>
        </w:rPr>
      </w:pPr>
      <w:r w:rsidRPr="008E7F7E">
        <w:rPr>
          <w:rFonts w:hint="cs"/>
          <w:rtl/>
        </w:rPr>
        <w:t>קביעת</w:t>
      </w:r>
      <w:r>
        <w:rPr>
          <w:rFonts w:hint="cs"/>
          <w:rtl/>
        </w:rPr>
        <w:t xml:space="preserve">ו של </w:t>
      </w:r>
      <w:r w:rsidRPr="008E7F7E">
        <w:rPr>
          <w:rFonts w:hint="cs"/>
          <w:rtl/>
        </w:rPr>
        <w:t>מתחם העונש ההולם</w:t>
      </w:r>
      <w:r>
        <w:rPr>
          <w:rFonts w:hint="cs"/>
          <w:rtl/>
        </w:rPr>
        <w:t xml:space="preserve"> - המגלם הכרעה ערכית - מתבצעת</w:t>
      </w:r>
      <w:r w:rsidRPr="008E7F7E">
        <w:rPr>
          <w:rFonts w:hint="cs"/>
          <w:rtl/>
        </w:rPr>
        <w:t xml:space="preserve"> </w:t>
      </w:r>
      <w:r>
        <w:rPr>
          <w:rFonts w:hint="cs"/>
          <w:rtl/>
        </w:rPr>
        <w:t xml:space="preserve">בהתאם לעקרון ההלימה, קרי, יחס הולם בין חומרת מעשה העבירה ומידת אשמו של הנאשם, לבין העונש המוטל עליו.  </w:t>
      </w:r>
    </w:p>
    <w:p w14:paraId="15F9FE22" w14:textId="77777777" w:rsidR="0089227E" w:rsidRPr="00BD67F0" w:rsidRDefault="0089227E" w:rsidP="0089227E">
      <w:pPr>
        <w:spacing w:after="240" w:line="360" w:lineRule="auto"/>
        <w:ind w:left="720" w:hanging="720"/>
        <w:rPr>
          <w:u w:val="single"/>
          <w:rtl/>
        </w:rPr>
      </w:pPr>
      <w:r w:rsidRPr="00BD67F0">
        <w:rPr>
          <w:rFonts w:hint="cs"/>
          <w:u w:val="single"/>
          <w:rtl/>
        </w:rPr>
        <w:t xml:space="preserve">א. התיק העיקרי </w:t>
      </w:r>
    </w:p>
    <w:p w14:paraId="3297156D" w14:textId="77777777" w:rsidR="0089227E" w:rsidRDefault="0089227E" w:rsidP="0089227E">
      <w:pPr>
        <w:spacing w:after="240" w:line="360" w:lineRule="auto"/>
        <w:ind w:left="720" w:hanging="720"/>
        <w:jc w:val="both"/>
        <w:rPr>
          <w:rtl/>
        </w:rPr>
      </w:pPr>
      <w:r>
        <w:rPr>
          <w:rFonts w:hint="cs"/>
          <w:rtl/>
        </w:rPr>
        <w:t>31.</w:t>
      </w:r>
      <w:r>
        <w:rPr>
          <w:rFonts w:hint="cs"/>
          <w:rtl/>
        </w:rPr>
        <w:tab/>
        <w:t xml:space="preserve">על אף שקבעתי כי העבירות בהן הורשע הנאשם בתיק העיקרי מקימות אירוע עברייני אחד, הרי שמתיאור העובדות עולה בבירור כי אירוע זה מורכב ממספר </w:t>
      </w:r>
      <w:r w:rsidRPr="00360A72">
        <w:rPr>
          <w:rFonts w:hint="cs"/>
          <w:b/>
          <w:bCs/>
          <w:rtl/>
        </w:rPr>
        <w:t>מעשים נפרדים</w:t>
      </w:r>
      <w:r>
        <w:rPr>
          <w:rFonts w:hint="cs"/>
          <w:rtl/>
        </w:rPr>
        <w:t xml:space="preserve">. </w:t>
      </w:r>
    </w:p>
    <w:p w14:paraId="691DBD7A" w14:textId="77777777" w:rsidR="0089227E" w:rsidRDefault="0089227E" w:rsidP="0089227E">
      <w:pPr>
        <w:spacing w:after="240" w:line="360" w:lineRule="auto"/>
        <w:ind w:left="720" w:hanging="720"/>
        <w:jc w:val="both"/>
        <w:rPr>
          <w:rtl/>
        </w:rPr>
      </w:pPr>
    </w:p>
    <w:p w14:paraId="34FAEB14" w14:textId="77777777" w:rsidR="0089227E" w:rsidRPr="00360A72" w:rsidRDefault="0089227E" w:rsidP="0089227E">
      <w:pPr>
        <w:spacing w:after="240" w:line="360" w:lineRule="auto"/>
        <w:ind w:left="720"/>
        <w:jc w:val="both"/>
      </w:pPr>
      <w:r>
        <w:rPr>
          <w:rFonts w:hint="cs"/>
          <w:rtl/>
        </w:rPr>
        <w:t>יש ליתן לכך ביטוי גם בשלב קביעת מתחם העונש ההולם, כפי שנקבע ב</w:t>
      </w:r>
      <w:hyperlink r:id="rId34" w:history="1">
        <w:r w:rsidR="000C73AC" w:rsidRPr="000C73AC">
          <w:rPr>
            <w:color w:val="0000FF"/>
            <w:u w:val="single"/>
            <w:rtl/>
          </w:rPr>
          <w:t>ע"פ 4289/14</w:t>
        </w:r>
      </w:hyperlink>
      <w:r w:rsidRPr="00360A72">
        <w:rPr>
          <w:rFonts w:hint="cs"/>
          <w:rtl/>
        </w:rPr>
        <w:t xml:space="preserve"> </w:t>
      </w:r>
      <w:r w:rsidRPr="00360A72">
        <w:rPr>
          <w:rFonts w:hint="cs"/>
          <w:b/>
          <w:bCs/>
          <w:rtl/>
        </w:rPr>
        <w:t xml:space="preserve">אורן חנונה נ' מדינת ישראל </w:t>
      </w:r>
      <w:r w:rsidRPr="00360A72">
        <w:rPr>
          <w:rFonts w:hint="cs"/>
          <w:rtl/>
        </w:rPr>
        <w:t>(21.1.2015) :</w:t>
      </w:r>
    </w:p>
    <w:p w14:paraId="19193E7A" w14:textId="77777777" w:rsidR="0089227E" w:rsidRPr="00D20CF5" w:rsidRDefault="0089227E" w:rsidP="0089227E">
      <w:pPr>
        <w:spacing w:line="360" w:lineRule="auto"/>
        <w:ind w:left="1440" w:right="709"/>
        <w:jc w:val="both"/>
        <w:rPr>
          <w:rtl/>
        </w:rPr>
      </w:pPr>
      <w:r>
        <w:rPr>
          <w:rFonts w:hint="cs"/>
          <w:rtl/>
        </w:rPr>
        <w:t>"</w:t>
      </w:r>
      <w:r w:rsidRPr="00D20CF5">
        <w:rPr>
          <w:rFonts w:hint="cs"/>
          <w:rtl/>
        </w:rPr>
        <w:t xml:space="preserve">אין בסיווגה של ההתרחשות העבריינית כאירוע אחד, כדי לכבול את בית המשפט לעונש המרבי הקבוע בצידה של העבירה החמורה ביותר שנעברה באותו אירוע. זאת, מכיוון שלאחר השלב הראשון, שבקביעת מספר האירועים המרכיבים את ההתרחשות העבריינית, על בית המשפט לעבור אל השלב השני ולבחון באופן מהותי-מוסרי האם אותו אירוע כולל מעשה אחד – או אז יוגבל בית המשפט לעונש הקבוע בצד העבירה החמורה בהתאם להוראת </w:t>
      </w:r>
      <w:r w:rsidR="00CA79EE" w:rsidRPr="00CA79EE">
        <w:rPr>
          <w:rtl/>
        </w:rPr>
        <w:t>סעיף 186</w:t>
      </w:r>
      <w:r w:rsidRPr="00D20CF5">
        <w:rPr>
          <w:rFonts w:hint="cs"/>
          <w:rtl/>
        </w:rPr>
        <w:t xml:space="preserve"> ל</w:t>
      </w:r>
      <w:hyperlink r:id="rId35" w:history="1">
        <w:r w:rsidR="000C73AC" w:rsidRPr="000C73AC">
          <w:rPr>
            <w:color w:val="0000FF"/>
            <w:u w:val="single"/>
            <w:rtl/>
          </w:rPr>
          <w:t>חוק סדר הדין הפלילי</w:t>
        </w:r>
      </w:hyperlink>
      <w:r w:rsidRPr="00D20CF5">
        <w:rPr>
          <w:rFonts w:hint="cs"/>
          <w:rtl/>
        </w:rPr>
        <w:t xml:space="preserve"> [נוסח משולב], התשמ"ב-1982 – או שמא כולל אותו האירוע מספר מעשים, המצדיקים גזירה של מספר עונשים, בגין כל מעשה בנפרד. עמדתי גם על דברים אלו בעניין ג'אבר: "בשלב השני, לאחר שבית המשפט קבע האם התרחיש העובדתי שלפניו מורכב מ"אירוע אחד" או מ"כמה אירועים", עובר בית המשפט לשלב המהותי של מלאכת הענישה, במסגרתו עליו לקבוע את מתחם הענישה ההולם ביחס לכל אירוע ולגזור את העונש הראוי בנסיבות הקונקרטיות של כל אירוע. בשלב זה יש חשיבות גדולה לשאלות שבמהות – מספר הקורבנות, הנזק שהסבה התנהגות העבריין, האינטרסים החברתיים שנפגעו כתוצאה מהתנהגותו. לפיכך בשלב זה ראוי לשוב ולבחון כל אירוע בהתאם למבחן המהותי-מוסרי שפותח והשתרש בפסיקת בית משפט זה, </w:t>
      </w:r>
      <w:r w:rsidRPr="00D20CF5">
        <w:rPr>
          <w:rFonts w:hint="cs"/>
          <w:b/>
          <w:bCs/>
          <w:rtl/>
        </w:rPr>
        <w:t xml:space="preserve">ולקבוע האם יש לפצל כל אירוע למספר מעשים, על כל הנובע מקביעה זו במישור העונשי </w:t>
      </w:r>
      <w:r w:rsidRPr="00D20CF5">
        <w:rPr>
          <w:rFonts w:hint="cs"/>
          <w:rtl/>
        </w:rPr>
        <w:t>(לרבות הוראת סעיף 186 ל</w:t>
      </w:r>
      <w:hyperlink r:id="rId36" w:history="1">
        <w:r w:rsidR="000C73AC" w:rsidRPr="000C73AC">
          <w:rPr>
            <w:color w:val="0000FF"/>
            <w:u w:val="single"/>
            <w:rtl/>
          </w:rPr>
          <w:t>חוק סדר הדין הפלילי</w:t>
        </w:r>
      </w:hyperlink>
      <w:r w:rsidRPr="00D20CF5">
        <w:rPr>
          <w:rFonts w:hint="cs"/>
          <w:rtl/>
        </w:rPr>
        <w:t xml:space="preserve">)" [שם, פסקה 29]". (ההדגשה אינה במקור </w:t>
      </w:r>
      <w:r w:rsidRPr="00D20CF5">
        <w:rPr>
          <w:rtl/>
        </w:rPr>
        <w:t>–</w:t>
      </w:r>
      <w:r w:rsidRPr="00D20CF5">
        <w:rPr>
          <w:rFonts w:hint="cs"/>
          <w:rtl/>
        </w:rPr>
        <w:t xml:space="preserve"> א.ט). </w:t>
      </w:r>
    </w:p>
    <w:p w14:paraId="787E8A7C" w14:textId="77777777" w:rsidR="0089227E" w:rsidRDefault="0089227E" w:rsidP="0089227E">
      <w:pPr>
        <w:spacing w:line="360" w:lineRule="auto"/>
        <w:ind w:left="1440" w:right="709"/>
        <w:rPr>
          <w:rtl/>
        </w:rPr>
      </w:pPr>
    </w:p>
    <w:p w14:paraId="2993B1C8" w14:textId="77777777" w:rsidR="0089227E" w:rsidRDefault="0089227E" w:rsidP="0089227E">
      <w:pPr>
        <w:spacing w:after="240" w:line="360" w:lineRule="auto"/>
        <w:ind w:left="720" w:hanging="720"/>
        <w:jc w:val="both"/>
        <w:rPr>
          <w:rtl/>
        </w:rPr>
      </w:pPr>
      <w:r>
        <w:rPr>
          <w:rFonts w:hint="cs"/>
          <w:rtl/>
        </w:rPr>
        <w:t>32.</w:t>
      </w:r>
      <w:r>
        <w:rPr>
          <w:rFonts w:hint="cs"/>
          <w:rtl/>
        </w:rPr>
        <w:tab/>
        <w:t xml:space="preserve">אשר על כן, יש "לפרק" את האירוע נשוא התיק העיקרי בענייננו לשלושה מעשים שונים: שני מעשי גניבה ומעשה אחד של פזיזות ורשלנות, שכן אין ספק כי מבחינה מהותית מדובר בשלושה מעשים נפרדים. תחילה גנב הנאשם את הטלפון הסלולרי של המתלוננת הראשונה, לא הסתפק ב"שלל" שצבר, וגנב את הטלפון הסלולרי של המתלוננת השנייה, וכדי "להשלים" את מלאכתו העבריינית באותו אירוע, נהג באופנוע בצורה פוחזת ומסוכנת. </w:t>
      </w:r>
    </w:p>
    <w:p w14:paraId="22180D84" w14:textId="77777777" w:rsidR="0089227E" w:rsidRDefault="0089227E" w:rsidP="0089227E">
      <w:pPr>
        <w:spacing w:after="240" w:line="360" w:lineRule="auto"/>
        <w:ind w:left="720" w:hanging="720"/>
        <w:jc w:val="both"/>
        <w:rPr>
          <w:rtl/>
        </w:rPr>
      </w:pPr>
      <w:r>
        <w:rPr>
          <w:rFonts w:hint="cs"/>
          <w:rtl/>
        </w:rPr>
        <w:t xml:space="preserve">33. </w:t>
      </w:r>
      <w:r>
        <w:rPr>
          <w:rFonts w:hint="cs"/>
          <w:rtl/>
        </w:rPr>
        <w:tab/>
        <w:t>אשר למעשי התקיפה והגניבה. במעשים אלה פגע הנאשם ב</w:t>
      </w:r>
      <w:r w:rsidRPr="00641D01">
        <w:rPr>
          <w:rFonts w:hint="cs"/>
          <w:rtl/>
        </w:rPr>
        <w:t>ביטחונ</w:t>
      </w:r>
      <w:r>
        <w:rPr>
          <w:rFonts w:hint="cs"/>
          <w:rtl/>
        </w:rPr>
        <w:t xml:space="preserve">ן ושלמות גופן וקניינן של המתלוננות </w:t>
      </w:r>
      <w:r w:rsidRPr="00641D01">
        <w:rPr>
          <w:rFonts w:hint="cs"/>
          <w:rtl/>
        </w:rPr>
        <w:t>ו</w:t>
      </w:r>
      <w:r>
        <w:rPr>
          <w:rFonts w:hint="cs"/>
          <w:rtl/>
        </w:rPr>
        <w:t>כן בביטחונו</w:t>
      </w:r>
      <w:r w:rsidRPr="00641D01">
        <w:rPr>
          <w:rFonts w:hint="cs"/>
          <w:rtl/>
        </w:rPr>
        <w:t xml:space="preserve"> של הציבור להלך בחופשיות </w:t>
      </w:r>
      <w:r>
        <w:rPr>
          <w:rFonts w:hint="cs"/>
          <w:rtl/>
        </w:rPr>
        <w:t xml:space="preserve">ובבטחה </w:t>
      </w:r>
      <w:r w:rsidRPr="00641D01">
        <w:rPr>
          <w:rFonts w:hint="cs"/>
          <w:rtl/>
        </w:rPr>
        <w:t>ב</w:t>
      </w:r>
      <w:r>
        <w:rPr>
          <w:rFonts w:hint="cs"/>
          <w:rtl/>
        </w:rPr>
        <w:t>חוצות</w:t>
      </w:r>
      <w:r w:rsidRPr="00641D01">
        <w:rPr>
          <w:rFonts w:hint="cs"/>
          <w:rtl/>
        </w:rPr>
        <w:t xml:space="preserve"> </w:t>
      </w:r>
      <w:r>
        <w:rPr>
          <w:rFonts w:hint="cs"/>
          <w:rtl/>
        </w:rPr>
        <w:t xml:space="preserve">העיר. </w:t>
      </w:r>
    </w:p>
    <w:p w14:paraId="0FCB3BDA" w14:textId="77777777" w:rsidR="0089227E" w:rsidRDefault="0089227E" w:rsidP="0089227E">
      <w:pPr>
        <w:spacing w:after="240" w:line="360" w:lineRule="auto"/>
        <w:ind w:left="720" w:hanging="720"/>
        <w:jc w:val="both"/>
        <w:rPr>
          <w:rtl/>
        </w:rPr>
      </w:pPr>
    </w:p>
    <w:p w14:paraId="02C3C4D5" w14:textId="77777777" w:rsidR="0089227E" w:rsidRPr="005311E8" w:rsidRDefault="0089227E" w:rsidP="0089227E">
      <w:pPr>
        <w:spacing w:after="240" w:line="360" w:lineRule="auto"/>
        <w:ind w:left="720"/>
        <w:jc w:val="both"/>
      </w:pPr>
      <w:r>
        <w:rPr>
          <w:rFonts w:hint="cs"/>
          <w:rtl/>
        </w:rPr>
        <w:t>על הייחודיות הטמונה בגניבה של טלפון סלולרי עמד בית המשפט בהרחבה ב</w:t>
      </w:r>
      <w:hyperlink r:id="rId37" w:history="1">
        <w:r w:rsidR="000C73AC" w:rsidRPr="000C73AC">
          <w:rPr>
            <w:color w:val="0000FF"/>
            <w:u w:val="single"/>
            <w:rtl/>
          </w:rPr>
          <w:t>ע"פ 8627/14</w:t>
        </w:r>
      </w:hyperlink>
      <w:r>
        <w:rPr>
          <w:rFonts w:hint="cs"/>
          <w:rtl/>
        </w:rPr>
        <w:t xml:space="preserve"> ‏</w:t>
      </w:r>
      <w:r w:rsidRPr="005311E8">
        <w:rPr>
          <w:rFonts w:hint="cs"/>
          <w:b/>
          <w:bCs/>
          <w:rtl/>
        </w:rPr>
        <w:t xml:space="preserve">נתן דבראש דביר נ' מדינת ישראל </w:t>
      </w:r>
      <w:r>
        <w:rPr>
          <w:rFonts w:hint="cs"/>
          <w:rtl/>
        </w:rPr>
        <w:t xml:space="preserve">(14.7.2015), בקבעו: </w:t>
      </w:r>
    </w:p>
    <w:p w14:paraId="2B62E06B" w14:textId="77777777" w:rsidR="0089227E" w:rsidRPr="005311E8" w:rsidRDefault="0089227E" w:rsidP="0089227E">
      <w:pPr>
        <w:pStyle w:val="Ruller4"/>
        <w:ind w:left="1655" w:right="1134"/>
        <w:rPr>
          <w:rFonts w:cs="David"/>
          <w:spacing w:val="0"/>
          <w:sz w:val="24"/>
          <w:szCs w:val="24"/>
        </w:rPr>
      </w:pPr>
      <w:r>
        <w:rPr>
          <w:rFonts w:cs="David" w:hint="cs"/>
          <w:spacing w:val="0"/>
          <w:sz w:val="24"/>
          <w:szCs w:val="24"/>
          <w:rtl/>
        </w:rPr>
        <w:t>"</w:t>
      </w:r>
      <w:r w:rsidRPr="005311E8">
        <w:rPr>
          <w:rFonts w:cs="David" w:hint="cs"/>
          <w:spacing w:val="0"/>
          <w:sz w:val="24"/>
          <w:szCs w:val="24"/>
          <w:rtl/>
        </w:rPr>
        <w:t xml:space="preserve">גניבה ושוד של טלפון סלולרי אינם כגניבה ושוד של כסף או של חפץ אחר. הסמארטפון הפך זה מכבר לידידו הטוב של האדם. דומה כי לא תהא זו הפרזה לומר כי בטלפון הסלולרי טמון סיפור חייו של האדם בהאידנא, באשר אצורים בתוכו רגעים וזכרונות משמעותיים מחייו של אדם, לצד מידע ופרטים חיוניים לתפקודו היומיומי – תמונות של עצמו ושל יקיריו, כתובות ומספרי טלפון של קרובים ומכרים, יומן, פתקי תזכורות ולוח שנה, ועוד. לא כל אדם מגבה את תוכן המכשיר "בענן" ושחזור הפרטים לעיתים אינו אפשרי ולעיתים כרוך במשאבי זמן וממון. </w:t>
      </w:r>
    </w:p>
    <w:p w14:paraId="0B4835D4" w14:textId="77777777" w:rsidR="0089227E" w:rsidRDefault="0089227E" w:rsidP="0089227E">
      <w:pPr>
        <w:pStyle w:val="Ruller4"/>
        <w:ind w:left="1655" w:right="1134"/>
        <w:rPr>
          <w:rFonts w:cs="David"/>
          <w:spacing w:val="0"/>
          <w:sz w:val="24"/>
          <w:szCs w:val="24"/>
          <w:rtl/>
        </w:rPr>
      </w:pPr>
      <w:r w:rsidRPr="005311E8">
        <w:rPr>
          <w:rFonts w:cs="David" w:hint="cs"/>
          <w:spacing w:val="0"/>
          <w:sz w:val="24"/>
          <w:szCs w:val="24"/>
          <w:rtl/>
        </w:rPr>
        <w:t>בין אם הדבר רצוי ובין אם לאו, לא ניתן להתכחש למעמד שתפס הסמא</w:t>
      </w:r>
      <w:r>
        <w:rPr>
          <w:rFonts w:cs="David" w:hint="cs"/>
          <w:spacing w:val="0"/>
          <w:sz w:val="24"/>
          <w:szCs w:val="24"/>
          <w:rtl/>
        </w:rPr>
        <w:t>רטפון בחיי חלקים נכבדים בציבור...</w:t>
      </w:r>
      <w:r w:rsidRPr="005311E8">
        <w:rPr>
          <w:rFonts w:cs="David" w:hint="cs"/>
          <w:spacing w:val="0"/>
          <w:sz w:val="24"/>
          <w:szCs w:val="24"/>
          <w:rtl/>
        </w:rPr>
        <w:t xml:space="preserve"> לא ייפלא כי מחקרים עדכניים מלמדים כי חלקים ניכרים באוכלוסייה סובלים מרמות משתנות של חרדה מאובדן המגע עם הטלפון הסלולארי, מהפחד שלא להיות זמין. </w:t>
      </w:r>
      <w:r>
        <w:rPr>
          <w:rFonts w:cs="David" w:hint="cs"/>
          <w:spacing w:val="0"/>
          <w:sz w:val="24"/>
          <w:szCs w:val="24"/>
          <w:rtl/>
        </w:rPr>
        <w:t xml:space="preserve">... </w:t>
      </w:r>
      <w:r w:rsidRPr="005311E8">
        <w:rPr>
          <w:rFonts w:cs="David" w:hint="cs"/>
          <w:spacing w:val="0"/>
          <w:sz w:val="24"/>
          <w:szCs w:val="24"/>
          <w:rtl/>
        </w:rPr>
        <w:t xml:space="preserve">נוסף על אובדן הנגישות והחרדה המתלווה לכך, גניבת טלפון סלולרי מהווה גם </w:t>
      </w:r>
      <w:r>
        <w:rPr>
          <w:rFonts w:cs="David" w:hint="cs"/>
          <w:spacing w:val="0"/>
          <w:sz w:val="24"/>
          <w:szCs w:val="24"/>
          <w:rtl/>
        </w:rPr>
        <w:t xml:space="preserve">חדירה למתחם פרטי ביותר של האדם... </w:t>
      </w:r>
      <w:r w:rsidRPr="005311E8">
        <w:rPr>
          <w:rFonts w:cs="David" w:hint="cs"/>
          <w:spacing w:val="0"/>
          <w:sz w:val="24"/>
          <w:szCs w:val="24"/>
          <w:rtl/>
        </w:rPr>
        <w:t xml:space="preserve">גם בהנחה שהגנב הישראלי הממוצע אינו מעוניין בתוכנו של המכשיר הסלולרי, די בידיעה כי הגניבה עלולה להביא גם לסחיטה או להפצת מידע ותוכן אישי ורגיש, כדי להעצים את החרדה ואת תחושת אבדן השליטה של קרבן הגניבה. אמרנו דברים שאמרנו כדי להצביע על כך </w:t>
      </w:r>
      <w:r w:rsidRPr="003E0717">
        <w:rPr>
          <w:rFonts w:cs="David" w:hint="cs"/>
          <w:spacing w:val="0"/>
          <w:sz w:val="24"/>
          <w:szCs w:val="24"/>
          <w:rtl/>
        </w:rPr>
        <w:t xml:space="preserve">שאין לראות בגניבה ובשוד של טלפון סלולרי עבירת רכוש "רגילה", ומכאן מגמת ההחמרה בענישה בעבירות אלה". </w:t>
      </w:r>
    </w:p>
    <w:p w14:paraId="6C45BF09" w14:textId="77777777" w:rsidR="0089227E" w:rsidRPr="00CA49A2" w:rsidRDefault="0089227E" w:rsidP="0089227E">
      <w:pPr>
        <w:pStyle w:val="Ruller4"/>
        <w:ind w:left="1655" w:right="1134"/>
        <w:rPr>
          <w:rFonts w:cs="David"/>
          <w:spacing w:val="0"/>
          <w:sz w:val="12"/>
          <w:szCs w:val="12"/>
          <w:rtl/>
        </w:rPr>
      </w:pPr>
    </w:p>
    <w:p w14:paraId="4ABE9EE0" w14:textId="77777777" w:rsidR="0089227E" w:rsidRPr="005311E8" w:rsidRDefault="0089227E" w:rsidP="0089227E">
      <w:pPr>
        <w:shd w:val="clear" w:color="auto" w:fill="FFFFFF"/>
        <w:overflowPunct w:val="0"/>
        <w:autoSpaceDE w:val="0"/>
        <w:autoSpaceDN w:val="0"/>
        <w:adjustRightInd w:val="0"/>
        <w:spacing w:before="100" w:line="360" w:lineRule="auto"/>
        <w:jc w:val="center"/>
      </w:pPr>
      <w:r w:rsidRPr="005311E8">
        <w:rPr>
          <w:rFonts w:hint="cs"/>
          <w:rtl/>
        </w:rPr>
        <w:t>עוד ראו דברי בית המשפט בעניין זה ב</w:t>
      </w:r>
      <w:hyperlink r:id="rId38" w:history="1">
        <w:r w:rsidR="000C73AC" w:rsidRPr="000C73AC">
          <w:rPr>
            <w:color w:val="0000FF"/>
            <w:u w:val="single"/>
            <w:rtl/>
          </w:rPr>
          <w:t>ע"פ 588/13</w:t>
        </w:r>
      </w:hyperlink>
      <w:r w:rsidRPr="005311E8">
        <w:rPr>
          <w:rFonts w:hint="cs"/>
          <w:rtl/>
        </w:rPr>
        <w:t xml:space="preserve"> </w:t>
      </w:r>
      <w:r w:rsidRPr="005311E8">
        <w:rPr>
          <w:rFonts w:hint="cs"/>
          <w:b/>
          <w:bCs/>
          <w:rtl/>
        </w:rPr>
        <w:t>פלוני נ' מדינת ישראל</w:t>
      </w:r>
      <w:r w:rsidRPr="005311E8">
        <w:rPr>
          <w:rFonts w:hint="cs"/>
          <w:rtl/>
        </w:rPr>
        <w:t xml:space="preserve"> (27.8.2013): </w:t>
      </w:r>
    </w:p>
    <w:p w14:paraId="0DE1D2B7" w14:textId="77777777" w:rsidR="0089227E" w:rsidRPr="00CA49A2" w:rsidRDefault="0089227E" w:rsidP="0089227E">
      <w:pPr>
        <w:spacing w:after="240" w:line="360" w:lineRule="auto"/>
        <w:ind w:left="720" w:hanging="720"/>
        <w:rPr>
          <w:sz w:val="6"/>
          <w:szCs w:val="6"/>
          <w:rtl/>
        </w:rPr>
      </w:pPr>
    </w:p>
    <w:p w14:paraId="2B5D7A11" w14:textId="77777777" w:rsidR="0089227E" w:rsidRDefault="0089227E" w:rsidP="0089227E">
      <w:pPr>
        <w:pStyle w:val="Ruller4"/>
        <w:ind w:left="1655" w:right="1134"/>
        <w:rPr>
          <w:rFonts w:cs="David"/>
          <w:spacing w:val="0"/>
          <w:sz w:val="24"/>
          <w:szCs w:val="24"/>
          <w:rtl/>
        </w:rPr>
      </w:pPr>
      <w:r>
        <w:rPr>
          <w:rFonts w:cs="David" w:hint="cs"/>
          <w:spacing w:val="0"/>
          <w:sz w:val="24"/>
          <w:szCs w:val="24"/>
          <w:rtl/>
        </w:rPr>
        <w:t>"</w:t>
      </w:r>
      <w:r w:rsidRPr="005311E8">
        <w:rPr>
          <w:rFonts w:cs="David" w:hint="cs"/>
          <w:spacing w:val="0"/>
          <w:sz w:val="24"/>
          <w:szCs w:val="24"/>
          <w:rtl/>
        </w:rPr>
        <w:t>למרבה הצער, הפכו, בתקופה האחרונה, מעשי השוד ובעיקר ככל שמדובר בשוד של מכשירים סלולאריים יקרי ערך, לתופעה שניתן להגדירהּ כ"</w:t>
      </w:r>
      <w:r w:rsidRPr="005311E8">
        <w:rPr>
          <w:rFonts w:cs="David" w:hint="cs"/>
          <w:b/>
          <w:bCs/>
          <w:spacing w:val="0"/>
          <w:sz w:val="24"/>
          <w:szCs w:val="24"/>
          <w:rtl/>
        </w:rPr>
        <w:t>מכת מדינה</w:t>
      </w:r>
      <w:r w:rsidRPr="005311E8">
        <w:rPr>
          <w:rFonts w:cs="David" w:hint="cs"/>
          <w:spacing w:val="0"/>
          <w:sz w:val="24"/>
          <w:szCs w:val="24"/>
          <w:rtl/>
        </w:rPr>
        <w:t>", כאשר חדשות לבקרים מדווחים אנו על תקיפה של קורבנות חסרי הגנה, על-ידי שודדים אלימים וחסרי מעצורים, המבקשים לשדוד את רכושם ולזכות ברווח כספי קל וזמין (ראו, לעניין זה, דברי חברתי, המשנָה לנשיא מ' נאור ב</w:t>
      </w:r>
      <w:hyperlink r:id="rId39" w:history="1">
        <w:r w:rsidR="000C73AC" w:rsidRPr="000C73AC">
          <w:rPr>
            <w:rFonts w:cs="David"/>
            <w:color w:val="0000FF"/>
            <w:spacing w:val="0"/>
            <w:sz w:val="24"/>
            <w:szCs w:val="24"/>
            <w:u w:val="single"/>
            <w:rtl/>
          </w:rPr>
          <w:t>ע"פ 6378/11</w:t>
        </w:r>
      </w:hyperlink>
      <w:r w:rsidRPr="005311E8">
        <w:rPr>
          <w:rFonts w:cs="David" w:hint="cs"/>
          <w:spacing w:val="0"/>
          <w:sz w:val="24"/>
          <w:szCs w:val="24"/>
          <w:rtl/>
        </w:rPr>
        <w:t xml:space="preserve"> בסוֹל נ' מדינת ישראל (31.7.2012)). מעבר להיבט הכספי והכלכלי של התופעה, יש ליתן את הדעת לפגיעות הפיזיות, ולא פחות חמור מכך, לפגיעות הנפשיות הנגרמות לקורבנות העבירה, בצד הפגיעה בשלומו ובבטחונו של הציבור בכללותו</w:t>
      </w:r>
      <w:r>
        <w:rPr>
          <w:rFonts w:cs="David" w:hint="cs"/>
          <w:spacing w:val="0"/>
          <w:sz w:val="24"/>
          <w:szCs w:val="24"/>
          <w:rtl/>
        </w:rPr>
        <w:t>"</w:t>
      </w:r>
      <w:r w:rsidRPr="005311E8">
        <w:rPr>
          <w:rFonts w:cs="David" w:hint="cs"/>
          <w:spacing w:val="0"/>
          <w:sz w:val="24"/>
          <w:szCs w:val="24"/>
          <w:rtl/>
        </w:rPr>
        <w:t>.</w:t>
      </w:r>
    </w:p>
    <w:p w14:paraId="3C20B1DF" w14:textId="77777777" w:rsidR="0089227E" w:rsidRDefault="0089227E" w:rsidP="0089227E">
      <w:pPr>
        <w:pStyle w:val="Ruller4"/>
        <w:spacing w:line="240" w:lineRule="auto"/>
        <w:ind w:left="1655" w:right="1134"/>
        <w:rPr>
          <w:rFonts w:cs="David"/>
          <w:spacing w:val="0"/>
          <w:sz w:val="24"/>
          <w:szCs w:val="24"/>
          <w:rtl/>
        </w:rPr>
      </w:pPr>
    </w:p>
    <w:p w14:paraId="4D548DBB" w14:textId="77777777" w:rsidR="0089227E" w:rsidRPr="00CA49A2" w:rsidRDefault="0089227E" w:rsidP="0089227E">
      <w:pPr>
        <w:pStyle w:val="Ruller4"/>
        <w:ind w:left="1655" w:right="1134"/>
        <w:rPr>
          <w:rFonts w:cs="David"/>
          <w:spacing w:val="0"/>
          <w:sz w:val="12"/>
          <w:szCs w:val="12"/>
          <w:rtl/>
        </w:rPr>
      </w:pPr>
    </w:p>
    <w:p w14:paraId="3FCE10FB" w14:textId="77777777" w:rsidR="0089227E" w:rsidRDefault="0089227E" w:rsidP="0089227E">
      <w:pPr>
        <w:spacing w:after="240" w:line="360" w:lineRule="auto"/>
        <w:ind w:left="720" w:hanging="720"/>
        <w:jc w:val="both"/>
        <w:rPr>
          <w:rtl/>
        </w:rPr>
      </w:pPr>
      <w:r>
        <w:rPr>
          <w:rFonts w:hint="cs"/>
          <w:rtl/>
        </w:rPr>
        <w:t>34.</w:t>
      </w:r>
      <w:r>
        <w:rPr>
          <w:rFonts w:hint="cs"/>
          <w:rtl/>
        </w:rPr>
        <w:tab/>
        <w:t xml:space="preserve">בנסיבות הקשורות בביצוע עבירות התקיפה והגניבה ראיתי ליתן חשיבות לעובדה כי הן בוצעו על ידי הנאשם ופאדי בצוותא חדא וכן לחלקו המרכזי של הנאשם בביצוע המעשים, שכן היה זה הנאשם שנטל בפועל את הטלפונים הסלולריים מידיהן של המתלוננות. התנהלותו של הנאשם הייתה חמורה, ואין בעובדה כי לא הופעלה מצדו אלימות קשה כלפי המתלוננות, כדי להקהות מחומרת מעשיו. </w:t>
      </w:r>
      <w:r>
        <w:rPr>
          <w:rFonts w:ascii="Century" w:hAnsi="Century" w:hint="cs"/>
          <w:rtl/>
        </w:rPr>
        <w:t>יפים לענייננו דברי בית המשפט העליון שקבע כי "</w:t>
      </w:r>
      <w:r w:rsidRPr="00B16451">
        <w:rPr>
          <w:rFonts w:ascii="Century" w:hAnsi="Century" w:hint="cs"/>
          <w:rtl/>
        </w:rPr>
        <w:t xml:space="preserve">יש להילחם בתופעה שהליכה הביתה בשעת ערב, שאמורה להיות פעולה שגרתית ומשרת שלווה, תהפוך להיות </w:t>
      </w:r>
      <w:r>
        <w:rPr>
          <w:rFonts w:ascii="Century" w:hAnsi="Century" w:hint="cs"/>
          <w:rtl/>
        </w:rPr>
        <w:t>'</w:t>
      </w:r>
      <w:r w:rsidRPr="00B16451">
        <w:rPr>
          <w:rFonts w:ascii="Century" w:hAnsi="Century" w:hint="cs"/>
          <w:rtl/>
        </w:rPr>
        <w:t>משימה</w:t>
      </w:r>
      <w:r>
        <w:rPr>
          <w:rFonts w:ascii="Century" w:hAnsi="Century" w:hint="cs"/>
          <w:rtl/>
        </w:rPr>
        <w:t>'</w:t>
      </w:r>
      <w:r w:rsidRPr="00B16451">
        <w:rPr>
          <w:rFonts w:ascii="Century" w:hAnsi="Century" w:hint="cs"/>
          <w:rtl/>
        </w:rPr>
        <w:t xml:space="preserve"> שצריך לצלוח אותה באומץ ובנחישות</w:t>
      </w:r>
      <w:r>
        <w:rPr>
          <w:rFonts w:ascii="Century" w:hAnsi="Century" w:hint="cs"/>
          <w:rtl/>
        </w:rPr>
        <w:t>" (</w:t>
      </w:r>
      <w:hyperlink r:id="rId40" w:history="1">
        <w:r w:rsidR="000C73AC" w:rsidRPr="000C73AC">
          <w:rPr>
            <w:color w:val="0000FF"/>
            <w:u w:val="single"/>
            <w:rtl/>
          </w:rPr>
          <w:t>ע"פ 6339/12</w:t>
        </w:r>
      </w:hyperlink>
      <w:r w:rsidRPr="00B16451">
        <w:rPr>
          <w:rFonts w:hint="cs"/>
          <w:rtl/>
        </w:rPr>
        <w:t xml:space="preserve"> </w:t>
      </w:r>
      <w:r w:rsidRPr="00B16451">
        <w:rPr>
          <w:rFonts w:hint="cs"/>
          <w:b/>
          <w:bCs/>
          <w:rtl/>
        </w:rPr>
        <w:t>פלוני נ' מדינת ישראל</w:t>
      </w:r>
      <w:r>
        <w:rPr>
          <w:rFonts w:hint="cs"/>
          <w:rtl/>
        </w:rPr>
        <w:t xml:space="preserve"> (21.4.2013). </w:t>
      </w:r>
    </w:p>
    <w:p w14:paraId="5F6E430D" w14:textId="77777777" w:rsidR="0089227E" w:rsidRDefault="0089227E" w:rsidP="0089227E">
      <w:pPr>
        <w:spacing w:after="240" w:line="360" w:lineRule="auto"/>
        <w:ind w:left="720"/>
        <w:jc w:val="both"/>
        <w:rPr>
          <w:rtl/>
        </w:rPr>
      </w:pPr>
      <w:r>
        <w:rPr>
          <w:rFonts w:hint="cs"/>
          <w:rtl/>
        </w:rPr>
        <w:t xml:space="preserve">במאמר מוסגר אוסיף כי לא מצאתי עיגון ראייתי לטענת הסנגור כי שותפו של הנאשם הוא זה אשר "גרר אותו" לביצוע העבירות. </w:t>
      </w:r>
    </w:p>
    <w:p w14:paraId="240F29B5" w14:textId="77777777" w:rsidR="0089227E" w:rsidRDefault="0089227E" w:rsidP="0089227E">
      <w:pPr>
        <w:spacing w:after="240" w:line="360" w:lineRule="auto"/>
        <w:ind w:left="720" w:hanging="720"/>
        <w:jc w:val="both"/>
        <w:rPr>
          <w:rtl/>
        </w:rPr>
      </w:pPr>
      <w:r>
        <w:rPr>
          <w:rFonts w:hint="cs"/>
          <w:rtl/>
        </w:rPr>
        <w:t>35.</w:t>
      </w:r>
      <w:r>
        <w:rPr>
          <w:rFonts w:hint="cs"/>
          <w:rtl/>
        </w:rPr>
        <w:tab/>
        <w:t>בנוגע למעשה הפזיזות והרשלנות, אין חולק כי על ידי הנהיגה הרשלנית והמסוכנות באופנוע הועמדו בסיכון עוברי אורח תמימים, שעלולים היו להיפגע. זאת בנוסף לפגיעה בסדר הציבורי. הנאשם ושותפו נהגו בפראות ובריונות משוללת כל רסן, בטבורה של עיר, בשעת ערב מוקדמת  כאשר ביצעו עבירות תנועה רבות, ובכללן נסיעה</w:t>
      </w:r>
      <w:r>
        <w:rPr>
          <w:rtl/>
        </w:rPr>
        <w:t xml:space="preserve"> </w:t>
      </w:r>
      <w:r>
        <w:rPr>
          <w:rFonts w:hint="cs"/>
          <w:rtl/>
        </w:rPr>
        <w:t>במהירות</w:t>
      </w:r>
      <w:r>
        <w:rPr>
          <w:rtl/>
        </w:rPr>
        <w:t xml:space="preserve"> </w:t>
      </w:r>
      <w:r>
        <w:rPr>
          <w:rFonts w:hint="cs"/>
          <w:rtl/>
        </w:rPr>
        <w:t>שאינה</w:t>
      </w:r>
      <w:r>
        <w:rPr>
          <w:rtl/>
        </w:rPr>
        <w:t xml:space="preserve"> </w:t>
      </w:r>
      <w:r>
        <w:rPr>
          <w:rFonts w:hint="cs"/>
          <w:rtl/>
        </w:rPr>
        <w:t>תואמת</w:t>
      </w:r>
      <w:r>
        <w:rPr>
          <w:rtl/>
        </w:rPr>
        <w:t xml:space="preserve"> </w:t>
      </w:r>
      <w:r>
        <w:rPr>
          <w:rFonts w:hint="cs"/>
          <w:rtl/>
        </w:rPr>
        <w:t>את</w:t>
      </w:r>
      <w:r>
        <w:rPr>
          <w:rtl/>
        </w:rPr>
        <w:t xml:space="preserve"> </w:t>
      </w:r>
      <w:r>
        <w:rPr>
          <w:rFonts w:hint="cs"/>
          <w:rtl/>
        </w:rPr>
        <w:t>תנאי</w:t>
      </w:r>
      <w:r>
        <w:rPr>
          <w:rtl/>
        </w:rPr>
        <w:t xml:space="preserve"> </w:t>
      </w:r>
      <w:r>
        <w:rPr>
          <w:rFonts w:hint="cs"/>
          <w:rtl/>
        </w:rPr>
        <w:t>הדרך, חציית</w:t>
      </w:r>
      <w:r>
        <w:rPr>
          <w:rtl/>
        </w:rPr>
        <w:t xml:space="preserve"> </w:t>
      </w:r>
      <w:r>
        <w:rPr>
          <w:rFonts w:hint="cs"/>
          <w:rtl/>
        </w:rPr>
        <w:t>קו</w:t>
      </w:r>
      <w:r>
        <w:rPr>
          <w:rtl/>
        </w:rPr>
        <w:t xml:space="preserve"> </w:t>
      </w:r>
      <w:r>
        <w:rPr>
          <w:rFonts w:hint="cs"/>
          <w:rtl/>
        </w:rPr>
        <w:t>הפרדה</w:t>
      </w:r>
      <w:r>
        <w:rPr>
          <w:rtl/>
        </w:rPr>
        <w:t xml:space="preserve">, </w:t>
      </w:r>
      <w:r>
        <w:rPr>
          <w:rFonts w:hint="cs"/>
          <w:rtl/>
        </w:rPr>
        <w:t>נסיעה</w:t>
      </w:r>
      <w:r>
        <w:rPr>
          <w:rtl/>
        </w:rPr>
        <w:t xml:space="preserve"> </w:t>
      </w:r>
      <w:r>
        <w:rPr>
          <w:rFonts w:hint="cs"/>
          <w:rtl/>
        </w:rPr>
        <w:t>על אי</w:t>
      </w:r>
      <w:r>
        <w:rPr>
          <w:rtl/>
        </w:rPr>
        <w:t>-</w:t>
      </w:r>
      <w:r>
        <w:rPr>
          <w:rFonts w:hint="cs"/>
          <w:rtl/>
        </w:rPr>
        <w:t>תנועה, אי מתן</w:t>
      </w:r>
      <w:r>
        <w:rPr>
          <w:rtl/>
        </w:rPr>
        <w:t xml:space="preserve"> </w:t>
      </w:r>
      <w:r>
        <w:rPr>
          <w:rFonts w:hint="cs"/>
          <w:rtl/>
        </w:rPr>
        <w:t>זכות</w:t>
      </w:r>
      <w:r>
        <w:rPr>
          <w:rtl/>
        </w:rPr>
        <w:t xml:space="preserve"> </w:t>
      </w:r>
      <w:r>
        <w:rPr>
          <w:rFonts w:hint="cs"/>
          <w:rtl/>
        </w:rPr>
        <w:t>קדימה</w:t>
      </w:r>
      <w:r>
        <w:rPr>
          <w:rtl/>
        </w:rPr>
        <w:t xml:space="preserve"> </w:t>
      </w:r>
      <w:r>
        <w:rPr>
          <w:rFonts w:hint="cs"/>
          <w:rtl/>
        </w:rPr>
        <w:t>להולכי</w:t>
      </w:r>
      <w:r>
        <w:rPr>
          <w:rtl/>
        </w:rPr>
        <w:t xml:space="preserve"> </w:t>
      </w:r>
      <w:r>
        <w:rPr>
          <w:rFonts w:hint="cs"/>
          <w:rtl/>
        </w:rPr>
        <w:t>רגל</w:t>
      </w:r>
      <w:r>
        <w:rPr>
          <w:rtl/>
        </w:rPr>
        <w:t xml:space="preserve"> </w:t>
      </w:r>
      <w:r>
        <w:rPr>
          <w:rFonts w:hint="cs"/>
          <w:rtl/>
        </w:rPr>
        <w:t>במעברי</w:t>
      </w:r>
      <w:r>
        <w:rPr>
          <w:rtl/>
        </w:rPr>
        <w:t xml:space="preserve"> </w:t>
      </w:r>
      <w:r>
        <w:rPr>
          <w:rFonts w:hint="cs"/>
          <w:rtl/>
        </w:rPr>
        <w:t>חציה, ונסיעה בניגוד</w:t>
      </w:r>
      <w:r>
        <w:rPr>
          <w:rtl/>
        </w:rPr>
        <w:t xml:space="preserve"> </w:t>
      </w:r>
      <w:r>
        <w:rPr>
          <w:rFonts w:hint="cs"/>
          <w:rtl/>
        </w:rPr>
        <w:t xml:space="preserve">לכיוון התנועה המותרת. כל זאת מתוך מטרה להימלט מהמשטרה לאחר ביצוע עבירות הגניבה. למרבה המזל לא נגרמו נזקי גוף לעוברי אורח והנזקים התמצו בנזקי רכוש לניידת המשטרה ולאופנוע בו נסעו הנאשם ופאדי. </w:t>
      </w:r>
    </w:p>
    <w:p w14:paraId="74BFD260" w14:textId="77777777" w:rsidR="0089227E" w:rsidRDefault="0089227E" w:rsidP="0089227E">
      <w:pPr>
        <w:spacing w:after="120" w:line="360" w:lineRule="auto"/>
        <w:ind w:left="720" w:hanging="720"/>
        <w:jc w:val="both"/>
        <w:rPr>
          <w:rtl/>
        </w:rPr>
      </w:pPr>
      <w:r>
        <w:rPr>
          <w:rtl/>
        </w:rPr>
        <w:tab/>
      </w:r>
      <w:r>
        <w:rPr>
          <w:rFonts w:hint="cs"/>
          <w:rtl/>
        </w:rPr>
        <w:t>למסוכנות הנשקפת ממרדפים הנעשים תוך כדי הימלטות עבריינים מכוחות המשטרה, התייחס בית המשפט ב</w:t>
      </w:r>
      <w:hyperlink r:id="rId41" w:history="1">
        <w:r w:rsidR="000C73AC" w:rsidRPr="000C73AC">
          <w:rPr>
            <w:color w:val="0000FF"/>
            <w:u w:val="single"/>
            <w:rtl/>
          </w:rPr>
          <w:t>ע"פ 4763/17</w:t>
        </w:r>
      </w:hyperlink>
      <w:r w:rsidRPr="00BB1ED8">
        <w:rPr>
          <w:rFonts w:hint="cs"/>
          <w:rtl/>
        </w:rPr>
        <w:t xml:space="preserve"> </w:t>
      </w:r>
      <w:r w:rsidRPr="00BB1ED8">
        <w:rPr>
          <w:rFonts w:hint="cs"/>
          <w:b/>
          <w:bCs/>
          <w:rtl/>
        </w:rPr>
        <w:t>מוהנד ותד נ' מדינת ישראל</w:t>
      </w:r>
      <w:r w:rsidRPr="00BB1ED8">
        <w:rPr>
          <w:rFonts w:hint="cs"/>
          <w:rtl/>
        </w:rPr>
        <w:t xml:space="preserve"> (29.1.2018)</w:t>
      </w:r>
      <w:r>
        <w:rPr>
          <w:rFonts w:hint="cs"/>
          <w:rtl/>
        </w:rPr>
        <w:t>, בקבעו</w:t>
      </w:r>
      <w:r w:rsidRPr="00BB1ED8">
        <w:rPr>
          <w:rFonts w:hint="cs"/>
          <w:rtl/>
        </w:rPr>
        <w:t>:</w:t>
      </w:r>
    </w:p>
    <w:p w14:paraId="7DF6B3F8" w14:textId="77777777" w:rsidR="0089227E" w:rsidRDefault="0089227E" w:rsidP="0089227E">
      <w:pPr>
        <w:pStyle w:val="Ruller4"/>
        <w:ind w:left="1655" w:right="1134"/>
        <w:rPr>
          <w:rFonts w:cs="David"/>
          <w:spacing w:val="0"/>
          <w:sz w:val="24"/>
          <w:szCs w:val="24"/>
          <w:rtl/>
        </w:rPr>
      </w:pPr>
    </w:p>
    <w:p w14:paraId="7C631E1C" w14:textId="77777777" w:rsidR="0089227E" w:rsidRPr="00BB1ED8" w:rsidRDefault="0089227E" w:rsidP="0089227E">
      <w:pPr>
        <w:pStyle w:val="Ruller4"/>
        <w:ind w:left="1655" w:right="1134"/>
        <w:rPr>
          <w:rFonts w:cs="David"/>
          <w:spacing w:val="0"/>
          <w:sz w:val="24"/>
          <w:szCs w:val="24"/>
          <w:rtl/>
        </w:rPr>
      </w:pPr>
      <w:r>
        <w:rPr>
          <w:rFonts w:cs="David" w:hint="cs"/>
          <w:spacing w:val="0"/>
          <w:sz w:val="24"/>
          <w:szCs w:val="24"/>
          <w:rtl/>
        </w:rPr>
        <w:t>"</w:t>
      </w:r>
      <w:r w:rsidRPr="00BB1ED8">
        <w:rPr>
          <w:rFonts w:cs="David" w:hint="cs"/>
          <w:spacing w:val="0"/>
          <w:sz w:val="24"/>
          <w:szCs w:val="24"/>
          <w:rtl/>
        </w:rPr>
        <w:t>עבירת המרדף פוגעת בצורה ישירה בביטחון האישי של עובר דרך. כל חטאו הוא שעשה שימוש בכבישי המדינה. טול המקרה בפנינו. המעשה נמשך כעשרים דקות במהלכו המערער נסע בניגוד לכיוון התנועה, תוך התעלמות חוזרת ונשנית מרמזור אדום שניצב בפניו. מספר כלי רכב, ביניהם רכב השייך למשטרה, נאלצו לסטות מהדרך על מנת שלא להיפגע. התנהגות כזו יוצרת מצב של התמוטטות דיני התעבורה, על כל הסיכון הכרוך בכך. אין לאפשר תוהו ובוהו בנתיבי התחבורה</w:t>
      </w:r>
      <w:r>
        <w:rPr>
          <w:rFonts w:cs="David" w:hint="cs"/>
          <w:spacing w:val="0"/>
          <w:sz w:val="24"/>
          <w:szCs w:val="24"/>
          <w:rtl/>
        </w:rPr>
        <w:t>"</w:t>
      </w:r>
      <w:r w:rsidRPr="00BB1ED8">
        <w:rPr>
          <w:rFonts w:cs="David" w:hint="cs"/>
          <w:spacing w:val="0"/>
          <w:sz w:val="24"/>
          <w:szCs w:val="24"/>
          <w:rtl/>
        </w:rPr>
        <w:t>.</w:t>
      </w:r>
    </w:p>
    <w:p w14:paraId="01872378" w14:textId="77777777" w:rsidR="0089227E" w:rsidRPr="002A0FDE" w:rsidRDefault="0089227E" w:rsidP="0089227E">
      <w:pPr>
        <w:spacing w:after="240" w:line="360" w:lineRule="auto"/>
        <w:ind w:left="720" w:hanging="720"/>
        <w:rPr>
          <w:sz w:val="2"/>
          <w:szCs w:val="2"/>
          <w:rtl/>
        </w:rPr>
      </w:pPr>
    </w:p>
    <w:p w14:paraId="3868597B" w14:textId="77777777" w:rsidR="0089227E" w:rsidRPr="00576ABF" w:rsidRDefault="0089227E" w:rsidP="0089227E">
      <w:pPr>
        <w:spacing w:after="240" w:line="360" w:lineRule="auto"/>
        <w:ind w:left="720" w:hanging="720"/>
      </w:pPr>
      <w:r>
        <w:rPr>
          <w:rtl/>
        </w:rPr>
        <w:tab/>
      </w:r>
      <w:r>
        <w:rPr>
          <w:rFonts w:hint="cs"/>
          <w:rtl/>
        </w:rPr>
        <w:t>כן ראו דברי בית המשפט ב</w:t>
      </w:r>
      <w:hyperlink r:id="rId42" w:history="1">
        <w:r w:rsidR="000C73AC" w:rsidRPr="000C73AC">
          <w:rPr>
            <w:color w:val="0000FF"/>
            <w:u w:val="single"/>
            <w:rtl/>
          </w:rPr>
          <w:t>ע"פ 5177/10</w:t>
        </w:r>
      </w:hyperlink>
      <w:r w:rsidRPr="00576ABF">
        <w:rPr>
          <w:rFonts w:hint="cs"/>
          <w:rtl/>
        </w:rPr>
        <w:t xml:space="preserve"> </w:t>
      </w:r>
      <w:r w:rsidRPr="00576ABF">
        <w:rPr>
          <w:rFonts w:hint="cs"/>
          <w:b/>
          <w:bCs/>
          <w:rtl/>
        </w:rPr>
        <w:t>אברהים עז אלדין נ' מדינת ישראל</w:t>
      </w:r>
      <w:r w:rsidRPr="00576ABF">
        <w:rPr>
          <w:rFonts w:hint="cs"/>
          <w:rtl/>
        </w:rPr>
        <w:t xml:space="preserve"> (13.2.2011):</w:t>
      </w:r>
    </w:p>
    <w:p w14:paraId="163DA7F1" w14:textId="77777777" w:rsidR="0089227E" w:rsidRDefault="0089227E" w:rsidP="0089227E">
      <w:pPr>
        <w:pStyle w:val="Ruller4"/>
        <w:ind w:left="1655" w:right="1134"/>
        <w:rPr>
          <w:rFonts w:cs="David"/>
          <w:spacing w:val="0"/>
          <w:sz w:val="24"/>
          <w:szCs w:val="24"/>
          <w:rtl/>
        </w:rPr>
      </w:pPr>
      <w:r w:rsidRPr="002A0FDE">
        <w:rPr>
          <w:rFonts w:cs="David" w:hint="cs"/>
          <w:spacing w:val="0"/>
          <w:sz w:val="24"/>
          <w:szCs w:val="24"/>
          <w:rtl/>
        </w:rPr>
        <w:t>בית משפט זה נדרש לא אחת לתופעה הפסולה של נהגים אשר לא מצייתים להוראות השוטרים, ופותחים במנוסה מפניהם תוך שהם מסכנים חיי אדם, יפים לעניין זה דברים שנאמרו ב</w:t>
      </w:r>
      <w:hyperlink r:id="rId43" w:history="1">
        <w:r w:rsidR="000C73AC" w:rsidRPr="000C73AC">
          <w:rPr>
            <w:rFonts w:cs="David"/>
            <w:color w:val="0000FF"/>
            <w:spacing w:val="0"/>
            <w:sz w:val="24"/>
            <w:szCs w:val="24"/>
            <w:u w:val="single"/>
            <w:rtl/>
          </w:rPr>
          <w:t>ע"פ 2410/04</w:t>
        </w:r>
      </w:hyperlink>
      <w:r w:rsidRPr="002A0FDE">
        <w:rPr>
          <w:rFonts w:cs="David" w:hint="cs"/>
          <w:spacing w:val="0"/>
          <w:sz w:val="24"/>
          <w:szCs w:val="24"/>
          <w:rtl/>
        </w:rPr>
        <w:t xml:space="preserve"> מדינת ישראל נ' אבוליקעאן (לא פורסם, 11.11.2004) [פורסם בנבו]</w:t>
      </w:r>
      <w:r>
        <w:rPr>
          <w:rFonts w:cs="David" w:hint="cs"/>
          <w:spacing w:val="0"/>
          <w:sz w:val="24"/>
          <w:szCs w:val="24"/>
          <w:rtl/>
        </w:rPr>
        <w:t>:</w:t>
      </w:r>
      <w:r w:rsidRPr="002A0FDE">
        <w:rPr>
          <w:rFonts w:cs="David" w:hint="cs"/>
          <w:spacing w:val="0"/>
          <w:sz w:val="24"/>
          <w:szCs w:val="24"/>
          <w:rtl/>
        </w:rPr>
        <w:t xml:space="preserve"> </w:t>
      </w:r>
    </w:p>
    <w:p w14:paraId="566088D7" w14:textId="77777777" w:rsidR="0089227E" w:rsidRPr="002A0FDE" w:rsidRDefault="0089227E" w:rsidP="0089227E">
      <w:pPr>
        <w:pStyle w:val="Ruller4"/>
        <w:ind w:left="1655" w:right="1134"/>
        <w:rPr>
          <w:rFonts w:cs="David"/>
          <w:spacing w:val="0"/>
          <w:sz w:val="24"/>
          <w:szCs w:val="24"/>
        </w:rPr>
      </w:pPr>
    </w:p>
    <w:p w14:paraId="506E7419" w14:textId="77777777" w:rsidR="0089227E" w:rsidRPr="002A0FDE" w:rsidRDefault="0089227E" w:rsidP="0089227E">
      <w:pPr>
        <w:pStyle w:val="Ruller4"/>
        <w:ind w:left="1655" w:right="1134"/>
        <w:rPr>
          <w:rFonts w:cs="David"/>
          <w:spacing w:val="0"/>
          <w:sz w:val="24"/>
          <w:szCs w:val="24"/>
          <w:rtl/>
        </w:rPr>
      </w:pPr>
      <w:r>
        <w:rPr>
          <w:rFonts w:cs="David" w:hint="cs"/>
          <w:spacing w:val="0"/>
          <w:sz w:val="24"/>
          <w:szCs w:val="24"/>
          <w:rtl/>
        </w:rPr>
        <w:t>'</w:t>
      </w:r>
      <w:r w:rsidRPr="002A0FDE">
        <w:rPr>
          <w:rFonts w:cs="David" w:hint="cs"/>
          <w:spacing w:val="0"/>
          <w:sz w:val="24"/>
          <w:szCs w:val="24"/>
          <w:rtl/>
        </w:rPr>
        <w:t>המשיב חטא בהתנהגות אלימה שאך בדרך נס לא הסתיימה בתוצאה קשה יותר. הוא הפגין זלזול בחוק ובאנשים הממונים על אכיפתו, וגם אפשרות לפגיעה פיסית בשוטרים לא הרתיעה אותו. יותר מכך, המערער נהג ברכבו בפראות, בשעה הומה, בטבורה של עיר, ותוך שהוא מסכן את המשתמשים האחרים בדרך. חברה מתוקנת אינה יכולה להשלים ואסור לה להשלים עם בריונות ופריקת עול מסוג זה, ומקל וחומר שאין להשלים עם כך כאשר מדובר בתופעה שרבים חוטאים בה</w:t>
      </w:r>
      <w:r>
        <w:rPr>
          <w:rFonts w:cs="David" w:hint="cs"/>
          <w:spacing w:val="0"/>
          <w:sz w:val="24"/>
          <w:szCs w:val="24"/>
          <w:rtl/>
        </w:rPr>
        <w:t>'</w:t>
      </w:r>
      <w:r w:rsidRPr="002A0FDE">
        <w:rPr>
          <w:rFonts w:cs="David" w:hint="cs"/>
          <w:spacing w:val="0"/>
          <w:sz w:val="24"/>
          <w:szCs w:val="24"/>
          <w:rtl/>
        </w:rPr>
        <w:t xml:space="preserve">. (ראו גם: </w:t>
      </w:r>
      <w:hyperlink r:id="rId44" w:history="1">
        <w:r w:rsidR="000C73AC" w:rsidRPr="000C73AC">
          <w:rPr>
            <w:rFonts w:cs="David"/>
            <w:color w:val="0000FF"/>
            <w:spacing w:val="0"/>
            <w:sz w:val="24"/>
            <w:szCs w:val="24"/>
            <w:u w:val="single"/>
            <w:rtl/>
          </w:rPr>
          <w:t>ע"פ 217/04</w:t>
        </w:r>
      </w:hyperlink>
      <w:r w:rsidRPr="002A0FDE">
        <w:rPr>
          <w:rFonts w:cs="David" w:hint="cs"/>
          <w:spacing w:val="0"/>
          <w:sz w:val="24"/>
          <w:szCs w:val="24"/>
          <w:rtl/>
        </w:rPr>
        <w:t xml:space="preserve"> אלקורעאן נ' מדינת ישראל, סעיף 16 לפסק הדין (לא פורסם, 29.6.2005); </w:t>
      </w:r>
      <w:hyperlink r:id="rId45" w:history="1">
        <w:r w:rsidR="000C73AC" w:rsidRPr="000C73AC">
          <w:rPr>
            <w:rFonts w:cs="David"/>
            <w:color w:val="0000FF"/>
            <w:spacing w:val="0"/>
            <w:sz w:val="24"/>
            <w:szCs w:val="24"/>
            <w:u w:val="single"/>
            <w:rtl/>
          </w:rPr>
          <w:t>ע"פ 6444/09</w:t>
        </w:r>
      </w:hyperlink>
      <w:r w:rsidRPr="002A0FDE">
        <w:rPr>
          <w:rFonts w:cs="David" w:hint="cs"/>
          <w:spacing w:val="0"/>
          <w:sz w:val="24"/>
          <w:szCs w:val="24"/>
          <w:rtl/>
        </w:rPr>
        <w:t xml:space="preserve"> נאסאר נ' מדינת ישראל (לא פורסם, 22.3.2010); </w:t>
      </w:r>
      <w:hyperlink r:id="rId46" w:history="1">
        <w:r w:rsidR="000C73AC" w:rsidRPr="000C73AC">
          <w:rPr>
            <w:rFonts w:cs="David"/>
            <w:color w:val="0000FF"/>
            <w:spacing w:val="0"/>
            <w:sz w:val="24"/>
            <w:szCs w:val="24"/>
            <w:u w:val="single"/>
            <w:rtl/>
          </w:rPr>
          <w:t>ע"פ 6442/09</w:t>
        </w:r>
      </w:hyperlink>
      <w:r w:rsidRPr="002A0FDE">
        <w:rPr>
          <w:rFonts w:cs="David" w:hint="cs"/>
          <w:spacing w:val="0"/>
          <w:sz w:val="24"/>
          <w:szCs w:val="24"/>
          <w:rtl/>
        </w:rPr>
        <w:t xml:space="preserve"> אלחטיב נ' מדינת ישראל (לא פורסם, 24.2.2010); </w:t>
      </w:r>
      <w:hyperlink r:id="rId47" w:history="1">
        <w:r w:rsidR="000C73AC" w:rsidRPr="000C73AC">
          <w:rPr>
            <w:rFonts w:cs="David"/>
            <w:color w:val="0000FF"/>
            <w:spacing w:val="0"/>
            <w:sz w:val="24"/>
            <w:szCs w:val="24"/>
            <w:u w:val="single"/>
            <w:rtl/>
          </w:rPr>
          <w:t>ע"פ 965/10</w:t>
        </w:r>
      </w:hyperlink>
      <w:r w:rsidRPr="002A0FDE">
        <w:rPr>
          <w:rFonts w:cs="David" w:hint="cs"/>
          <w:spacing w:val="0"/>
          <w:sz w:val="24"/>
          <w:szCs w:val="24"/>
          <w:rtl/>
        </w:rPr>
        <w:t xml:space="preserve"> אגא נ' מדינת ישראל (לא פורסם, 28.7.2010))</w:t>
      </w:r>
      <w:r>
        <w:rPr>
          <w:rFonts w:cs="David" w:hint="cs"/>
          <w:spacing w:val="0"/>
          <w:sz w:val="24"/>
          <w:szCs w:val="24"/>
          <w:rtl/>
        </w:rPr>
        <w:t>"</w:t>
      </w:r>
      <w:r w:rsidRPr="002A0FDE">
        <w:rPr>
          <w:rFonts w:cs="David" w:hint="cs"/>
          <w:spacing w:val="0"/>
          <w:sz w:val="24"/>
          <w:szCs w:val="24"/>
          <w:rtl/>
        </w:rPr>
        <w:t>.</w:t>
      </w:r>
    </w:p>
    <w:p w14:paraId="3868D4AD" w14:textId="77777777" w:rsidR="0089227E" w:rsidRPr="002A0FDE" w:rsidRDefault="0089227E" w:rsidP="0089227E">
      <w:pPr>
        <w:pStyle w:val="Ruller4"/>
        <w:ind w:left="1655" w:right="1134"/>
        <w:rPr>
          <w:rFonts w:cs="David"/>
          <w:spacing w:val="0"/>
          <w:sz w:val="24"/>
          <w:szCs w:val="24"/>
          <w:rtl/>
        </w:rPr>
      </w:pPr>
    </w:p>
    <w:p w14:paraId="28B3B269" w14:textId="77777777" w:rsidR="0089227E" w:rsidRPr="00576ABF" w:rsidRDefault="0089227E" w:rsidP="0089227E">
      <w:pPr>
        <w:spacing w:after="240" w:line="360" w:lineRule="auto"/>
        <w:ind w:left="720"/>
        <w:jc w:val="both"/>
        <w:rPr>
          <w:rtl/>
        </w:rPr>
      </w:pPr>
      <w:r>
        <w:rPr>
          <w:rFonts w:hint="cs"/>
          <w:rtl/>
        </w:rPr>
        <w:t>שתי הפסיקות דלעיל אמנם התייחסו לעבירות של סיכון חיי אדם בנתיב תחבורה, ואולם אופי המעשים באותם מקרים דומה לענייננו עד מאד.</w:t>
      </w:r>
    </w:p>
    <w:p w14:paraId="10D03D84" w14:textId="77777777" w:rsidR="0089227E" w:rsidRDefault="0089227E" w:rsidP="0089227E">
      <w:pPr>
        <w:spacing w:after="240" w:line="360" w:lineRule="auto"/>
        <w:ind w:left="720" w:hanging="720"/>
        <w:jc w:val="both"/>
        <w:rPr>
          <w:rtl/>
        </w:rPr>
      </w:pPr>
      <w:r>
        <w:rPr>
          <w:rFonts w:hint="cs"/>
          <w:rtl/>
        </w:rPr>
        <w:t>36.</w:t>
      </w:r>
      <w:r>
        <w:rPr>
          <w:rFonts w:hint="cs"/>
          <w:rtl/>
        </w:rPr>
        <w:tab/>
        <w:t>נכון הוא שלא היה זה הנאשם מי שנהג בפועל באופנוע, ומכאן שחלקו בעבירה זו הוא פחוּת במקצת מזה של שותפו פאדי. יחד עם זאת, כפי שציינה המאשימה, יש לייחס חשיבות בהקשר זה לעובדה כי הנאשם עלה על האופנוע ביודעו כי שותפו, הנהג, אינו מחזיק ברישיון נהיגה, וכי הוא פעל מתוך אינטרס זהה להימלטות מהשוטרים.</w:t>
      </w:r>
    </w:p>
    <w:p w14:paraId="1FD49C7D" w14:textId="77777777" w:rsidR="0089227E" w:rsidRDefault="0089227E" w:rsidP="0089227E">
      <w:pPr>
        <w:spacing w:after="240" w:line="360" w:lineRule="auto"/>
        <w:ind w:left="720" w:hanging="720"/>
        <w:jc w:val="both"/>
        <w:rPr>
          <w:rtl/>
        </w:rPr>
      </w:pPr>
    </w:p>
    <w:p w14:paraId="3A842F58" w14:textId="77777777" w:rsidR="0089227E" w:rsidRDefault="0089227E" w:rsidP="0089227E">
      <w:pPr>
        <w:spacing w:after="240" w:line="360" w:lineRule="auto"/>
        <w:ind w:left="720" w:hanging="720"/>
        <w:jc w:val="both"/>
        <w:rPr>
          <w:rtl/>
        </w:rPr>
      </w:pPr>
      <w:r>
        <w:rPr>
          <w:rFonts w:hint="cs"/>
          <w:rtl/>
        </w:rPr>
        <w:t>37.</w:t>
      </w:r>
      <w:r>
        <w:rPr>
          <w:rFonts w:hint="cs"/>
          <w:rtl/>
        </w:rPr>
        <w:tab/>
        <w:t xml:space="preserve">אשר למדיניות הענישה הנוהגת במקרים דומים, כפי שציין הסנגור, אכן קיימים מקרים בהם נדונו נאשמים לענישה מקלה לרבות כזו שבגדרה נגזר מאסר שירוצה בעבודות שירות. יחד עם זאת, יש ליתן את הדעת לכך שבענייננו מדובר בצבר של מעשים עברייניים ולא באירוע תקיפה וגניבה אחד. ואם לא די בכך, הרי שמיד לאחר מעשי התקיפה והגניבה בוצעה עבירה חמורה לא פחות של  נהיגה פוחזת ומסוכנת. </w:t>
      </w:r>
    </w:p>
    <w:p w14:paraId="7C1904D4" w14:textId="77777777" w:rsidR="0089227E" w:rsidRDefault="0089227E" w:rsidP="0089227E">
      <w:pPr>
        <w:spacing w:after="240" w:line="360" w:lineRule="auto"/>
        <w:ind w:left="720" w:hanging="720"/>
        <w:jc w:val="both"/>
        <w:rPr>
          <w:rFonts w:ascii="Calibri" w:hAnsi="Calibri"/>
          <w:rtl/>
        </w:rPr>
      </w:pPr>
      <w:r>
        <w:rPr>
          <w:rFonts w:hint="cs"/>
          <w:rtl/>
        </w:rPr>
        <w:t>38.</w:t>
      </w:r>
      <w:r>
        <w:rPr>
          <w:rFonts w:hint="cs"/>
          <w:rtl/>
        </w:rPr>
        <w:tab/>
        <w:t>נוכח מקבץ האמור, אני רואה להעמיד את מתחם העונש הראוי בגין האירוע נשוא התיק העיקרי בטווח שבין  12 ל- 34</w:t>
      </w:r>
      <w:r>
        <w:rPr>
          <w:rFonts w:ascii="David" w:hAnsi="David" w:hint="cs"/>
          <w:rtl/>
        </w:rPr>
        <w:t xml:space="preserve"> חודשי מאסר, בצירוף עונשים נלווים</w:t>
      </w:r>
      <w:r>
        <w:rPr>
          <w:rFonts w:ascii="Calibri" w:hAnsi="Calibri" w:hint="cs"/>
          <w:rtl/>
        </w:rPr>
        <w:t>.</w:t>
      </w:r>
    </w:p>
    <w:p w14:paraId="66DB2C41" w14:textId="77777777" w:rsidR="0089227E" w:rsidRPr="00BD67F0" w:rsidRDefault="0089227E" w:rsidP="0089227E">
      <w:pPr>
        <w:spacing w:after="240" w:line="360" w:lineRule="auto"/>
        <w:ind w:left="720" w:hanging="720"/>
        <w:rPr>
          <w:rFonts w:ascii="Calibri" w:hAnsi="Calibri"/>
          <w:u w:val="single"/>
          <w:rtl/>
        </w:rPr>
      </w:pPr>
      <w:r w:rsidRPr="00BD67F0">
        <w:rPr>
          <w:rFonts w:ascii="Calibri" w:hAnsi="Calibri" w:hint="cs"/>
          <w:u w:val="single"/>
          <w:rtl/>
        </w:rPr>
        <w:t>ב. התיק הנלווה</w:t>
      </w:r>
    </w:p>
    <w:p w14:paraId="013DA18B" w14:textId="77777777" w:rsidR="0089227E" w:rsidRDefault="0089227E" w:rsidP="0089227E">
      <w:pPr>
        <w:spacing w:line="360" w:lineRule="auto"/>
        <w:ind w:left="720" w:hanging="720"/>
        <w:jc w:val="both"/>
        <w:rPr>
          <w:rFonts w:ascii="Calibri" w:hAnsi="Calibri"/>
          <w:sz w:val="22"/>
          <w:rtl/>
        </w:rPr>
      </w:pPr>
      <w:r>
        <w:rPr>
          <w:rFonts w:ascii="Calibri" w:hAnsi="Calibri" w:hint="cs"/>
          <w:sz w:val="22"/>
          <w:rtl/>
        </w:rPr>
        <w:t>39.</w:t>
      </w:r>
      <w:r>
        <w:rPr>
          <w:rFonts w:ascii="Calibri" w:hAnsi="Calibri" w:hint="cs"/>
          <w:sz w:val="22"/>
          <w:rtl/>
        </w:rPr>
        <w:tab/>
      </w:r>
      <w:r w:rsidRPr="002A0FDE">
        <w:rPr>
          <w:rFonts w:ascii="Calibri" w:hAnsi="Calibri" w:hint="eastAsia"/>
          <w:sz w:val="22"/>
          <w:rtl/>
        </w:rPr>
        <w:t>אף</w:t>
      </w:r>
      <w:r w:rsidRPr="002A0FDE">
        <w:rPr>
          <w:rFonts w:ascii="Calibri" w:hAnsi="Calibri"/>
          <w:sz w:val="22"/>
          <w:rtl/>
        </w:rPr>
        <w:t xml:space="preserve"> </w:t>
      </w:r>
      <w:r w:rsidRPr="002A0FDE">
        <w:rPr>
          <w:rFonts w:ascii="Calibri" w:hAnsi="Calibri" w:hint="eastAsia"/>
          <w:sz w:val="22"/>
          <w:rtl/>
        </w:rPr>
        <w:t>עבירות</w:t>
      </w:r>
      <w:r w:rsidRPr="002A0FDE">
        <w:rPr>
          <w:rFonts w:ascii="Calibri" w:hAnsi="Calibri"/>
          <w:sz w:val="22"/>
          <w:rtl/>
        </w:rPr>
        <w:t xml:space="preserve"> </w:t>
      </w:r>
      <w:r w:rsidRPr="002A0FDE">
        <w:rPr>
          <w:rFonts w:ascii="Calibri" w:hAnsi="Calibri" w:hint="eastAsia"/>
          <w:sz w:val="22"/>
          <w:rtl/>
        </w:rPr>
        <w:t>הסמים</w:t>
      </w:r>
      <w:r w:rsidRPr="002A0FDE">
        <w:rPr>
          <w:rFonts w:ascii="Calibri" w:hAnsi="Calibri"/>
          <w:sz w:val="22"/>
          <w:rtl/>
        </w:rPr>
        <w:t xml:space="preserve"> </w:t>
      </w:r>
      <w:r w:rsidRPr="002A0FDE">
        <w:rPr>
          <w:rFonts w:ascii="Calibri" w:hAnsi="Calibri" w:hint="eastAsia"/>
          <w:sz w:val="22"/>
          <w:rtl/>
        </w:rPr>
        <w:t>בהן</w:t>
      </w:r>
      <w:r w:rsidRPr="002A0FDE">
        <w:rPr>
          <w:rFonts w:ascii="Calibri" w:hAnsi="Calibri"/>
          <w:sz w:val="22"/>
          <w:rtl/>
        </w:rPr>
        <w:t xml:space="preserve"> </w:t>
      </w:r>
      <w:r w:rsidRPr="002A0FDE">
        <w:rPr>
          <w:rFonts w:ascii="Calibri" w:hAnsi="Calibri" w:hint="eastAsia"/>
          <w:sz w:val="22"/>
          <w:rtl/>
        </w:rPr>
        <w:t>הורשע</w:t>
      </w:r>
      <w:r w:rsidRPr="002A0FDE">
        <w:rPr>
          <w:rFonts w:ascii="Calibri" w:hAnsi="Calibri"/>
          <w:sz w:val="22"/>
          <w:rtl/>
        </w:rPr>
        <w:t xml:space="preserve"> </w:t>
      </w:r>
      <w:r w:rsidRPr="002A0FDE">
        <w:rPr>
          <w:rFonts w:ascii="Calibri" w:hAnsi="Calibri" w:hint="eastAsia"/>
          <w:sz w:val="22"/>
          <w:rtl/>
        </w:rPr>
        <w:t>הנאשם</w:t>
      </w:r>
      <w:r w:rsidRPr="002A0FDE">
        <w:rPr>
          <w:rFonts w:ascii="Calibri" w:hAnsi="Calibri"/>
          <w:sz w:val="22"/>
          <w:rtl/>
        </w:rPr>
        <w:t xml:space="preserve"> </w:t>
      </w:r>
      <w:r w:rsidRPr="002A0FDE">
        <w:rPr>
          <w:rFonts w:ascii="Calibri" w:hAnsi="Calibri" w:hint="eastAsia"/>
          <w:sz w:val="22"/>
          <w:rtl/>
        </w:rPr>
        <w:t>חמורות</w:t>
      </w:r>
      <w:r w:rsidRPr="002A0FDE">
        <w:rPr>
          <w:rFonts w:ascii="Calibri" w:hAnsi="Calibri"/>
          <w:sz w:val="22"/>
          <w:rtl/>
        </w:rPr>
        <w:t xml:space="preserve"> </w:t>
      </w:r>
      <w:r w:rsidRPr="002A0FDE">
        <w:rPr>
          <w:rFonts w:ascii="Calibri" w:hAnsi="Calibri" w:hint="eastAsia"/>
          <w:sz w:val="22"/>
          <w:rtl/>
        </w:rPr>
        <w:t>ומעידות</w:t>
      </w:r>
      <w:r w:rsidRPr="002A0FDE">
        <w:rPr>
          <w:rFonts w:ascii="Calibri" w:hAnsi="Calibri"/>
          <w:sz w:val="22"/>
          <w:rtl/>
        </w:rPr>
        <w:t xml:space="preserve"> </w:t>
      </w:r>
      <w:r w:rsidRPr="002A0FDE">
        <w:rPr>
          <w:rFonts w:ascii="Calibri" w:hAnsi="Calibri" w:hint="eastAsia"/>
          <w:sz w:val="22"/>
          <w:rtl/>
        </w:rPr>
        <w:t>על</w:t>
      </w:r>
      <w:r w:rsidRPr="002A0FDE">
        <w:rPr>
          <w:rFonts w:ascii="Calibri" w:hAnsi="Calibri"/>
          <w:sz w:val="22"/>
          <w:rtl/>
        </w:rPr>
        <w:t xml:space="preserve"> </w:t>
      </w:r>
      <w:r w:rsidRPr="002A0FDE">
        <w:rPr>
          <w:rFonts w:ascii="Calibri" w:hAnsi="Calibri" w:hint="eastAsia"/>
          <w:sz w:val="22"/>
          <w:rtl/>
        </w:rPr>
        <w:t>התנהלות</w:t>
      </w:r>
      <w:r w:rsidRPr="002A0FDE">
        <w:rPr>
          <w:rFonts w:ascii="Calibri" w:hAnsi="Calibri"/>
          <w:sz w:val="22"/>
          <w:rtl/>
        </w:rPr>
        <w:t xml:space="preserve"> </w:t>
      </w:r>
      <w:r w:rsidRPr="002A0FDE">
        <w:rPr>
          <w:rFonts w:ascii="Calibri" w:hAnsi="Calibri" w:hint="eastAsia"/>
          <w:sz w:val="22"/>
          <w:rtl/>
        </w:rPr>
        <w:t>עבריינית</w:t>
      </w:r>
      <w:r w:rsidRPr="002A0FDE">
        <w:rPr>
          <w:rFonts w:ascii="Calibri" w:hAnsi="Calibri"/>
          <w:sz w:val="22"/>
          <w:rtl/>
        </w:rPr>
        <w:t xml:space="preserve"> </w:t>
      </w:r>
      <w:r w:rsidRPr="002A0FDE">
        <w:rPr>
          <w:rFonts w:ascii="Calibri" w:hAnsi="Calibri" w:hint="eastAsia"/>
          <w:sz w:val="22"/>
          <w:rtl/>
        </w:rPr>
        <w:t>מובהקת</w:t>
      </w:r>
      <w:r w:rsidRPr="002A0FDE">
        <w:rPr>
          <w:rFonts w:ascii="Calibri" w:hAnsi="Calibri"/>
          <w:sz w:val="22"/>
          <w:rtl/>
        </w:rPr>
        <w:t xml:space="preserve">. </w:t>
      </w:r>
      <w:r w:rsidRPr="002A0FDE">
        <w:rPr>
          <w:rFonts w:ascii="Calibri" w:hAnsi="Calibri" w:hint="eastAsia"/>
          <w:sz w:val="22"/>
          <w:rtl/>
        </w:rPr>
        <w:t>הנאשם</w:t>
      </w:r>
      <w:r w:rsidRPr="002A0FDE">
        <w:rPr>
          <w:rFonts w:ascii="Calibri" w:hAnsi="Calibri"/>
          <w:sz w:val="22"/>
          <w:rtl/>
        </w:rPr>
        <w:t xml:space="preserve"> </w:t>
      </w:r>
      <w:r w:rsidRPr="002A0FDE">
        <w:rPr>
          <w:rFonts w:ascii="Calibri" w:hAnsi="Calibri" w:hint="eastAsia"/>
          <w:sz w:val="22"/>
          <w:rtl/>
        </w:rPr>
        <w:t>מכר</w:t>
      </w:r>
      <w:r w:rsidRPr="002A0FDE">
        <w:rPr>
          <w:rFonts w:ascii="Calibri" w:hAnsi="Calibri"/>
          <w:sz w:val="22"/>
          <w:rtl/>
        </w:rPr>
        <w:t xml:space="preserve"> </w:t>
      </w:r>
      <w:r w:rsidRPr="002A0FDE">
        <w:rPr>
          <w:rFonts w:ascii="Calibri" w:hAnsi="Calibri" w:hint="eastAsia"/>
          <w:sz w:val="22"/>
          <w:rtl/>
        </w:rPr>
        <w:t>ל</w:t>
      </w:r>
      <w:r>
        <w:rPr>
          <w:rFonts w:ascii="Calibri" w:hAnsi="Calibri" w:hint="cs"/>
          <w:sz w:val="22"/>
          <w:rtl/>
        </w:rPr>
        <w:t>סוכנת</w:t>
      </w:r>
      <w:r w:rsidRPr="002A0FDE">
        <w:rPr>
          <w:rFonts w:ascii="Calibri" w:hAnsi="Calibri"/>
          <w:sz w:val="22"/>
          <w:rtl/>
        </w:rPr>
        <w:t xml:space="preserve"> </w:t>
      </w:r>
      <w:r w:rsidRPr="002A0FDE">
        <w:rPr>
          <w:rFonts w:ascii="Calibri" w:hAnsi="Calibri" w:hint="eastAsia"/>
          <w:sz w:val="22"/>
          <w:rtl/>
        </w:rPr>
        <w:t>סמוי</w:t>
      </w:r>
      <w:r>
        <w:rPr>
          <w:rFonts w:ascii="Calibri" w:hAnsi="Calibri" w:hint="cs"/>
          <w:sz w:val="22"/>
          <w:rtl/>
        </w:rPr>
        <w:t>ה</w:t>
      </w:r>
      <w:r w:rsidRPr="002A0FDE">
        <w:rPr>
          <w:rFonts w:ascii="Calibri" w:hAnsi="Calibri"/>
          <w:sz w:val="22"/>
          <w:rtl/>
        </w:rPr>
        <w:t xml:space="preserve"> </w:t>
      </w:r>
      <w:r w:rsidRPr="002A0FDE">
        <w:rPr>
          <w:rFonts w:ascii="Calibri" w:hAnsi="Calibri" w:hint="eastAsia"/>
          <w:sz w:val="22"/>
          <w:rtl/>
        </w:rPr>
        <w:t>ב</w:t>
      </w:r>
      <w:r>
        <w:rPr>
          <w:rFonts w:ascii="Calibri" w:hAnsi="Calibri" w:hint="cs"/>
          <w:sz w:val="22"/>
          <w:rtl/>
        </w:rPr>
        <w:t>שתי</w:t>
      </w:r>
      <w:r w:rsidRPr="002A0FDE">
        <w:rPr>
          <w:rFonts w:ascii="Calibri" w:hAnsi="Calibri"/>
          <w:sz w:val="22"/>
          <w:rtl/>
        </w:rPr>
        <w:t xml:space="preserve"> </w:t>
      </w:r>
      <w:r w:rsidRPr="002A0FDE">
        <w:rPr>
          <w:rFonts w:ascii="Calibri" w:hAnsi="Calibri" w:hint="eastAsia"/>
          <w:sz w:val="22"/>
          <w:rtl/>
        </w:rPr>
        <w:t>הזדמנויות</w:t>
      </w:r>
      <w:r w:rsidRPr="002A0FDE">
        <w:rPr>
          <w:rFonts w:ascii="Calibri" w:hAnsi="Calibri"/>
          <w:sz w:val="22"/>
          <w:rtl/>
        </w:rPr>
        <w:t xml:space="preserve"> </w:t>
      </w:r>
      <w:r w:rsidRPr="002A0FDE">
        <w:rPr>
          <w:rFonts w:ascii="Calibri" w:hAnsi="Calibri" w:hint="eastAsia"/>
          <w:sz w:val="22"/>
          <w:rtl/>
        </w:rPr>
        <w:t>שונות</w:t>
      </w:r>
      <w:r w:rsidRPr="002A0FDE">
        <w:rPr>
          <w:rFonts w:ascii="Calibri" w:hAnsi="Calibri"/>
          <w:sz w:val="22"/>
          <w:rtl/>
        </w:rPr>
        <w:t xml:space="preserve"> </w:t>
      </w:r>
      <w:r w:rsidRPr="002A0FDE">
        <w:rPr>
          <w:rFonts w:ascii="Calibri" w:hAnsi="Calibri" w:hint="eastAsia"/>
          <w:sz w:val="22"/>
          <w:rtl/>
        </w:rPr>
        <w:t>סם</w:t>
      </w:r>
      <w:r w:rsidRPr="002A0FDE">
        <w:rPr>
          <w:rFonts w:ascii="Calibri" w:hAnsi="Calibri"/>
          <w:sz w:val="22"/>
          <w:rtl/>
        </w:rPr>
        <w:t xml:space="preserve"> </w:t>
      </w:r>
      <w:r w:rsidRPr="002A0FDE">
        <w:rPr>
          <w:rFonts w:ascii="Calibri" w:hAnsi="Calibri" w:hint="eastAsia"/>
          <w:sz w:val="22"/>
          <w:rtl/>
        </w:rPr>
        <w:t>מסוכן</w:t>
      </w:r>
      <w:r w:rsidRPr="002A0FDE">
        <w:rPr>
          <w:rFonts w:ascii="Calibri" w:hAnsi="Calibri"/>
          <w:sz w:val="22"/>
          <w:rtl/>
        </w:rPr>
        <w:t xml:space="preserve"> </w:t>
      </w:r>
      <w:r w:rsidRPr="002A0FDE">
        <w:rPr>
          <w:rFonts w:ascii="Calibri" w:hAnsi="Calibri" w:hint="eastAsia"/>
          <w:sz w:val="22"/>
          <w:rtl/>
        </w:rPr>
        <w:t>מסוג</w:t>
      </w:r>
      <w:r w:rsidRPr="002A0FDE">
        <w:rPr>
          <w:rFonts w:ascii="Calibri" w:hAnsi="Calibri"/>
          <w:sz w:val="22"/>
          <w:rtl/>
        </w:rPr>
        <w:t xml:space="preserve"> </w:t>
      </w:r>
      <w:r w:rsidRPr="002A0FDE">
        <w:rPr>
          <w:rFonts w:ascii="Calibri" w:hAnsi="Calibri" w:hint="eastAsia"/>
          <w:sz w:val="22"/>
          <w:rtl/>
        </w:rPr>
        <w:t>חשיש</w:t>
      </w:r>
      <w:r w:rsidRPr="002A0FDE">
        <w:rPr>
          <w:rFonts w:ascii="Calibri" w:hAnsi="Calibri"/>
          <w:sz w:val="22"/>
          <w:rtl/>
        </w:rPr>
        <w:t xml:space="preserve"> </w:t>
      </w:r>
      <w:r w:rsidRPr="002A0FDE">
        <w:rPr>
          <w:rFonts w:ascii="Calibri" w:hAnsi="Calibri" w:hint="eastAsia"/>
          <w:sz w:val="22"/>
          <w:rtl/>
        </w:rPr>
        <w:t>במשקל</w:t>
      </w:r>
      <w:r w:rsidRPr="002A0FDE">
        <w:rPr>
          <w:rFonts w:ascii="Calibri" w:hAnsi="Calibri"/>
          <w:sz w:val="22"/>
          <w:rtl/>
        </w:rPr>
        <w:t xml:space="preserve"> </w:t>
      </w:r>
      <w:r w:rsidRPr="002A0FDE">
        <w:rPr>
          <w:rFonts w:ascii="Calibri" w:hAnsi="Calibri" w:hint="eastAsia"/>
          <w:sz w:val="22"/>
          <w:rtl/>
        </w:rPr>
        <w:t>כולל</w:t>
      </w:r>
      <w:r w:rsidRPr="002A0FDE">
        <w:rPr>
          <w:rFonts w:ascii="Calibri" w:hAnsi="Calibri"/>
          <w:sz w:val="22"/>
          <w:rtl/>
        </w:rPr>
        <w:t xml:space="preserve"> </w:t>
      </w:r>
      <w:r w:rsidRPr="002A0FDE">
        <w:rPr>
          <w:rFonts w:ascii="Calibri" w:hAnsi="Calibri" w:hint="eastAsia"/>
          <w:sz w:val="22"/>
          <w:rtl/>
        </w:rPr>
        <w:t>של</w:t>
      </w:r>
      <w:r w:rsidRPr="002A0FDE">
        <w:rPr>
          <w:rFonts w:ascii="Calibri" w:hAnsi="Calibri"/>
          <w:sz w:val="22"/>
          <w:rtl/>
        </w:rPr>
        <w:t xml:space="preserve"> </w:t>
      </w:r>
      <w:r>
        <w:rPr>
          <w:rFonts w:ascii="Calibri" w:hAnsi="Calibri" w:hint="cs"/>
          <w:sz w:val="22"/>
          <w:rtl/>
        </w:rPr>
        <w:t xml:space="preserve">18.88 </w:t>
      </w:r>
      <w:r w:rsidRPr="002A0FDE">
        <w:rPr>
          <w:rFonts w:ascii="Calibri" w:hAnsi="Calibri" w:hint="eastAsia"/>
          <w:sz w:val="22"/>
          <w:rtl/>
        </w:rPr>
        <w:t>גרם</w:t>
      </w:r>
      <w:r w:rsidRPr="002A0FDE">
        <w:rPr>
          <w:rFonts w:ascii="Calibri" w:hAnsi="Calibri"/>
          <w:sz w:val="22"/>
          <w:rtl/>
        </w:rPr>
        <w:t xml:space="preserve"> </w:t>
      </w:r>
      <w:r w:rsidRPr="002A0FDE">
        <w:rPr>
          <w:rFonts w:ascii="Calibri" w:hAnsi="Calibri" w:hint="eastAsia"/>
          <w:sz w:val="22"/>
          <w:rtl/>
        </w:rPr>
        <w:t>נטו</w:t>
      </w:r>
      <w:r w:rsidRPr="002A0FDE">
        <w:rPr>
          <w:rFonts w:ascii="Calibri" w:hAnsi="Calibri"/>
          <w:sz w:val="22"/>
          <w:rtl/>
        </w:rPr>
        <w:t xml:space="preserve">. </w:t>
      </w:r>
      <w:r>
        <w:rPr>
          <w:rFonts w:ascii="Calibri" w:hAnsi="Calibri" w:hint="cs"/>
          <w:sz w:val="22"/>
          <w:rtl/>
        </w:rPr>
        <w:t xml:space="preserve">התנהלותו של הנאשם, כפי שהיא משתקפת מעובדות כתב האישום בתיק הנלווה, מעידה </w:t>
      </w:r>
      <w:r w:rsidRPr="002A0FDE">
        <w:rPr>
          <w:rFonts w:ascii="Calibri" w:hAnsi="Calibri" w:hint="eastAsia"/>
          <w:sz w:val="22"/>
          <w:rtl/>
        </w:rPr>
        <w:t>על</w:t>
      </w:r>
      <w:r w:rsidRPr="002A0FDE">
        <w:rPr>
          <w:rFonts w:ascii="Calibri" w:hAnsi="Calibri"/>
          <w:sz w:val="22"/>
          <w:rtl/>
        </w:rPr>
        <w:t xml:space="preserve"> </w:t>
      </w:r>
      <w:r w:rsidRPr="002A0FDE">
        <w:rPr>
          <w:rFonts w:ascii="Calibri" w:hAnsi="Calibri" w:hint="eastAsia"/>
          <w:sz w:val="22"/>
          <w:rtl/>
        </w:rPr>
        <w:t>קשריו</w:t>
      </w:r>
      <w:r w:rsidRPr="002A0FDE">
        <w:rPr>
          <w:rFonts w:ascii="Calibri" w:hAnsi="Calibri"/>
          <w:sz w:val="22"/>
          <w:rtl/>
        </w:rPr>
        <w:t xml:space="preserve"> </w:t>
      </w:r>
      <w:r w:rsidRPr="002A0FDE">
        <w:rPr>
          <w:rFonts w:ascii="Calibri" w:hAnsi="Calibri" w:hint="eastAsia"/>
          <w:sz w:val="22"/>
          <w:rtl/>
        </w:rPr>
        <w:t>עם</w:t>
      </w:r>
      <w:r w:rsidRPr="002A0FDE">
        <w:rPr>
          <w:rFonts w:ascii="Calibri" w:hAnsi="Calibri"/>
          <w:sz w:val="22"/>
          <w:rtl/>
        </w:rPr>
        <w:t xml:space="preserve"> </w:t>
      </w:r>
      <w:r w:rsidRPr="002A0FDE">
        <w:rPr>
          <w:rFonts w:ascii="Calibri" w:hAnsi="Calibri" w:hint="eastAsia"/>
          <w:sz w:val="22"/>
          <w:rtl/>
        </w:rPr>
        <w:t>העולם</w:t>
      </w:r>
      <w:r w:rsidRPr="002A0FDE">
        <w:rPr>
          <w:rFonts w:ascii="Calibri" w:hAnsi="Calibri"/>
          <w:sz w:val="22"/>
          <w:rtl/>
        </w:rPr>
        <w:t xml:space="preserve"> </w:t>
      </w:r>
      <w:r w:rsidRPr="002A0FDE">
        <w:rPr>
          <w:rFonts w:ascii="Calibri" w:hAnsi="Calibri" w:hint="eastAsia"/>
          <w:sz w:val="22"/>
          <w:rtl/>
        </w:rPr>
        <w:t>העברייני</w:t>
      </w:r>
      <w:r w:rsidRPr="002A0FDE">
        <w:rPr>
          <w:rFonts w:ascii="Calibri" w:hAnsi="Calibri"/>
          <w:sz w:val="22"/>
          <w:rtl/>
        </w:rPr>
        <w:t>.</w:t>
      </w:r>
      <w:r>
        <w:rPr>
          <w:rFonts w:ascii="Calibri" w:hAnsi="Calibri" w:hint="cs"/>
          <w:sz w:val="22"/>
          <w:rtl/>
        </w:rPr>
        <w:t xml:space="preserve"> </w:t>
      </w:r>
    </w:p>
    <w:p w14:paraId="346B0280" w14:textId="77777777" w:rsidR="0089227E" w:rsidRDefault="0089227E" w:rsidP="0089227E">
      <w:pPr>
        <w:spacing w:line="360" w:lineRule="auto"/>
        <w:ind w:left="720" w:hanging="720"/>
        <w:rPr>
          <w:rFonts w:ascii="Calibri" w:hAnsi="Calibri"/>
          <w:sz w:val="22"/>
          <w:rtl/>
        </w:rPr>
      </w:pPr>
    </w:p>
    <w:p w14:paraId="084BBA67" w14:textId="77777777" w:rsidR="0089227E" w:rsidRPr="00ED10F1" w:rsidRDefault="0089227E" w:rsidP="0089227E">
      <w:pPr>
        <w:spacing w:line="360" w:lineRule="auto"/>
        <w:ind w:left="720"/>
        <w:jc w:val="both"/>
        <w:rPr>
          <w:rFonts w:ascii="Calibri" w:hAnsi="Calibri"/>
          <w:sz w:val="22"/>
        </w:rPr>
      </w:pPr>
      <w:r w:rsidRPr="00ED10F1">
        <w:rPr>
          <w:rFonts w:hint="cs"/>
          <w:rtl/>
        </w:rPr>
        <w:t xml:space="preserve">הערכים המוגנים </w:t>
      </w:r>
      <w:r>
        <w:rPr>
          <w:rFonts w:ascii="Calibri" w:hAnsi="Calibri" w:hint="cs"/>
          <w:sz w:val="22"/>
          <w:rtl/>
        </w:rPr>
        <w:t xml:space="preserve">שנפגעו כתוצאה מביצוע </w:t>
      </w:r>
      <w:r w:rsidRPr="00ED10F1">
        <w:rPr>
          <w:rFonts w:ascii="Calibri" w:hAnsi="Calibri" w:hint="cs"/>
          <w:sz w:val="22"/>
          <w:rtl/>
        </w:rPr>
        <w:t xml:space="preserve">עבירות </w:t>
      </w:r>
      <w:r>
        <w:rPr>
          <w:rFonts w:ascii="Calibri" w:hAnsi="Calibri" w:hint="cs"/>
          <w:sz w:val="22"/>
          <w:rtl/>
        </w:rPr>
        <w:t>ה</w:t>
      </w:r>
      <w:r w:rsidRPr="00ED10F1">
        <w:rPr>
          <w:rFonts w:ascii="Calibri" w:hAnsi="Calibri" w:hint="cs"/>
          <w:sz w:val="22"/>
          <w:rtl/>
        </w:rPr>
        <w:t>סחר בסמים, עני</w:t>
      </w:r>
      <w:r w:rsidRPr="00ED10F1">
        <w:rPr>
          <w:rFonts w:hint="cs"/>
          <w:rtl/>
        </w:rPr>
        <w:t xml:space="preserve">ינם </w:t>
      </w:r>
      <w:r>
        <w:rPr>
          <w:rFonts w:hint="cs"/>
          <w:rtl/>
        </w:rPr>
        <w:t>ב</w:t>
      </w:r>
      <w:r w:rsidRPr="00ED10F1">
        <w:rPr>
          <w:rFonts w:hint="cs"/>
          <w:rtl/>
        </w:rPr>
        <w:t xml:space="preserve">שמירה על </w:t>
      </w:r>
      <w:r>
        <w:rPr>
          <w:rFonts w:hint="cs"/>
          <w:rtl/>
        </w:rPr>
        <w:t xml:space="preserve">שלומם ובריאותם </w:t>
      </w:r>
      <w:r w:rsidRPr="00ED10F1">
        <w:rPr>
          <w:rFonts w:hint="cs"/>
          <w:rtl/>
        </w:rPr>
        <w:t xml:space="preserve">של </w:t>
      </w:r>
      <w:r>
        <w:rPr>
          <w:rFonts w:hint="cs"/>
          <w:rtl/>
        </w:rPr>
        <w:t>צרכני ה</w:t>
      </w:r>
      <w:r w:rsidRPr="00ED10F1">
        <w:rPr>
          <w:rFonts w:hint="cs"/>
          <w:rtl/>
        </w:rPr>
        <w:t xml:space="preserve">סמים, כמו גם שמירה </w:t>
      </w:r>
      <w:r>
        <w:rPr>
          <w:rFonts w:hint="cs"/>
          <w:rtl/>
        </w:rPr>
        <w:t xml:space="preserve">על שלומו וביטחונו של כלל הציבור. זאת, בין היתר, </w:t>
      </w:r>
      <w:r w:rsidRPr="00ED10F1">
        <w:rPr>
          <w:rFonts w:hint="cs"/>
          <w:rtl/>
        </w:rPr>
        <w:t xml:space="preserve">נוכח </w:t>
      </w:r>
      <w:r>
        <w:rPr>
          <w:rFonts w:hint="cs"/>
          <w:rtl/>
        </w:rPr>
        <w:t>ה</w:t>
      </w:r>
      <w:r w:rsidRPr="00ED10F1">
        <w:rPr>
          <w:rFonts w:hint="cs"/>
          <w:rtl/>
        </w:rPr>
        <w:t xml:space="preserve">נזקים </w:t>
      </w:r>
      <w:r>
        <w:rPr>
          <w:rFonts w:hint="cs"/>
          <w:rtl/>
        </w:rPr>
        <w:t>ה</w:t>
      </w:r>
      <w:r w:rsidRPr="00ED10F1">
        <w:rPr>
          <w:rFonts w:hint="cs"/>
          <w:rtl/>
        </w:rPr>
        <w:t>חברתיים ו</w:t>
      </w:r>
      <w:r>
        <w:rPr>
          <w:rFonts w:hint="cs"/>
          <w:rtl/>
        </w:rPr>
        <w:t>ה</w:t>
      </w:r>
      <w:r w:rsidRPr="00ED10F1">
        <w:rPr>
          <w:rFonts w:hint="cs"/>
          <w:rtl/>
        </w:rPr>
        <w:t xml:space="preserve">כלכליים </w:t>
      </w:r>
      <w:r>
        <w:rPr>
          <w:rFonts w:hint="cs"/>
          <w:rtl/>
        </w:rPr>
        <w:t>ה</w:t>
      </w:r>
      <w:r w:rsidRPr="00ED10F1">
        <w:rPr>
          <w:rFonts w:hint="cs"/>
          <w:rtl/>
        </w:rPr>
        <w:t xml:space="preserve">עקיפים הנלווים לעבירות אלה, </w:t>
      </w:r>
      <w:r>
        <w:rPr>
          <w:rFonts w:hint="cs"/>
          <w:rtl/>
        </w:rPr>
        <w:t xml:space="preserve">לרבות </w:t>
      </w:r>
      <w:r w:rsidRPr="00ED10F1">
        <w:rPr>
          <w:rFonts w:hint="cs"/>
          <w:rtl/>
        </w:rPr>
        <w:t xml:space="preserve">עבירות רכוש. </w:t>
      </w:r>
    </w:p>
    <w:p w14:paraId="5C3AAE7C" w14:textId="77777777" w:rsidR="0089227E" w:rsidRPr="002A0FDE" w:rsidRDefault="0089227E" w:rsidP="0089227E">
      <w:pPr>
        <w:spacing w:line="360" w:lineRule="auto"/>
        <w:ind w:left="567" w:hanging="567"/>
        <w:rPr>
          <w:rFonts w:ascii="Calibri" w:hAnsi="Calibri"/>
          <w:sz w:val="22"/>
          <w:rtl/>
        </w:rPr>
      </w:pPr>
      <w:r w:rsidRPr="002A0FDE">
        <w:rPr>
          <w:rFonts w:ascii="Calibri" w:hAnsi="Calibri"/>
          <w:sz w:val="22"/>
          <w:rtl/>
        </w:rPr>
        <w:tab/>
      </w:r>
    </w:p>
    <w:p w14:paraId="5244C1EB" w14:textId="77777777" w:rsidR="0089227E" w:rsidRPr="002A0FDE" w:rsidRDefault="0089227E" w:rsidP="0089227E">
      <w:pPr>
        <w:spacing w:line="360" w:lineRule="auto"/>
        <w:ind w:left="720"/>
        <w:jc w:val="both"/>
        <w:rPr>
          <w:rFonts w:ascii="Calibri" w:hAnsi="Calibri"/>
          <w:sz w:val="22"/>
          <w:rtl/>
        </w:rPr>
      </w:pPr>
      <w:r w:rsidRPr="002A0FDE">
        <w:rPr>
          <w:rFonts w:ascii="Calibri" w:hAnsi="Calibri" w:hint="eastAsia"/>
          <w:sz w:val="22"/>
          <w:rtl/>
        </w:rPr>
        <w:t>על</w:t>
      </w:r>
      <w:r w:rsidRPr="002A0FDE">
        <w:rPr>
          <w:rFonts w:ascii="Calibri" w:hAnsi="Calibri"/>
          <w:sz w:val="22"/>
          <w:rtl/>
        </w:rPr>
        <w:t xml:space="preserve"> </w:t>
      </w:r>
      <w:r>
        <w:rPr>
          <w:rFonts w:ascii="Calibri" w:hAnsi="Calibri" w:hint="eastAsia"/>
          <w:sz w:val="22"/>
          <w:rtl/>
        </w:rPr>
        <w:t>חומרת</w:t>
      </w:r>
      <w:r>
        <w:rPr>
          <w:rFonts w:ascii="Calibri" w:hAnsi="Calibri" w:hint="cs"/>
          <w:sz w:val="22"/>
          <w:rtl/>
        </w:rPr>
        <w:t xml:space="preserve"> </w:t>
      </w:r>
      <w:r w:rsidRPr="002A0FDE">
        <w:rPr>
          <w:rFonts w:ascii="Calibri" w:hAnsi="Calibri" w:hint="eastAsia"/>
          <w:sz w:val="22"/>
          <w:rtl/>
        </w:rPr>
        <w:t>העבירה</w:t>
      </w:r>
      <w:r w:rsidRPr="002A0FDE">
        <w:rPr>
          <w:rFonts w:ascii="Calibri" w:hAnsi="Calibri"/>
          <w:sz w:val="22"/>
          <w:rtl/>
        </w:rPr>
        <w:t xml:space="preserve"> </w:t>
      </w:r>
      <w:r>
        <w:rPr>
          <w:rFonts w:ascii="Calibri" w:hAnsi="Calibri" w:hint="cs"/>
          <w:sz w:val="22"/>
          <w:rtl/>
        </w:rPr>
        <w:t>שעניינה</w:t>
      </w:r>
      <w:r w:rsidRPr="002A0FDE">
        <w:rPr>
          <w:rFonts w:ascii="Calibri" w:hAnsi="Calibri"/>
          <w:sz w:val="22"/>
          <w:rtl/>
        </w:rPr>
        <w:t xml:space="preserve"> </w:t>
      </w:r>
      <w:r w:rsidRPr="002A0FDE">
        <w:rPr>
          <w:rFonts w:ascii="Calibri" w:hAnsi="Calibri" w:hint="eastAsia"/>
          <w:sz w:val="22"/>
          <w:rtl/>
        </w:rPr>
        <w:t>מסחר</w:t>
      </w:r>
      <w:r w:rsidRPr="002A0FDE">
        <w:rPr>
          <w:rFonts w:ascii="Calibri" w:hAnsi="Calibri"/>
          <w:sz w:val="22"/>
          <w:rtl/>
        </w:rPr>
        <w:t xml:space="preserve"> </w:t>
      </w:r>
      <w:r w:rsidRPr="002A0FDE">
        <w:rPr>
          <w:rFonts w:ascii="Calibri" w:hAnsi="Calibri" w:hint="eastAsia"/>
          <w:sz w:val="22"/>
          <w:rtl/>
        </w:rPr>
        <w:t>והספקת</w:t>
      </w:r>
      <w:r w:rsidRPr="002A0FDE">
        <w:rPr>
          <w:rFonts w:ascii="Calibri" w:hAnsi="Calibri"/>
          <w:sz w:val="22"/>
          <w:rtl/>
        </w:rPr>
        <w:t xml:space="preserve"> </w:t>
      </w:r>
      <w:r w:rsidRPr="002A0FDE">
        <w:rPr>
          <w:rFonts w:ascii="Calibri" w:hAnsi="Calibri" w:hint="eastAsia"/>
          <w:sz w:val="22"/>
          <w:rtl/>
        </w:rPr>
        <w:t>סמים</w:t>
      </w:r>
      <w:r w:rsidRPr="002A0FDE">
        <w:rPr>
          <w:rFonts w:ascii="Calibri" w:hAnsi="Calibri"/>
          <w:sz w:val="22"/>
          <w:rtl/>
        </w:rPr>
        <w:t xml:space="preserve"> </w:t>
      </w:r>
      <w:r w:rsidRPr="002A0FDE">
        <w:rPr>
          <w:rFonts w:ascii="Calibri" w:hAnsi="Calibri" w:hint="eastAsia"/>
          <w:sz w:val="22"/>
          <w:rtl/>
        </w:rPr>
        <w:t>מסוכנים</w:t>
      </w:r>
      <w:r w:rsidRPr="002A0FDE">
        <w:rPr>
          <w:rFonts w:ascii="Calibri" w:hAnsi="Calibri"/>
          <w:sz w:val="22"/>
          <w:rtl/>
        </w:rPr>
        <w:t xml:space="preserve"> </w:t>
      </w:r>
      <w:r w:rsidRPr="002A0FDE">
        <w:rPr>
          <w:rFonts w:ascii="Calibri" w:hAnsi="Calibri" w:hint="eastAsia"/>
          <w:sz w:val="22"/>
          <w:rtl/>
        </w:rPr>
        <w:t>אין</w:t>
      </w:r>
      <w:r w:rsidRPr="002A0FDE">
        <w:rPr>
          <w:rFonts w:ascii="Calibri" w:hAnsi="Calibri"/>
          <w:sz w:val="22"/>
          <w:rtl/>
        </w:rPr>
        <w:t xml:space="preserve"> </w:t>
      </w:r>
      <w:r w:rsidRPr="002A0FDE">
        <w:rPr>
          <w:rFonts w:ascii="Calibri" w:hAnsi="Calibri" w:hint="eastAsia"/>
          <w:sz w:val="22"/>
          <w:rtl/>
        </w:rPr>
        <w:t>צורך</w:t>
      </w:r>
      <w:r w:rsidRPr="002A0FDE">
        <w:rPr>
          <w:rFonts w:ascii="Calibri" w:hAnsi="Calibri"/>
          <w:sz w:val="22"/>
          <w:rtl/>
        </w:rPr>
        <w:t xml:space="preserve"> </w:t>
      </w:r>
      <w:r w:rsidRPr="002A0FDE">
        <w:rPr>
          <w:rFonts w:ascii="Calibri" w:hAnsi="Calibri" w:hint="eastAsia"/>
          <w:sz w:val="22"/>
          <w:rtl/>
        </w:rPr>
        <w:t>להכביר</w:t>
      </w:r>
      <w:r w:rsidRPr="002A0FDE">
        <w:rPr>
          <w:rFonts w:ascii="Calibri" w:hAnsi="Calibri"/>
          <w:sz w:val="22"/>
          <w:rtl/>
        </w:rPr>
        <w:t xml:space="preserve"> </w:t>
      </w:r>
      <w:r w:rsidRPr="002A0FDE">
        <w:rPr>
          <w:rFonts w:ascii="Calibri" w:hAnsi="Calibri" w:hint="eastAsia"/>
          <w:sz w:val="22"/>
          <w:rtl/>
        </w:rPr>
        <w:t>מילים</w:t>
      </w:r>
      <w:r w:rsidRPr="002A0FDE">
        <w:rPr>
          <w:rFonts w:ascii="Calibri" w:hAnsi="Calibri"/>
          <w:sz w:val="22"/>
          <w:rtl/>
        </w:rPr>
        <w:t xml:space="preserve">. </w:t>
      </w:r>
      <w:r w:rsidRPr="002A0FDE">
        <w:rPr>
          <w:rFonts w:ascii="Calibri" w:hAnsi="Calibri" w:hint="eastAsia"/>
          <w:sz w:val="22"/>
          <w:rtl/>
        </w:rPr>
        <w:t>ב</w:t>
      </w:r>
      <w:hyperlink r:id="rId48" w:history="1">
        <w:r w:rsidR="000C73AC" w:rsidRPr="000C73AC">
          <w:rPr>
            <w:rFonts w:ascii="Calibri" w:hAnsi="Calibri" w:hint="eastAsia"/>
            <w:color w:val="0000FF"/>
            <w:sz w:val="22"/>
            <w:u w:val="single"/>
            <w:rtl/>
          </w:rPr>
          <w:t>ע</w:t>
        </w:r>
        <w:r w:rsidR="000C73AC" w:rsidRPr="000C73AC">
          <w:rPr>
            <w:rFonts w:ascii="Calibri" w:hAnsi="Calibri"/>
            <w:color w:val="0000FF"/>
            <w:sz w:val="22"/>
            <w:u w:val="single"/>
            <w:rtl/>
          </w:rPr>
          <w:t>"</w:t>
        </w:r>
        <w:r w:rsidR="000C73AC" w:rsidRPr="000C73AC">
          <w:rPr>
            <w:rFonts w:ascii="Calibri" w:hAnsi="Calibri" w:hint="eastAsia"/>
            <w:color w:val="0000FF"/>
            <w:sz w:val="22"/>
            <w:u w:val="single"/>
            <w:rtl/>
          </w:rPr>
          <w:t>פ</w:t>
        </w:r>
        <w:r w:rsidR="000C73AC" w:rsidRPr="000C73AC">
          <w:rPr>
            <w:rFonts w:ascii="Calibri" w:hAnsi="Calibri"/>
            <w:color w:val="0000FF"/>
            <w:sz w:val="22"/>
            <w:u w:val="single"/>
            <w:rtl/>
          </w:rPr>
          <w:t xml:space="preserve"> 211/09</w:t>
        </w:r>
      </w:hyperlink>
      <w:r w:rsidRPr="002A0FDE">
        <w:rPr>
          <w:rFonts w:ascii="Calibri" w:hAnsi="Calibri"/>
          <w:sz w:val="22"/>
          <w:rtl/>
        </w:rPr>
        <w:t xml:space="preserve"> </w:t>
      </w:r>
      <w:r w:rsidRPr="002A0FDE">
        <w:rPr>
          <w:rFonts w:ascii="Calibri" w:hAnsi="Calibri" w:hint="eastAsia"/>
          <w:b/>
          <w:bCs/>
          <w:sz w:val="22"/>
          <w:rtl/>
        </w:rPr>
        <w:t>אזולאי</w:t>
      </w:r>
      <w:r w:rsidRPr="002A0FDE">
        <w:rPr>
          <w:rFonts w:ascii="Calibri" w:hAnsi="Calibri"/>
          <w:b/>
          <w:bCs/>
          <w:sz w:val="22"/>
          <w:rtl/>
        </w:rPr>
        <w:t xml:space="preserve"> </w:t>
      </w:r>
      <w:r w:rsidRPr="002A0FDE">
        <w:rPr>
          <w:rFonts w:ascii="Calibri" w:hAnsi="Calibri" w:hint="eastAsia"/>
          <w:b/>
          <w:bCs/>
          <w:sz w:val="22"/>
          <w:rtl/>
        </w:rPr>
        <w:t>נ</w:t>
      </w:r>
      <w:r w:rsidRPr="002A0FDE">
        <w:rPr>
          <w:rFonts w:ascii="Calibri" w:hAnsi="Calibri"/>
          <w:b/>
          <w:bCs/>
          <w:sz w:val="22"/>
          <w:rtl/>
        </w:rPr>
        <w:t xml:space="preserve">' </w:t>
      </w:r>
      <w:r w:rsidRPr="002A0FDE">
        <w:rPr>
          <w:rFonts w:ascii="Calibri" w:hAnsi="Calibri" w:hint="eastAsia"/>
          <w:b/>
          <w:bCs/>
          <w:sz w:val="22"/>
          <w:rtl/>
        </w:rPr>
        <w:t>מדינת</w:t>
      </w:r>
      <w:r w:rsidRPr="002A0FDE">
        <w:rPr>
          <w:rFonts w:ascii="Calibri" w:hAnsi="Calibri"/>
          <w:b/>
          <w:bCs/>
          <w:sz w:val="22"/>
          <w:rtl/>
        </w:rPr>
        <w:t xml:space="preserve"> </w:t>
      </w:r>
      <w:r w:rsidRPr="002A0FDE">
        <w:rPr>
          <w:rFonts w:ascii="Calibri" w:hAnsi="Calibri" w:hint="eastAsia"/>
          <w:b/>
          <w:bCs/>
          <w:sz w:val="22"/>
          <w:rtl/>
        </w:rPr>
        <w:t>ישראל</w:t>
      </w:r>
      <w:r w:rsidRPr="002A0FDE">
        <w:rPr>
          <w:rFonts w:ascii="Calibri" w:hAnsi="Calibri"/>
          <w:sz w:val="22"/>
          <w:rtl/>
        </w:rPr>
        <w:t xml:space="preserve"> (26.10.2010) </w:t>
      </w:r>
      <w:r w:rsidRPr="002A0FDE">
        <w:rPr>
          <w:rFonts w:ascii="Calibri" w:hAnsi="Calibri" w:hint="eastAsia"/>
          <w:sz w:val="22"/>
          <w:rtl/>
        </w:rPr>
        <w:t>נאמר</w:t>
      </w:r>
      <w:r w:rsidRPr="002A0FDE">
        <w:rPr>
          <w:rFonts w:ascii="Calibri" w:hAnsi="Calibri"/>
          <w:sz w:val="22"/>
          <w:rtl/>
        </w:rPr>
        <w:t xml:space="preserve"> </w:t>
      </w:r>
      <w:r w:rsidRPr="002A0FDE">
        <w:rPr>
          <w:rFonts w:ascii="Calibri" w:hAnsi="Calibri" w:hint="eastAsia"/>
          <w:sz w:val="22"/>
          <w:rtl/>
        </w:rPr>
        <w:t>כי</w:t>
      </w:r>
      <w:r w:rsidRPr="002A0FDE">
        <w:rPr>
          <w:rFonts w:ascii="Calibri" w:hAnsi="Calibri"/>
          <w:sz w:val="22"/>
          <w:rtl/>
        </w:rPr>
        <w:t>:</w:t>
      </w:r>
    </w:p>
    <w:p w14:paraId="32D04810" w14:textId="77777777" w:rsidR="0089227E" w:rsidRPr="00CA49A2" w:rsidRDefault="0089227E" w:rsidP="0089227E">
      <w:pPr>
        <w:spacing w:line="360" w:lineRule="auto"/>
        <w:ind w:left="567" w:hanging="567"/>
        <w:rPr>
          <w:rFonts w:ascii="Calibri" w:hAnsi="Calibri"/>
          <w:sz w:val="12"/>
          <w:szCs w:val="12"/>
          <w:rtl/>
        </w:rPr>
      </w:pPr>
    </w:p>
    <w:p w14:paraId="7B6952AB" w14:textId="77777777" w:rsidR="0089227E" w:rsidRPr="002A0FDE" w:rsidRDefault="0089227E" w:rsidP="0089227E">
      <w:pPr>
        <w:spacing w:line="360" w:lineRule="auto"/>
        <w:ind w:left="1418" w:right="1418"/>
        <w:jc w:val="both"/>
        <w:rPr>
          <w:rtl/>
        </w:rPr>
      </w:pPr>
      <w:r w:rsidRPr="002A0FDE">
        <w:rPr>
          <w:rtl/>
        </w:rPr>
        <w:t xml:space="preserve">"הענישה בעבירות מסוג זה נועדה, קודם לכל, לשרת את מטרת הגמול לעבריין על עיסוק בסם העלול לסכן חיי אדם ולפגוע בבריאות המשתמשים בו; שנית, על העונש להעביר מסר חד משמעי של הרתעה ביחס לעבריינים פוטנציאליים, ולשמש אות אזהרה אפקטיבי לכל מי שמתכוון לקחת חלק במערכת ההעברה והסחר בסמים... מזה זמן רב, מדגישים בתי המשפט בפסיקתם את חשיבות הערך הענישתי בעבירות סמים כאחד הכלים החשובים בפעילות לביעורו של נגע הסמים. ההחמרה בענישה בגין עבירות סמים משרתת את מטרות הגמול וההרתעה, שהם היעדים העיקריים של הענישה בתחום הסמים". </w:t>
      </w:r>
    </w:p>
    <w:p w14:paraId="1295678E" w14:textId="77777777" w:rsidR="0089227E" w:rsidRPr="00CA49A2" w:rsidRDefault="0089227E" w:rsidP="0089227E">
      <w:pPr>
        <w:adjustRightInd w:val="0"/>
        <w:spacing w:after="240" w:line="360" w:lineRule="auto"/>
        <w:ind w:left="720" w:hanging="720"/>
        <w:rPr>
          <w:rFonts w:ascii="Arial" w:hAnsi="Arial"/>
          <w:sz w:val="12"/>
          <w:szCs w:val="12"/>
          <w:rtl/>
        </w:rPr>
      </w:pPr>
    </w:p>
    <w:p w14:paraId="08B268C3" w14:textId="77777777" w:rsidR="0089227E" w:rsidRPr="002C3E31" w:rsidRDefault="0089227E" w:rsidP="0089227E">
      <w:pPr>
        <w:adjustRightInd w:val="0"/>
        <w:spacing w:after="240" w:line="360" w:lineRule="auto"/>
        <w:ind w:left="720" w:hanging="720"/>
        <w:jc w:val="both"/>
        <w:rPr>
          <w:rFonts w:ascii="Arial" w:hAnsi="Arial"/>
          <w:rtl/>
        </w:rPr>
      </w:pPr>
      <w:r w:rsidRPr="002C3E31">
        <w:rPr>
          <w:rFonts w:ascii="Arial" w:hAnsi="Arial" w:hint="cs"/>
          <w:rtl/>
        </w:rPr>
        <w:t xml:space="preserve">40. </w:t>
      </w:r>
      <w:r>
        <w:rPr>
          <w:rFonts w:ascii="Arial" w:hAnsi="Arial"/>
          <w:rtl/>
        </w:rPr>
        <w:tab/>
      </w:r>
      <w:r w:rsidRPr="002C3E31">
        <w:rPr>
          <w:rFonts w:ascii="Arial" w:hAnsi="Arial" w:hint="cs"/>
          <w:rtl/>
        </w:rPr>
        <w:t xml:space="preserve">עיון בפסקי דין </w:t>
      </w:r>
      <w:r>
        <w:rPr>
          <w:rFonts w:ascii="Arial" w:hAnsi="Arial" w:hint="cs"/>
          <w:rtl/>
        </w:rPr>
        <w:t xml:space="preserve">שניתנו </w:t>
      </w:r>
      <w:r w:rsidRPr="002C3E31">
        <w:rPr>
          <w:rFonts w:ascii="Arial" w:hAnsi="Arial" w:hint="cs"/>
          <w:rtl/>
        </w:rPr>
        <w:t xml:space="preserve">במקרים דומים </w:t>
      </w:r>
      <w:r>
        <w:rPr>
          <w:rFonts w:ascii="Arial" w:hAnsi="Arial" w:hint="cs"/>
          <w:rtl/>
        </w:rPr>
        <w:t>מלמד</w:t>
      </w:r>
      <w:r w:rsidRPr="002C3E31">
        <w:rPr>
          <w:rFonts w:ascii="Arial" w:hAnsi="Arial" w:hint="cs"/>
          <w:rtl/>
        </w:rPr>
        <w:t xml:space="preserve"> כי הענישה </w:t>
      </w:r>
      <w:r>
        <w:rPr>
          <w:rFonts w:ascii="Arial" w:hAnsi="Arial" w:hint="cs"/>
          <w:rtl/>
        </w:rPr>
        <w:t xml:space="preserve">הנוהגת </w:t>
      </w:r>
      <w:r w:rsidRPr="002C3E31">
        <w:rPr>
          <w:rFonts w:ascii="Arial" w:hAnsi="Arial" w:hint="cs"/>
          <w:rtl/>
        </w:rPr>
        <w:t xml:space="preserve">נעה בטווח שבין חודשי מאסר ספורים ועד </w:t>
      </w:r>
      <w:r>
        <w:rPr>
          <w:rFonts w:ascii="Arial" w:hAnsi="Arial" w:hint="cs"/>
          <w:rtl/>
        </w:rPr>
        <w:t>ל</w:t>
      </w:r>
      <w:r w:rsidRPr="002C3E31">
        <w:rPr>
          <w:rFonts w:ascii="Arial" w:hAnsi="Arial" w:hint="cs"/>
          <w:rtl/>
        </w:rPr>
        <w:t xml:space="preserve">עשרה חודשי מאסר. </w:t>
      </w:r>
      <w:r>
        <w:rPr>
          <w:rFonts w:ascii="Arial" w:hAnsi="Arial" w:hint="cs"/>
          <w:rtl/>
        </w:rPr>
        <w:t xml:space="preserve">כך למשל, </w:t>
      </w:r>
      <w:r w:rsidRPr="00B52837">
        <w:rPr>
          <w:rFonts w:ascii="Arial" w:hAnsi="Arial" w:hint="cs"/>
          <w:rtl/>
        </w:rPr>
        <w:t>ב</w:t>
      </w:r>
      <w:hyperlink r:id="rId49" w:history="1">
        <w:r w:rsidR="000C73AC" w:rsidRPr="000C73AC">
          <w:rPr>
            <w:rFonts w:ascii="Arial" w:hAnsi="Arial"/>
            <w:color w:val="0000FF"/>
            <w:u w:val="single"/>
            <w:rtl/>
          </w:rPr>
          <w:t>רע"פ 3627/13</w:t>
        </w:r>
      </w:hyperlink>
      <w:r w:rsidRPr="00B52837">
        <w:rPr>
          <w:rFonts w:ascii="Arial" w:hAnsi="Arial" w:hint="cs"/>
          <w:rtl/>
        </w:rPr>
        <w:t xml:space="preserve"> </w:t>
      </w:r>
      <w:r w:rsidRPr="00B52837">
        <w:rPr>
          <w:rFonts w:ascii="Arial" w:hAnsi="Arial" w:hint="cs"/>
          <w:b/>
          <w:bCs/>
          <w:rtl/>
        </w:rPr>
        <w:t>ארן שדה נ' מדינת ישראל</w:t>
      </w:r>
      <w:r w:rsidRPr="00B52837">
        <w:rPr>
          <w:rFonts w:ascii="Arial" w:hAnsi="Arial" w:hint="cs"/>
          <w:rtl/>
        </w:rPr>
        <w:t xml:space="preserve"> [22.5.2013] נדחה</w:t>
      </w:r>
      <w:r>
        <w:rPr>
          <w:rFonts w:hint="cs"/>
          <w:rtl/>
        </w:rPr>
        <w:t xml:space="preserve"> ערעורו של נאשם שהורשע בסחר בסמים בשתי הזדמנויות שונות, בהן מכר לאחרים סם מסוג קנבוס במשקל של כ- 1 גרם בכל פעם, תמורת 80 ₪, ונדון לשבעה חודשי מאסר. בענייננו,  סחר הנאשם בסם בכמויות גדולות בהרבה. </w:t>
      </w:r>
    </w:p>
    <w:p w14:paraId="3F69C0D4" w14:textId="77777777" w:rsidR="0089227E" w:rsidRDefault="0089227E" w:rsidP="0089227E">
      <w:pPr>
        <w:spacing w:after="240" w:line="360" w:lineRule="auto"/>
        <w:ind w:left="720" w:hanging="720"/>
        <w:jc w:val="both"/>
        <w:rPr>
          <w:rFonts w:ascii="Calibri" w:hAnsi="Calibri"/>
          <w:rtl/>
        </w:rPr>
      </w:pPr>
      <w:r w:rsidRPr="00BF7A5B">
        <w:rPr>
          <w:rFonts w:hint="cs"/>
          <w:rtl/>
        </w:rPr>
        <w:t>41.</w:t>
      </w:r>
      <w:r>
        <w:rPr>
          <w:rFonts w:hint="cs"/>
          <w:rtl/>
        </w:rPr>
        <w:tab/>
        <w:t>לסיכום, אני רואה להעמיד את מתחם העונש הראוי בגין התיק הנלווה בטווח שבין מספר חודשי מאסר</w:t>
      </w:r>
      <w:r>
        <w:rPr>
          <w:rFonts w:ascii="David" w:hAnsi="David" w:hint="cs"/>
          <w:rtl/>
        </w:rPr>
        <w:t xml:space="preserve"> ועד 10 חודשי מאסר, בצירוף עונשים נלווים</w:t>
      </w:r>
      <w:r>
        <w:rPr>
          <w:rFonts w:ascii="Calibri" w:hAnsi="Calibri" w:hint="cs"/>
          <w:rtl/>
        </w:rPr>
        <w:t>.</w:t>
      </w:r>
    </w:p>
    <w:p w14:paraId="57176380" w14:textId="77777777" w:rsidR="0089227E" w:rsidRPr="00DA79D4" w:rsidRDefault="0089227E" w:rsidP="0089227E">
      <w:pPr>
        <w:spacing w:after="240" w:line="360" w:lineRule="auto"/>
        <w:ind w:left="720" w:hanging="720"/>
        <w:rPr>
          <w:u w:val="single"/>
        </w:rPr>
      </w:pPr>
      <w:r>
        <w:rPr>
          <w:rFonts w:hint="cs"/>
          <w:u w:val="single"/>
          <w:rtl/>
        </w:rPr>
        <w:t xml:space="preserve">גזירת העונש בתוך המתחם </w:t>
      </w:r>
    </w:p>
    <w:p w14:paraId="37510137" w14:textId="77777777" w:rsidR="0089227E" w:rsidRDefault="0089227E" w:rsidP="0089227E">
      <w:pPr>
        <w:spacing w:after="240" w:line="360" w:lineRule="auto"/>
        <w:ind w:left="720" w:hanging="720"/>
        <w:jc w:val="both"/>
        <w:rPr>
          <w:rFonts w:ascii="David" w:hAnsi="David"/>
          <w:rtl/>
        </w:rPr>
      </w:pPr>
      <w:r>
        <w:rPr>
          <w:rFonts w:hint="cs"/>
          <w:rtl/>
        </w:rPr>
        <w:t>42.</w:t>
      </w:r>
      <w:r>
        <w:rPr>
          <w:rFonts w:hint="cs"/>
          <w:rtl/>
        </w:rPr>
        <w:tab/>
      </w:r>
      <w:r>
        <w:rPr>
          <w:rFonts w:ascii="David" w:hAnsi="David" w:hint="cs"/>
          <w:rtl/>
        </w:rPr>
        <w:t xml:space="preserve">בנסיבות שאינן קשורות בביצוע העבירה ראיתי להביא בחשבון בראש ובראשונה את עברו של הנאשם, אשר חרף גילו הצעיר הספיק לעמוד לדין בארבעה תיקים שונים. למרבה הצער, נראה כי מדובר בצעיר שהפך את העבריינות לאורח חיים. לאחר שנידון על ידי בית משפט השלום לנוער לעונשים ללא הרשעה בשתי הזדמנויות, שב והסתבך הנאשם בשני תיקים נוספים בהם הורשע ובגינם אף ריצה מאסר בפועל. </w:t>
      </w:r>
    </w:p>
    <w:p w14:paraId="39A85B0B" w14:textId="77777777" w:rsidR="0089227E" w:rsidRDefault="0089227E" w:rsidP="0089227E">
      <w:pPr>
        <w:tabs>
          <w:tab w:val="left" w:pos="720"/>
        </w:tabs>
        <w:spacing w:line="360" w:lineRule="auto"/>
        <w:ind w:left="720" w:hanging="720"/>
        <w:jc w:val="both"/>
        <w:rPr>
          <w:rFonts w:ascii="David" w:hAnsi="David"/>
          <w:rtl/>
        </w:rPr>
      </w:pPr>
      <w:r>
        <w:rPr>
          <w:rFonts w:ascii="David" w:hAnsi="David" w:hint="cs"/>
          <w:rtl/>
        </w:rPr>
        <w:t>43.</w:t>
      </w:r>
      <w:r>
        <w:rPr>
          <w:rFonts w:ascii="David" w:hAnsi="David" w:hint="cs"/>
          <w:rtl/>
        </w:rPr>
        <w:tab/>
        <w:t xml:space="preserve">הרושם המתקבל הוא כי הדין אינו מטיל את מוראו על הנאשם שאף מסלים את התנהלותו העבריינית. זאת, בשים לב לכך שחומרת העבירות בהן הורשע בשני התיקים שבפניי, עולה על חומרת העבירות בהן הורשע עד כה.  </w:t>
      </w:r>
    </w:p>
    <w:p w14:paraId="0AB99A74" w14:textId="77777777" w:rsidR="0089227E" w:rsidRDefault="0089227E" w:rsidP="0089227E">
      <w:pPr>
        <w:tabs>
          <w:tab w:val="left" w:pos="720"/>
        </w:tabs>
        <w:spacing w:line="360" w:lineRule="auto"/>
        <w:ind w:left="720" w:hanging="720"/>
        <w:rPr>
          <w:rFonts w:ascii="David" w:hAnsi="David"/>
          <w:rtl/>
        </w:rPr>
      </w:pPr>
    </w:p>
    <w:p w14:paraId="0D67055F" w14:textId="77777777" w:rsidR="0089227E" w:rsidRDefault="0089227E" w:rsidP="0089227E">
      <w:pPr>
        <w:tabs>
          <w:tab w:val="left" w:pos="720"/>
        </w:tabs>
        <w:spacing w:line="360" w:lineRule="auto"/>
        <w:ind w:left="720" w:hanging="720"/>
        <w:jc w:val="both"/>
        <w:rPr>
          <w:rFonts w:ascii="David" w:hAnsi="David"/>
          <w:rtl/>
        </w:rPr>
      </w:pPr>
      <w:r>
        <w:rPr>
          <w:rFonts w:ascii="David" w:hAnsi="David"/>
          <w:rtl/>
        </w:rPr>
        <w:tab/>
      </w:r>
      <w:r>
        <w:rPr>
          <w:rFonts w:ascii="David" w:hAnsi="David" w:hint="cs"/>
          <w:rtl/>
        </w:rPr>
        <w:t xml:space="preserve">אף התרשמותו של שירות המבחן מהנאשם לא היתה חיובית בעיקרה, שעה שהעריך כי הסיכון להישנות התנהגות עבריינית בעתיד מצדו של הנאשם, הנה ברמה גבוהה. </w:t>
      </w:r>
      <w:r w:rsidRPr="00B5777B">
        <w:rPr>
          <w:rFonts w:ascii="David" w:hAnsi="David"/>
          <w:rtl/>
        </w:rPr>
        <w:t xml:space="preserve">נוכח </w:t>
      </w:r>
      <w:r>
        <w:rPr>
          <w:rFonts w:ascii="David" w:hAnsi="David" w:hint="cs"/>
          <w:rtl/>
        </w:rPr>
        <w:t>כך</w:t>
      </w:r>
      <w:r w:rsidRPr="00B5777B">
        <w:rPr>
          <w:rFonts w:ascii="David" w:hAnsi="David"/>
          <w:rtl/>
        </w:rPr>
        <w:t xml:space="preserve">, </w:t>
      </w:r>
      <w:r>
        <w:rPr>
          <w:rFonts w:ascii="David" w:hAnsi="David" w:hint="cs"/>
          <w:rtl/>
        </w:rPr>
        <w:t xml:space="preserve">ולאור </w:t>
      </w:r>
      <w:r w:rsidRPr="00B5777B">
        <w:rPr>
          <w:rFonts w:ascii="David" w:hAnsi="David"/>
          <w:rtl/>
        </w:rPr>
        <w:t>חומרת העבירות</w:t>
      </w:r>
      <w:r>
        <w:rPr>
          <w:rFonts w:ascii="David" w:hAnsi="David" w:hint="cs"/>
          <w:rtl/>
        </w:rPr>
        <w:t xml:space="preserve"> בהן מדובר</w:t>
      </w:r>
      <w:r w:rsidRPr="00B5777B">
        <w:rPr>
          <w:rFonts w:ascii="David" w:hAnsi="David"/>
          <w:rtl/>
        </w:rPr>
        <w:t xml:space="preserve">, נמנע שירות המבחן מלבוא בהמלצה טיפולית בעניינו של הנאשם והמליץ תחת זאת על ענישה </w:t>
      </w:r>
      <w:r>
        <w:rPr>
          <w:rFonts w:ascii="David" w:hAnsi="David" w:hint="cs"/>
          <w:rtl/>
        </w:rPr>
        <w:t xml:space="preserve">מוחשית </w:t>
      </w:r>
      <w:r w:rsidRPr="00B5777B">
        <w:rPr>
          <w:rFonts w:ascii="David" w:hAnsi="David"/>
          <w:rtl/>
        </w:rPr>
        <w:t>בדמות מאסר בפועל, שתציב גבול ברור להתנהגות עוברת חוק</w:t>
      </w:r>
      <w:r>
        <w:rPr>
          <w:rFonts w:ascii="David" w:hAnsi="David" w:hint="cs"/>
          <w:rtl/>
        </w:rPr>
        <w:t xml:space="preserve"> מצדו</w:t>
      </w:r>
      <w:r w:rsidRPr="00B5777B">
        <w:rPr>
          <w:rFonts w:ascii="David" w:hAnsi="David"/>
          <w:rtl/>
        </w:rPr>
        <w:t xml:space="preserve">. </w:t>
      </w:r>
    </w:p>
    <w:p w14:paraId="4445CDF3" w14:textId="77777777" w:rsidR="0089227E" w:rsidRDefault="0089227E" w:rsidP="0089227E">
      <w:pPr>
        <w:spacing w:after="240"/>
        <w:ind w:left="720" w:hanging="720"/>
        <w:rPr>
          <w:rFonts w:ascii="David" w:hAnsi="David"/>
          <w:rtl/>
        </w:rPr>
      </w:pPr>
    </w:p>
    <w:p w14:paraId="44FAC535" w14:textId="77777777" w:rsidR="0089227E" w:rsidRDefault="0089227E" w:rsidP="0089227E">
      <w:pPr>
        <w:spacing w:after="240" w:line="360" w:lineRule="auto"/>
        <w:ind w:left="720" w:hanging="720"/>
        <w:jc w:val="both"/>
        <w:rPr>
          <w:rFonts w:ascii="David" w:hAnsi="David"/>
          <w:rtl/>
        </w:rPr>
      </w:pPr>
      <w:r>
        <w:rPr>
          <w:rFonts w:ascii="David" w:hAnsi="David" w:hint="cs"/>
          <w:rtl/>
        </w:rPr>
        <w:t>44.</w:t>
      </w:r>
      <w:r>
        <w:rPr>
          <w:rFonts w:ascii="David" w:hAnsi="David" w:hint="cs"/>
          <w:rtl/>
        </w:rPr>
        <w:tab/>
        <w:t xml:space="preserve">אני רואה לציין עוד כי הנאשם לא ניצל את ההזדמנות שניתנה לו להביע חרטה או צער על מעשיו בפני בית המשפט, משנמנע לומר דבר בתום שמיעת טיעוני הצדדים לעונש.   </w:t>
      </w:r>
      <w:r>
        <w:rPr>
          <w:rFonts w:ascii="David" w:hAnsi="David" w:hint="cs"/>
          <w:rtl/>
        </w:rPr>
        <w:tab/>
      </w:r>
    </w:p>
    <w:p w14:paraId="636C6B9A" w14:textId="77777777" w:rsidR="0089227E" w:rsidRDefault="0089227E" w:rsidP="0089227E">
      <w:pPr>
        <w:spacing w:after="240" w:line="360" w:lineRule="auto"/>
        <w:ind w:left="720" w:hanging="720"/>
        <w:jc w:val="both"/>
        <w:rPr>
          <w:rFonts w:ascii="David" w:hAnsi="David"/>
          <w:rtl/>
        </w:rPr>
      </w:pPr>
      <w:r>
        <w:rPr>
          <w:rFonts w:ascii="David" w:hAnsi="David" w:hint="cs"/>
          <w:rtl/>
        </w:rPr>
        <w:t>45.</w:t>
      </w:r>
      <w:r>
        <w:rPr>
          <w:rFonts w:ascii="David" w:hAnsi="David" w:hint="cs"/>
          <w:rtl/>
        </w:rPr>
        <w:tab/>
        <w:t xml:space="preserve">בנסיבות שאינן קשורות בביצוע העבירה ראיתי להתחשב לטובת הנאשם בהודייתו בשלב מוקדם של הדיון, עוד בטרם החלה שמיעת הראיות. הודאה זו היה בה משום חיסכון בזמן שיפוטי יקר. </w:t>
      </w:r>
    </w:p>
    <w:p w14:paraId="5168DB9F" w14:textId="77777777" w:rsidR="0089227E" w:rsidRDefault="0089227E" w:rsidP="0089227E">
      <w:pPr>
        <w:spacing w:after="240" w:line="360" w:lineRule="auto"/>
        <w:ind w:left="720" w:hanging="720"/>
        <w:rPr>
          <w:rFonts w:ascii="David" w:hAnsi="David"/>
          <w:rtl/>
        </w:rPr>
      </w:pPr>
    </w:p>
    <w:p w14:paraId="3EBE3316" w14:textId="77777777" w:rsidR="0089227E" w:rsidRPr="00B5777B" w:rsidRDefault="0089227E" w:rsidP="0089227E">
      <w:pPr>
        <w:spacing w:after="240" w:line="360" w:lineRule="auto"/>
        <w:ind w:left="720" w:hanging="720"/>
        <w:jc w:val="both"/>
        <w:rPr>
          <w:rFonts w:ascii="David" w:hAnsi="David"/>
          <w:rtl/>
        </w:rPr>
      </w:pPr>
      <w:r>
        <w:rPr>
          <w:rFonts w:ascii="David" w:hAnsi="David" w:hint="cs"/>
          <w:rtl/>
        </w:rPr>
        <w:t>46.</w:t>
      </w:r>
      <w:r>
        <w:rPr>
          <w:rFonts w:ascii="David" w:hAnsi="David" w:hint="cs"/>
          <w:rtl/>
        </w:rPr>
        <w:tab/>
        <w:t xml:space="preserve">בנוסף, ראיתי להתחשב לקולא בגילו הצעיר של הנאשם אשר היה כבן עשרים בעת ביצוע העבירות בשני התיקים. </w:t>
      </w:r>
    </w:p>
    <w:p w14:paraId="21BAA20B" w14:textId="77777777" w:rsidR="0089227E" w:rsidRDefault="0089227E" w:rsidP="0089227E">
      <w:pPr>
        <w:tabs>
          <w:tab w:val="left" w:pos="720"/>
        </w:tabs>
        <w:spacing w:line="360" w:lineRule="auto"/>
        <w:ind w:left="720" w:hanging="720"/>
        <w:jc w:val="both"/>
        <w:rPr>
          <w:rFonts w:ascii="David" w:hAnsi="David"/>
          <w:rtl/>
        </w:rPr>
      </w:pPr>
      <w:r>
        <w:rPr>
          <w:rFonts w:ascii="David" w:hAnsi="David" w:hint="cs"/>
          <w:rtl/>
        </w:rPr>
        <w:t>47.</w:t>
      </w:r>
      <w:r>
        <w:rPr>
          <w:rFonts w:ascii="David" w:hAnsi="David"/>
          <w:rtl/>
        </w:rPr>
        <w:tab/>
      </w:r>
      <w:r>
        <w:rPr>
          <w:rFonts w:ascii="David" w:hAnsi="David" w:hint="cs"/>
          <w:rtl/>
        </w:rPr>
        <w:t xml:space="preserve">יחד עם זאת, יש ליתן את הדעת לכך שבענייננו לא באה כל המלצה טיפולית מטעם שירות המבחן ועל כן, חרף גילו הצעיר של הנאשם, לא ראיתי להעניק לשיקול השיקומי מעמד בכורה. </w:t>
      </w:r>
    </w:p>
    <w:p w14:paraId="0FE74BAD" w14:textId="77777777" w:rsidR="0089227E" w:rsidRDefault="0089227E" w:rsidP="0089227E">
      <w:pPr>
        <w:tabs>
          <w:tab w:val="left" w:pos="720"/>
        </w:tabs>
        <w:spacing w:line="360" w:lineRule="auto"/>
        <w:ind w:left="720" w:hanging="720"/>
        <w:rPr>
          <w:rFonts w:ascii="David" w:hAnsi="David"/>
          <w:rtl/>
        </w:rPr>
      </w:pPr>
    </w:p>
    <w:p w14:paraId="374EF0DC" w14:textId="77777777" w:rsidR="0089227E" w:rsidRPr="00B5777B" w:rsidRDefault="0089227E" w:rsidP="0089227E">
      <w:pPr>
        <w:tabs>
          <w:tab w:val="left" w:pos="720"/>
        </w:tabs>
        <w:spacing w:line="360" w:lineRule="auto"/>
        <w:ind w:left="720" w:hanging="720"/>
        <w:jc w:val="both"/>
        <w:rPr>
          <w:rFonts w:ascii="David" w:hAnsi="David"/>
          <w:rtl/>
        </w:rPr>
      </w:pPr>
      <w:r>
        <w:rPr>
          <w:rFonts w:ascii="David" w:hAnsi="David"/>
          <w:rtl/>
        </w:rPr>
        <w:tab/>
      </w:r>
      <w:r>
        <w:rPr>
          <w:rFonts w:ascii="David" w:hAnsi="David" w:hint="cs"/>
          <w:rtl/>
        </w:rPr>
        <w:t xml:space="preserve">בנסיבות, ונוכח העובדה שהנאשם לא השכיל להפיק לקח מהסתבכויותיו הקודמות ולנוכח חומרת המעשים בהם מדובר, אין מנוס מהטלת ענישה ממשית, מאחורי סורג ובריח, בתקווה שזו תרתיע את הנאשם מלבצע עבירות נוספות בעתיד.  על מנת להותיר בפני הנאשם אפיק שיקומי ולאפשר לו לפתוח דף חדש בחייו עם שחרורו, הרי ככל שיגלה הנאשם רצון ליטול חלק בהליך שיקומי טיפולי במסגרת בית הכלא, ישקלו רשויות שב"ס בקשה זו בחיוב. </w:t>
      </w:r>
    </w:p>
    <w:p w14:paraId="6A7AE68F" w14:textId="77777777" w:rsidR="0089227E" w:rsidRPr="00B5777B" w:rsidRDefault="0089227E" w:rsidP="0089227E">
      <w:pPr>
        <w:tabs>
          <w:tab w:val="left" w:pos="720"/>
        </w:tabs>
        <w:spacing w:line="360" w:lineRule="auto"/>
        <w:rPr>
          <w:rFonts w:ascii="David" w:hAnsi="David"/>
          <w:rtl/>
        </w:rPr>
      </w:pPr>
    </w:p>
    <w:p w14:paraId="07EBF676" w14:textId="77777777" w:rsidR="0089227E" w:rsidRPr="0005076E" w:rsidRDefault="0089227E" w:rsidP="0089227E">
      <w:pPr>
        <w:spacing w:after="240" w:line="360" w:lineRule="auto"/>
        <w:ind w:left="720" w:hanging="720"/>
      </w:pPr>
      <w:r>
        <w:rPr>
          <w:rFonts w:hint="cs"/>
          <w:rtl/>
        </w:rPr>
        <w:t>48.</w:t>
      </w:r>
      <w:r>
        <w:rPr>
          <w:rFonts w:hint="cs"/>
          <w:rtl/>
        </w:rPr>
        <w:tab/>
      </w:r>
      <w:r w:rsidRPr="0005076E">
        <w:rPr>
          <w:rFonts w:hint="cs"/>
          <w:rtl/>
        </w:rPr>
        <w:t xml:space="preserve">על יסוד מקבץ </w:t>
      </w:r>
      <w:r>
        <w:rPr>
          <w:rFonts w:hint="cs"/>
          <w:rtl/>
        </w:rPr>
        <w:t>ה</w:t>
      </w:r>
      <w:r w:rsidRPr="0005076E">
        <w:rPr>
          <w:rFonts w:hint="cs"/>
          <w:rtl/>
        </w:rPr>
        <w:t>שיקולים שמניתי לעיל, אני גוזר על הנאשם את העונשים הבאים:</w:t>
      </w:r>
    </w:p>
    <w:p w14:paraId="025ABFAC" w14:textId="77777777" w:rsidR="0089227E" w:rsidRPr="0005076E" w:rsidRDefault="0089227E" w:rsidP="0089227E">
      <w:pPr>
        <w:spacing w:after="240" w:line="360" w:lineRule="auto"/>
        <w:ind w:left="1440" w:hanging="720"/>
        <w:jc w:val="both"/>
        <w:rPr>
          <w:rtl/>
        </w:rPr>
      </w:pPr>
      <w:r w:rsidRPr="0005076E">
        <w:rPr>
          <w:rFonts w:hint="cs"/>
          <w:rtl/>
        </w:rPr>
        <w:t>א.</w:t>
      </w:r>
      <w:r w:rsidRPr="0005076E">
        <w:rPr>
          <w:rFonts w:hint="cs"/>
          <w:rtl/>
        </w:rPr>
        <w:tab/>
      </w:r>
      <w:r>
        <w:rPr>
          <w:rFonts w:hint="cs"/>
          <w:rtl/>
        </w:rPr>
        <w:t>22 חודשי</w:t>
      </w:r>
      <w:r w:rsidRPr="0005076E">
        <w:rPr>
          <w:rFonts w:hint="cs"/>
          <w:rtl/>
        </w:rPr>
        <w:t xml:space="preserve"> מאסר בפועל, בניכוי </w:t>
      </w:r>
      <w:r>
        <w:rPr>
          <w:rFonts w:hint="cs"/>
          <w:rtl/>
        </w:rPr>
        <w:t>התקופה בה היה נתון במעצר מיום 13.7.2017 ועד היום</w:t>
      </w:r>
      <w:r w:rsidRPr="0005076E">
        <w:rPr>
          <w:rFonts w:hint="cs"/>
          <w:rtl/>
        </w:rPr>
        <w:t xml:space="preserve">. </w:t>
      </w:r>
    </w:p>
    <w:p w14:paraId="6E77E2CD" w14:textId="77777777" w:rsidR="0089227E" w:rsidRDefault="0089227E" w:rsidP="0089227E">
      <w:pPr>
        <w:spacing w:after="240" w:line="360" w:lineRule="auto"/>
        <w:ind w:left="1440" w:hanging="720"/>
        <w:jc w:val="both"/>
        <w:rPr>
          <w:rFonts w:ascii="David" w:hAnsi="David"/>
          <w:rtl/>
        </w:rPr>
      </w:pPr>
      <w:r w:rsidRPr="0005076E">
        <w:rPr>
          <w:rFonts w:hint="cs"/>
          <w:rtl/>
        </w:rPr>
        <w:t>ב.</w:t>
      </w:r>
      <w:r w:rsidRPr="0005076E">
        <w:rPr>
          <w:rFonts w:hint="cs"/>
          <w:rtl/>
        </w:rPr>
        <w:tab/>
        <w:t xml:space="preserve">12 חודשי מאסר על תנאי למשך 3 שנים לבל יעבור עבירת </w:t>
      </w:r>
      <w:r>
        <w:rPr>
          <w:rFonts w:ascii="David" w:hAnsi="David" w:hint="cs"/>
          <w:rtl/>
        </w:rPr>
        <w:t>אלימות, עבירת רכוש או עבירת סמים מסוג פשע ויורשע בגינה.</w:t>
      </w:r>
    </w:p>
    <w:p w14:paraId="0844D0F5" w14:textId="77777777" w:rsidR="0089227E" w:rsidRDefault="000C73AC" w:rsidP="0089227E">
      <w:pPr>
        <w:spacing w:after="240" w:line="360" w:lineRule="auto"/>
        <w:ind w:left="1440" w:hanging="720"/>
        <w:jc w:val="both"/>
        <w:rPr>
          <w:rFonts w:ascii="David" w:hAnsi="David"/>
          <w:rtl/>
        </w:rPr>
      </w:pPr>
      <w:r w:rsidRPr="000C73AC">
        <w:rPr>
          <w:rFonts w:ascii="David" w:hAnsi="David"/>
          <w:color w:val="FFFFFF"/>
          <w:sz w:val="2"/>
          <w:szCs w:val="2"/>
          <w:rtl/>
        </w:rPr>
        <w:t>5129371</w:t>
      </w:r>
      <w:r w:rsidR="0089227E">
        <w:rPr>
          <w:rFonts w:ascii="David" w:hAnsi="David" w:hint="cs"/>
          <w:rtl/>
        </w:rPr>
        <w:t xml:space="preserve">ג. </w:t>
      </w:r>
      <w:r w:rsidR="0089227E">
        <w:rPr>
          <w:rFonts w:ascii="David" w:hAnsi="David"/>
          <w:rtl/>
        </w:rPr>
        <w:tab/>
      </w:r>
      <w:r w:rsidR="0089227E">
        <w:rPr>
          <w:rFonts w:hint="cs"/>
          <w:rtl/>
        </w:rPr>
        <w:t>6</w:t>
      </w:r>
      <w:r w:rsidR="0089227E" w:rsidRPr="0005076E">
        <w:rPr>
          <w:rFonts w:hint="cs"/>
          <w:rtl/>
        </w:rPr>
        <w:t xml:space="preserve"> חודשי מאסר על תנאי למשך 3 שנים לבל יעבור עבירת </w:t>
      </w:r>
      <w:r w:rsidR="0089227E">
        <w:rPr>
          <w:rFonts w:ascii="David" w:hAnsi="David" w:hint="cs"/>
          <w:rtl/>
        </w:rPr>
        <w:t>אלימות, עבירת רכוש או עבירת סמים מסוג עוון ויורשע בגינה.</w:t>
      </w:r>
    </w:p>
    <w:p w14:paraId="53110292" w14:textId="77777777" w:rsidR="0089227E" w:rsidRDefault="000C73AC" w:rsidP="0089227E">
      <w:pPr>
        <w:spacing w:after="240" w:line="360" w:lineRule="auto"/>
        <w:ind w:left="1440" w:hanging="720"/>
        <w:jc w:val="both"/>
        <w:rPr>
          <w:rtl/>
          <w:lang w:eastAsia="he-IL"/>
        </w:rPr>
      </w:pPr>
      <w:r w:rsidRPr="000C73AC">
        <w:rPr>
          <w:rFonts w:ascii="David" w:hAnsi="David"/>
          <w:color w:val="FFFFFF"/>
          <w:sz w:val="2"/>
          <w:szCs w:val="2"/>
          <w:rtl/>
        </w:rPr>
        <w:t>54678313</w:t>
      </w:r>
      <w:r w:rsidR="0089227E">
        <w:rPr>
          <w:rFonts w:ascii="David" w:hAnsi="David" w:hint="cs"/>
          <w:rtl/>
        </w:rPr>
        <w:t xml:space="preserve">ד. </w:t>
      </w:r>
      <w:r w:rsidR="0089227E">
        <w:rPr>
          <w:rFonts w:ascii="David" w:hAnsi="David" w:hint="cs"/>
          <w:rtl/>
        </w:rPr>
        <w:tab/>
      </w:r>
      <w:r w:rsidR="0089227E">
        <w:rPr>
          <w:rFonts w:hint="cs"/>
          <w:rtl/>
          <w:lang w:eastAsia="he-IL"/>
        </w:rPr>
        <w:t>אני פוסל את הנאשם מלקבל או להחזיק רישיון נהיגה למשך שלוש שנים מתום מאסרו.</w:t>
      </w:r>
    </w:p>
    <w:p w14:paraId="4E9C8463" w14:textId="77777777" w:rsidR="0089227E" w:rsidRDefault="0089227E" w:rsidP="0089227E">
      <w:pPr>
        <w:spacing w:after="240" w:line="360" w:lineRule="auto"/>
        <w:ind w:left="1440" w:hanging="720"/>
        <w:rPr>
          <w:rFonts w:ascii="David" w:hAnsi="David"/>
          <w:rtl/>
        </w:rPr>
      </w:pPr>
      <w:r>
        <w:rPr>
          <w:rFonts w:ascii="David" w:hAnsi="David" w:hint="cs"/>
          <w:rtl/>
        </w:rPr>
        <w:t>ה.</w:t>
      </w:r>
      <w:r>
        <w:rPr>
          <w:rFonts w:ascii="David" w:hAnsi="David" w:hint="cs"/>
          <w:rtl/>
        </w:rPr>
        <w:tab/>
        <w:t>פיצוי בסך 2,000 ₪ לכל אחת מהמתלוננות שישולם עד ליום 1.7.2018.</w:t>
      </w:r>
    </w:p>
    <w:p w14:paraId="658FB2A3" w14:textId="77777777" w:rsidR="0089227E" w:rsidRPr="00DA79D4" w:rsidRDefault="0089227E" w:rsidP="0089227E">
      <w:pPr>
        <w:spacing w:after="240" w:line="360" w:lineRule="auto"/>
        <w:ind w:left="720" w:hanging="720"/>
        <w:rPr>
          <w:rtl/>
        </w:rPr>
      </w:pPr>
      <w:r>
        <w:rPr>
          <w:rFonts w:hint="cs"/>
          <w:rtl/>
        </w:rPr>
        <w:t>זכות ערעור לבית המשפט העליון תוך 45 יום מהיום.</w:t>
      </w:r>
    </w:p>
    <w:p w14:paraId="54C50DE6" w14:textId="77777777" w:rsidR="0089227E" w:rsidRDefault="000C73AC" w:rsidP="0089227E">
      <w:pPr>
        <w:rPr>
          <w:rFonts w:cs="FrankRuehl"/>
          <w:sz w:val="28"/>
          <w:szCs w:val="28"/>
          <w:rtl/>
        </w:rPr>
      </w:pPr>
      <w:r>
        <w:rPr>
          <w:rFonts w:ascii="Arial" w:hAnsi="Arial"/>
          <w:rtl/>
        </w:rPr>
        <w:t xml:space="preserve">ניתן היום,  י"ג ניסן תשע"ח, 29 מרץ 2018, בנוכחות הצדדים. </w:t>
      </w:r>
    </w:p>
    <w:p w14:paraId="26B325F8" w14:textId="77777777" w:rsidR="0089227E" w:rsidRPr="00CA79EE" w:rsidRDefault="00CA79EE" w:rsidP="0089227E">
      <w:pPr>
        <w:jc w:val="center"/>
        <w:rPr>
          <w:color w:val="FFFFFF"/>
          <w:sz w:val="2"/>
          <w:szCs w:val="2"/>
          <w:rtl/>
        </w:rPr>
      </w:pPr>
      <w:r w:rsidRPr="00CA79EE">
        <w:rPr>
          <w:color w:val="FFFFFF"/>
          <w:sz w:val="2"/>
          <w:szCs w:val="2"/>
          <w:rtl/>
        </w:rPr>
        <w:t>5129371</w:t>
      </w:r>
      <w:r w:rsidR="0089227E" w:rsidRPr="00CA79EE">
        <w:rPr>
          <w:rFonts w:hint="cs"/>
          <w:color w:val="FFFFFF"/>
          <w:sz w:val="2"/>
          <w:szCs w:val="2"/>
          <w:rtl/>
        </w:rPr>
        <w:t xml:space="preserve">   </w:t>
      </w:r>
      <w:r w:rsidR="0089227E" w:rsidRPr="00CA79EE">
        <w:rPr>
          <w:rFonts w:hint="cs"/>
          <w:color w:val="FFFFFF"/>
          <w:sz w:val="2"/>
          <w:szCs w:val="2"/>
          <w:rtl/>
        </w:rPr>
        <w:tab/>
      </w:r>
      <w:r w:rsidR="0089227E" w:rsidRPr="00CA79EE">
        <w:rPr>
          <w:rFonts w:hint="cs"/>
          <w:color w:val="FFFFFF"/>
          <w:sz w:val="2"/>
          <w:szCs w:val="2"/>
          <w:rtl/>
        </w:rPr>
        <w:tab/>
      </w:r>
      <w:r w:rsidR="0089227E" w:rsidRPr="00CA79EE">
        <w:rPr>
          <w:rFonts w:hint="cs"/>
          <w:color w:val="FFFFFF"/>
          <w:sz w:val="2"/>
          <w:szCs w:val="2"/>
          <w:rtl/>
        </w:rPr>
        <w:tab/>
      </w:r>
      <w:r w:rsidR="0089227E" w:rsidRPr="00CA79EE">
        <w:rPr>
          <w:rFonts w:hint="cs"/>
          <w:color w:val="FFFFFF"/>
          <w:sz w:val="2"/>
          <w:szCs w:val="2"/>
          <w:rtl/>
        </w:rPr>
        <w:tab/>
      </w:r>
      <w:r w:rsidR="0089227E" w:rsidRPr="00CA79EE">
        <w:rPr>
          <w:color w:val="FFFFFF"/>
          <w:sz w:val="2"/>
          <w:szCs w:val="2"/>
          <w:rtl/>
        </w:rPr>
        <w:t xml:space="preserve">     </w:t>
      </w:r>
    </w:p>
    <w:p w14:paraId="41C466C6" w14:textId="77777777" w:rsidR="002E4F70" w:rsidRPr="00CA79EE" w:rsidRDefault="00CA79EE" w:rsidP="000C73AC">
      <w:pPr>
        <w:keepNext/>
        <w:rPr>
          <w:rFonts w:ascii="David" w:hAnsi="David"/>
          <w:color w:val="FFFFFF"/>
          <w:sz w:val="2"/>
          <w:szCs w:val="2"/>
          <w:rtl/>
        </w:rPr>
      </w:pPr>
      <w:r w:rsidRPr="00CA79EE">
        <w:rPr>
          <w:rFonts w:ascii="David" w:hAnsi="David"/>
          <w:color w:val="FFFFFF"/>
          <w:sz w:val="2"/>
          <w:szCs w:val="2"/>
          <w:rtl/>
        </w:rPr>
        <w:t>54678313</w:t>
      </w:r>
    </w:p>
    <w:p w14:paraId="26A77EF1" w14:textId="77777777" w:rsidR="000C73AC" w:rsidRDefault="000C73AC" w:rsidP="000C73AC">
      <w:pPr>
        <w:rPr>
          <w:rtl/>
        </w:rPr>
      </w:pPr>
    </w:p>
    <w:p w14:paraId="02BDA232" w14:textId="77777777" w:rsidR="000C73AC" w:rsidRDefault="000C73AC" w:rsidP="000C73AC">
      <w:pPr>
        <w:jc w:val="center"/>
        <w:rPr>
          <w:color w:val="0000FF"/>
          <w:u w:val="single"/>
        </w:rPr>
      </w:pPr>
      <w:hyperlink r:id="rId50" w:history="1">
        <w:r>
          <w:rPr>
            <w:color w:val="0000FF"/>
            <w:u w:val="single"/>
            <w:rtl/>
          </w:rPr>
          <w:t>בעניין עריכה ושינויים במסמכי פסיקה, חקיקה ועוד באתר נבו – הקש כאן</w:t>
        </w:r>
      </w:hyperlink>
    </w:p>
    <w:p w14:paraId="400405F2" w14:textId="77777777" w:rsidR="00CA79EE" w:rsidRPr="00CA79EE" w:rsidRDefault="00CA79EE" w:rsidP="00CA79EE">
      <w:pPr>
        <w:keepNext/>
        <w:rPr>
          <w:rFonts w:ascii="David" w:hAnsi="David"/>
          <w:color w:val="000000"/>
          <w:sz w:val="22"/>
          <w:szCs w:val="22"/>
          <w:rtl/>
        </w:rPr>
      </w:pPr>
    </w:p>
    <w:p w14:paraId="7564EE14" w14:textId="77777777" w:rsidR="00CA79EE" w:rsidRPr="00CA79EE" w:rsidRDefault="00CA79EE" w:rsidP="00CA79EE">
      <w:pPr>
        <w:keepNext/>
        <w:rPr>
          <w:rFonts w:ascii="David" w:hAnsi="David"/>
          <w:color w:val="000000"/>
          <w:sz w:val="22"/>
          <w:szCs w:val="22"/>
          <w:rtl/>
        </w:rPr>
      </w:pPr>
      <w:r w:rsidRPr="00CA79EE">
        <w:rPr>
          <w:rFonts w:ascii="David" w:hAnsi="David"/>
          <w:color w:val="000000"/>
          <w:sz w:val="22"/>
          <w:szCs w:val="22"/>
          <w:rtl/>
        </w:rPr>
        <w:t>אמיר טובי 54678313-/</w:t>
      </w:r>
    </w:p>
    <w:p w14:paraId="3C0E6BF4" w14:textId="77777777" w:rsidR="000C73AC" w:rsidRPr="000C73AC" w:rsidRDefault="00CA79EE" w:rsidP="00CA79EE">
      <w:pPr>
        <w:rPr>
          <w:color w:val="0000FF"/>
          <w:u w:val="single"/>
        </w:rPr>
      </w:pPr>
      <w:r w:rsidRPr="00CA79EE">
        <w:rPr>
          <w:color w:val="000000"/>
          <w:u w:val="single"/>
          <w:rtl/>
        </w:rPr>
        <w:t>נוסח מסמך זה כפוף לשינויי ניסוח ועריכה</w:t>
      </w:r>
    </w:p>
    <w:sectPr w:rsidR="000C73AC" w:rsidRPr="000C73AC" w:rsidSect="00CA79EE">
      <w:headerReference w:type="even" r:id="rId51"/>
      <w:headerReference w:type="default" r:id="rId52"/>
      <w:footerReference w:type="even" r:id="rId53"/>
      <w:footerReference w:type="default" r:id="rId54"/>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F01173D" w14:textId="77777777" w:rsidR="003A1095" w:rsidRDefault="003A1095" w:rsidP="002E1FC3">
      <w:r>
        <w:separator/>
      </w:r>
    </w:p>
  </w:endnote>
  <w:endnote w:type="continuationSeparator" w:id="0">
    <w:p w14:paraId="35859BCF" w14:textId="77777777" w:rsidR="003A1095" w:rsidRDefault="003A1095" w:rsidP="002E1F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TUR">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Century">
    <w:panose1 w:val="02040604050505020304"/>
    <w:charset w:val="00"/>
    <w:family w:val="roman"/>
    <w:pitch w:val="variable"/>
    <w:sig w:usb0="00000287" w:usb1="00000000" w:usb2="00000000" w:usb3="00000000" w:csb0="000000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28BDC3" w14:textId="77777777" w:rsidR="00CA79EE" w:rsidRDefault="00CA79EE" w:rsidP="00CA79EE">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3E04A4C0" w14:textId="77777777" w:rsidR="00447158" w:rsidRPr="00CA79EE" w:rsidRDefault="00CA79EE" w:rsidP="00CA79EE">
    <w:pPr>
      <w:pStyle w:val="a5"/>
      <w:pBdr>
        <w:top w:val="single" w:sz="4" w:space="1" w:color="auto"/>
        <w:between w:val="single" w:sz="4" w:space="0" w:color="auto"/>
      </w:pBdr>
      <w:spacing w:after="60"/>
      <w:jc w:val="center"/>
      <w:rPr>
        <w:rFonts w:ascii="FrankRuehl" w:hAnsi="FrankRuehl" w:cs="FrankRuehl"/>
        <w:color w:val="000000"/>
      </w:rPr>
    </w:pPr>
    <w:r w:rsidRPr="00CA79EE">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C2CBF3" w14:textId="77777777" w:rsidR="00CA79EE" w:rsidRDefault="00CA79EE" w:rsidP="00CA79EE">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8C3E2E">
      <w:rPr>
        <w:rFonts w:ascii="FrankRuehl" w:hAnsi="FrankRuehl" w:cs="FrankRuehl"/>
        <w:noProof/>
        <w:rtl/>
      </w:rPr>
      <w:t>1</w:t>
    </w:r>
    <w:r>
      <w:rPr>
        <w:rFonts w:ascii="FrankRuehl" w:hAnsi="FrankRuehl" w:cs="FrankRuehl"/>
        <w:rtl/>
      </w:rPr>
      <w:fldChar w:fldCharType="end"/>
    </w:r>
  </w:p>
  <w:p w14:paraId="2616F7F4" w14:textId="77777777" w:rsidR="00447158" w:rsidRPr="00CA79EE" w:rsidRDefault="00CA79EE" w:rsidP="00CA79EE">
    <w:pPr>
      <w:pStyle w:val="a5"/>
      <w:pBdr>
        <w:top w:val="single" w:sz="4" w:space="1" w:color="auto"/>
        <w:between w:val="single" w:sz="4" w:space="0" w:color="auto"/>
      </w:pBdr>
      <w:spacing w:after="60"/>
      <w:jc w:val="center"/>
      <w:rPr>
        <w:rFonts w:ascii="FrankRuehl" w:hAnsi="FrankRuehl" w:cs="FrankRuehl"/>
        <w:color w:val="000000"/>
      </w:rPr>
    </w:pPr>
    <w:r w:rsidRPr="00CA79EE">
      <w:rPr>
        <w:rFonts w:ascii="FrankRuehl" w:hAnsi="FrankRuehl" w:cs="FrankRuehl"/>
        <w:color w:val="000000"/>
      </w:rPr>
      <w:pict w14:anchorId="1D5F0CF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181D7FA" w14:textId="77777777" w:rsidR="003A1095" w:rsidRDefault="003A1095" w:rsidP="002E1FC3">
      <w:r>
        <w:separator/>
      </w:r>
    </w:p>
  </w:footnote>
  <w:footnote w:type="continuationSeparator" w:id="0">
    <w:p w14:paraId="5A9AA5E1" w14:textId="77777777" w:rsidR="003A1095" w:rsidRDefault="003A1095" w:rsidP="002E1F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400960" w14:textId="77777777" w:rsidR="000C73AC" w:rsidRPr="00CA79EE" w:rsidRDefault="00CA79EE" w:rsidP="00CA79EE">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62318-07-17</w:t>
    </w:r>
    <w:r>
      <w:rPr>
        <w:rFonts w:ascii="David" w:hAnsi="David"/>
        <w:color w:val="000000"/>
        <w:sz w:val="22"/>
        <w:szCs w:val="22"/>
        <w:rtl/>
      </w:rPr>
      <w:tab/>
      <w:t xml:space="preserve"> מדינת ישראל נ' רמי ברמכי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31EE8E" w14:textId="77777777" w:rsidR="000C73AC" w:rsidRPr="00CA79EE" w:rsidRDefault="00CA79EE" w:rsidP="00CA79EE">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62318-07-17</w:t>
    </w:r>
    <w:r>
      <w:rPr>
        <w:rFonts w:ascii="David" w:hAnsi="David"/>
        <w:color w:val="000000"/>
        <w:sz w:val="22"/>
        <w:szCs w:val="22"/>
        <w:rtl/>
      </w:rPr>
      <w:tab/>
      <w:t xml:space="preserve"> מדינת ישראל נ' רמי ברמכי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89227E"/>
    <w:rsid w:val="000C73AC"/>
    <w:rsid w:val="002E1FC3"/>
    <w:rsid w:val="002E4F70"/>
    <w:rsid w:val="003A1095"/>
    <w:rsid w:val="00447158"/>
    <w:rsid w:val="00590176"/>
    <w:rsid w:val="0089227E"/>
    <w:rsid w:val="008C3E2E"/>
    <w:rsid w:val="00B60F5E"/>
    <w:rsid w:val="00BB0276"/>
    <w:rsid w:val="00C91D1C"/>
    <w:rsid w:val="00CA79EE"/>
    <w:rsid w:val="00FB1E4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1FD5CE97"/>
  <w15:chartTrackingRefBased/>
  <w15:docId w15:val="{7CB99CE9-C405-4F7C-9BC1-FF43DAFBC3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89227E"/>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89227E"/>
    <w:pPr>
      <w:tabs>
        <w:tab w:val="center" w:pos="4153"/>
        <w:tab w:val="right" w:pos="8306"/>
      </w:tabs>
    </w:pPr>
  </w:style>
  <w:style w:type="character" w:customStyle="1" w:styleId="a4">
    <w:name w:val="כותרת עליונה תו"/>
    <w:link w:val="a3"/>
    <w:rsid w:val="0089227E"/>
    <w:rPr>
      <w:rFonts w:ascii="Times New Roman" w:eastAsia="Times New Roman" w:hAnsi="Times New Roman" w:cs="David"/>
      <w:sz w:val="24"/>
      <w:szCs w:val="24"/>
    </w:rPr>
  </w:style>
  <w:style w:type="paragraph" w:styleId="a5">
    <w:name w:val="footer"/>
    <w:basedOn w:val="a"/>
    <w:link w:val="a6"/>
    <w:rsid w:val="0089227E"/>
    <w:pPr>
      <w:tabs>
        <w:tab w:val="center" w:pos="4153"/>
        <w:tab w:val="right" w:pos="8306"/>
      </w:tabs>
    </w:pPr>
  </w:style>
  <w:style w:type="character" w:customStyle="1" w:styleId="a6">
    <w:name w:val="כותרת תחתונה תו"/>
    <w:link w:val="a5"/>
    <w:rsid w:val="0089227E"/>
    <w:rPr>
      <w:rFonts w:ascii="Times New Roman" w:eastAsia="Times New Roman" w:hAnsi="Times New Roman" w:cs="David"/>
      <w:sz w:val="24"/>
      <w:szCs w:val="24"/>
    </w:rPr>
  </w:style>
  <w:style w:type="table" w:styleId="a7">
    <w:name w:val="Table Grid"/>
    <w:basedOn w:val="a1"/>
    <w:rsid w:val="0089227E"/>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89227E"/>
  </w:style>
  <w:style w:type="paragraph" w:customStyle="1" w:styleId="12">
    <w:name w:val="רגיל + ‏12 נק'"/>
    <w:aliases w:val="מיושר לשני הצדדים,מרווח בין שורות:  שורה וחצי"/>
    <w:basedOn w:val="a"/>
    <w:rsid w:val="0089227E"/>
    <w:rPr>
      <w:b/>
      <w:bCs/>
      <w:u w:val="single"/>
    </w:rPr>
  </w:style>
  <w:style w:type="character" w:customStyle="1" w:styleId="TimesNewRomanTimesNewRoman">
    <w:name w:val="סגנון (לטיני) Times New Roman (עברית ושפות אחרות) Times New Roman..."/>
    <w:rsid w:val="0089227E"/>
    <w:rPr>
      <w:rFonts w:ascii="Times New Roman" w:hAnsi="Times New Roman" w:cs="David" w:hint="default"/>
      <w:b/>
      <w:bCs/>
      <w:sz w:val="26"/>
      <w:szCs w:val="26"/>
    </w:rPr>
  </w:style>
  <w:style w:type="paragraph" w:customStyle="1" w:styleId="NoSpacing">
    <w:name w:val="No Spacing"/>
    <w:qFormat/>
    <w:rsid w:val="0089227E"/>
    <w:pPr>
      <w:bidi/>
    </w:pPr>
    <w:rPr>
      <w:sz w:val="22"/>
      <w:szCs w:val="22"/>
    </w:rPr>
  </w:style>
  <w:style w:type="paragraph" w:customStyle="1" w:styleId="Ruller4">
    <w:name w:val="Ruller4"/>
    <w:basedOn w:val="a"/>
    <w:link w:val="Ruller40"/>
    <w:rsid w:val="0089227E"/>
    <w:pPr>
      <w:tabs>
        <w:tab w:val="left" w:pos="800"/>
      </w:tabs>
      <w:overflowPunct w:val="0"/>
      <w:autoSpaceDE w:val="0"/>
      <w:autoSpaceDN w:val="0"/>
      <w:adjustRightInd w:val="0"/>
      <w:spacing w:line="360" w:lineRule="auto"/>
      <w:jc w:val="both"/>
    </w:pPr>
    <w:rPr>
      <w:rFonts w:ascii="Arial TUR" w:hAnsi="Arial TUR" w:cs="FrankRuehl"/>
      <w:spacing w:val="10"/>
      <w:sz w:val="22"/>
      <w:szCs w:val="28"/>
    </w:rPr>
  </w:style>
  <w:style w:type="character" w:customStyle="1" w:styleId="Ruller40">
    <w:name w:val="Ruller4 תו"/>
    <w:link w:val="Ruller4"/>
    <w:locked/>
    <w:rsid w:val="0089227E"/>
    <w:rPr>
      <w:rFonts w:ascii="Arial TUR" w:eastAsia="Times New Roman" w:hAnsi="Arial TUR" w:cs="FrankRuehl"/>
      <w:spacing w:val="10"/>
      <w:szCs w:val="28"/>
    </w:rPr>
  </w:style>
  <w:style w:type="character" w:styleId="Hyperlink">
    <w:name w:val="Hyperlink"/>
    <w:rsid w:val="000C73AC"/>
    <w:rPr>
      <w:color w:val="0563C1"/>
      <w:u w:val="single"/>
    </w:rPr>
  </w:style>
  <w:style w:type="character" w:styleId="a9">
    <w:name w:val="Unresolved Mention"/>
    <w:uiPriority w:val="99"/>
    <w:semiHidden/>
    <w:unhideWhenUsed/>
    <w:rsid w:val="00FB1E4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13" TargetMode="External"/><Relationship Id="rId18" Type="http://schemas.openxmlformats.org/officeDocument/2006/relationships/hyperlink" Target="http://www.nevo.co.il/law/70301" TargetMode="External"/><Relationship Id="rId26" Type="http://schemas.openxmlformats.org/officeDocument/2006/relationships/hyperlink" Target="http://www.nevo.co.il/law/4216/19a" TargetMode="External"/><Relationship Id="rId39" Type="http://schemas.openxmlformats.org/officeDocument/2006/relationships/hyperlink" Target="http://www.nevo.co.il/case/5594406" TargetMode="External"/><Relationship Id="rId21" Type="http://schemas.openxmlformats.org/officeDocument/2006/relationships/hyperlink" Target="http://www.nevo.co.il/law/70301/338.a.1" TargetMode="External"/><Relationship Id="rId34" Type="http://schemas.openxmlformats.org/officeDocument/2006/relationships/hyperlink" Target="http://www.nevo.co.il/case/17009738" TargetMode="External"/><Relationship Id="rId42" Type="http://schemas.openxmlformats.org/officeDocument/2006/relationships/hyperlink" Target="http://www.nevo.co.il/case/5997926" TargetMode="External"/><Relationship Id="rId47" Type="http://schemas.openxmlformats.org/officeDocument/2006/relationships/hyperlink" Target="http://www.nevo.co.il/case/5738340" TargetMode="External"/><Relationship Id="rId50" Type="http://schemas.openxmlformats.org/officeDocument/2006/relationships/hyperlink" Target="http://www.nevo.co.il/advertisements/nevo-100.doc" TargetMode="External"/><Relationship Id="rId55" Type="http://schemas.openxmlformats.org/officeDocument/2006/relationships/fontTable" Target="fontTable.xml"/><Relationship Id="rId7" Type="http://schemas.openxmlformats.org/officeDocument/2006/relationships/hyperlink" Target="http://www.nevo.co.il/law/70301/29" TargetMode="External"/><Relationship Id="rId2" Type="http://schemas.openxmlformats.org/officeDocument/2006/relationships/settings" Target="settings.xml"/><Relationship Id="rId16" Type="http://schemas.openxmlformats.org/officeDocument/2006/relationships/hyperlink" Target="http://www.nevo.co.il/law/70301/381.a.2" TargetMode="External"/><Relationship Id="rId29" Type="http://schemas.openxmlformats.org/officeDocument/2006/relationships/hyperlink" Target="http://www.nevo.co.il/law/70301" TargetMode="External"/><Relationship Id="rId11" Type="http://schemas.openxmlformats.org/officeDocument/2006/relationships/hyperlink" Target="http://www.nevo.co.il/law/70301/40jc" TargetMode="External"/><Relationship Id="rId24" Type="http://schemas.openxmlformats.org/officeDocument/2006/relationships/hyperlink" Target="http://www.nevo.co.il/case/22922068" TargetMode="External"/><Relationship Id="rId32" Type="http://schemas.openxmlformats.org/officeDocument/2006/relationships/hyperlink" Target="http://www.nevo.co.il/case/13093721" TargetMode="External"/><Relationship Id="rId37" Type="http://schemas.openxmlformats.org/officeDocument/2006/relationships/hyperlink" Target="http://www.nevo.co.il/case/18739556" TargetMode="External"/><Relationship Id="rId40" Type="http://schemas.openxmlformats.org/officeDocument/2006/relationships/hyperlink" Target="http://www.nevo.co.il/case/5594268" TargetMode="External"/><Relationship Id="rId45" Type="http://schemas.openxmlformats.org/officeDocument/2006/relationships/hyperlink" Target="http://www.nevo.co.il/case/6066305" TargetMode="External"/><Relationship Id="rId53"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yperlink" Target="http://www.nevo.co.il/law/70301/384" TargetMode="External"/><Relationship Id="rId19" Type="http://schemas.openxmlformats.org/officeDocument/2006/relationships/hyperlink" Target="http://www.nevo.co.il/law/70301/29" TargetMode="External"/><Relationship Id="rId31" Type="http://schemas.openxmlformats.org/officeDocument/2006/relationships/hyperlink" Target="http://www.nevo.co.il/law/70301" TargetMode="External"/><Relationship Id="rId44" Type="http://schemas.openxmlformats.org/officeDocument/2006/relationships/hyperlink" Target="http://www.nevo.co.il/case/5686093" TargetMode="External"/><Relationship Id="rId52"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yperlink" Target="http://www.nevo.co.il/law/70301/381.a.2" TargetMode="External"/><Relationship Id="rId14" Type="http://schemas.openxmlformats.org/officeDocument/2006/relationships/hyperlink" Target="http://www.nevo.co.il/law/4216/19a" TargetMode="External"/><Relationship Id="rId22" Type="http://schemas.openxmlformats.org/officeDocument/2006/relationships/hyperlink" Target="http://www.nevo.co.il/law/70301/29" TargetMode="External"/><Relationship Id="rId27" Type="http://schemas.openxmlformats.org/officeDocument/2006/relationships/hyperlink" Target="http://www.nevo.co.il/law/4216" TargetMode="External"/><Relationship Id="rId30" Type="http://schemas.openxmlformats.org/officeDocument/2006/relationships/hyperlink" Target="http://www.nevo.co.il/law/70301/40jc" TargetMode="External"/><Relationship Id="rId35" Type="http://schemas.openxmlformats.org/officeDocument/2006/relationships/hyperlink" Target="http://www.nevo.co.il/law/74903" TargetMode="External"/><Relationship Id="rId43" Type="http://schemas.openxmlformats.org/officeDocument/2006/relationships/hyperlink" Target="http://www.nevo.co.il/case/5831242" TargetMode="External"/><Relationship Id="rId48" Type="http://schemas.openxmlformats.org/officeDocument/2006/relationships/hyperlink" Target="http://www.nevo.co.il/case/5698919" TargetMode="External"/><Relationship Id="rId56" Type="http://schemas.openxmlformats.org/officeDocument/2006/relationships/theme" Target="theme/theme1.xml"/><Relationship Id="rId8" Type="http://schemas.openxmlformats.org/officeDocument/2006/relationships/hyperlink" Target="http://www.nevo.co.il/law/70301/338.a.1" TargetMode="External"/><Relationship Id="rId51" Type="http://schemas.openxmlformats.org/officeDocument/2006/relationships/header" Target="header1.xml"/><Relationship Id="rId3" Type="http://schemas.openxmlformats.org/officeDocument/2006/relationships/webSettings" Target="webSettings.xml"/><Relationship Id="rId12" Type="http://schemas.openxmlformats.org/officeDocument/2006/relationships/hyperlink" Target="http://www.nevo.co.il/law/4216" TargetMode="External"/><Relationship Id="rId17" Type="http://schemas.openxmlformats.org/officeDocument/2006/relationships/hyperlink" Target="http://www.nevo.co.il/law/70301/29" TargetMode="External"/><Relationship Id="rId25" Type="http://schemas.openxmlformats.org/officeDocument/2006/relationships/hyperlink" Target="http://www.nevo.co.il/law/4216/13" TargetMode="External"/><Relationship Id="rId33" Type="http://schemas.openxmlformats.org/officeDocument/2006/relationships/hyperlink" Target="http://www.nevo.co.il/case/20033641" TargetMode="External"/><Relationship Id="rId38" Type="http://schemas.openxmlformats.org/officeDocument/2006/relationships/hyperlink" Target="http://www.nevo.co.il/case/5569378" TargetMode="External"/><Relationship Id="rId46" Type="http://schemas.openxmlformats.org/officeDocument/2006/relationships/hyperlink" Target="http://www.nevo.co.il/case/6066217" TargetMode="External"/><Relationship Id="rId20" Type="http://schemas.openxmlformats.org/officeDocument/2006/relationships/hyperlink" Target="http://www.nevo.co.il/law/70301/384" TargetMode="External"/><Relationship Id="rId41" Type="http://schemas.openxmlformats.org/officeDocument/2006/relationships/hyperlink" Target="http://www.nevo.co.il/case/22790672" TargetMode="External"/><Relationship Id="rId54" Type="http://schemas.openxmlformats.org/officeDocument/2006/relationships/footer" Target="footer2.xml"/><Relationship Id="rId1" Type="http://schemas.openxmlformats.org/officeDocument/2006/relationships/styles" Target="styles.xml"/><Relationship Id="rId6" Type="http://schemas.openxmlformats.org/officeDocument/2006/relationships/hyperlink" Target="http://www.nevo.co.il/law/70301" TargetMode="External"/><Relationship Id="rId15" Type="http://schemas.openxmlformats.org/officeDocument/2006/relationships/hyperlink" Target="http://www.nevo.co.il/law/74903" TargetMode="External"/><Relationship Id="rId23" Type="http://schemas.openxmlformats.org/officeDocument/2006/relationships/hyperlink" Target="http://www.nevo.co.il/case/22922068" TargetMode="External"/><Relationship Id="rId28" Type="http://schemas.openxmlformats.org/officeDocument/2006/relationships/hyperlink" Target="http://www.nevo.co.il/law/70301/40jc" TargetMode="External"/><Relationship Id="rId36" Type="http://schemas.openxmlformats.org/officeDocument/2006/relationships/hyperlink" Target="http://www.nevo.co.il/law/74903" TargetMode="External"/><Relationship Id="rId49" Type="http://schemas.openxmlformats.org/officeDocument/2006/relationships/hyperlink" Target="http://www.nevo.co.il/case/7012287"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5230</Words>
  <Characters>26151</Characters>
  <Application>Microsoft Office Word</Application>
  <DocSecurity>0</DocSecurity>
  <Lines>217</Lines>
  <Paragraphs>62</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31319</CharactersWithSpaces>
  <SharedDoc>false</SharedDoc>
  <HLinks>
    <vt:vector size="270" baseType="variant">
      <vt:variant>
        <vt:i4>393283</vt:i4>
      </vt:variant>
      <vt:variant>
        <vt:i4>132</vt:i4>
      </vt:variant>
      <vt:variant>
        <vt:i4>0</vt:i4>
      </vt:variant>
      <vt:variant>
        <vt:i4>5</vt:i4>
      </vt:variant>
      <vt:variant>
        <vt:lpwstr>http://www.nevo.co.il/advertisements/nevo-100.doc</vt:lpwstr>
      </vt:variant>
      <vt:variant>
        <vt:lpwstr/>
      </vt:variant>
      <vt:variant>
        <vt:i4>3342462</vt:i4>
      </vt:variant>
      <vt:variant>
        <vt:i4>129</vt:i4>
      </vt:variant>
      <vt:variant>
        <vt:i4>0</vt:i4>
      </vt:variant>
      <vt:variant>
        <vt:i4>5</vt:i4>
      </vt:variant>
      <vt:variant>
        <vt:lpwstr>http://www.nevo.co.il/case/7012287</vt:lpwstr>
      </vt:variant>
      <vt:variant>
        <vt:lpwstr/>
      </vt:variant>
      <vt:variant>
        <vt:i4>3932283</vt:i4>
      </vt:variant>
      <vt:variant>
        <vt:i4>126</vt:i4>
      </vt:variant>
      <vt:variant>
        <vt:i4>0</vt:i4>
      </vt:variant>
      <vt:variant>
        <vt:i4>5</vt:i4>
      </vt:variant>
      <vt:variant>
        <vt:lpwstr>http://www.nevo.co.il/case/5698919</vt:lpwstr>
      </vt:variant>
      <vt:variant>
        <vt:lpwstr/>
      </vt:variant>
      <vt:variant>
        <vt:i4>3473535</vt:i4>
      </vt:variant>
      <vt:variant>
        <vt:i4>123</vt:i4>
      </vt:variant>
      <vt:variant>
        <vt:i4>0</vt:i4>
      </vt:variant>
      <vt:variant>
        <vt:i4>5</vt:i4>
      </vt:variant>
      <vt:variant>
        <vt:lpwstr>http://www.nevo.co.il/case/5738340</vt:lpwstr>
      </vt:variant>
      <vt:variant>
        <vt:lpwstr/>
      </vt:variant>
      <vt:variant>
        <vt:i4>3473523</vt:i4>
      </vt:variant>
      <vt:variant>
        <vt:i4>120</vt:i4>
      </vt:variant>
      <vt:variant>
        <vt:i4>0</vt:i4>
      </vt:variant>
      <vt:variant>
        <vt:i4>5</vt:i4>
      </vt:variant>
      <vt:variant>
        <vt:lpwstr>http://www.nevo.co.il/case/6066217</vt:lpwstr>
      </vt:variant>
      <vt:variant>
        <vt:lpwstr/>
      </vt:variant>
      <vt:variant>
        <vt:i4>3539058</vt:i4>
      </vt:variant>
      <vt:variant>
        <vt:i4>117</vt:i4>
      </vt:variant>
      <vt:variant>
        <vt:i4>0</vt:i4>
      </vt:variant>
      <vt:variant>
        <vt:i4>5</vt:i4>
      </vt:variant>
      <vt:variant>
        <vt:lpwstr>http://www.nevo.co.il/case/6066305</vt:lpwstr>
      </vt:variant>
      <vt:variant>
        <vt:lpwstr/>
      </vt:variant>
      <vt:variant>
        <vt:i4>4063357</vt:i4>
      </vt:variant>
      <vt:variant>
        <vt:i4>114</vt:i4>
      </vt:variant>
      <vt:variant>
        <vt:i4>0</vt:i4>
      </vt:variant>
      <vt:variant>
        <vt:i4>5</vt:i4>
      </vt:variant>
      <vt:variant>
        <vt:lpwstr>http://www.nevo.co.il/case/5686093</vt:lpwstr>
      </vt:variant>
      <vt:variant>
        <vt:lpwstr/>
      </vt:variant>
      <vt:variant>
        <vt:i4>3539065</vt:i4>
      </vt:variant>
      <vt:variant>
        <vt:i4>111</vt:i4>
      </vt:variant>
      <vt:variant>
        <vt:i4>0</vt:i4>
      </vt:variant>
      <vt:variant>
        <vt:i4>5</vt:i4>
      </vt:variant>
      <vt:variant>
        <vt:lpwstr>http://www.nevo.co.il/case/5831242</vt:lpwstr>
      </vt:variant>
      <vt:variant>
        <vt:lpwstr/>
      </vt:variant>
      <vt:variant>
        <vt:i4>3342456</vt:i4>
      </vt:variant>
      <vt:variant>
        <vt:i4>108</vt:i4>
      </vt:variant>
      <vt:variant>
        <vt:i4>0</vt:i4>
      </vt:variant>
      <vt:variant>
        <vt:i4>5</vt:i4>
      </vt:variant>
      <vt:variant>
        <vt:lpwstr>http://www.nevo.co.il/case/5997926</vt:lpwstr>
      </vt:variant>
      <vt:variant>
        <vt:lpwstr/>
      </vt:variant>
      <vt:variant>
        <vt:i4>3276921</vt:i4>
      </vt:variant>
      <vt:variant>
        <vt:i4>105</vt:i4>
      </vt:variant>
      <vt:variant>
        <vt:i4>0</vt:i4>
      </vt:variant>
      <vt:variant>
        <vt:i4>5</vt:i4>
      </vt:variant>
      <vt:variant>
        <vt:lpwstr>http://www.nevo.co.il/case/22790672</vt:lpwstr>
      </vt:variant>
      <vt:variant>
        <vt:lpwstr/>
      </vt:variant>
      <vt:variant>
        <vt:i4>3539059</vt:i4>
      </vt:variant>
      <vt:variant>
        <vt:i4>102</vt:i4>
      </vt:variant>
      <vt:variant>
        <vt:i4>0</vt:i4>
      </vt:variant>
      <vt:variant>
        <vt:i4>5</vt:i4>
      </vt:variant>
      <vt:variant>
        <vt:lpwstr>http://www.nevo.co.il/case/5594268</vt:lpwstr>
      </vt:variant>
      <vt:variant>
        <vt:lpwstr/>
      </vt:variant>
      <vt:variant>
        <vt:i4>4063349</vt:i4>
      </vt:variant>
      <vt:variant>
        <vt:i4>99</vt:i4>
      </vt:variant>
      <vt:variant>
        <vt:i4>0</vt:i4>
      </vt:variant>
      <vt:variant>
        <vt:i4>5</vt:i4>
      </vt:variant>
      <vt:variant>
        <vt:lpwstr>http://www.nevo.co.il/case/5594406</vt:lpwstr>
      </vt:variant>
      <vt:variant>
        <vt:lpwstr/>
      </vt:variant>
      <vt:variant>
        <vt:i4>3670143</vt:i4>
      </vt:variant>
      <vt:variant>
        <vt:i4>96</vt:i4>
      </vt:variant>
      <vt:variant>
        <vt:i4>0</vt:i4>
      </vt:variant>
      <vt:variant>
        <vt:i4>5</vt:i4>
      </vt:variant>
      <vt:variant>
        <vt:lpwstr>http://www.nevo.co.il/case/5569378</vt:lpwstr>
      </vt:variant>
      <vt:variant>
        <vt:lpwstr/>
      </vt:variant>
      <vt:variant>
        <vt:i4>3801210</vt:i4>
      </vt:variant>
      <vt:variant>
        <vt:i4>93</vt:i4>
      </vt:variant>
      <vt:variant>
        <vt:i4>0</vt:i4>
      </vt:variant>
      <vt:variant>
        <vt:i4>5</vt:i4>
      </vt:variant>
      <vt:variant>
        <vt:lpwstr>http://www.nevo.co.il/case/18739556</vt:lpwstr>
      </vt:variant>
      <vt:variant>
        <vt:lpwstr/>
      </vt:variant>
      <vt:variant>
        <vt:i4>8257646</vt:i4>
      </vt:variant>
      <vt:variant>
        <vt:i4>90</vt:i4>
      </vt:variant>
      <vt:variant>
        <vt:i4>0</vt:i4>
      </vt:variant>
      <vt:variant>
        <vt:i4>5</vt:i4>
      </vt:variant>
      <vt:variant>
        <vt:lpwstr>http://www.nevo.co.il/law/74903</vt:lpwstr>
      </vt:variant>
      <vt:variant>
        <vt:lpwstr/>
      </vt:variant>
      <vt:variant>
        <vt:i4>8257646</vt:i4>
      </vt:variant>
      <vt:variant>
        <vt:i4>87</vt:i4>
      </vt:variant>
      <vt:variant>
        <vt:i4>0</vt:i4>
      </vt:variant>
      <vt:variant>
        <vt:i4>5</vt:i4>
      </vt:variant>
      <vt:variant>
        <vt:lpwstr>http://www.nevo.co.il/law/74903</vt:lpwstr>
      </vt:variant>
      <vt:variant>
        <vt:lpwstr/>
      </vt:variant>
      <vt:variant>
        <vt:i4>3866740</vt:i4>
      </vt:variant>
      <vt:variant>
        <vt:i4>84</vt:i4>
      </vt:variant>
      <vt:variant>
        <vt:i4>0</vt:i4>
      </vt:variant>
      <vt:variant>
        <vt:i4>5</vt:i4>
      </vt:variant>
      <vt:variant>
        <vt:lpwstr>http://www.nevo.co.il/case/17009738</vt:lpwstr>
      </vt:variant>
      <vt:variant>
        <vt:lpwstr/>
      </vt:variant>
      <vt:variant>
        <vt:i4>3473521</vt:i4>
      </vt:variant>
      <vt:variant>
        <vt:i4>81</vt:i4>
      </vt:variant>
      <vt:variant>
        <vt:i4>0</vt:i4>
      </vt:variant>
      <vt:variant>
        <vt:i4>5</vt:i4>
      </vt:variant>
      <vt:variant>
        <vt:lpwstr>http://www.nevo.co.il/case/20033641</vt:lpwstr>
      </vt:variant>
      <vt:variant>
        <vt:lpwstr/>
      </vt:variant>
      <vt:variant>
        <vt:i4>3145849</vt:i4>
      </vt:variant>
      <vt:variant>
        <vt:i4>78</vt:i4>
      </vt:variant>
      <vt:variant>
        <vt:i4>0</vt:i4>
      </vt:variant>
      <vt:variant>
        <vt:i4>5</vt:i4>
      </vt:variant>
      <vt:variant>
        <vt:lpwstr>http://www.nevo.co.il/case/13093721</vt:lpwstr>
      </vt:variant>
      <vt:variant>
        <vt:lpwstr/>
      </vt:variant>
      <vt:variant>
        <vt:i4>7995492</vt:i4>
      </vt:variant>
      <vt:variant>
        <vt:i4>75</vt:i4>
      </vt:variant>
      <vt:variant>
        <vt:i4>0</vt:i4>
      </vt:variant>
      <vt:variant>
        <vt:i4>5</vt:i4>
      </vt:variant>
      <vt:variant>
        <vt:lpwstr>http://www.nevo.co.il/law/70301</vt:lpwstr>
      </vt:variant>
      <vt:variant>
        <vt:lpwstr/>
      </vt:variant>
      <vt:variant>
        <vt:i4>393227</vt:i4>
      </vt:variant>
      <vt:variant>
        <vt:i4>72</vt:i4>
      </vt:variant>
      <vt:variant>
        <vt:i4>0</vt:i4>
      </vt:variant>
      <vt:variant>
        <vt:i4>5</vt:i4>
      </vt:variant>
      <vt:variant>
        <vt:lpwstr>http://www.nevo.co.il/law/70301/40jc</vt:lpwstr>
      </vt:variant>
      <vt:variant>
        <vt:lpwstr/>
      </vt:variant>
      <vt:variant>
        <vt:i4>7995492</vt:i4>
      </vt:variant>
      <vt:variant>
        <vt:i4>69</vt:i4>
      </vt:variant>
      <vt:variant>
        <vt:i4>0</vt:i4>
      </vt:variant>
      <vt:variant>
        <vt:i4>5</vt:i4>
      </vt:variant>
      <vt:variant>
        <vt:lpwstr>http://www.nevo.co.il/law/70301</vt:lpwstr>
      </vt:variant>
      <vt:variant>
        <vt:lpwstr/>
      </vt:variant>
      <vt:variant>
        <vt:i4>393227</vt:i4>
      </vt:variant>
      <vt:variant>
        <vt:i4>66</vt:i4>
      </vt:variant>
      <vt:variant>
        <vt:i4>0</vt:i4>
      </vt:variant>
      <vt:variant>
        <vt:i4>5</vt:i4>
      </vt:variant>
      <vt:variant>
        <vt:lpwstr>http://www.nevo.co.il/law/70301/40jc</vt:lpwstr>
      </vt:variant>
      <vt:variant>
        <vt:lpwstr/>
      </vt:variant>
      <vt:variant>
        <vt:i4>8257637</vt:i4>
      </vt:variant>
      <vt:variant>
        <vt:i4>63</vt:i4>
      </vt:variant>
      <vt:variant>
        <vt:i4>0</vt:i4>
      </vt:variant>
      <vt:variant>
        <vt:i4>5</vt:i4>
      </vt:variant>
      <vt:variant>
        <vt:lpwstr>http://www.nevo.co.il/law/4216</vt:lpwstr>
      </vt:variant>
      <vt:variant>
        <vt:lpwstr/>
      </vt:variant>
      <vt:variant>
        <vt:i4>3014771</vt:i4>
      </vt:variant>
      <vt:variant>
        <vt:i4>60</vt:i4>
      </vt:variant>
      <vt:variant>
        <vt:i4>0</vt:i4>
      </vt:variant>
      <vt:variant>
        <vt:i4>5</vt:i4>
      </vt:variant>
      <vt:variant>
        <vt:lpwstr>http://www.nevo.co.il/law/4216/19a</vt:lpwstr>
      </vt:variant>
      <vt:variant>
        <vt:lpwstr/>
      </vt:variant>
      <vt:variant>
        <vt:i4>5177418</vt:i4>
      </vt:variant>
      <vt:variant>
        <vt:i4>57</vt:i4>
      </vt:variant>
      <vt:variant>
        <vt:i4>0</vt:i4>
      </vt:variant>
      <vt:variant>
        <vt:i4>5</vt:i4>
      </vt:variant>
      <vt:variant>
        <vt:lpwstr>http://www.nevo.co.il/law/4216/13</vt:lpwstr>
      </vt:variant>
      <vt:variant>
        <vt:lpwstr/>
      </vt:variant>
      <vt:variant>
        <vt:i4>4128884</vt:i4>
      </vt:variant>
      <vt:variant>
        <vt:i4>54</vt:i4>
      </vt:variant>
      <vt:variant>
        <vt:i4>0</vt:i4>
      </vt:variant>
      <vt:variant>
        <vt:i4>5</vt:i4>
      </vt:variant>
      <vt:variant>
        <vt:lpwstr>http://www.nevo.co.il/case/22922068</vt:lpwstr>
      </vt:variant>
      <vt:variant>
        <vt:lpwstr/>
      </vt:variant>
      <vt:variant>
        <vt:i4>4128884</vt:i4>
      </vt:variant>
      <vt:variant>
        <vt:i4>51</vt:i4>
      </vt:variant>
      <vt:variant>
        <vt:i4>0</vt:i4>
      </vt:variant>
      <vt:variant>
        <vt:i4>5</vt:i4>
      </vt:variant>
      <vt:variant>
        <vt:lpwstr>http://www.nevo.co.il/case/22922068</vt:lpwstr>
      </vt:variant>
      <vt:variant>
        <vt:lpwstr/>
      </vt:variant>
      <vt:variant>
        <vt:i4>7077991</vt:i4>
      </vt:variant>
      <vt:variant>
        <vt:i4>48</vt:i4>
      </vt:variant>
      <vt:variant>
        <vt:i4>0</vt:i4>
      </vt:variant>
      <vt:variant>
        <vt:i4>5</vt:i4>
      </vt:variant>
      <vt:variant>
        <vt:lpwstr>http://www.nevo.co.il/law/70301/29</vt:lpwstr>
      </vt:variant>
      <vt:variant>
        <vt:lpwstr/>
      </vt:variant>
      <vt:variant>
        <vt:i4>6684735</vt:i4>
      </vt:variant>
      <vt:variant>
        <vt:i4>45</vt:i4>
      </vt:variant>
      <vt:variant>
        <vt:i4>0</vt:i4>
      </vt:variant>
      <vt:variant>
        <vt:i4>5</vt:i4>
      </vt:variant>
      <vt:variant>
        <vt:lpwstr>http://www.nevo.co.il/law/70301/338.a.1</vt:lpwstr>
      </vt:variant>
      <vt:variant>
        <vt:lpwstr/>
      </vt:variant>
      <vt:variant>
        <vt:i4>7143526</vt:i4>
      </vt:variant>
      <vt:variant>
        <vt:i4>42</vt:i4>
      </vt:variant>
      <vt:variant>
        <vt:i4>0</vt:i4>
      </vt:variant>
      <vt:variant>
        <vt:i4>5</vt:i4>
      </vt:variant>
      <vt:variant>
        <vt:lpwstr>http://www.nevo.co.il/law/70301/384</vt:lpwstr>
      </vt:variant>
      <vt:variant>
        <vt:lpwstr/>
      </vt:variant>
      <vt:variant>
        <vt:i4>7077991</vt:i4>
      </vt:variant>
      <vt:variant>
        <vt:i4>39</vt:i4>
      </vt:variant>
      <vt:variant>
        <vt:i4>0</vt:i4>
      </vt:variant>
      <vt:variant>
        <vt:i4>5</vt:i4>
      </vt:variant>
      <vt:variant>
        <vt:lpwstr>http://www.nevo.co.il/law/70301/29</vt:lpwstr>
      </vt:variant>
      <vt:variant>
        <vt:lpwstr/>
      </vt:variant>
      <vt:variant>
        <vt:i4>7995492</vt:i4>
      </vt:variant>
      <vt:variant>
        <vt:i4>36</vt:i4>
      </vt:variant>
      <vt:variant>
        <vt:i4>0</vt:i4>
      </vt:variant>
      <vt:variant>
        <vt:i4>5</vt:i4>
      </vt:variant>
      <vt:variant>
        <vt:lpwstr>http://www.nevo.co.il/law/70301</vt:lpwstr>
      </vt:variant>
      <vt:variant>
        <vt:lpwstr/>
      </vt:variant>
      <vt:variant>
        <vt:i4>7077991</vt:i4>
      </vt:variant>
      <vt:variant>
        <vt:i4>33</vt:i4>
      </vt:variant>
      <vt:variant>
        <vt:i4>0</vt:i4>
      </vt:variant>
      <vt:variant>
        <vt:i4>5</vt:i4>
      </vt:variant>
      <vt:variant>
        <vt:lpwstr>http://www.nevo.co.il/law/70301/29</vt:lpwstr>
      </vt:variant>
      <vt:variant>
        <vt:lpwstr/>
      </vt:variant>
      <vt:variant>
        <vt:i4>7143478</vt:i4>
      </vt:variant>
      <vt:variant>
        <vt:i4>30</vt:i4>
      </vt:variant>
      <vt:variant>
        <vt:i4>0</vt:i4>
      </vt:variant>
      <vt:variant>
        <vt:i4>5</vt:i4>
      </vt:variant>
      <vt:variant>
        <vt:lpwstr>http://www.nevo.co.il/law/70301/381.a.2</vt:lpwstr>
      </vt:variant>
      <vt:variant>
        <vt:lpwstr/>
      </vt:variant>
      <vt:variant>
        <vt:i4>8257646</vt:i4>
      </vt:variant>
      <vt:variant>
        <vt:i4>27</vt:i4>
      </vt:variant>
      <vt:variant>
        <vt:i4>0</vt:i4>
      </vt:variant>
      <vt:variant>
        <vt:i4>5</vt:i4>
      </vt:variant>
      <vt:variant>
        <vt:lpwstr>http://www.nevo.co.il/law/74903</vt:lpwstr>
      </vt:variant>
      <vt:variant>
        <vt:lpwstr/>
      </vt:variant>
      <vt:variant>
        <vt:i4>3014771</vt:i4>
      </vt:variant>
      <vt:variant>
        <vt:i4>24</vt:i4>
      </vt:variant>
      <vt:variant>
        <vt:i4>0</vt:i4>
      </vt:variant>
      <vt:variant>
        <vt:i4>5</vt:i4>
      </vt:variant>
      <vt:variant>
        <vt:lpwstr>http://www.nevo.co.il/law/4216/19a</vt:lpwstr>
      </vt:variant>
      <vt:variant>
        <vt:lpwstr/>
      </vt:variant>
      <vt:variant>
        <vt:i4>5177418</vt:i4>
      </vt:variant>
      <vt:variant>
        <vt:i4>21</vt:i4>
      </vt:variant>
      <vt:variant>
        <vt:i4>0</vt:i4>
      </vt:variant>
      <vt:variant>
        <vt:i4>5</vt:i4>
      </vt:variant>
      <vt:variant>
        <vt:lpwstr>http://www.nevo.co.il/law/4216/13</vt:lpwstr>
      </vt:variant>
      <vt:variant>
        <vt:lpwstr/>
      </vt:variant>
      <vt:variant>
        <vt:i4>8257637</vt:i4>
      </vt:variant>
      <vt:variant>
        <vt:i4>18</vt:i4>
      </vt:variant>
      <vt:variant>
        <vt:i4>0</vt:i4>
      </vt:variant>
      <vt:variant>
        <vt:i4>5</vt:i4>
      </vt:variant>
      <vt:variant>
        <vt:lpwstr>http://www.nevo.co.il/law/4216</vt:lpwstr>
      </vt:variant>
      <vt:variant>
        <vt:lpwstr/>
      </vt:variant>
      <vt:variant>
        <vt:i4>393227</vt:i4>
      </vt:variant>
      <vt:variant>
        <vt:i4>15</vt:i4>
      </vt:variant>
      <vt:variant>
        <vt:i4>0</vt:i4>
      </vt:variant>
      <vt:variant>
        <vt:i4>5</vt:i4>
      </vt:variant>
      <vt:variant>
        <vt:lpwstr>http://www.nevo.co.il/law/70301/40jc</vt:lpwstr>
      </vt:variant>
      <vt:variant>
        <vt:lpwstr/>
      </vt:variant>
      <vt:variant>
        <vt:i4>7143526</vt:i4>
      </vt:variant>
      <vt:variant>
        <vt:i4>12</vt:i4>
      </vt:variant>
      <vt:variant>
        <vt:i4>0</vt:i4>
      </vt:variant>
      <vt:variant>
        <vt:i4>5</vt:i4>
      </vt:variant>
      <vt:variant>
        <vt:lpwstr>http://www.nevo.co.il/law/70301/384</vt:lpwstr>
      </vt:variant>
      <vt:variant>
        <vt:lpwstr/>
      </vt:variant>
      <vt:variant>
        <vt:i4>7143478</vt:i4>
      </vt:variant>
      <vt:variant>
        <vt:i4>9</vt:i4>
      </vt:variant>
      <vt:variant>
        <vt:i4>0</vt:i4>
      </vt:variant>
      <vt:variant>
        <vt:i4>5</vt:i4>
      </vt:variant>
      <vt:variant>
        <vt:lpwstr>http://www.nevo.co.il/law/70301/381.a.2</vt:lpwstr>
      </vt:variant>
      <vt:variant>
        <vt:lpwstr/>
      </vt:variant>
      <vt:variant>
        <vt:i4>6684735</vt:i4>
      </vt:variant>
      <vt:variant>
        <vt:i4>6</vt:i4>
      </vt:variant>
      <vt:variant>
        <vt:i4>0</vt:i4>
      </vt:variant>
      <vt:variant>
        <vt:i4>5</vt:i4>
      </vt:variant>
      <vt:variant>
        <vt:lpwstr>http://www.nevo.co.il/law/70301/338.a.1</vt:lpwstr>
      </vt:variant>
      <vt:variant>
        <vt:lpwstr/>
      </vt:variant>
      <vt:variant>
        <vt:i4>7077991</vt:i4>
      </vt:variant>
      <vt:variant>
        <vt:i4>3</vt:i4>
      </vt:variant>
      <vt:variant>
        <vt:i4>0</vt:i4>
      </vt:variant>
      <vt:variant>
        <vt:i4>5</vt:i4>
      </vt:variant>
      <vt:variant>
        <vt:lpwstr>http://www.nevo.co.il/law/70301/29</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2025-04-22T20:50:00Z</dcterms:created>
  <dcterms:modified xsi:type="dcterms:W3CDTF">2025-04-22T20:50:00Z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62318</vt:lpwstr>
  </property>
  <property fmtid="{D5CDD505-2E9C-101B-9397-08002B2CF9AE}" pid="6" name="NEWPARTB">
    <vt:lpwstr>07</vt:lpwstr>
  </property>
  <property fmtid="{D5CDD505-2E9C-101B-9397-08002B2CF9AE}" pid="7" name="NEWPARTC">
    <vt:lpwstr>17</vt:lpwstr>
  </property>
  <property fmtid="{D5CDD505-2E9C-101B-9397-08002B2CF9AE}" pid="8" name="APPELLANT">
    <vt:lpwstr>מדינת ישראל</vt:lpwstr>
  </property>
  <property fmtid="{D5CDD505-2E9C-101B-9397-08002B2CF9AE}" pid="9" name="APPELLEE">
    <vt:lpwstr>רמי ברמכי </vt:lpwstr>
  </property>
  <property fmtid="{D5CDD505-2E9C-101B-9397-08002B2CF9AE}" pid="10" name="LAWYER">
    <vt:lpwstr>טל עופר;סאהר פאר</vt:lpwstr>
  </property>
  <property fmtid="{D5CDD505-2E9C-101B-9397-08002B2CF9AE}" pid="11" name="JUDGE">
    <vt:lpwstr>אמיר טובי</vt:lpwstr>
  </property>
  <property fmtid="{D5CDD505-2E9C-101B-9397-08002B2CF9AE}" pid="12" name="CITY">
    <vt:lpwstr>חי'</vt:lpwstr>
  </property>
  <property fmtid="{D5CDD505-2E9C-101B-9397-08002B2CF9AE}" pid="13" name="DATE">
    <vt:lpwstr>20180329</vt:lpwstr>
  </property>
  <property fmtid="{D5CDD505-2E9C-101B-9397-08002B2CF9AE}" pid="14" name="TYPE_N_DATE">
    <vt:lpwstr>39020180329</vt:lpwstr>
  </property>
  <property fmtid="{D5CDD505-2E9C-101B-9397-08002B2CF9AE}" pid="15" name="WORDNUMPAGES">
    <vt:lpwstr>16</vt:lpwstr>
  </property>
  <property fmtid="{D5CDD505-2E9C-101B-9397-08002B2CF9AE}" pid="16" name="TYPE_ABS_DATE">
    <vt:lpwstr>390020180329</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22922068:2;13093721;20033641;17009738;18739556;5569378;5594406;5594268;22790672;5997926;5831242;5686093;6066305;6066217;5738340;5698919;7012287</vt:lpwstr>
  </property>
  <property fmtid="{D5CDD505-2E9C-101B-9397-08002B2CF9AE}" pid="36" name="LAWLISTTMP1">
    <vt:lpwstr>70301/381.a.2;029:3;384;338.a.1;40jc:2</vt:lpwstr>
  </property>
  <property fmtid="{D5CDD505-2E9C-101B-9397-08002B2CF9AE}" pid="37" name="LAWLISTTMP2">
    <vt:lpwstr>4216/013;019a</vt:lpwstr>
  </property>
  <property fmtid="{D5CDD505-2E9C-101B-9397-08002B2CF9AE}" pid="38" name="LAWLISTTMP3">
    <vt:lpwstr>74903:2</vt:lpwstr>
  </property>
</Properties>
</file>