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92"/>
        <w:gridCol w:w="2413"/>
      </w:tblGrid>
      <w:tr w:rsidR="00804EA8" w:rsidRPr="005528C6" w14:paraId="375078F9" w14:textId="77777777" w:rsidTr="008C602E">
        <w:trPr>
          <w:trHeight w:hRule="exact" w:val="418"/>
          <w:jc w:val="center"/>
        </w:trPr>
        <w:tc>
          <w:tcPr>
            <w:tcW w:w="8505" w:type="dxa"/>
            <w:gridSpan w:val="2"/>
          </w:tcPr>
          <w:p w14:paraId="6977E31B" w14:textId="77777777" w:rsidR="00804EA8" w:rsidRPr="005528C6" w:rsidRDefault="00804EA8" w:rsidP="008C602E">
            <w:pPr>
              <w:pStyle w:val="a3"/>
              <w:jc w:val="center"/>
              <w:rPr>
                <w:rFonts w:ascii="Tahoma" w:hAnsi="Tahoma" w:cs="Tahoma"/>
                <w:color w:val="000080"/>
                <w:rtl/>
              </w:rPr>
            </w:pPr>
            <w:r w:rsidRPr="005528C6">
              <w:rPr>
                <w:rFonts w:ascii="Tahoma" w:hAnsi="Tahoma" w:cs="Tahoma"/>
                <w:b/>
                <w:bCs/>
                <w:color w:val="000080"/>
                <w:rtl/>
              </w:rPr>
              <w:t>בית המשפט המחוזי בבאר שבע</w:t>
            </w:r>
          </w:p>
        </w:tc>
      </w:tr>
      <w:tr w:rsidR="00804EA8" w:rsidRPr="005528C6" w14:paraId="36A1277D" w14:textId="77777777" w:rsidTr="008C602E">
        <w:trPr>
          <w:trHeight w:val="337"/>
          <w:jc w:val="center"/>
        </w:trPr>
        <w:tc>
          <w:tcPr>
            <w:tcW w:w="6092" w:type="dxa"/>
          </w:tcPr>
          <w:p w14:paraId="253DAD18" w14:textId="77777777" w:rsidR="00804EA8" w:rsidRPr="005528C6" w:rsidRDefault="00804EA8" w:rsidP="008C602E">
            <w:pPr>
              <w:rPr>
                <w:b/>
                <w:bCs/>
                <w:sz w:val="28"/>
                <w:szCs w:val="28"/>
                <w:rtl/>
              </w:rPr>
            </w:pPr>
            <w:r w:rsidRPr="005528C6">
              <w:rPr>
                <w:b/>
                <w:bCs/>
                <w:sz w:val="28"/>
                <w:szCs w:val="28"/>
                <w:rtl/>
              </w:rPr>
              <w:t>ת"פ</w:t>
            </w:r>
            <w:r w:rsidRPr="005528C6">
              <w:rPr>
                <w:rFonts w:hint="cs"/>
                <w:b/>
                <w:bCs/>
                <w:sz w:val="28"/>
                <w:szCs w:val="28"/>
                <w:rtl/>
              </w:rPr>
              <w:t xml:space="preserve"> </w:t>
            </w:r>
            <w:r w:rsidRPr="005528C6">
              <w:rPr>
                <w:b/>
                <w:bCs/>
                <w:sz w:val="28"/>
                <w:szCs w:val="28"/>
                <w:rtl/>
              </w:rPr>
              <w:t>2599-09-17</w:t>
            </w:r>
            <w:r w:rsidRPr="005528C6">
              <w:rPr>
                <w:rFonts w:hint="cs"/>
                <w:b/>
                <w:bCs/>
                <w:sz w:val="28"/>
                <w:szCs w:val="28"/>
                <w:rtl/>
              </w:rPr>
              <w:t xml:space="preserve"> </w:t>
            </w:r>
            <w:r w:rsidRPr="005528C6">
              <w:rPr>
                <w:b/>
                <w:bCs/>
                <w:sz w:val="28"/>
                <w:szCs w:val="28"/>
                <w:rtl/>
              </w:rPr>
              <w:t>מדינת ישראל נ' יונייבה(עציר)</w:t>
            </w:r>
          </w:p>
        </w:tc>
        <w:tc>
          <w:tcPr>
            <w:tcW w:w="2413" w:type="dxa"/>
          </w:tcPr>
          <w:p w14:paraId="4A2633E1" w14:textId="77777777" w:rsidR="00804EA8" w:rsidRPr="005528C6" w:rsidRDefault="00804EA8" w:rsidP="008C602E">
            <w:pPr>
              <w:pStyle w:val="a3"/>
              <w:jc w:val="right"/>
              <w:rPr>
                <w:rFonts w:cs="FrankRuehl"/>
                <w:sz w:val="28"/>
                <w:szCs w:val="28"/>
                <w:rtl/>
              </w:rPr>
            </w:pPr>
          </w:p>
        </w:tc>
      </w:tr>
    </w:tbl>
    <w:p w14:paraId="5F74BDB3" w14:textId="77777777" w:rsidR="00804EA8" w:rsidRPr="005528C6" w:rsidRDefault="00804EA8" w:rsidP="00804EA8">
      <w:pPr>
        <w:pStyle w:val="a3"/>
        <w:rPr>
          <w:rtl/>
        </w:rPr>
      </w:pPr>
      <w:r w:rsidRPr="005528C6">
        <w:rPr>
          <w:rFonts w:hint="cs"/>
          <w:rtl/>
        </w:rPr>
        <w:t xml:space="preserve"> </w:t>
      </w:r>
    </w:p>
    <w:p w14:paraId="1C9E6D52" w14:textId="77777777" w:rsidR="00804EA8" w:rsidRPr="005528C6" w:rsidRDefault="00804EA8" w:rsidP="00804EA8">
      <w:pPr>
        <w:spacing w:line="360" w:lineRule="auto"/>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9"/>
        <w:gridCol w:w="2718"/>
        <w:gridCol w:w="871"/>
      </w:tblGrid>
      <w:tr w:rsidR="008C602E" w:rsidRPr="005528C6" w14:paraId="6E4455F4" w14:textId="77777777" w:rsidTr="00804EA8">
        <w:trPr>
          <w:gridAfter w:val="1"/>
          <w:wAfter w:w="871" w:type="dxa"/>
          <w:trHeight w:val="295"/>
          <w:jc w:val="center"/>
        </w:trPr>
        <w:tc>
          <w:tcPr>
            <w:tcW w:w="7949" w:type="dxa"/>
            <w:gridSpan w:val="3"/>
            <w:tcBorders>
              <w:top w:val="nil"/>
              <w:left w:val="nil"/>
              <w:bottom w:val="nil"/>
              <w:right w:val="nil"/>
            </w:tcBorders>
            <w:shd w:val="clear" w:color="auto" w:fill="auto"/>
          </w:tcPr>
          <w:p w14:paraId="04D4AED8" w14:textId="77777777" w:rsidR="00804EA8" w:rsidRPr="005528C6" w:rsidRDefault="00804EA8" w:rsidP="00804EA8">
            <w:pPr>
              <w:spacing w:line="360" w:lineRule="auto"/>
              <w:rPr>
                <w:rFonts w:ascii="Arial" w:hAnsi="Arial"/>
                <w:b/>
                <w:bCs/>
              </w:rPr>
            </w:pPr>
            <w:r w:rsidRPr="005528C6">
              <w:rPr>
                <w:rFonts w:ascii="Arial" w:hAnsi="Arial" w:hint="cs"/>
                <w:b/>
                <w:bCs/>
                <w:rtl/>
              </w:rPr>
              <w:t>בפני כב' סגן הנשיאה, השופט אליהו ביתן</w:t>
            </w:r>
          </w:p>
        </w:tc>
      </w:tr>
      <w:tr w:rsidR="008C602E" w:rsidRPr="005528C6" w14:paraId="0C09252A" w14:textId="77777777" w:rsidTr="00804EA8">
        <w:trPr>
          <w:trHeight w:val="355"/>
          <w:jc w:val="center"/>
        </w:trPr>
        <w:tc>
          <w:tcPr>
            <w:tcW w:w="1332" w:type="dxa"/>
            <w:tcBorders>
              <w:top w:val="nil"/>
              <w:left w:val="nil"/>
              <w:bottom w:val="nil"/>
              <w:right w:val="nil"/>
            </w:tcBorders>
            <w:shd w:val="clear" w:color="auto" w:fill="auto"/>
          </w:tcPr>
          <w:p w14:paraId="4EA26867" w14:textId="77777777" w:rsidR="00804EA8" w:rsidRPr="005528C6" w:rsidRDefault="00804EA8" w:rsidP="00804EA8">
            <w:pPr>
              <w:spacing w:line="360" w:lineRule="auto"/>
              <w:jc w:val="both"/>
              <w:rPr>
                <w:rFonts w:ascii="Arial" w:hAnsi="Arial"/>
                <w:b/>
                <w:bCs/>
              </w:rPr>
            </w:pPr>
            <w:bookmarkStart w:id="0" w:name="LastJudge"/>
            <w:bookmarkEnd w:id="0"/>
            <w:r w:rsidRPr="005528C6">
              <w:rPr>
                <w:rFonts w:ascii="Arial" w:hAnsi="Arial" w:hint="cs"/>
                <w:b/>
                <w:bCs/>
                <w:rtl/>
              </w:rPr>
              <w:t>בעניין:</w:t>
            </w:r>
          </w:p>
        </w:tc>
        <w:tc>
          <w:tcPr>
            <w:tcW w:w="3899" w:type="dxa"/>
            <w:tcBorders>
              <w:top w:val="nil"/>
              <w:left w:val="nil"/>
              <w:bottom w:val="nil"/>
              <w:right w:val="nil"/>
            </w:tcBorders>
            <w:shd w:val="clear" w:color="auto" w:fill="auto"/>
          </w:tcPr>
          <w:p w14:paraId="478C0D83" w14:textId="77777777" w:rsidR="00804EA8" w:rsidRPr="005528C6" w:rsidRDefault="00804EA8" w:rsidP="00804EA8">
            <w:pPr>
              <w:spacing w:line="360" w:lineRule="auto"/>
              <w:rPr>
                <w:rFonts w:ascii="Arial" w:hAnsi="Arial"/>
                <w:b/>
                <w:bCs/>
              </w:rPr>
            </w:pPr>
            <w:r w:rsidRPr="005528C6">
              <w:rPr>
                <w:rFonts w:ascii="Arial" w:hAnsi="Arial"/>
                <w:b/>
                <w:bCs/>
                <w:rtl/>
              </w:rPr>
              <w:t xml:space="preserve">     </w:t>
            </w:r>
          </w:p>
        </w:tc>
        <w:tc>
          <w:tcPr>
            <w:tcW w:w="3589" w:type="dxa"/>
            <w:gridSpan w:val="2"/>
            <w:tcBorders>
              <w:top w:val="nil"/>
              <w:left w:val="nil"/>
              <w:bottom w:val="nil"/>
              <w:right w:val="nil"/>
            </w:tcBorders>
            <w:shd w:val="clear" w:color="auto" w:fill="auto"/>
          </w:tcPr>
          <w:p w14:paraId="62EF291D" w14:textId="77777777" w:rsidR="00804EA8" w:rsidRPr="005528C6" w:rsidRDefault="00804EA8" w:rsidP="00804EA8">
            <w:pPr>
              <w:spacing w:line="360" w:lineRule="auto"/>
              <w:jc w:val="both"/>
              <w:rPr>
                <w:rFonts w:ascii="Arial" w:hAnsi="Arial"/>
                <w:b/>
                <w:bCs/>
              </w:rPr>
            </w:pPr>
          </w:p>
        </w:tc>
      </w:tr>
      <w:tr w:rsidR="008C602E" w:rsidRPr="005528C6" w14:paraId="7BC2CFF7" w14:textId="77777777" w:rsidTr="00804EA8">
        <w:trPr>
          <w:trHeight w:val="355"/>
          <w:jc w:val="center"/>
        </w:trPr>
        <w:tc>
          <w:tcPr>
            <w:tcW w:w="1332" w:type="dxa"/>
            <w:tcBorders>
              <w:top w:val="nil"/>
              <w:left w:val="nil"/>
              <w:bottom w:val="nil"/>
              <w:right w:val="nil"/>
            </w:tcBorders>
            <w:shd w:val="clear" w:color="auto" w:fill="auto"/>
          </w:tcPr>
          <w:p w14:paraId="55E377C0" w14:textId="77777777" w:rsidR="00804EA8" w:rsidRPr="005528C6" w:rsidRDefault="00804EA8" w:rsidP="00804EA8">
            <w:pPr>
              <w:spacing w:line="360" w:lineRule="auto"/>
              <w:jc w:val="both"/>
              <w:rPr>
                <w:rFonts w:ascii="Arial" w:hAnsi="Arial"/>
                <w:b/>
                <w:bCs/>
                <w:rtl/>
              </w:rPr>
            </w:pPr>
            <w:bookmarkStart w:id="1" w:name="FirstAppellant"/>
            <w:r w:rsidRPr="005528C6">
              <w:rPr>
                <w:rFonts w:ascii="Arial" w:hAnsi="Arial" w:hint="cs"/>
                <w:b/>
                <w:bCs/>
                <w:rtl/>
              </w:rPr>
              <w:t>המאשימה:</w:t>
            </w:r>
          </w:p>
        </w:tc>
        <w:tc>
          <w:tcPr>
            <w:tcW w:w="3899" w:type="dxa"/>
            <w:tcBorders>
              <w:top w:val="nil"/>
              <w:left w:val="nil"/>
              <w:bottom w:val="nil"/>
              <w:right w:val="nil"/>
            </w:tcBorders>
            <w:shd w:val="clear" w:color="auto" w:fill="auto"/>
          </w:tcPr>
          <w:p w14:paraId="1275E322" w14:textId="77777777" w:rsidR="00804EA8" w:rsidRPr="005528C6" w:rsidRDefault="00804EA8" w:rsidP="00804EA8">
            <w:pPr>
              <w:spacing w:line="360" w:lineRule="auto"/>
              <w:jc w:val="both"/>
              <w:rPr>
                <w:rFonts w:ascii="Arial" w:hAnsi="Arial"/>
                <w:b/>
                <w:bCs/>
                <w:rtl/>
              </w:rPr>
            </w:pPr>
            <w:r w:rsidRPr="005528C6">
              <w:rPr>
                <w:rFonts w:ascii="Arial" w:hAnsi="Arial" w:hint="cs"/>
                <w:b/>
                <w:bCs/>
                <w:rtl/>
              </w:rPr>
              <w:t xml:space="preserve">מדינת ישראל </w:t>
            </w:r>
          </w:p>
        </w:tc>
        <w:tc>
          <w:tcPr>
            <w:tcW w:w="3589" w:type="dxa"/>
            <w:gridSpan w:val="2"/>
            <w:tcBorders>
              <w:top w:val="nil"/>
              <w:left w:val="nil"/>
              <w:bottom w:val="nil"/>
              <w:right w:val="nil"/>
            </w:tcBorders>
            <w:shd w:val="clear" w:color="auto" w:fill="auto"/>
          </w:tcPr>
          <w:p w14:paraId="4F9755C9" w14:textId="77777777" w:rsidR="00804EA8" w:rsidRPr="005528C6" w:rsidRDefault="00804EA8" w:rsidP="00804EA8">
            <w:pPr>
              <w:spacing w:line="360" w:lineRule="auto"/>
              <w:jc w:val="right"/>
              <w:rPr>
                <w:rFonts w:ascii="Arial" w:hAnsi="Arial"/>
                <w:b/>
                <w:bCs/>
                <w:rtl/>
              </w:rPr>
            </w:pPr>
          </w:p>
        </w:tc>
      </w:tr>
      <w:bookmarkEnd w:id="1"/>
      <w:tr w:rsidR="008C602E" w:rsidRPr="005528C6" w14:paraId="282FC1F3" w14:textId="77777777" w:rsidTr="00804EA8">
        <w:trPr>
          <w:trHeight w:val="355"/>
          <w:jc w:val="center"/>
        </w:trPr>
        <w:tc>
          <w:tcPr>
            <w:tcW w:w="1332" w:type="dxa"/>
            <w:tcBorders>
              <w:top w:val="nil"/>
              <w:left w:val="nil"/>
              <w:bottom w:val="nil"/>
              <w:right w:val="nil"/>
            </w:tcBorders>
            <w:shd w:val="clear" w:color="auto" w:fill="auto"/>
          </w:tcPr>
          <w:p w14:paraId="7BB12FA9" w14:textId="77777777" w:rsidR="00804EA8" w:rsidRPr="005528C6" w:rsidRDefault="00804EA8" w:rsidP="00804EA8">
            <w:pPr>
              <w:spacing w:line="360" w:lineRule="auto"/>
              <w:jc w:val="both"/>
              <w:rPr>
                <w:rFonts w:ascii="Arial" w:hAnsi="Arial"/>
                <w:b/>
                <w:bCs/>
                <w:rtl/>
              </w:rPr>
            </w:pPr>
          </w:p>
        </w:tc>
        <w:tc>
          <w:tcPr>
            <w:tcW w:w="7488" w:type="dxa"/>
            <w:gridSpan w:val="3"/>
            <w:tcBorders>
              <w:top w:val="nil"/>
              <w:left w:val="nil"/>
              <w:bottom w:val="nil"/>
              <w:right w:val="nil"/>
            </w:tcBorders>
            <w:shd w:val="clear" w:color="auto" w:fill="auto"/>
          </w:tcPr>
          <w:p w14:paraId="577E6D30" w14:textId="77777777" w:rsidR="00804EA8" w:rsidRPr="005528C6" w:rsidRDefault="00804EA8" w:rsidP="00804EA8">
            <w:pPr>
              <w:spacing w:line="360" w:lineRule="auto"/>
              <w:jc w:val="center"/>
              <w:rPr>
                <w:rFonts w:ascii="Arial" w:hAnsi="Arial"/>
                <w:b/>
                <w:bCs/>
              </w:rPr>
            </w:pPr>
            <w:r w:rsidRPr="005528C6">
              <w:rPr>
                <w:rFonts w:ascii="Arial" w:hAnsi="Arial"/>
                <w:b/>
                <w:bCs/>
                <w:sz w:val="28"/>
                <w:szCs w:val="28"/>
                <w:rtl/>
              </w:rPr>
              <w:t>נגד</w:t>
            </w:r>
          </w:p>
        </w:tc>
      </w:tr>
      <w:tr w:rsidR="008C602E" w:rsidRPr="005528C6" w14:paraId="2F7F23C9" w14:textId="77777777" w:rsidTr="00804EA8">
        <w:trPr>
          <w:trHeight w:val="355"/>
          <w:jc w:val="center"/>
        </w:trPr>
        <w:tc>
          <w:tcPr>
            <w:tcW w:w="1332" w:type="dxa"/>
            <w:tcBorders>
              <w:top w:val="nil"/>
              <w:left w:val="nil"/>
              <w:bottom w:val="nil"/>
              <w:right w:val="nil"/>
            </w:tcBorders>
            <w:shd w:val="clear" w:color="auto" w:fill="auto"/>
          </w:tcPr>
          <w:p w14:paraId="4B305640" w14:textId="77777777" w:rsidR="00804EA8" w:rsidRPr="005528C6" w:rsidRDefault="00804EA8" w:rsidP="00804EA8">
            <w:pPr>
              <w:spacing w:line="360" w:lineRule="auto"/>
              <w:rPr>
                <w:rFonts w:ascii="Arial" w:hAnsi="Arial"/>
                <w:b/>
                <w:bCs/>
                <w:rtl/>
              </w:rPr>
            </w:pPr>
            <w:r w:rsidRPr="005528C6">
              <w:rPr>
                <w:rFonts w:ascii="Arial" w:hAnsi="Arial" w:hint="cs"/>
                <w:b/>
                <w:bCs/>
                <w:rtl/>
              </w:rPr>
              <w:t>הנאשמת:</w:t>
            </w:r>
          </w:p>
        </w:tc>
        <w:tc>
          <w:tcPr>
            <w:tcW w:w="3899" w:type="dxa"/>
            <w:tcBorders>
              <w:top w:val="nil"/>
              <w:left w:val="nil"/>
              <w:bottom w:val="nil"/>
              <w:right w:val="nil"/>
            </w:tcBorders>
            <w:shd w:val="clear" w:color="auto" w:fill="auto"/>
          </w:tcPr>
          <w:p w14:paraId="1869C053" w14:textId="77777777" w:rsidR="00804EA8" w:rsidRPr="005528C6" w:rsidRDefault="00804EA8" w:rsidP="00804EA8">
            <w:pPr>
              <w:spacing w:line="360" w:lineRule="auto"/>
              <w:rPr>
                <w:rFonts w:ascii="Arial" w:hAnsi="Arial"/>
                <w:b/>
                <w:bCs/>
                <w:rtl/>
              </w:rPr>
            </w:pPr>
            <w:r w:rsidRPr="005528C6">
              <w:rPr>
                <w:rFonts w:ascii="Arial" w:hAnsi="Arial"/>
                <w:b/>
                <w:bCs/>
                <w:rtl/>
              </w:rPr>
              <w:t>אולגה יונייבה (עציר)</w:t>
            </w:r>
          </w:p>
        </w:tc>
        <w:tc>
          <w:tcPr>
            <w:tcW w:w="3589" w:type="dxa"/>
            <w:gridSpan w:val="2"/>
            <w:tcBorders>
              <w:top w:val="nil"/>
              <w:left w:val="nil"/>
              <w:bottom w:val="nil"/>
              <w:right w:val="nil"/>
            </w:tcBorders>
            <w:shd w:val="clear" w:color="auto" w:fill="auto"/>
          </w:tcPr>
          <w:p w14:paraId="2C03F949" w14:textId="77777777" w:rsidR="00804EA8" w:rsidRPr="005528C6" w:rsidRDefault="00804EA8" w:rsidP="00804EA8">
            <w:pPr>
              <w:spacing w:line="360" w:lineRule="auto"/>
              <w:jc w:val="right"/>
              <w:rPr>
                <w:rFonts w:ascii="Arial" w:hAnsi="Arial"/>
                <w:b/>
                <w:bCs/>
              </w:rPr>
            </w:pPr>
          </w:p>
        </w:tc>
      </w:tr>
    </w:tbl>
    <w:p w14:paraId="3B8CADB0" w14:textId="77777777" w:rsidR="009A2BEE" w:rsidRDefault="009A2BEE" w:rsidP="00804EA8">
      <w:pPr>
        <w:spacing w:line="360" w:lineRule="auto"/>
        <w:rPr>
          <w:rFonts w:ascii="Arial" w:hAnsi="Arial"/>
          <w:rtl/>
        </w:rPr>
      </w:pPr>
      <w:bookmarkStart w:id="2" w:name="LawTable"/>
      <w:bookmarkEnd w:id="2"/>
    </w:p>
    <w:p w14:paraId="1EF00059" w14:textId="77777777" w:rsidR="009A2BEE" w:rsidRPr="009A2BEE" w:rsidRDefault="009A2BEE" w:rsidP="009A2BEE">
      <w:pPr>
        <w:spacing w:after="120" w:line="240" w:lineRule="exact"/>
        <w:ind w:left="283" w:hanging="283"/>
        <w:jc w:val="both"/>
        <w:rPr>
          <w:rFonts w:ascii="FrankRuehl" w:hAnsi="FrankRuehl" w:cs="FrankRuehl"/>
          <w:rtl/>
        </w:rPr>
      </w:pPr>
    </w:p>
    <w:p w14:paraId="784A0DC7" w14:textId="77777777" w:rsidR="009A2BEE" w:rsidRPr="009A2BEE" w:rsidRDefault="009A2BEE" w:rsidP="009A2BEE">
      <w:pPr>
        <w:spacing w:after="120" w:line="240" w:lineRule="exact"/>
        <w:ind w:left="283" w:hanging="283"/>
        <w:jc w:val="both"/>
        <w:rPr>
          <w:rFonts w:ascii="FrankRuehl" w:hAnsi="FrankRuehl" w:cs="FrankRuehl"/>
          <w:rtl/>
        </w:rPr>
      </w:pPr>
      <w:r w:rsidRPr="009A2BEE">
        <w:rPr>
          <w:rFonts w:ascii="FrankRuehl" w:hAnsi="FrankRuehl" w:cs="FrankRuehl"/>
          <w:rtl/>
        </w:rPr>
        <w:t xml:space="preserve">חקיקה שאוזכרה: </w:t>
      </w:r>
    </w:p>
    <w:p w14:paraId="4BFF7504" w14:textId="77777777" w:rsidR="009A2BEE" w:rsidRPr="009A2BEE" w:rsidRDefault="009A2BEE" w:rsidP="009A2BEE">
      <w:pPr>
        <w:spacing w:after="120" w:line="240" w:lineRule="exact"/>
        <w:ind w:left="283" w:hanging="283"/>
        <w:jc w:val="both"/>
        <w:rPr>
          <w:rFonts w:ascii="FrankRuehl" w:hAnsi="FrankRuehl" w:cs="FrankRuehl"/>
          <w:rtl/>
        </w:rPr>
      </w:pPr>
      <w:hyperlink r:id="rId6" w:history="1">
        <w:r w:rsidRPr="009A2BEE">
          <w:rPr>
            <w:rFonts w:ascii="FrankRuehl" w:hAnsi="FrankRuehl" w:cs="FrankRuehl"/>
            <w:color w:val="0000FF"/>
            <w:u w:val="single"/>
            <w:rtl/>
          </w:rPr>
          <w:t>פקודת הסמים המסוכנים [נוסח חדש], תשל"ג-1973</w:t>
        </w:r>
      </w:hyperlink>
      <w:r w:rsidRPr="009A2BEE">
        <w:rPr>
          <w:rFonts w:ascii="FrankRuehl" w:hAnsi="FrankRuehl" w:cs="FrankRuehl"/>
          <w:rtl/>
        </w:rPr>
        <w:t xml:space="preserve">: סע'  </w:t>
      </w:r>
      <w:hyperlink r:id="rId7" w:history="1">
        <w:r w:rsidRPr="009A2BEE">
          <w:rPr>
            <w:rFonts w:ascii="FrankRuehl" w:hAnsi="FrankRuehl" w:cs="FrankRuehl"/>
            <w:color w:val="0000FF"/>
            <w:u w:val="single"/>
            <w:rtl/>
          </w:rPr>
          <w:t>7.א.</w:t>
        </w:r>
      </w:hyperlink>
      <w:r w:rsidRPr="009A2BEE">
        <w:rPr>
          <w:rFonts w:ascii="FrankRuehl" w:hAnsi="FrankRuehl" w:cs="FrankRuehl"/>
          <w:rtl/>
        </w:rPr>
        <w:t xml:space="preserve">, </w:t>
      </w:r>
      <w:hyperlink r:id="rId8" w:history="1">
        <w:r w:rsidRPr="009A2BEE">
          <w:rPr>
            <w:rFonts w:ascii="FrankRuehl" w:hAnsi="FrankRuehl" w:cs="FrankRuehl"/>
            <w:color w:val="0000FF"/>
            <w:u w:val="single"/>
            <w:rtl/>
          </w:rPr>
          <w:t>7.ג</w:t>
        </w:r>
      </w:hyperlink>
    </w:p>
    <w:p w14:paraId="2238FFAF" w14:textId="77777777" w:rsidR="009A2BEE" w:rsidRPr="009A2BEE" w:rsidRDefault="009A2BEE" w:rsidP="009A2BEE">
      <w:pPr>
        <w:spacing w:after="120" w:line="240" w:lineRule="exact"/>
        <w:ind w:left="283" w:hanging="283"/>
        <w:jc w:val="both"/>
        <w:rPr>
          <w:rFonts w:ascii="FrankRuehl" w:hAnsi="FrankRuehl" w:cs="FrankRuehl"/>
          <w:rtl/>
        </w:rPr>
      </w:pPr>
      <w:hyperlink r:id="rId9" w:history="1">
        <w:r w:rsidRPr="009A2BEE">
          <w:rPr>
            <w:rFonts w:ascii="FrankRuehl" w:hAnsi="FrankRuehl" w:cs="FrankRuehl"/>
            <w:color w:val="0000FF"/>
            <w:u w:val="single"/>
            <w:rtl/>
          </w:rPr>
          <w:t>חוק העונשין, תשל"ז-1977</w:t>
        </w:r>
      </w:hyperlink>
      <w:r w:rsidRPr="009A2BEE">
        <w:rPr>
          <w:rFonts w:ascii="FrankRuehl" w:hAnsi="FrankRuehl" w:cs="FrankRuehl"/>
          <w:rtl/>
        </w:rPr>
        <w:t xml:space="preserve">: סע'  </w:t>
      </w:r>
      <w:hyperlink r:id="rId10" w:history="1">
        <w:r w:rsidRPr="009A2BEE">
          <w:rPr>
            <w:rFonts w:ascii="FrankRuehl" w:hAnsi="FrankRuehl" w:cs="FrankRuehl"/>
            <w:color w:val="0000FF"/>
            <w:u w:val="single"/>
            <w:rtl/>
          </w:rPr>
          <w:t>40ט'</w:t>
        </w:r>
      </w:hyperlink>
    </w:p>
    <w:p w14:paraId="7FB59F42" w14:textId="77777777" w:rsidR="009A2BEE" w:rsidRPr="009A2BEE" w:rsidRDefault="009A2BEE" w:rsidP="009A2BEE">
      <w:pPr>
        <w:spacing w:after="120" w:line="240" w:lineRule="exact"/>
        <w:ind w:left="283" w:hanging="283"/>
        <w:jc w:val="both"/>
        <w:rPr>
          <w:rFonts w:ascii="FrankRuehl" w:hAnsi="FrankRuehl" w:cs="FrankRuehl"/>
          <w:rtl/>
        </w:rPr>
      </w:pPr>
    </w:p>
    <w:p w14:paraId="75AB9A23" w14:textId="77777777" w:rsidR="009A2BEE" w:rsidRPr="009A2BEE" w:rsidRDefault="009A2BEE" w:rsidP="00804EA8">
      <w:pPr>
        <w:spacing w:line="360" w:lineRule="auto"/>
        <w:rPr>
          <w:rFonts w:ascii="Arial" w:hAnsi="Arial"/>
          <w:rtl/>
        </w:rPr>
      </w:pPr>
      <w:bookmarkStart w:id="3" w:name="LawTable_End"/>
      <w:bookmarkEnd w:id="3"/>
    </w:p>
    <w:p w14:paraId="534537F6" w14:textId="77777777" w:rsidR="00804EA8" w:rsidRPr="00A10DE5" w:rsidRDefault="00804EA8" w:rsidP="00804EA8">
      <w:pPr>
        <w:spacing w:line="360" w:lineRule="auto"/>
        <w:rPr>
          <w:rFonts w:ascii="Arial" w:hAnsi="Arial"/>
          <w:b/>
          <w:bCs/>
        </w:rPr>
      </w:pPr>
    </w:p>
    <w:p w14:paraId="2180ACF7" w14:textId="77777777" w:rsidR="00804EA8" w:rsidRPr="005528C6" w:rsidRDefault="00804EA8" w:rsidP="00804EA8">
      <w:pPr>
        <w:pStyle w:val="1"/>
        <w:spacing w:line="360" w:lineRule="auto"/>
        <w:jc w:val="both"/>
        <w:rPr>
          <w:rFonts w:eastAsia="David" w:cs="David"/>
          <w:sz w:val="24"/>
          <w:szCs w:val="2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602E" w:rsidRPr="00826122" w14:paraId="7FBB3070" w14:textId="77777777" w:rsidTr="00804EA8">
        <w:trPr>
          <w:trHeight w:val="355"/>
          <w:jc w:val="center"/>
        </w:trPr>
        <w:tc>
          <w:tcPr>
            <w:tcW w:w="8820" w:type="dxa"/>
            <w:tcBorders>
              <w:top w:val="nil"/>
              <w:left w:val="nil"/>
              <w:bottom w:val="nil"/>
              <w:right w:val="nil"/>
            </w:tcBorders>
            <w:shd w:val="clear" w:color="auto" w:fill="auto"/>
          </w:tcPr>
          <w:p w14:paraId="607835FA" w14:textId="77777777" w:rsidR="005528C6" w:rsidRPr="005528C6" w:rsidRDefault="005528C6" w:rsidP="005528C6">
            <w:pPr>
              <w:spacing w:line="360" w:lineRule="auto"/>
              <w:jc w:val="center"/>
              <w:rPr>
                <w:rFonts w:ascii="Arial" w:hAnsi="Arial"/>
                <w:b/>
                <w:bCs/>
                <w:sz w:val="28"/>
                <w:szCs w:val="28"/>
                <w:u w:val="single"/>
                <w:rtl/>
              </w:rPr>
            </w:pPr>
            <w:bookmarkStart w:id="4" w:name="PsakDin" w:colFirst="0" w:colLast="0"/>
            <w:r w:rsidRPr="005528C6">
              <w:rPr>
                <w:rFonts w:ascii="Arial" w:hAnsi="Arial"/>
                <w:b/>
                <w:bCs/>
                <w:sz w:val="28"/>
                <w:szCs w:val="28"/>
                <w:u w:val="single"/>
                <w:rtl/>
              </w:rPr>
              <w:t>גזר דין</w:t>
            </w:r>
          </w:p>
          <w:p w14:paraId="7EBBA523" w14:textId="77777777" w:rsidR="00804EA8" w:rsidRPr="005528C6" w:rsidRDefault="00804EA8" w:rsidP="005528C6">
            <w:pPr>
              <w:spacing w:line="360" w:lineRule="auto"/>
              <w:jc w:val="center"/>
              <w:rPr>
                <w:rFonts w:ascii="Arial" w:hAnsi="Arial"/>
                <w:b/>
                <w:bCs/>
                <w:u w:val="single"/>
                <w:rtl/>
              </w:rPr>
            </w:pPr>
          </w:p>
        </w:tc>
      </w:tr>
    </w:tbl>
    <w:bookmarkEnd w:id="4"/>
    <w:p w14:paraId="4B3E3B4A" w14:textId="77777777" w:rsidR="00804EA8" w:rsidRPr="00826122" w:rsidRDefault="00804EA8" w:rsidP="00804EA8">
      <w:pPr>
        <w:pStyle w:val="1"/>
        <w:spacing w:line="360" w:lineRule="auto"/>
        <w:jc w:val="both"/>
        <w:rPr>
          <w:rFonts w:eastAsia="David" w:cs="David"/>
          <w:sz w:val="24"/>
          <w:szCs w:val="24"/>
          <w:u w:val="single"/>
          <w:rtl/>
        </w:rPr>
      </w:pPr>
      <w:r w:rsidRPr="00826122">
        <w:rPr>
          <w:rFonts w:eastAsia="David" w:cs="David" w:hint="cs"/>
          <w:sz w:val="24"/>
          <w:szCs w:val="24"/>
          <w:u w:val="single"/>
          <w:rtl/>
        </w:rPr>
        <w:t>כללי</w:t>
      </w:r>
    </w:p>
    <w:p w14:paraId="2D755070" w14:textId="77777777" w:rsidR="00804EA8" w:rsidRPr="00826122" w:rsidRDefault="00804EA8" w:rsidP="00804EA8">
      <w:pPr>
        <w:spacing w:line="360" w:lineRule="auto"/>
        <w:rPr>
          <w:rFonts w:eastAsia="David"/>
          <w:rtl/>
        </w:rPr>
      </w:pPr>
      <w:bookmarkStart w:id="5" w:name="ABSTRACT_START"/>
      <w:bookmarkEnd w:id="5"/>
    </w:p>
    <w:p w14:paraId="089BA844" w14:textId="77777777" w:rsidR="00804EA8" w:rsidRPr="00826122" w:rsidRDefault="00804EA8" w:rsidP="00804EA8">
      <w:pPr>
        <w:spacing w:line="360" w:lineRule="auto"/>
        <w:ind w:left="720" w:hanging="720"/>
        <w:jc w:val="both"/>
        <w:rPr>
          <w:rtl/>
        </w:rPr>
      </w:pPr>
      <w:r w:rsidRPr="00826122">
        <w:rPr>
          <w:rFonts w:hint="cs"/>
          <w:rtl/>
        </w:rPr>
        <w:t>1.</w:t>
      </w:r>
      <w:r w:rsidRPr="00826122">
        <w:rPr>
          <w:rFonts w:hint="cs"/>
          <w:rtl/>
        </w:rPr>
        <w:tab/>
        <w:t xml:space="preserve">בטרם שמיעת הראיות, הנאשמת - אזרחית ישראל ותושבת רוסיה – הודתה במסגרת הסדר טיעון, כי בתאריך 23.08.17 החזיקה שלא כדין סם מסוכן מסוג קוקאין במשקל 490.51 גרם (להלן: "הסם"). </w:t>
      </w:r>
    </w:p>
    <w:p w14:paraId="5692E86E" w14:textId="77777777" w:rsidR="00804EA8" w:rsidRPr="00826122" w:rsidRDefault="00804EA8" w:rsidP="00804EA8">
      <w:pPr>
        <w:spacing w:line="360" w:lineRule="auto"/>
        <w:ind w:left="720" w:hanging="720"/>
        <w:jc w:val="both"/>
        <w:rPr>
          <w:rtl/>
        </w:rPr>
      </w:pPr>
      <w:bookmarkStart w:id="6" w:name="ABSTRACT_END"/>
      <w:bookmarkEnd w:id="6"/>
    </w:p>
    <w:p w14:paraId="5CEBB8D9" w14:textId="77777777" w:rsidR="00804EA8" w:rsidRPr="00826122" w:rsidRDefault="00804EA8" w:rsidP="00804EA8">
      <w:pPr>
        <w:spacing w:line="360" w:lineRule="auto"/>
        <w:ind w:left="720" w:hanging="720"/>
        <w:jc w:val="both"/>
        <w:rPr>
          <w:rtl/>
        </w:rPr>
      </w:pPr>
      <w:r w:rsidRPr="00826122">
        <w:rPr>
          <w:rFonts w:hint="cs"/>
          <w:rtl/>
        </w:rPr>
        <w:t>2.</w:t>
      </w:r>
      <w:r w:rsidRPr="00826122">
        <w:rPr>
          <w:rFonts w:hint="cs"/>
          <w:rtl/>
        </w:rPr>
        <w:tab/>
        <w:t xml:space="preserve">על יסוד הודאתה בעובדות כאמור, היא הורשעה בעבירה של החזקת סמים שלא לצריכה עצמית, לפי סעיף </w:t>
      </w:r>
      <w:hyperlink r:id="rId11" w:history="1">
        <w:r w:rsidR="00A10DE5" w:rsidRPr="00A10DE5">
          <w:rPr>
            <w:color w:val="0000FF"/>
            <w:u w:val="single"/>
            <w:rtl/>
          </w:rPr>
          <w:t>7(א) ו- (ג)</w:t>
        </w:r>
      </w:hyperlink>
      <w:r w:rsidRPr="00826122">
        <w:rPr>
          <w:rFonts w:hint="cs"/>
          <w:rtl/>
        </w:rPr>
        <w:t xml:space="preserve"> ל</w:t>
      </w:r>
      <w:hyperlink r:id="rId12" w:history="1">
        <w:r w:rsidR="005528C6" w:rsidRPr="005528C6">
          <w:rPr>
            <w:color w:val="0000FF"/>
            <w:u w:val="single"/>
            <w:rtl/>
          </w:rPr>
          <w:t>פקודת הסמים המסוכנים</w:t>
        </w:r>
      </w:hyperlink>
      <w:r w:rsidRPr="00826122">
        <w:rPr>
          <w:rFonts w:hint="cs"/>
          <w:rtl/>
        </w:rPr>
        <w:t xml:space="preserve"> [נוסח חדש], תשל"ג-1973.</w:t>
      </w:r>
    </w:p>
    <w:p w14:paraId="5A1F4475" w14:textId="77777777" w:rsidR="00804EA8" w:rsidRPr="00826122" w:rsidRDefault="00804EA8" w:rsidP="00804EA8">
      <w:pPr>
        <w:spacing w:line="360" w:lineRule="auto"/>
        <w:jc w:val="both"/>
        <w:rPr>
          <w:rtl/>
        </w:rPr>
      </w:pPr>
    </w:p>
    <w:p w14:paraId="7C921E5B" w14:textId="77777777" w:rsidR="00804EA8" w:rsidRPr="00826122" w:rsidRDefault="00804EA8" w:rsidP="00804EA8">
      <w:pPr>
        <w:spacing w:line="360" w:lineRule="auto"/>
        <w:ind w:left="720" w:hanging="720"/>
        <w:jc w:val="both"/>
        <w:rPr>
          <w:rtl/>
        </w:rPr>
      </w:pPr>
      <w:r w:rsidRPr="00826122">
        <w:rPr>
          <w:rFonts w:hint="cs"/>
          <w:rtl/>
        </w:rPr>
        <w:t>3.</w:t>
      </w:r>
      <w:r w:rsidRPr="00826122">
        <w:rPr>
          <w:rFonts w:hint="cs"/>
          <w:rtl/>
        </w:rPr>
        <w:tab/>
        <w:t xml:space="preserve">הסדר הטיעון לא כלל הסכמה לעניין העונש. </w:t>
      </w:r>
    </w:p>
    <w:p w14:paraId="0CA391CE" w14:textId="77777777" w:rsidR="00804EA8" w:rsidRPr="00826122" w:rsidRDefault="00804EA8" w:rsidP="00804EA8">
      <w:pPr>
        <w:spacing w:line="360" w:lineRule="auto"/>
        <w:ind w:left="720" w:hanging="720"/>
        <w:jc w:val="both"/>
        <w:rPr>
          <w:rtl/>
        </w:rPr>
      </w:pPr>
    </w:p>
    <w:p w14:paraId="7A1D5257" w14:textId="77777777" w:rsidR="00804EA8" w:rsidRPr="00826122" w:rsidRDefault="00804EA8" w:rsidP="00804EA8">
      <w:pPr>
        <w:spacing w:line="360" w:lineRule="auto"/>
        <w:ind w:left="720" w:hanging="720"/>
        <w:jc w:val="both"/>
        <w:rPr>
          <w:rtl/>
        </w:rPr>
      </w:pPr>
      <w:r w:rsidRPr="00826122">
        <w:rPr>
          <w:rFonts w:hint="cs"/>
          <w:rtl/>
        </w:rPr>
        <w:t>4.</w:t>
      </w:r>
      <w:r w:rsidRPr="00826122">
        <w:rPr>
          <w:rFonts w:hint="cs"/>
          <w:rtl/>
        </w:rPr>
        <w:tab/>
        <w:t xml:space="preserve">לבקשת הנאשמת, התבקש שירות המבחן להגיש עליה תסקיר.  </w:t>
      </w:r>
    </w:p>
    <w:p w14:paraId="51ECD0E3" w14:textId="77777777" w:rsidR="00804EA8" w:rsidRPr="00826122" w:rsidRDefault="00804EA8" w:rsidP="00804EA8">
      <w:pPr>
        <w:spacing w:line="360" w:lineRule="auto"/>
        <w:ind w:left="720" w:hanging="720"/>
        <w:jc w:val="both"/>
        <w:rPr>
          <w:rtl/>
        </w:rPr>
      </w:pPr>
    </w:p>
    <w:p w14:paraId="051662EB" w14:textId="77777777" w:rsidR="00804EA8" w:rsidRPr="00826122" w:rsidRDefault="00804EA8" w:rsidP="00804EA8">
      <w:pPr>
        <w:spacing w:line="360" w:lineRule="auto"/>
        <w:ind w:left="720" w:hanging="720"/>
        <w:jc w:val="both"/>
        <w:rPr>
          <w:b/>
          <w:bCs/>
          <w:u w:val="single"/>
          <w:rtl/>
        </w:rPr>
      </w:pPr>
    </w:p>
    <w:p w14:paraId="46DD8BAA" w14:textId="77777777" w:rsidR="00804EA8" w:rsidRPr="00826122" w:rsidRDefault="00804EA8" w:rsidP="00804EA8">
      <w:pPr>
        <w:spacing w:line="360" w:lineRule="auto"/>
        <w:ind w:left="720" w:hanging="720"/>
        <w:jc w:val="both"/>
        <w:rPr>
          <w:b/>
          <w:bCs/>
          <w:u w:val="single"/>
          <w:rtl/>
        </w:rPr>
      </w:pPr>
      <w:r w:rsidRPr="00826122">
        <w:rPr>
          <w:rFonts w:hint="cs"/>
          <w:b/>
          <w:bCs/>
          <w:u w:val="single"/>
          <w:rtl/>
        </w:rPr>
        <w:t>תסקיר שירות המבחן</w:t>
      </w:r>
    </w:p>
    <w:p w14:paraId="3C43DEBC" w14:textId="77777777" w:rsidR="00804EA8" w:rsidRPr="00826122" w:rsidRDefault="00804EA8" w:rsidP="00804EA8">
      <w:pPr>
        <w:spacing w:line="360" w:lineRule="auto"/>
        <w:ind w:left="720"/>
        <w:jc w:val="both"/>
        <w:rPr>
          <w:rtl/>
        </w:rPr>
      </w:pPr>
    </w:p>
    <w:p w14:paraId="12C4B44E" w14:textId="77777777" w:rsidR="00804EA8" w:rsidRPr="00826122" w:rsidRDefault="00804EA8" w:rsidP="00804EA8">
      <w:pPr>
        <w:spacing w:line="360" w:lineRule="auto"/>
        <w:ind w:left="720"/>
        <w:jc w:val="both"/>
        <w:rPr>
          <w:rtl/>
        </w:rPr>
      </w:pPr>
      <w:r w:rsidRPr="00826122">
        <w:rPr>
          <w:rFonts w:hint="cs"/>
          <w:rtl/>
        </w:rPr>
        <w:t>בתסקיר שירות המבחן על הנאשמת, צוינו בין היתר הדברים הבאים:</w:t>
      </w:r>
    </w:p>
    <w:p w14:paraId="1F45DE4B" w14:textId="77777777" w:rsidR="00804EA8" w:rsidRPr="00826122" w:rsidRDefault="00804EA8" w:rsidP="00804EA8">
      <w:pPr>
        <w:spacing w:line="360" w:lineRule="auto"/>
        <w:ind w:left="720"/>
        <w:jc w:val="both"/>
        <w:rPr>
          <w:rtl/>
        </w:rPr>
      </w:pPr>
      <w:r w:rsidRPr="00826122">
        <w:rPr>
          <w:rFonts w:hint="cs"/>
          <w:rtl/>
        </w:rPr>
        <w:t xml:space="preserve">בת 45, נשואה פעם שניה, ללא ילדים. הוריה נפטרו. אחיה מתגורר ברוסיה והקשר עמו שטחי. הגיעה לארץ לאחר נישואיה הראשונים. לדבריה בעלה היה מבוגר ממנה בשנים רבות והיא דאגה לפרנסתם. לאחר 9 שנים התגרשו והיא שבה לרוסיה. מסרה כי היא מאובחנת כנשאית </w:t>
      </w:r>
      <w:r w:rsidRPr="00826122">
        <w:rPr>
          <w:rFonts w:hint="cs"/>
        </w:rPr>
        <w:t>HIV</w:t>
      </w:r>
      <w:r w:rsidRPr="00826122">
        <w:rPr>
          <w:rFonts w:hint="cs"/>
          <w:rtl/>
        </w:rPr>
        <w:t xml:space="preserve"> ועל כן החליטה לא להרות. בשנת 2012 התחתנה בשנית. בעלה תיאר קשר שטחי ביניהם. לדברי הנאשמת מאז שנת 2014 מגיעה פעם בשנה לביקור ארוך בארץ לצורך מפגש עם מכרים. </w:t>
      </w:r>
    </w:p>
    <w:p w14:paraId="566DA16F" w14:textId="77777777" w:rsidR="00804EA8" w:rsidRPr="00826122" w:rsidRDefault="00804EA8" w:rsidP="00804EA8">
      <w:pPr>
        <w:spacing w:line="360" w:lineRule="auto"/>
        <w:ind w:left="720"/>
        <w:jc w:val="both"/>
        <w:rPr>
          <w:rtl/>
        </w:rPr>
      </w:pPr>
    </w:p>
    <w:p w14:paraId="46D71663" w14:textId="77777777" w:rsidR="00804EA8" w:rsidRPr="00826122" w:rsidRDefault="00804EA8" w:rsidP="00804EA8">
      <w:pPr>
        <w:spacing w:line="360" w:lineRule="auto"/>
        <w:ind w:left="720"/>
        <w:jc w:val="both"/>
        <w:rPr>
          <w:rtl/>
        </w:rPr>
      </w:pPr>
      <w:r w:rsidRPr="00826122">
        <w:rPr>
          <w:rFonts w:hint="cs"/>
          <w:rtl/>
        </w:rPr>
        <w:t xml:space="preserve">שירות המבחן ציין כי הנאשמת התקשתה לשתף פעולה באופן מלא, וניכר כי היא עסוקה במצבה כיום, וכן כי לא קיימת עדות למצוקה סביב מעצרה או סביב ההליך הפלילי. </w:t>
      </w:r>
    </w:p>
    <w:p w14:paraId="44829F7E" w14:textId="77777777" w:rsidR="00804EA8" w:rsidRPr="00826122" w:rsidRDefault="00804EA8" w:rsidP="00804EA8">
      <w:pPr>
        <w:spacing w:line="360" w:lineRule="auto"/>
        <w:ind w:left="720"/>
        <w:jc w:val="both"/>
        <w:rPr>
          <w:rtl/>
        </w:rPr>
      </w:pPr>
    </w:p>
    <w:p w14:paraId="622D8235" w14:textId="77777777" w:rsidR="00804EA8" w:rsidRPr="00826122" w:rsidRDefault="00804EA8" w:rsidP="00804EA8">
      <w:pPr>
        <w:spacing w:line="360" w:lineRule="auto"/>
        <w:ind w:left="720"/>
        <w:jc w:val="both"/>
        <w:rPr>
          <w:rtl/>
        </w:rPr>
      </w:pPr>
      <w:r w:rsidRPr="00826122">
        <w:rPr>
          <w:rFonts w:hint="cs"/>
          <w:rtl/>
        </w:rPr>
        <w:t xml:space="preserve">הנאשמת לקחה אחריות על ביצוע העבירה. לדבריה, מכר ברוסיה ששמע על מצוקתה הכספית, קישר בינה ובין אדם אחר בארץ בכדי שתעביר את הסמים. לדבריה, היא אינה משתמשת בסמים וביצוע העבירה נבע מתוך רצון להרוויח כסף ולשפר את מצבה הכלכלי. </w:t>
      </w:r>
    </w:p>
    <w:p w14:paraId="06E91881" w14:textId="77777777" w:rsidR="00804EA8" w:rsidRPr="00826122" w:rsidRDefault="00804EA8" w:rsidP="00804EA8">
      <w:pPr>
        <w:spacing w:line="360" w:lineRule="auto"/>
        <w:ind w:left="720"/>
        <w:jc w:val="both"/>
        <w:rPr>
          <w:rtl/>
        </w:rPr>
      </w:pPr>
    </w:p>
    <w:p w14:paraId="375DB9E5" w14:textId="77777777" w:rsidR="00804EA8" w:rsidRPr="00826122" w:rsidRDefault="00804EA8" w:rsidP="00804EA8">
      <w:pPr>
        <w:spacing w:line="360" w:lineRule="auto"/>
        <w:ind w:left="720"/>
        <w:jc w:val="both"/>
        <w:rPr>
          <w:rtl/>
        </w:rPr>
      </w:pPr>
      <w:r w:rsidRPr="00826122">
        <w:rPr>
          <w:rFonts w:hint="cs"/>
          <w:rtl/>
        </w:rPr>
        <w:t xml:space="preserve">שירות המבחן העריך כי קיים סיכון להישנות מעורבות עבריינית, ומנגד ציין כי הנאשמת מבינה את חומרת מעשיה ומביעה רצון לסיים את ההליך המשפטי ושנתון זה מהווה גורם סיכוי לשיקום ולהימנעות מהתנהגות עבריינית. </w:t>
      </w:r>
    </w:p>
    <w:p w14:paraId="21B16667" w14:textId="77777777" w:rsidR="00804EA8" w:rsidRPr="00826122" w:rsidRDefault="00804EA8" w:rsidP="00804EA8">
      <w:pPr>
        <w:spacing w:line="360" w:lineRule="auto"/>
        <w:ind w:left="720"/>
        <w:jc w:val="both"/>
        <w:rPr>
          <w:rtl/>
        </w:rPr>
      </w:pPr>
    </w:p>
    <w:p w14:paraId="2DB23996" w14:textId="77777777" w:rsidR="00804EA8" w:rsidRPr="00826122" w:rsidRDefault="00804EA8" w:rsidP="00804EA8">
      <w:pPr>
        <w:spacing w:line="360" w:lineRule="auto"/>
        <w:ind w:left="720"/>
        <w:jc w:val="both"/>
        <w:rPr>
          <w:rtl/>
        </w:rPr>
      </w:pPr>
      <w:r w:rsidRPr="00826122">
        <w:rPr>
          <w:rFonts w:hint="cs"/>
          <w:rtl/>
        </w:rPr>
        <w:t xml:space="preserve">הנאשמת מסרה שאינה זקוקה לעזרה בתחום ההתמכרויות לסמים, ובנסיבות, שירות המבחן לא בא בהמלצה טיפולית. </w:t>
      </w:r>
    </w:p>
    <w:p w14:paraId="295803DD" w14:textId="77777777" w:rsidR="00804EA8" w:rsidRPr="00826122" w:rsidRDefault="00804EA8" w:rsidP="00804EA8">
      <w:pPr>
        <w:spacing w:line="360" w:lineRule="auto"/>
        <w:ind w:left="720"/>
        <w:jc w:val="both"/>
        <w:rPr>
          <w:rtl/>
        </w:rPr>
      </w:pPr>
    </w:p>
    <w:p w14:paraId="3098FCFE" w14:textId="77777777" w:rsidR="00804EA8" w:rsidRPr="00826122" w:rsidRDefault="00804EA8" w:rsidP="00804EA8">
      <w:pPr>
        <w:spacing w:line="360" w:lineRule="auto"/>
        <w:ind w:left="720"/>
        <w:jc w:val="both"/>
        <w:rPr>
          <w:rtl/>
        </w:rPr>
      </w:pPr>
    </w:p>
    <w:p w14:paraId="782E6F97" w14:textId="77777777" w:rsidR="00804EA8" w:rsidRPr="00826122" w:rsidRDefault="00804EA8" w:rsidP="00804EA8">
      <w:pPr>
        <w:spacing w:line="360" w:lineRule="auto"/>
        <w:jc w:val="both"/>
        <w:rPr>
          <w:b/>
          <w:bCs/>
          <w:u w:val="single"/>
          <w:rtl/>
        </w:rPr>
      </w:pPr>
      <w:r w:rsidRPr="00826122">
        <w:rPr>
          <w:rFonts w:hint="cs"/>
          <w:b/>
          <w:bCs/>
          <w:u w:val="single"/>
          <w:rtl/>
        </w:rPr>
        <w:t>טענות הצדדים</w:t>
      </w:r>
    </w:p>
    <w:p w14:paraId="287BF376" w14:textId="77777777" w:rsidR="00804EA8" w:rsidRPr="00826122" w:rsidRDefault="00804EA8" w:rsidP="00804EA8">
      <w:pPr>
        <w:pStyle w:val="a9"/>
        <w:jc w:val="both"/>
        <w:rPr>
          <w:rFonts w:cs="David"/>
          <w:szCs w:val="24"/>
          <w:rtl/>
        </w:rPr>
      </w:pPr>
      <w:r w:rsidRPr="00826122">
        <w:rPr>
          <w:rFonts w:cs="David" w:hint="cs"/>
          <w:szCs w:val="24"/>
          <w:rtl/>
        </w:rPr>
        <w:t>1.</w:t>
      </w:r>
      <w:r w:rsidRPr="00826122">
        <w:rPr>
          <w:rFonts w:cs="David" w:hint="cs"/>
          <w:szCs w:val="24"/>
          <w:rtl/>
        </w:rPr>
        <w:tab/>
        <w:t xml:space="preserve">ב"כ המאשימה חזרה על עובדות כתב האישום. פירטה את הערכים המוגנים ואת מידת הפגיעה בהם. הפנתה לפסיקה. עמדה על נסיבות ביצוע העבירה, ובכלל זאת, על כמות הסם הגדולה שנתפסה אצל הנאשמת; על התכנון שקדם לעבירה; על הנזק שנגרם ושהיה צפוי להיגרם; על תפקידה של הנאשמת בשרשרת הפצת הסם; על המניע לביצוע העבירה; על יכולתה להבין את הפסול במעשיה; ויכולתה להימנע מביצוע העבירה. וטענה כי מתחם העונש ההולם נע בין 4 ל- 7 שנות מאסר. אשר לעונש ההולם בתוך מתחם הענישה טענה, כי המאשימה שקלה לקולא את העובדה שהנאשמת הודתה במיוחס לה ולקחה אחריות על מעשיה, את העובדה שהיא נעדרת עבר פלילי, ואת היותה נשאית </w:t>
      </w:r>
      <w:r w:rsidRPr="00826122">
        <w:rPr>
          <w:rFonts w:cs="David"/>
          <w:szCs w:val="24"/>
        </w:rPr>
        <w:t>HIV</w:t>
      </w:r>
      <w:r w:rsidRPr="00826122">
        <w:rPr>
          <w:rFonts w:cs="David" w:hint="cs"/>
          <w:szCs w:val="24"/>
          <w:rtl/>
        </w:rPr>
        <w:t xml:space="preserve">. הוסיפה, כי יש צורך </w:t>
      </w:r>
      <w:r w:rsidRPr="00826122">
        <w:rPr>
          <w:rFonts w:cs="David" w:hint="cs"/>
          <w:szCs w:val="24"/>
          <w:rtl/>
        </w:rPr>
        <w:lastRenderedPageBreak/>
        <w:t xml:space="preserve">בהרתעת הציבור בעבירות סמים והפנתה לתסקיר שירות המבחן בו צוין כי הנאשמת התקשתה לשתף עמו פעולה, ועתרה להטיל על הנאשמת 5.5 שנות מאסר בפועל, מאסר על תנאי וקנס. </w:t>
      </w:r>
    </w:p>
    <w:p w14:paraId="3637B63B" w14:textId="77777777" w:rsidR="00804EA8" w:rsidRPr="00826122" w:rsidRDefault="00804EA8" w:rsidP="00804EA8">
      <w:pPr>
        <w:pStyle w:val="a9"/>
        <w:jc w:val="both"/>
        <w:rPr>
          <w:rFonts w:cs="David"/>
          <w:szCs w:val="24"/>
          <w:rtl/>
        </w:rPr>
      </w:pPr>
    </w:p>
    <w:p w14:paraId="1256D066" w14:textId="77777777" w:rsidR="00804EA8" w:rsidRPr="00826122" w:rsidRDefault="00804EA8" w:rsidP="00804EA8">
      <w:pPr>
        <w:pStyle w:val="a9"/>
        <w:jc w:val="both"/>
        <w:rPr>
          <w:rFonts w:cs="David"/>
          <w:szCs w:val="24"/>
          <w:rtl/>
        </w:rPr>
      </w:pPr>
      <w:r w:rsidRPr="00826122">
        <w:rPr>
          <w:rFonts w:cs="David" w:hint="cs"/>
          <w:szCs w:val="24"/>
          <w:rtl/>
        </w:rPr>
        <w:t>2.</w:t>
      </w:r>
      <w:r w:rsidRPr="00826122">
        <w:rPr>
          <w:rFonts w:cs="David" w:hint="cs"/>
          <w:szCs w:val="24"/>
          <w:rtl/>
        </w:rPr>
        <w:tab/>
        <w:t xml:space="preserve">ב"כ הנאשמת לא התכחש לחומרת מעשה הנאשמת. טען, כי בפסקי הדין שהגישה המאשימה, אמנם דובר בכמויות סם נמוכות יותר מענייננו, אך קיימות נסיבות אחרות לחומרה, ובהן, החזקת כלים, הסלקה של הסם במקומות מסתור, חלוקה לאריזות והחזקה בצוותא. טען, כי הרף התחתון של מתחם העונש ההולם הוא 18 חודשי מאסר. הגיש פסיקה. </w:t>
      </w:r>
    </w:p>
    <w:p w14:paraId="2785A02A" w14:textId="77777777" w:rsidR="00804EA8" w:rsidRPr="00826122" w:rsidRDefault="00804EA8" w:rsidP="00804EA8">
      <w:pPr>
        <w:pStyle w:val="a9"/>
        <w:ind w:firstLine="0"/>
        <w:jc w:val="both"/>
        <w:rPr>
          <w:rFonts w:cs="David"/>
          <w:szCs w:val="24"/>
          <w:rtl/>
        </w:rPr>
      </w:pPr>
      <w:r w:rsidRPr="00826122">
        <w:rPr>
          <w:rFonts w:cs="David" w:hint="cs"/>
          <w:szCs w:val="24"/>
          <w:rtl/>
        </w:rPr>
        <w:t xml:space="preserve">אשר לנסיבותיה של הנאשמת, ציין כי הנאשמת תושבת רוסיה. אין לה משפחה בישראל. היא מנהלת אורח חיים נורמטיבי לחלוטין. ללא עבר פלילי. וזהו מעצרה הראשון. הוסיף, כי הנאשמת נשאית </w:t>
      </w:r>
      <w:r w:rsidRPr="00826122">
        <w:rPr>
          <w:rFonts w:cs="David"/>
          <w:szCs w:val="24"/>
        </w:rPr>
        <w:t>HIV</w:t>
      </w:r>
      <w:r w:rsidRPr="00826122">
        <w:rPr>
          <w:rFonts w:cs="David" w:hint="cs"/>
          <w:szCs w:val="24"/>
          <w:rtl/>
        </w:rPr>
        <w:t xml:space="preserve">. הגיש אישור. ציין כי היא זקוקה למעקב רפואי ובדיקות דם והיא לא מקבלת מענה מתאים למצבה. הוסיף, כי תנאי המעצר שלה קשים במיוחד שכן היא מופרדת מיתר האסירות, והיא מובלת ומוחזקת בבידוד, וציין כי קרוב לוודאי שלא תזכה לחופשות. טען, כי למרות הקושי שהנאשמת חווה, היא שולבה בקבוצות חינוך והיא לומדת עברית, וציין כי היא לקחה אחריות על מעשיה, הודתה וחסכה זמן שיפוטי. </w:t>
      </w:r>
    </w:p>
    <w:p w14:paraId="4C5E2D32" w14:textId="77777777" w:rsidR="00804EA8" w:rsidRPr="00826122" w:rsidRDefault="00804EA8" w:rsidP="00804EA8">
      <w:pPr>
        <w:pStyle w:val="a9"/>
        <w:jc w:val="both"/>
        <w:rPr>
          <w:rFonts w:cs="David"/>
          <w:szCs w:val="24"/>
          <w:rtl/>
        </w:rPr>
      </w:pPr>
      <w:r w:rsidRPr="00826122">
        <w:rPr>
          <w:rFonts w:cs="David" w:hint="cs"/>
          <w:szCs w:val="24"/>
          <w:rtl/>
        </w:rPr>
        <w:tab/>
        <w:t xml:space="preserve">אשר לתסקיר שירות המבחן, טען, כי חוסר שיתוף הפעולה נובע מקשיי השפה של הנאשמת. עתר לאמץ את מתחם העונש שהוצע על ידו ולהטיל על הנאשמת 18 חודשי מאסר. </w:t>
      </w:r>
    </w:p>
    <w:p w14:paraId="53F8AB02" w14:textId="77777777" w:rsidR="00804EA8" w:rsidRPr="00826122" w:rsidRDefault="00804EA8" w:rsidP="00804EA8">
      <w:pPr>
        <w:pStyle w:val="a9"/>
        <w:jc w:val="both"/>
        <w:rPr>
          <w:rFonts w:cs="David"/>
          <w:szCs w:val="24"/>
          <w:rtl/>
        </w:rPr>
      </w:pPr>
    </w:p>
    <w:p w14:paraId="05C54F63" w14:textId="77777777" w:rsidR="00804EA8" w:rsidRPr="00826122" w:rsidRDefault="00804EA8" w:rsidP="00804EA8">
      <w:pPr>
        <w:pStyle w:val="a9"/>
        <w:jc w:val="both"/>
        <w:rPr>
          <w:rFonts w:cs="David"/>
          <w:szCs w:val="24"/>
          <w:rtl/>
        </w:rPr>
      </w:pPr>
      <w:r w:rsidRPr="00826122">
        <w:rPr>
          <w:rFonts w:cs="David" w:hint="cs"/>
          <w:szCs w:val="24"/>
          <w:rtl/>
        </w:rPr>
        <w:t>3.</w:t>
      </w:r>
      <w:r w:rsidRPr="00826122">
        <w:rPr>
          <w:rFonts w:cs="David" w:hint="cs"/>
          <w:szCs w:val="24"/>
          <w:rtl/>
        </w:rPr>
        <w:tab/>
        <w:t xml:space="preserve">הנאשמת סיפרה כי היא מובאת לבית המשפט בהסעה נפרדת. הוסיפה כי שהגיעה לראשונה למעצר, הסוהרות רשמו על דלת התא שלה את שם המחלה ממנה היא סובלת. עוד ציינה, כי בדיקת הדם האחרונה שבוצעה לה היא מחודש ספטמבר 2017, ושהיא צריכה לבצע בדיקות דם פעמיים בשנה. </w:t>
      </w:r>
    </w:p>
    <w:p w14:paraId="7D832C67" w14:textId="77777777" w:rsidR="00804EA8" w:rsidRPr="00826122" w:rsidRDefault="00804EA8" w:rsidP="00804EA8">
      <w:pPr>
        <w:pStyle w:val="a9"/>
        <w:ind w:firstLine="0"/>
        <w:jc w:val="both"/>
        <w:rPr>
          <w:rFonts w:cs="David"/>
          <w:szCs w:val="24"/>
          <w:rtl/>
        </w:rPr>
      </w:pPr>
    </w:p>
    <w:p w14:paraId="2C4B6866" w14:textId="77777777" w:rsidR="00804EA8" w:rsidRPr="00826122" w:rsidRDefault="00804EA8" w:rsidP="00804EA8">
      <w:pPr>
        <w:spacing w:line="360" w:lineRule="auto"/>
        <w:ind w:left="720" w:hanging="720"/>
        <w:jc w:val="both"/>
        <w:rPr>
          <w:rtl/>
        </w:rPr>
      </w:pPr>
      <w:r w:rsidRPr="00826122">
        <w:rPr>
          <w:rFonts w:hint="cs"/>
          <w:b/>
          <w:bCs/>
          <w:u w:val="single"/>
          <w:rtl/>
        </w:rPr>
        <w:t>דיון והכרעה</w:t>
      </w:r>
      <w:r w:rsidRPr="00826122">
        <w:rPr>
          <w:rFonts w:hint="cs"/>
          <w:rtl/>
        </w:rPr>
        <w:t xml:space="preserve"> </w:t>
      </w:r>
    </w:p>
    <w:p w14:paraId="63F0E9FE" w14:textId="77777777" w:rsidR="00804EA8" w:rsidRPr="00826122" w:rsidRDefault="00804EA8" w:rsidP="00804EA8">
      <w:pPr>
        <w:spacing w:line="360" w:lineRule="auto"/>
        <w:ind w:left="720" w:hanging="720"/>
        <w:jc w:val="both"/>
        <w:rPr>
          <w:rtl/>
        </w:rPr>
      </w:pPr>
      <w:r w:rsidRPr="00826122">
        <w:rPr>
          <w:rFonts w:hint="cs"/>
          <w:rtl/>
        </w:rPr>
        <w:t>1.</w:t>
      </w:r>
      <w:r w:rsidRPr="00826122">
        <w:rPr>
          <w:rFonts w:hint="cs"/>
          <w:rtl/>
        </w:rPr>
        <w:tab/>
        <w:t xml:space="preserve">הנאשמת החזיקה על גופה – בתחתוניה ובחזייתה - 490.51 גרם קוקאין, שלא לצריכה עצמית. </w:t>
      </w:r>
    </w:p>
    <w:p w14:paraId="2C4DA66B" w14:textId="77777777" w:rsidR="00804EA8" w:rsidRPr="00826122" w:rsidRDefault="00804EA8" w:rsidP="00804EA8">
      <w:pPr>
        <w:spacing w:line="360" w:lineRule="auto"/>
        <w:ind w:left="720" w:hanging="720"/>
        <w:jc w:val="both"/>
        <w:rPr>
          <w:rtl/>
        </w:rPr>
      </w:pPr>
      <w:r w:rsidRPr="00826122">
        <w:rPr>
          <w:rFonts w:hint="cs"/>
          <w:rtl/>
        </w:rPr>
        <w:t xml:space="preserve"> </w:t>
      </w:r>
    </w:p>
    <w:p w14:paraId="39F614FD" w14:textId="77777777" w:rsidR="00804EA8" w:rsidRPr="00826122" w:rsidRDefault="00804EA8" w:rsidP="00804EA8">
      <w:pPr>
        <w:spacing w:line="360" w:lineRule="auto"/>
        <w:ind w:left="720" w:hanging="720"/>
        <w:jc w:val="both"/>
        <w:rPr>
          <w:rtl/>
        </w:rPr>
      </w:pPr>
      <w:r w:rsidRPr="00826122">
        <w:rPr>
          <w:rFonts w:hint="cs"/>
          <w:rtl/>
        </w:rPr>
        <w:tab/>
      </w:r>
    </w:p>
    <w:p w14:paraId="308FF7A4" w14:textId="77777777" w:rsidR="00804EA8" w:rsidRPr="00826122" w:rsidRDefault="00804EA8" w:rsidP="00804EA8">
      <w:pPr>
        <w:spacing w:line="360" w:lineRule="auto"/>
        <w:ind w:left="720" w:hanging="720"/>
        <w:jc w:val="both"/>
        <w:rPr>
          <w:rtl/>
        </w:rPr>
      </w:pPr>
      <w:r w:rsidRPr="00826122">
        <w:rPr>
          <w:rFonts w:hint="cs"/>
          <w:rtl/>
        </w:rPr>
        <w:t>3.</w:t>
      </w:r>
      <w:r w:rsidRPr="00826122">
        <w:rPr>
          <w:rFonts w:hint="cs"/>
          <w:rtl/>
        </w:rPr>
        <w:tab/>
        <w:t xml:space="preserve">הערכים המוגנים בעבירות הסמים הם בין היתר בריאות הציבור ושלום הציבור ובטחונו. השימוש בסמים, במיוחד בקשים שבהם, גורם נזקים בריאותיים פיזיים ונפשיים חמורים; גורם לתלות; פוגע בתיפקוד; חושף את הציבור לעבירות רכוש ואלימות הקשורות בצורך להשיג את הסמים ופוגע בחברה בכללה. ממילא, מי שמחזיק סמים שלא לשימוש עצמי, תורם ליצירתן ולהתגברותן של הפגיעות האמורות. </w:t>
      </w:r>
    </w:p>
    <w:p w14:paraId="1E1C1E3B" w14:textId="77777777" w:rsidR="00804EA8" w:rsidRPr="00826122" w:rsidRDefault="00804EA8" w:rsidP="00804EA8">
      <w:pPr>
        <w:spacing w:line="360" w:lineRule="auto"/>
        <w:ind w:left="720" w:hanging="720"/>
        <w:jc w:val="both"/>
        <w:rPr>
          <w:rtl/>
        </w:rPr>
      </w:pPr>
    </w:p>
    <w:p w14:paraId="37C07422" w14:textId="77777777" w:rsidR="00804EA8" w:rsidRPr="00826122" w:rsidRDefault="00804EA8" w:rsidP="00804EA8">
      <w:pPr>
        <w:spacing w:line="360" w:lineRule="auto"/>
        <w:ind w:left="720" w:hanging="720"/>
        <w:jc w:val="both"/>
        <w:rPr>
          <w:rtl/>
        </w:rPr>
      </w:pPr>
    </w:p>
    <w:p w14:paraId="6D3406C1" w14:textId="77777777" w:rsidR="00804EA8" w:rsidRPr="00826122" w:rsidRDefault="00804EA8" w:rsidP="00804EA8">
      <w:pPr>
        <w:spacing w:line="360" w:lineRule="auto"/>
        <w:ind w:left="720" w:hanging="720"/>
        <w:jc w:val="both"/>
        <w:rPr>
          <w:rtl/>
        </w:rPr>
      </w:pPr>
      <w:r w:rsidRPr="00826122">
        <w:rPr>
          <w:rFonts w:hint="cs"/>
          <w:rtl/>
        </w:rPr>
        <w:t>5.</w:t>
      </w:r>
      <w:r w:rsidRPr="00826122">
        <w:rPr>
          <w:rFonts w:hint="cs"/>
          <w:rtl/>
        </w:rPr>
        <w:tab/>
        <w:t xml:space="preserve">בהתחשב בסוג ובכמות הסם שהנאשמת החזיקה, הרי שמידת הפגיעה של מעשה הנאשמת בערכים המוגנים, משמעותית מאוד. </w:t>
      </w:r>
    </w:p>
    <w:p w14:paraId="7FF4021C" w14:textId="77777777" w:rsidR="00804EA8" w:rsidRPr="00826122" w:rsidRDefault="00804EA8" w:rsidP="00804EA8">
      <w:pPr>
        <w:spacing w:line="360" w:lineRule="auto"/>
        <w:ind w:left="720" w:hanging="720"/>
        <w:jc w:val="both"/>
        <w:rPr>
          <w:rtl/>
        </w:rPr>
      </w:pPr>
    </w:p>
    <w:p w14:paraId="4F01F0DF" w14:textId="77777777" w:rsidR="00804EA8" w:rsidRPr="00826122" w:rsidRDefault="00804EA8" w:rsidP="00804EA8">
      <w:pPr>
        <w:spacing w:line="360" w:lineRule="auto"/>
        <w:ind w:left="720" w:hanging="720"/>
        <w:jc w:val="both"/>
        <w:rPr>
          <w:rtl/>
        </w:rPr>
      </w:pPr>
      <w:r w:rsidRPr="00826122">
        <w:rPr>
          <w:rFonts w:hint="cs"/>
          <w:rtl/>
        </w:rPr>
        <w:t>6.</w:t>
      </w:r>
      <w:r w:rsidRPr="00826122">
        <w:rPr>
          <w:rFonts w:hint="cs"/>
          <w:rtl/>
        </w:rPr>
        <w:tab/>
        <w:t>העונש הקבוע לצד עבירת החזקת סמים שלא לצריכה עצמית – 20 שנות מאסר – שהוא מהחמורים שבעונשים הכלולים ב</w:t>
      </w:r>
      <w:hyperlink r:id="rId13" w:history="1">
        <w:r w:rsidR="005528C6" w:rsidRPr="005528C6">
          <w:rPr>
            <w:color w:val="0000FF"/>
            <w:u w:val="single"/>
            <w:rtl/>
          </w:rPr>
          <w:t>חוק העונשין</w:t>
        </w:r>
      </w:hyperlink>
      <w:r w:rsidRPr="00826122">
        <w:rPr>
          <w:rFonts w:hint="cs"/>
          <w:rtl/>
        </w:rPr>
        <w:t xml:space="preserve">, מדבר בעד עצמו ומסמן לעבר החמרה בענישה. </w:t>
      </w:r>
    </w:p>
    <w:p w14:paraId="188268DD" w14:textId="77777777" w:rsidR="00804EA8" w:rsidRPr="00826122" w:rsidRDefault="00804EA8" w:rsidP="00804EA8">
      <w:pPr>
        <w:spacing w:line="360" w:lineRule="auto"/>
        <w:ind w:left="720" w:hanging="720"/>
        <w:jc w:val="both"/>
        <w:rPr>
          <w:rtl/>
        </w:rPr>
      </w:pPr>
    </w:p>
    <w:p w14:paraId="5DFDB58F" w14:textId="77777777" w:rsidR="00804EA8" w:rsidRPr="00826122" w:rsidRDefault="00804EA8" w:rsidP="00804EA8">
      <w:pPr>
        <w:spacing w:line="360" w:lineRule="auto"/>
        <w:ind w:left="720" w:hanging="720"/>
        <w:jc w:val="both"/>
        <w:rPr>
          <w:rFonts w:ascii="Calibri" w:hAnsi="Calibri"/>
          <w:rtl/>
        </w:rPr>
      </w:pPr>
      <w:r w:rsidRPr="00826122">
        <w:rPr>
          <w:rFonts w:ascii="Calibri" w:hAnsi="Calibri" w:hint="cs"/>
          <w:rtl/>
        </w:rPr>
        <w:t>7.</w:t>
      </w:r>
      <w:r w:rsidRPr="00826122">
        <w:rPr>
          <w:rFonts w:ascii="Calibri" w:hAnsi="Calibri" w:hint="cs"/>
          <w:rtl/>
        </w:rPr>
        <w:tab/>
        <w:t xml:space="preserve">מדיניות הענישה הנוהגת בעבירות הסמים הקשות הינה, מימים ימימה, של מאסר בפועל לתקופה משמעותית.  </w:t>
      </w:r>
    </w:p>
    <w:p w14:paraId="692B0F88" w14:textId="77777777" w:rsidR="00804EA8" w:rsidRPr="00826122" w:rsidRDefault="00804EA8" w:rsidP="00804EA8">
      <w:pPr>
        <w:spacing w:line="360" w:lineRule="auto"/>
        <w:ind w:left="1393"/>
        <w:jc w:val="both"/>
        <w:rPr>
          <w:rFonts w:ascii="David" w:hAnsi="David"/>
          <w:rtl/>
        </w:rPr>
      </w:pPr>
    </w:p>
    <w:p w14:paraId="33FFB36B" w14:textId="77777777" w:rsidR="00804EA8" w:rsidRPr="00826122" w:rsidRDefault="00804EA8" w:rsidP="00804EA8">
      <w:pPr>
        <w:spacing w:line="360" w:lineRule="auto"/>
        <w:ind w:left="1393"/>
        <w:jc w:val="both"/>
        <w:rPr>
          <w:rtl/>
        </w:rPr>
      </w:pPr>
      <w:r w:rsidRPr="00826122">
        <w:rPr>
          <w:rFonts w:hint="cs"/>
          <w:rtl/>
        </w:rPr>
        <w:t>"נגע הסמים אוכל באוכלוסיה שלנו בכל פה; והחברה</w:t>
      </w:r>
      <w:r w:rsidR="005528C6">
        <w:rPr>
          <w:rFonts w:hint="cs"/>
          <w:rtl/>
        </w:rPr>
        <w:t xml:space="preserve"> </w:t>
      </w:r>
      <w:r w:rsidRPr="00826122">
        <w:rPr>
          <w:rFonts w:hint="cs"/>
          <w:rtl/>
        </w:rPr>
        <w:t xml:space="preserve"> הכריזה עליו מלחמת חורמה ומצפה שהעונשים שיגזרו על ידי</w:t>
      </w:r>
      <w:r w:rsidR="005528C6">
        <w:rPr>
          <w:rFonts w:hint="cs"/>
          <w:rtl/>
        </w:rPr>
        <w:t xml:space="preserve"> </w:t>
      </w:r>
      <w:r w:rsidRPr="00826122">
        <w:rPr>
          <w:rFonts w:hint="cs"/>
          <w:rtl/>
        </w:rPr>
        <w:t xml:space="preserve"> בתי המשפט בשל עבירות סמים ישתלבו במאבק הכולל להדברת הנגע. </w:t>
      </w:r>
      <w:r w:rsidRPr="00826122">
        <w:rPr>
          <w:rFonts w:hint="cs"/>
          <w:b/>
          <w:bCs/>
          <w:rtl/>
        </w:rPr>
        <w:t>עונש הולם למחזיקי סמים שלא-לשימוש-עצמי - קרי: למשולבים במערך ההפצה - מכוון לקבוע בהכרת הכל את החומרה היתירה שאנו מייחסים להפצת הסמים, ולהרתיע עבריינים בכוח מלשלוח ידם בפעילות</w:t>
      </w:r>
      <w:r w:rsidR="005528C6">
        <w:rPr>
          <w:rFonts w:hint="cs"/>
          <w:b/>
          <w:bCs/>
          <w:rtl/>
        </w:rPr>
        <w:t xml:space="preserve"> </w:t>
      </w:r>
      <w:r w:rsidRPr="00826122">
        <w:rPr>
          <w:rFonts w:hint="cs"/>
          <w:b/>
          <w:bCs/>
          <w:rtl/>
        </w:rPr>
        <w:t xml:space="preserve"> ההפצה</w:t>
      </w:r>
      <w:r w:rsidRPr="00826122">
        <w:rPr>
          <w:rFonts w:hint="cs"/>
          <w:rtl/>
        </w:rPr>
        <w:t xml:space="preserve">. </w:t>
      </w:r>
      <w:r w:rsidRPr="00826122">
        <w:rPr>
          <w:rFonts w:hint="cs"/>
          <w:b/>
          <w:bCs/>
          <w:rtl/>
        </w:rPr>
        <w:t>שתי תכליות מרכזיות אלו ניתן להשיג רק על ידי</w:t>
      </w:r>
      <w:r w:rsidR="005528C6">
        <w:rPr>
          <w:rFonts w:hint="cs"/>
          <w:b/>
          <w:bCs/>
          <w:rtl/>
        </w:rPr>
        <w:t xml:space="preserve"> </w:t>
      </w:r>
      <w:r w:rsidRPr="00826122">
        <w:rPr>
          <w:rFonts w:hint="cs"/>
          <w:b/>
          <w:bCs/>
          <w:rtl/>
        </w:rPr>
        <w:t xml:space="preserve"> הטלת</w:t>
      </w:r>
      <w:r w:rsidR="005528C6">
        <w:rPr>
          <w:rFonts w:hint="cs"/>
          <w:b/>
          <w:bCs/>
          <w:rtl/>
        </w:rPr>
        <w:t xml:space="preserve"> </w:t>
      </w:r>
      <w:r w:rsidRPr="00826122">
        <w:rPr>
          <w:rFonts w:hint="cs"/>
          <w:b/>
          <w:bCs/>
          <w:rtl/>
        </w:rPr>
        <w:t xml:space="preserve"> עונשים</w:t>
      </w:r>
      <w:r w:rsidR="005528C6">
        <w:rPr>
          <w:rFonts w:hint="cs"/>
          <w:b/>
          <w:bCs/>
          <w:rtl/>
        </w:rPr>
        <w:t xml:space="preserve"> </w:t>
      </w:r>
      <w:r w:rsidRPr="00826122">
        <w:rPr>
          <w:rFonts w:hint="cs"/>
          <w:b/>
          <w:bCs/>
          <w:rtl/>
        </w:rPr>
        <w:t xml:space="preserve"> חמורים...</w:t>
      </w:r>
      <w:r w:rsidRPr="00826122">
        <w:rPr>
          <w:rFonts w:hint="cs"/>
          <w:rtl/>
        </w:rPr>
        <w:t xml:space="preserve">". </w:t>
      </w:r>
    </w:p>
    <w:p w14:paraId="7392CFA2" w14:textId="77777777" w:rsidR="00804EA8" w:rsidRPr="00826122" w:rsidRDefault="00804EA8" w:rsidP="00804EA8">
      <w:pPr>
        <w:spacing w:line="360" w:lineRule="auto"/>
        <w:ind w:left="1440"/>
        <w:jc w:val="both"/>
        <w:rPr>
          <w:rtl/>
        </w:rPr>
      </w:pPr>
      <w:r w:rsidRPr="00826122">
        <w:rPr>
          <w:rFonts w:hint="cs"/>
          <w:b/>
          <w:bCs/>
          <w:rtl/>
        </w:rPr>
        <w:t>"חומרה, חומרה, חומרה – זו חייבת שתהא דרכו של בית</w:t>
      </w:r>
      <w:r w:rsidRPr="00826122">
        <w:rPr>
          <w:rFonts w:hint="cs"/>
          <w:b/>
          <w:bCs/>
          <w:position w:val="4"/>
          <w:rtl/>
        </w:rPr>
        <w:t>-</w:t>
      </w:r>
      <w:r w:rsidRPr="00826122">
        <w:rPr>
          <w:rFonts w:hint="cs"/>
          <w:b/>
          <w:bCs/>
          <w:rtl/>
        </w:rPr>
        <w:t>המשפט"</w:t>
      </w:r>
      <w:r w:rsidRPr="00826122">
        <w:rPr>
          <w:rFonts w:hint="cs"/>
          <w:rtl/>
        </w:rPr>
        <w:t xml:space="preserve"> – </w:t>
      </w:r>
      <w:hyperlink r:id="rId14" w:history="1">
        <w:r w:rsidR="005528C6" w:rsidRPr="005528C6">
          <w:rPr>
            <w:color w:val="0000FF"/>
            <w:u w:val="single"/>
            <w:rtl/>
          </w:rPr>
          <w:t>ע"פ 6029/03 מדינת ישראל נ' גולן שמאי, פ"ד נח</w:t>
        </w:r>
      </w:hyperlink>
      <w:r w:rsidRPr="00826122">
        <w:rPr>
          <w:rFonts w:hint="cs"/>
          <w:rtl/>
        </w:rPr>
        <w:t xml:space="preserve"> (2) 734 בעמ' 739 ו- 741.</w:t>
      </w:r>
    </w:p>
    <w:p w14:paraId="623469CB" w14:textId="77777777" w:rsidR="00804EA8" w:rsidRPr="00826122" w:rsidRDefault="00804EA8" w:rsidP="00804EA8">
      <w:pPr>
        <w:spacing w:line="360" w:lineRule="auto"/>
        <w:ind w:left="2160" w:hanging="720"/>
        <w:jc w:val="both"/>
        <w:rPr>
          <w:rtl/>
        </w:rPr>
      </w:pPr>
    </w:p>
    <w:p w14:paraId="0FCB78FA" w14:textId="77777777" w:rsidR="00804EA8" w:rsidRPr="00826122" w:rsidRDefault="00804EA8" w:rsidP="00804EA8">
      <w:pPr>
        <w:pStyle w:val="ac"/>
        <w:spacing w:line="360" w:lineRule="auto"/>
        <w:ind w:left="1440" w:right="561" w:firstLine="0"/>
        <w:rPr>
          <w:rFonts w:cs="David"/>
          <w:sz w:val="24"/>
          <w:rtl/>
        </w:rPr>
      </w:pPr>
      <w:r w:rsidRPr="00826122">
        <w:rPr>
          <w:rFonts w:cs="David" w:hint="cs"/>
          <w:sz w:val="24"/>
          <w:rtl/>
        </w:rPr>
        <w:t>"לעולם נזכור עבירת סמים מה היא, ומה הם ערכי</w:t>
      </w:r>
      <w:r w:rsidRPr="00826122">
        <w:rPr>
          <w:rFonts w:cs="David" w:hint="cs"/>
          <w:position w:val="4"/>
          <w:sz w:val="24"/>
          <w:rtl/>
        </w:rPr>
        <w:t>-</w:t>
      </w:r>
      <w:r w:rsidRPr="00826122">
        <w:rPr>
          <w:rFonts w:cs="David" w:hint="cs"/>
          <w:sz w:val="24"/>
          <w:rtl/>
        </w:rPr>
        <w:t>החברה שאנו נדרשים להגן עליהם. מעבר מזה עומדים המערערים – הם ואחרים שכמותם – אנשים שעיניהם אל בצע</w:t>
      </w:r>
      <w:r w:rsidRPr="00826122">
        <w:rPr>
          <w:rFonts w:cs="David" w:hint="cs"/>
          <w:position w:val="4"/>
          <w:sz w:val="24"/>
          <w:rtl/>
        </w:rPr>
        <w:t>-</w:t>
      </w:r>
      <w:r w:rsidRPr="00826122">
        <w:rPr>
          <w:rFonts w:cs="David" w:hint="cs"/>
          <w:sz w:val="24"/>
          <w:rtl/>
        </w:rPr>
        <w:t>כסף, ומעבר מזה עומדים צרכני הסם, אנשים אומללים שגופם ונפשם מכורים לסם. אותם עלובים תלו עצמם בסם, ואנשים רעים כמערערים מנצלים תלות זו עד</w:t>
      </w:r>
      <w:r w:rsidRPr="00826122">
        <w:rPr>
          <w:rFonts w:cs="David" w:hint="cs"/>
          <w:position w:val="4"/>
          <w:sz w:val="24"/>
          <w:rtl/>
        </w:rPr>
        <w:t>-</w:t>
      </w:r>
      <w:r w:rsidRPr="00826122">
        <w:rPr>
          <w:rFonts w:cs="David" w:hint="cs"/>
          <w:sz w:val="24"/>
          <w:rtl/>
        </w:rPr>
        <w:t>תום לגריפת כסף</w:t>
      </w:r>
      <w:r w:rsidRPr="00826122">
        <w:rPr>
          <w:rFonts w:cs="David" w:hint="cs"/>
          <w:position w:val="4"/>
          <w:sz w:val="24"/>
          <w:rtl/>
        </w:rPr>
        <w:t>-</w:t>
      </w:r>
      <w:r w:rsidRPr="00826122">
        <w:rPr>
          <w:rFonts w:cs="David" w:hint="cs"/>
          <w:sz w:val="24"/>
          <w:rtl/>
        </w:rPr>
        <w:t>רע לכיסיהם. המערערים מוכרים סם</w:t>
      </w:r>
      <w:r w:rsidRPr="00826122">
        <w:rPr>
          <w:rFonts w:cs="David" w:hint="cs"/>
          <w:position w:val="4"/>
          <w:sz w:val="24"/>
          <w:rtl/>
        </w:rPr>
        <w:t>-</w:t>
      </w:r>
      <w:r w:rsidRPr="00826122">
        <w:rPr>
          <w:rFonts w:cs="David" w:hint="cs"/>
          <w:sz w:val="24"/>
          <w:rtl/>
        </w:rPr>
        <w:t>מוות למי שמכרו את גופם לסם, ועל עיסקאות</w:t>
      </w:r>
      <w:r w:rsidRPr="00826122">
        <w:rPr>
          <w:rFonts w:cs="David" w:hint="cs"/>
          <w:position w:val="4"/>
          <w:sz w:val="24"/>
          <w:rtl/>
        </w:rPr>
        <w:t>-</w:t>
      </w:r>
      <w:r w:rsidRPr="00826122">
        <w:rPr>
          <w:rFonts w:cs="David" w:hint="cs"/>
          <w:sz w:val="24"/>
          <w:rtl/>
        </w:rPr>
        <w:t>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והכל כדי להשיג מימון לרכישתו של הסם. המערערים אינם חבים, כמובן, מבחינה משפטית בעבירות שעוברים אחרים, אך לעת גזירת העונש נביא כל אלה במניין".– השופט חשין ב</w:t>
      </w:r>
      <w:hyperlink r:id="rId15" w:history="1">
        <w:r w:rsidR="005528C6" w:rsidRPr="005528C6">
          <w:rPr>
            <w:rFonts w:cs="David"/>
            <w:color w:val="0000FF"/>
            <w:sz w:val="24"/>
            <w:u w:val="single"/>
            <w:rtl/>
          </w:rPr>
          <w:t>ע"פ 4998/95 מדינ"י נ' גומז קרדוסו- פ"ד נ"א</w:t>
        </w:r>
      </w:hyperlink>
      <w:r w:rsidRPr="00826122">
        <w:rPr>
          <w:rFonts w:cs="David" w:hint="cs"/>
          <w:sz w:val="24"/>
          <w:rtl/>
        </w:rPr>
        <w:t xml:space="preserve"> (3) 769, 787.ב</w:t>
      </w:r>
    </w:p>
    <w:p w14:paraId="0BECB556" w14:textId="77777777" w:rsidR="00804EA8" w:rsidRPr="00826122" w:rsidRDefault="00804EA8" w:rsidP="00804EA8">
      <w:pPr>
        <w:spacing w:line="360" w:lineRule="auto"/>
        <w:ind w:left="720" w:hanging="720"/>
        <w:jc w:val="both"/>
        <w:rPr>
          <w:rFonts w:ascii="Calibri" w:hAnsi="Calibri"/>
        </w:rPr>
      </w:pPr>
    </w:p>
    <w:p w14:paraId="12F565A8" w14:textId="77777777" w:rsidR="00804EA8" w:rsidRPr="00826122" w:rsidRDefault="00804EA8" w:rsidP="00804EA8">
      <w:pPr>
        <w:spacing w:line="360" w:lineRule="auto"/>
        <w:ind w:left="720" w:hanging="720"/>
        <w:jc w:val="both"/>
        <w:rPr>
          <w:rFonts w:ascii="Calibri" w:hAnsi="Calibri"/>
          <w:rtl/>
        </w:rPr>
      </w:pPr>
    </w:p>
    <w:p w14:paraId="6B49A775" w14:textId="77777777" w:rsidR="00804EA8" w:rsidRPr="00826122" w:rsidRDefault="00804EA8" w:rsidP="00804EA8">
      <w:pPr>
        <w:spacing w:line="360" w:lineRule="auto"/>
        <w:ind w:left="720" w:hanging="720"/>
        <w:jc w:val="both"/>
        <w:rPr>
          <w:rFonts w:ascii="Calibri" w:hAnsi="Calibri"/>
          <w:rtl/>
        </w:rPr>
      </w:pPr>
    </w:p>
    <w:p w14:paraId="03AA3403" w14:textId="77777777" w:rsidR="00804EA8" w:rsidRPr="00826122" w:rsidRDefault="00804EA8" w:rsidP="00804EA8">
      <w:pPr>
        <w:spacing w:line="360" w:lineRule="auto"/>
        <w:ind w:left="720" w:hanging="720"/>
        <w:jc w:val="both"/>
        <w:rPr>
          <w:rFonts w:ascii="Calibri" w:hAnsi="Calibri"/>
          <w:rtl/>
        </w:rPr>
      </w:pPr>
    </w:p>
    <w:p w14:paraId="3399F7FC" w14:textId="77777777" w:rsidR="00804EA8" w:rsidRPr="00826122" w:rsidRDefault="00804EA8" w:rsidP="00804EA8">
      <w:pPr>
        <w:spacing w:line="360" w:lineRule="auto"/>
        <w:ind w:left="720" w:hanging="720"/>
        <w:jc w:val="both"/>
        <w:rPr>
          <w:rFonts w:ascii="David" w:hAnsi="David"/>
          <w:rtl/>
        </w:rPr>
      </w:pPr>
      <w:r w:rsidRPr="00826122">
        <w:rPr>
          <w:rFonts w:hint="cs"/>
          <w:rtl/>
        </w:rPr>
        <w:t>8.</w:t>
      </w:r>
      <w:r w:rsidRPr="00826122">
        <w:rPr>
          <w:rFonts w:hint="cs"/>
          <w:rtl/>
        </w:rPr>
        <w:tab/>
        <w:t>הלכה למעשה, בעבירות סמים שנסיבותיהן המרכזיות דומות לענייננו ואף קלות מהן, הוטלו על הנאשמים שנות מאסר בפועל.</w:t>
      </w:r>
    </w:p>
    <w:p w14:paraId="34CB4E6C" w14:textId="77777777" w:rsidR="00804EA8" w:rsidRPr="00826122" w:rsidRDefault="00804EA8" w:rsidP="00804EA8">
      <w:pPr>
        <w:spacing w:line="360" w:lineRule="auto"/>
        <w:ind w:left="720" w:hanging="720"/>
        <w:jc w:val="both"/>
        <w:rPr>
          <w:rtl/>
        </w:rPr>
      </w:pPr>
    </w:p>
    <w:p w14:paraId="768C50D6" w14:textId="77777777" w:rsidR="00804EA8" w:rsidRPr="00826122" w:rsidRDefault="00804EA8" w:rsidP="00804EA8">
      <w:pPr>
        <w:pStyle w:val="ab"/>
        <w:spacing w:line="360" w:lineRule="auto"/>
        <w:ind w:left="720"/>
        <w:jc w:val="both"/>
        <w:rPr>
          <w:rFonts w:cs="David"/>
          <w:szCs w:val="24"/>
          <w:rtl/>
        </w:rPr>
      </w:pPr>
      <w:bookmarkStart w:id="7" w:name="casename_body"/>
      <w:r w:rsidRPr="00826122">
        <w:rPr>
          <w:rFonts w:cs="David" w:hint="cs"/>
          <w:szCs w:val="24"/>
          <w:rtl/>
        </w:rPr>
        <w:t>ב</w:t>
      </w:r>
      <w:hyperlink r:id="rId16" w:history="1">
        <w:bookmarkEnd w:id="7"/>
        <w:r w:rsidR="005528C6" w:rsidRPr="005528C6">
          <w:rPr>
            <w:rFonts w:cs="David"/>
            <w:color w:val="0000FF"/>
            <w:szCs w:val="24"/>
            <w:u w:val="single"/>
            <w:rtl/>
          </w:rPr>
          <w:t>ע"פ  2570/17</w:t>
        </w:r>
      </w:hyperlink>
      <w:r w:rsidRPr="00826122">
        <w:rPr>
          <w:rFonts w:cs="David" w:hint="cs"/>
          <w:szCs w:val="24"/>
          <w:rtl/>
        </w:rPr>
        <w:t xml:space="preserve"> </w:t>
      </w:r>
      <w:r w:rsidRPr="00826122">
        <w:rPr>
          <w:rFonts w:cs="David" w:hint="cs"/>
          <w:b/>
          <w:bCs/>
          <w:szCs w:val="24"/>
          <w:rtl/>
        </w:rPr>
        <w:t>דוד קריחלי</w:t>
      </w:r>
      <w:r w:rsidRPr="00826122">
        <w:rPr>
          <w:rFonts w:cs="David" w:hint="cs"/>
          <w:szCs w:val="24"/>
          <w:rtl/>
        </w:rPr>
        <w:t xml:space="preserve"> נ' </w:t>
      </w:r>
      <w:r w:rsidRPr="00826122">
        <w:rPr>
          <w:rFonts w:cs="David" w:hint="cs"/>
          <w:b/>
          <w:bCs/>
          <w:szCs w:val="24"/>
          <w:rtl/>
        </w:rPr>
        <w:t>מדינת ישראל</w:t>
      </w:r>
      <w:r w:rsidRPr="00826122">
        <w:rPr>
          <w:rFonts w:cs="David" w:hint="cs"/>
          <w:szCs w:val="24"/>
          <w:rtl/>
        </w:rPr>
        <w:t xml:space="preserve"> (פורסם בנבו, 17.01.18) המערער החזיק בביתו סם מסוכן מסוג </w:t>
      </w:r>
      <w:r w:rsidRPr="00826122">
        <w:rPr>
          <w:rFonts w:cs="David" w:hint="cs"/>
          <w:b/>
          <w:bCs/>
          <w:szCs w:val="24"/>
          <w:rtl/>
        </w:rPr>
        <w:t>קוקאין במשקל של כ- 100 גרם</w:t>
      </w:r>
      <w:r w:rsidRPr="00826122">
        <w:rPr>
          <w:rFonts w:cs="David" w:hint="cs"/>
          <w:szCs w:val="24"/>
          <w:rtl/>
        </w:rPr>
        <w:t xml:space="preserve"> וכמות קטנה מאוד של חשיש. בנוסף, הוא החזיק משקל דיגיטלי אשר שימשוׂ לשקילת הסמים. בית המשפט המחוזי הרשיע אותו בעבירות שיוחסו לו וגזר עליו  40 חודשי מאסר בפועל, פסילה מקבלת או מהחזקת רישיון נהיגה למשך 6 חודשים, קנס כספי בסך של 5,000 ₪, ועונשים מותנים. המערער ערער על הרשעתו ועל העונש שהוטל עליו ובסופו של דבר, בהמלצת בית המשפט העליון הוא חזר בו מהערעור על הכרעת הדין. בית המשפט העליון העמיד את עונש המאסר שלו על </w:t>
      </w:r>
      <w:r w:rsidRPr="00826122">
        <w:rPr>
          <w:rFonts w:cs="David" w:hint="cs"/>
          <w:b/>
          <w:bCs/>
          <w:szCs w:val="24"/>
          <w:rtl/>
        </w:rPr>
        <w:t>34 חודשים</w:t>
      </w:r>
      <w:r w:rsidRPr="00826122">
        <w:rPr>
          <w:rFonts w:cs="David" w:hint="cs"/>
          <w:szCs w:val="24"/>
          <w:rtl/>
        </w:rPr>
        <w:t xml:space="preserve">. </w:t>
      </w:r>
    </w:p>
    <w:p w14:paraId="00060626" w14:textId="77777777" w:rsidR="00804EA8" w:rsidRPr="00826122" w:rsidRDefault="00804EA8" w:rsidP="00804EA8">
      <w:pPr>
        <w:pStyle w:val="ab"/>
        <w:spacing w:line="360" w:lineRule="auto"/>
        <w:jc w:val="both"/>
        <w:rPr>
          <w:rFonts w:cs="David"/>
          <w:szCs w:val="24"/>
          <w:rtl/>
        </w:rPr>
      </w:pPr>
    </w:p>
    <w:p w14:paraId="0226A292" w14:textId="77777777" w:rsidR="00804EA8" w:rsidRPr="00826122" w:rsidRDefault="00804EA8" w:rsidP="00804EA8">
      <w:pPr>
        <w:pStyle w:val="ab"/>
        <w:spacing w:line="360" w:lineRule="auto"/>
        <w:ind w:left="720"/>
        <w:jc w:val="both"/>
        <w:rPr>
          <w:rFonts w:cs="David"/>
          <w:szCs w:val="24"/>
          <w:rtl/>
        </w:rPr>
      </w:pPr>
      <w:r w:rsidRPr="00826122">
        <w:rPr>
          <w:rFonts w:cs="David" w:hint="cs"/>
          <w:szCs w:val="24"/>
          <w:rtl/>
        </w:rPr>
        <w:t>ב</w:t>
      </w:r>
      <w:hyperlink r:id="rId17" w:history="1">
        <w:r w:rsidR="005528C6" w:rsidRPr="005528C6">
          <w:rPr>
            <w:rFonts w:cs="David"/>
            <w:color w:val="0000FF"/>
            <w:szCs w:val="24"/>
            <w:u w:val="single"/>
            <w:rtl/>
          </w:rPr>
          <w:t>ע"פ 2371/16</w:t>
        </w:r>
      </w:hyperlink>
      <w:r w:rsidRPr="00826122">
        <w:rPr>
          <w:rFonts w:cs="David" w:hint="cs"/>
          <w:szCs w:val="24"/>
          <w:rtl/>
        </w:rPr>
        <w:t xml:space="preserve"> </w:t>
      </w:r>
      <w:r w:rsidRPr="00826122">
        <w:rPr>
          <w:rFonts w:cs="David" w:hint="cs"/>
          <w:b/>
          <w:bCs/>
          <w:szCs w:val="24"/>
          <w:rtl/>
        </w:rPr>
        <w:t>שלום יהונתן פיטוסי</w:t>
      </w:r>
      <w:r w:rsidRPr="00826122">
        <w:rPr>
          <w:rFonts w:cs="David" w:hint="cs"/>
          <w:szCs w:val="24"/>
          <w:rtl/>
        </w:rPr>
        <w:t xml:space="preserve"> נ' </w:t>
      </w:r>
      <w:r w:rsidRPr="00826122">
        <w:rPr>
          <w:rFonts w:cs="David" w:hint="cs"/>
          <w:b/>
          <w:bCs/>
          <w:szCs w:val="24"/>
          <w:rtl/>
        </w:rPr>
        <w:t>מדינת ישראל</w:t>
      </w:r>
      <w:r w:rsidRPr="00826122">
        <w:rPr>
          <w:rFonts w:cs="David" w:hint="cs"/>
          <w:szCs w:val="24"/>
          <w:rtl/>
        </w:rPr>
        <w:t xml:space="preserve"> (פורסם בנבו, 05.10.16) המערער החזיק סם מסוג </w:t>
      </w:r>
      <w:r w:rsidRPr="00826122">
        <w:rPr>
          <w:rFonts w:cs="David" w:hint="cs"/>
          <w:b/>
          <w:bCs/>
          <w:szCs w:val="24"/>
          <w:rtl/>
        </w:rPr>
        <w:t>קוקאין במשקל 50 גרם</w:t>
      </w:r>
      <w:r w:rsidRPr="00826122">
        <w:rPr>
          <w:rFonts w:cs="David" w:hint="cs"/>
          <w:szCs w:val="24"/>
          <w:rtl/>
        </w:rPr>
        <w:t xml:space="preserve">. במסגרת הסדר הטיעון הוסכם כי המערער החזיק בסם בין היתר לצורך התמודדות עם כאבים קשים הנובעים ממחלת פרקים ממנה הוא סובל, וכי נסיבה זו הינה נסיבה הקשורה בביצוע העבירה לפי </w:t>
      </w:r>
      <w:hyperlink r:id="rId18" w:history="1">
        <w:r w:rsidR="00A10DE5" w:rsidRPr="00A10DE5">
          <w:rPr>
            <w:rFonts w:cs="David"/>
            <w:color w:val="0000FF"/>
            <w:szCs w:val="24"/>
            <w:u w:val="single"/>
            <w:rtl/>
          </w:rPr>
          <w:t>סעיף 40ט'</w:t>
        </w:r>
      </w:hyperlink>
      <w:r w:rsidRPr="00826122">
        <w:rPr>
          <w:rFonts w:cs="David" w:hint="cs"/>
          <w:szCs w:val="24"/>
          <w:rtl/>
        </w:rPr>
        <w:t xml:space="preserve"> ל</w:t>
      </w:r>
      <w:hyperlink r:id="rId19" w:history="1">
        <w:r w:rsidR="005528C6" w:rsidRPr="005528C6">
          <w:rPr>
            <w:rFonts w:cs="David"/>
            <w:color w:val="0000FF"/>
            <w:szCs w:val="24"/>
            <w:u w:val="single"/>
            <w:rtl/>
          </w:rPr>
          <w:t>חוק העונשין</w:t>
        </w:r>
      </w:hyperlink>
      <w:r w:rsidRPr="00826122">
        <w:rPr>
          <w:rFonts w:cs="David" w:hint="cs"/>
          <w:szCs w:val="24"/>
          <w:rtl/>
        </w:rPr>
        <w:t>, התשל"ז-1977. בית המשפט המחוזי גזר עליו, בין היתר,</w:t>
      </w:r>
      <w:r w:rsidRPr="00826122">
        <w:rPr>
          <w:rFonts w:cs="David" w:hint="cs"/>
          <w:b/>
          <w:bCs/>
          <w:szCs w:val="24"/>
          <w:rtl/>
        </w:rPr>
        <w:t xml:space="preserve"> 27 חודשי מאסר בפועל.</w:t>
      </w:r>
      <w:r w:rsidRPr="00826122">
        <w:rPr>
          <w:rFonts w:cs="David" w:hint="cs"/>
          <w:szCs w:val="24"/>
          <w:rtl/>
        </w:rPr>
        <w:t xml:space="preserve"> </w:t>
      </w:r>
    </w:p>
    <w:p w14:paraId="1F376873" w14:textId="77777777" w:rsidR="00804EA8" w:rsidRPr="00826122" w:rsidRDefault="00804EA8" w:rsidP="00804EA8">
      <w:pPr>
        <w:pStyle w:val="ab"/>
        <w:spacing w:line="360" w:lineRule="auto"/>
        <w:ind w:left="720"/>
        <w:jc w:val="both"/>
        <w:rPr>
          <w:rFonts w:cs="David"/>
          <w:szCs w:val="24"/>
          <w:rtl/>
        </w:rPr>
      </w:pPr>
      <w:r w:rsidRPr="00826122">
        <w:rPr>
          <w:rFonts w:cs="David" w:hint="cs"/>
          <w:szCs w:val="24"/>
          <w:rtl/>
        </w:rPr>
        <w:t>בית המשפט העליון דחה את ערעורו.</w:t>
      </w:r>
    </w:p>
    <w:p w14:paraId="2BAEC7C2" w14:textId="77777777" w:rsidR="00804EA8" w:rsidRPr="00826122" w:rsidRDefault="00804EA8" w:rsidP="00804EA8">
      <w:pPr>
        <w:pStyle w:val="ab"/>
        <w:spacing w:line="360" w:lineRule="auto"/>
        <w:jc w:val="both"/>
        <w:rPr>
          <w:rFonts w:cs="David"/>
          <w:szCs w:val="24"/>
          <w:rtl/>
        </w:rPr>
      </w:pPr>
    </w:p>
    <w:p w14:paraId="6B3225C8" w14:textId="77777777" w:rsidR="00804EA8" w:rsidRPr="00826122" w:rsidRDefault="00804EA8" w:rsidP="00804EA8">
      <w:pPr>
        <w:pStyle w:val="ab"/>
        <w:spacing w:line="360" w:lineRule="auto"/>
        <w:ind w:left="720"/>
        <w:jc w:val="both"/>
        <w:rPr>
          <w:rFonts w:cs="David"/>
          <w:szCs w:val="24"/>
          <w:rtl/>
        </w:rPr>
      </w:pPr>
      <w:r w:rsidRPr="00826122">
        <w:rPr>
          <w:rFonts w:cs="David" w:hint="cs"/>
          <w:szCs w:val="24"/>
          <w:rtl/>
        </w:rPr>
        <w:t>ב</w:t>
      </w:r>
      <w:hyperlink r:id="rId20" w:history="1">
        <w:r w:rsidR="005528C6" w:rsidRPr="005528C6">
          <w:rPr>
            <w:rFonts w:cs="David"/>
            <w:color w:val="0000FF"/>
            <w:szCs w:val="24"/>
            <w:u w:val="single"/>
            <w:rtl/>
          </w:rPr>
          <w:t>ע"פ 1274/16</w:t>
        </w:r>
      </w:hyperlink>
      <w:r w:rsidRPr="00826122">
        <w:rPr>
          <w:rFonts w:cs="David" w:hint="cs"/>
          <w:szCs w:val="24"/>
          <w:rtl/>
        </w:rPr>
        <w:t xml:space="preserve"> </w:t>
      </w:r>
      <w:r w:rsidRPr="00826122">
        <w:rPr>
          <w:rFonts w:cs="David" w:hint="cs"/>
          <w:b/>
          <w:bCs/>
          <w:szCs w:val="24"/>
          <w:rtl/>
        </w:rPr>
        <w:t>אסמעא עווד</w:t>
      </w:r>
      <w:r w:rsidRPr="00826122">
        <w:rPr>
          <w:rFonts w:cs="David" w:hint="cs"/>
          <w:szCs w:val="24"/>
          <w:rtl/>
        </w:rPr>
        <w:t xml:space="preserve"> נ' </w:t>
      </w:r>
      <w:r w:rsidRPr="00826122">
        <w:rPr>
          <w:rFonts w:cs="David" w:hint="cs"/>
          <w:b/>
          <w:bCs/>
          <w:szCs w:val="24"/>
          <w:rtl/>
        </w:rPr>
        <w:t>מדינת ישראל</w:t>
      </w:r>
      <w:r w:rsidRPr="00826122">
        <w:rPr>
          <w:rFonts w:cs="David" w:hint="cs"/>
          <w:szCs w:val="24"/>
          <w:rtl/>
        </w:rPr>
        <w:t xml:space="preserve"> (פורסם בנבו, 11.09.16) </w:t>
      </w:r>
      <w:r w:rsidRPr="00826122">
        <w:rPr>
          <w:rFonts w:cs="David" w:hint="cs"/>
          <w:b/>
          <w:bCs/>
          <w:szCs w:val="24"/>
          <w:rtl/>
        </w:rPr>
        <w:t>המערערת</w:t>
      </w:r>
      <w:r w:rsidRPr="00826122">
        <w:rPr>
          <w:rFonts w:cs="David" w:hint="cs"/>
          <w:szCs w:val="24"/>
          <w:rtl/>
        </w:rPr>
        <w:t xml:space="preserve"> הורשעה, בעבירות של הספקת סמים, החזקת סמים שלא לצריכה עצמית ותקיפת שוטר. המערערת סיפקה לאחֵר </w:t>
      </w:r>
      <w:r w:rsidRPr="00826122">
        <w:rPr>
          <w:rFonts w:cs="David" w:hint="cs"/>
          <w:b/>
          <w:bCs/>
          <w:szCs w:val="24"/>
          <w:rtl/>
        </w:rPr>
        <w:t>22.7 גרם הרואין ו-1.88 גרם קוקאין</w:t>
      </w:r>
      <w:r w:rsidRPr="00826122">
        <w:rPr>
          <w:rFonts w:cs="David" w:hint="cs"/>
          <w:szCs w:val="24"/>
          <w:rtl/>
        </w:rPr>
        <w:t>, מחולקים לאריזות. בהמשך, החזיקה כ-</w:t>
      </w:r>
      <w:r w:rsidRPr="00826122">
        <w:rPr>
          <w:rFonts w:cs="David" w:hint="cs"/>
          <w:b/>
          <w:bCs/>
          <w:szCs w:val="24"/>
          <w:rtl/>
        </w:rPr>
        <w:t>23.29 גרם הרואין, 0.7 גרם קוקאין, ו-9.85 גרם קוקאין</w:t>
      </w:r>
      <w:r w:rsidRPr="00826122">
        <w:rPr>
          <w:rFonts w:cs="David" w:hint="cs"/>
          <w:szCs w:val="24"/>
          <w:rtl/>
        </w:rPr>
        <w:t xml:space="preserve">, מחולקים לאריזות. לאחר מכן, בעת שהייתה עצורה בתחנת המשטרה, היא התפרעה ותקפה שוטרים בכך שבעטה בהם, ירקה לעברם וניסתה לנשוך אותם. </w:t>
      </w:r>
    </w:p>
    <w:p w14:paraId="7DE04E5B" w14:textId="77777777" w:rsidR="00804EA8" w:rsidRPr="00826122" w:rsidRDefault="00804EA8" w:rsidP="00804EA8">
      <w:pPr>
        <w:pStyle w:val="ab"/>
        <w:spacing w:line="360" w:lineRule="auto"/>
        <w:ind w:left="720"/>
        <w:jc w:val="both"/>
        <w:rPr>
          <w:rFonts w:cs="David"/>
          <w:szCs w:val="24"/>
          <w:rtl/>
        </w:rPr>
      </w:pPr>
      <w:r w:rsidRPr="00826122">
        <w:rPr>
          <w:rFonts w:cs="David" w:hint="cs"/>
          <w:szCs w:val="24"/>
          <w:rtl/>
        </w:rPr>
        <w:t>בית המשפט המחוזי קבע כי מתחם העונש ההולם לעבירות הסמים נע בין 24 ל-48 חודשי מאסר וגזר על הנאשמת</w:t>
      </w:r>
      <w:r w:rsidRPr="00826122">
        <w:rPr>
          <w:rFonts w:cs="David" w:hint="cs"/>
          <w:b/>
          <w:bCs/>
          <w:szCs w:val="24"/>
          <w:rtl/>
        </w:rPr>
        <w:t xml:space="preserve"> 34 חודשי מאסר בפועל</w:t>
      </w:r>
      <w:r w:rsidRPr="00826122">
        <w:rPr>
          <w:rFonts w:cs="David" w:hint="cs"/>
          <w:szCs w:val="24"/>
          <w:rtl/>
        </w:rPr>
        <w:t xml:space="preserve">. </w:t>
      </w:r>
    </w:p>
    <w:p w14:paraId="212AFE0F" w14:textId="77777777" w:rsidR="00804EA8" w:rsidRPr="00826122" w:rsidRDefault="00804EA8" w:rsidP="00804EA8">
      <w:pPr>
        <w:spacing w:line="360" w:lineRule="auto"/>
        <w:ind w:firstLine="720"/>
        <w:jc w:val="both"/>
        <w:rPr>
          <w:rtl/>
        </w:rPr>
      </w:pPr>
      <w:r w:rsidRPr="00826122">
        <w:rPr>
          <w:rFonts w:hint="cs"/>
          <w:rtl/>
        </w:rPr>
        <w:t xml:space="preserve">בית המשפט העליון דחה את הערעור וקבע- </w:t>
      </w:r>
    </w:p>
    <w:p w14:paraId="096148D0" w14:textId="77777777" w:rsidR="00804EA8" w:rsidRPr="00826122" w:rsidRDefault="00804EA8" w:rsidP="00804EA8">
      <w:pPr>
        <w:spacing w:line="360" w:lineRule="auto"/>
        <w:ind w:firstLine="720"/>
        <w:jc w:val="both"/>
        <w:rPr>
          <w:rtl/>
        </w:rPr>
      </w:pPr>
    </w:p>
    <w:p w14:paraId="74331259" w14:textId="77777777" w:rsidR="00804EA8" w:rsidRPr="00826122" w:rsidRDefault="00804EA8" w:rsidP="00804EA8">
      <w:pPr>
        <w:spacing w:line="360" w:lineRule="auto"/>
        <w:ind w:left="1440"/>
        <w:jc w:val="both"/>
        <w:rPr>
          <w:rtl/>
        </w:rPr>
      </w:pPr>
      <w:r w:rsidRPr="00826122">
        <w:rPr>
          <w:rFonts w:hint="cs"/>
          <w:rtl/>
        </w:rPr>
        <w:t xml:space="preserve">"בית משפט זה עמד לא אחת על חומרתן המיוחדת של עבירות סחר והפצת סמים מסוכנים, ועל הצורך להיאבק בהן באמצעות ענישה משמעותית ומרתיעה, המתחשבת, בין היתר, בכמות הסם, סוגו וחלקו של הנאשם בביצוע העבירות (ראו: </w:t>
      </w:r>
      <w:r w:rsidRPr="005528C6">
        <w:rPr>
          <w:color w:val="000000"/>
          <w:rtl/>
        </w:rPr>
        <w:t xml:space="preserve">5842/14 </w:t>
      </w:r>
      <w:r w:rsidRPr="00826122">
        <w:rPr>
          <w:rFonts w:hint="cs"/>
          <w:rtl/>
        </w:rPr>
        <w:t xml:space="preserve"> דהן נ' מדינת ישראל, [פורסם בנבו] פסקה 20 (29.7.2015); </w:t>
      </w:r>
      <w:hyperlink r:id="rId21" w:history="1">
        <w:r w:rsidR="005528C6" w:rsidRPr="005528C6">
          <w:rPr>
            <w:color w:val="0000FF"/>
            <w:u w:val="single"/>
            <w:rtl/>
          </w:rPr>
          <w:t>ע"פ 5953/13</w:t>
        </w:r>
      </w:hyperlink>
      <w:r w:rsidRPr="00826122">
        <w:rPr>
          <w:rFonts w:hint="cs"/>
          <w:rtl/>
        </w:rPr>
        <w:t xml:space="preserve"> מדינת ישראל נ' אהרון, [פורסם בנבו] פסקה 17 (6.7.2014); </w:t>
      </w:r>
      <w:hyperlink r:id="rId22" w:history="1">
        <w:r w:rsidR="005528C6" w:rsidRPr="005528C6">
          <w:rPr>
            <w:color w:val="0000FF"/>
            <w:u w:val="single"/>
            <w:rtl/>
          </w:rPr>
          <w:t>ע"פ 3172/13</w:t>
        </w:r>
      </w:hyperlink>
      <w:r w:rsidRPr="00826122">
        <w:rPr>
          <w:rFonts w:hint="cs"/>
          <w:rtl/>
        </w:rPr>
        <w:t xml:space="preserve"> סואעד נ' מדינת ישראל, [פורסם בנבו] פסקה 4 (7.1.2014)).... </w:t>
      </w:r>
    </w:p>
    <w:p w14:paraId="6653E8C6" w14:textId="77777777" w:rsidR="00804EA8" w:rsidRPr="00826122" w:rsidRDefault="00804EA8" w:rsidP="00804EA8">
      <w:pPr>
        <w:spacing w:line="360" w:lineRule="auto"/>
        <w:ind w:left="1440"/>
        <w:jc w:val="both"/>
        <w:rPr>
          <w:rtl/>
        </w:rPr>
      </w:pPr>
      <w:r w:rsidRPr="00826122">
        <w:rPr>
          <w:rFonts w:hint="cs"/>
          <w:rtl/>
        </w:rPr>
        <w:t>כמות הסמים וחלוקתם למנות רבות, ובעיקר סוגם של הסמים – אשר, כאמור, מוגדרים כסמים קשים – מצביעים כולם על חומרתם הרבה של מעשי המערערת, ומלמדים על עוצמת הנזק הפוטנציאלי לו אכן היו מגיעות מנות הסם ליעדן. במצב דברים זה, נחה דעתנו כי העונש שגזר בית המשפט המחוזי על המערערת ראוי והולם את חומרת מעשיה, ו</w:t>
      </w:r>
      <w:r w:rsidRPr="00826122">
        <w:rPr>
          <w:rFonts w:hint="cs"/>
          <w:b/>
          <w:bCs/>
          <w:rtl/>
        </w:rPr>
        <w:t xml:space="preserve">לא מצאנו בעובדה שהמערערת היוותה אך חוליה נמוכה במדרג הספקת הסמים כדי להצדיק הקלה בעונשה... יתרה מזאת, בית משפט זה כבר קבע לא אחת כי נוכח חומרתן היתירה של עבירות סמים, ובפרט עבירות של הפצת סמים, שיקולי הרתעה מקבלים את הבכורה וגוברים על שיקולים אישיים </w:t>
      </w:r>
      <w:r w:rsidRPr="00826122">
        <w:rPr>
          <w:rFonts w:hint="cs"/>
          <w:rtl/>
        </w:rPr>
        <w:t xml:space="preserve">(ראו: </w:t>
      </w:r>
      <w:hyperlink r:id="rId23" w:history="1">
        <w:r w:rsidR="005528C6" w:rsidRPr="005528C6">
          <w:rPr>
            <w:color w:val="0000FF"/>
            <w:u w:val="single"/>
            <w:rtl/>
          </w:rPr>
          <w:t>ע"פ 4295/15</w:t>
        </w:r>
      </w:hyperlink>
      <w:r w:rsidRPr="00826122">
        <w:rPr>
          <w:rFonts w:hint="cs"/>
          <w:rtl/>
        </w:rPr>
        <w:t xml:space="preserve"> אלצאנע נ' מדינת ישראל, [פורסם בנבו] פסקה 9 (2.5.2016); </w:t>
      </w:r>
      <w:hyperlink r:id="rId24" w:history="1">
        <w:r w:rsidR="005528C6" w:rsidRPr="005528C6">
          <w:rPr>
            <w:color w:val="0000FF"/>
            <w:u w:val="single"/>
            <w:rtl/>
          </w:rPr>
          <w:t>ע"פ 3060/15</w:t>
        </w:r>
      </w:hyperlink>
      <w:r w:rsidRPr="00826122">
        <w:rPr>
          <w:rFonts w:hint="cs"/>
          <w:rtl/>
        </w:rPr>
        <w:t xml:space="preserve"> אבו רגייג נ' מדינת ישראל, [פורסם בנבו] פסקה 10 (21.7.2015)). כך עמדתי על הדברים ב</w:t>
      </w:r>
      <w:hyperlink r:id="rId25" w:history="1">
        <w:r w:rsidR="005528C6" w:rsidRPr="005528C6">
          <w:rPr>
            <w:color w:val="0000FF"/>
            <w:u w:val="single"/>
            <w:rtl/>
          </w:rPr>
          <w:t>ע"פ 9482/09</w:t>
        </w:r>
      </w:hyperlink>
      <w:r w:rsidRPr="00826122">
        <w:rPr>
          <w:rFonts w:hint="cs"/>
          <w:rtl/>
        </w:rPr>
        <w:t xml:space="preserve"> ביטון נ' מדינת ישראל [פורסם בנבו] (24.7.2011): </w:t>
      </w:r>
      <w:r w:rsidRPr="00826122">
        <w:rPr>
          <w:rFonts w:ascii="Arial TUR" w:hAnsi="Arial TUR" w:hint="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(שם, פסקה 24)...</w:t>
      </w:r>
      <w:r w:rsidRPr="00826122">
        <w:rPr>
          <w:rFonts w:hint="cs"/>
          <w:rtl/>
        </w:rPr>
        <w:t xml:space="preserve"> </w:t>
      </w:r>
      <w:r w:rsidRPr="00826122">
        <w:rPr>
          <w:rFonts w:hint="cs"/>
          <w:b/>
          <w:bCs/>
          <w:rtl/>
        </w:rPr>
        <w:t>במקרה שלפנינו, ניכר כי בית המשפט המחוזי הלך כברת דרך למען המערערת, נתן דעתו לנסיבותיה האישיות שלה והתחשב בסיפור חייה הקשה בעת שגזר את דינה</w:t>
      </w:r>
      <w:r w:rsidRPr="00826122">
        <w:rPr>
          <w:rFonts w:hint="cs"/>
          <w:rtl/>
        </w:rPr>
        <w:t>."</w:t>
      </w:r>
    </w:p>
    <w:p w14:paraId="3C15EB4B" w14:textId="77777777" w:rsidR="00804EA8" w:rsidRPr="00826122" w:rsidRDefault="00804EA8" w:rsidP="00804EA8">
      <w:pPr>
        <w:spacing w:line="360" w:lineRule="auto"/>
        <w:ind w:left="720"/>
        <w:jc w:val="both"/>
        <w:rPr>
          <w:rtl/>
        </w:rPr>
      </w:pPr>
    </w:p>
    <w:p w14:paraId="2FF05D49" w14:textId="77777777" w:rsidR="00804EA8" w:rsidRPr="00826122" w:rsidRDefault="00804EA8" w:rsidP="00804EA8">
      <w:pPr>
        <w:pStyle w:val="ab"/>
        <w:spacing w:line="360" w:lineRule="auto"/>
        <w:ind w:left="720"/>
        <w:jc w:val="both"/>
        <w:rPr>
          <w:rFonts w:cs="David"/>
          <w:szCs w:val="24"/>
          <w:rtl/>
        </w:rPr>
      </w:pPr>
      <w:r w:rsidRPr="00826122">
        <w:rPr>
          <w:rFonts w:ascii="FrankRuehl" w:hAnsi="FrankRuehl" w:cs="David" w:hint="cs"/>
          <w:szCs w:val="24"/>
          <w:rtl/>
        </w:rPr>
        <w:t>ב</w:t>
      </w:r>
      <w:hyperlink r:id="rId26" w:history="1">
        <w:r w:rsidR="005528C6" w:rsidRPr="005528C6">
          <w:rPr>
            <w:rFonts w:ascii="FrankRuehl" w:hAnsi="FrankRuehl" w:cs="David"/>
            <w:color w:val="0000FF"/>
            <w:szCs w:val="24"/>
            <w:u w:val="single"/>
            <w:rtl/>
          </w:rPr>
          <w:t>ע"פ 4592/15</w:t>
        </w:r>
      </w:hyperlink>
      <w:r w:rsidRPr="00826122">
        <w:rPr>
          <w:rFonts w:ascii="FrankRuehl" w:hAnsi="FrankRuehl" w:cs="David" w:hint="cs"/>
          <w:szCs w:val="24"/>
          <w:rtl/>
        </w:rPr>
        <w:t xml:space="preserve"> </w:t>
      </w:r>
      <w:r w:rsidRPr="00826122">
        <w:rPr>
          <w:rFonts w:ascii="FrankRuehl" w:hAnsi="FrankRuehl" w:cs="David" w:hint="cs"/>
          <w:b/>
          <w:bCs/>
          <w:szCs w:val="24"/>
          <w:rtl/>
        </w:rPr>
        <w:t xml:space="preserve">‏ ‏ אשר מסעוד פדידה ואמיר אבו חמדה </w:t>
      </w:r>
      <w:r w:rsidRPr="00826122">
        <w:rPr>
          <w:rFonts w:ascii="FrankRuehl" w:hAnsi="FrankRuehl" w:cs="David" w:hint="cs"/>
          <w:szCs w:val="24"/>
          <w:rtl/>
        </w:rPr>
        <w:t>נ'</w:t>
      </w:r>
      <w:r w:rsidRPr="00826122">
        <w:rPr>
          <w:rFonts w:ascii="FrankRuehl" w:hAnsi="FrankRuehl" w:cs="David" w:hint="cs"/>
          <w:b/>
          <w:bCs/>
          <w:szCs w:val="24"/>
          <w:rtl/>
        </w:rPr>
        <w:t xml:space="preserve"> מדינת ישראל</w:t>
      </w:r>
      <w:r w:rsidRPr="00826122">
        <w:rPr>
          <w:rFonts w:cs="David" w:hint="cs"/>
          <w:szCs w:val="24"/>
          <w:rtl/>
          <w:lang w:eastAsia="en-US"/>
        </w:rPr>
        <w:t xml:space="preserve">  (פורסם בנבו, </w:t>
      </w:r>
      <w:r w:rsidRPr="00826122">
        <w:rPr>
          <w:rFonts w:cs="David" w:hint="cs"/>
          <w:szCs w:val="24"/>
          <w:rtl/>
        </w:rPr>
        <w:t>13.1.16)  המערער פדידה הורשע בהחזקת</w:t>
      </w:r>
      <w:r w:rsidRPr="00826122">
        <w:rPr>
          <w:rFonts w:cs="David" w:hint="cs"/>
          <w:b/>
          <w:bCs/>
          <w:szCs w:val="24"/>
          <w:rtl/>
        </w:rPr>
        <w:t xml:space="preserve"> 481.6 גרם קוקאין</w:t>
      </w:r>
      <w:r w:rsidRPr="00826122">
        <w:rPr>
          <w:rFonts w:cs="David" w:hint="cs"/>
          <w:szCs w:val="24"/>
          <w:rtl/>
        </w:rPr>
        <w:t xml:space="preserve"> והמערער אבו חמדה הורשע בסיוע להחזקת הסם. בנוסף, שניהם הורשעו בקשירת קשר לפשע. </w:t>
      </w:r>
    </w:p>
    <w:p w14:paraId="33378679" w14:textId="77777777" w:rsidR="00804EA8" w:rsidRPr="00826122" w:rsidRDefault="00804EA8" w:rsidP="00804EA8">
      <w:pPr>
        <w:pStyle w:val="ab"/>
        <w:spacing w:line="360" w:lineRule="auto"/>
        <w:ind w:left="720"/>
        <w:jc w:val="both"/>
        <w:rPr>
          <w:rFonts w:cs="David"/>
          <w:szCs w:val="24"/>
          <w:rtl/>
        </w:rPr>
      </w:pPr>
      <w:r w:rsidRPr="00826122">
        <w:rPr>
          <w:rFonts w:cs="David" w:hint="cs"/>
          <w:szCs w:val="24"/>
          <w:rtl/>
        </w:rPr>
        <w:t xml:space="preserve">פדידה הוא נהג מונית שקשר קשר עם אחר לקבל מאבו חמדה את הסם ולהעבירו אליו. אבו חמדה קשר קשר עם אותו אחר להעביר אליו את הסם. בהתאם למתואר, פדידה קיבל את הסם מאבו חמדה והוביל אותו במוניתו על מנת להביאו לאדם ששלח אותו. בדרך הוא נעצר על ידי המשטרה והסם נתפס. התביעה סברה שעונשו של אבו חמדה, שהורשע בסיוע להחזקת הסם, צריך להיות חמור משמעותית מעונשו של פדידה, למרות שהוא הורשע בעבירה המוגמרת.  </w:t>
      </w:r>
    </w:p>
    <w:p w14:paraId="742E9856" w14:textId="77777777" w:rsidR="00804EA8" w:rsidRPr="00826122" w:rsidRDefault="00804EA8" w:rsidP="00804EA8">
      <w:pPr>
        <w:pStyle w:val="ab"/>
        <w:spacing w:line="360" w:lineRule="auto"/>
        <w:ind w:left="720"/>
        <w:jc w:val="both"/>
        <w:rPr>
          <w:rFonts w:cs="David"/>
          <w:szCs w:val="24"/>
          <w:rtl/>
          <w:lang w:eastAsia="en-US"/>
        </w:rPr>
      </w:pPr>
      <w:r w:rsidRPr="00826122">
        <w:rPr>
          <w:rFonts w:cs="David" w:hint="cs"/>
          <w:szCs w:val="24"/>
          <w:rtl/>
        </w:rPr>
        <w:t xml:space="preserve">בית המשפט המחוזי קבע כי מתחם העונש ההולם נע בין 2 ל- 6 שנות מאסר בפועל, וגזר על כל אחד מהמערערים  </w:t>
      </w:r>
      <w:r w:rsidRPr="00826122">
        <w:rPr>
          <w:rFonts w:cs="David" w:hint="cs"/>
          <w:b/>
          <w:bCs/>
          <w:szCs w:val="24"/>
          <w:rtl/>
        </w:rPr>
        <w:t>30 חודשי מאסר בפועל</w:t>
      </w:r>
      <w:r w:rsidRPr="00826122">
        <w:rPr>
          <w:rFonts w:cs="David" w:hint="cs"/>
          <w:szCs w:val="24"/>
          <w:rtl/>
        </w:rPr>
        <w:t xml:space="preserve"> ועונשים נלווים. </w:t>
      </w:r>
    </w:p>
    <w:p w14:paraId="3A9706EA" w14:textId="77777777" w:rsidR="00804EA8" w:rsidRPr="00826122" w:rsidRDefault="00804EA8" w:rsidP="00804EA8">
      <w:pPr>
        <w:pStyle w:val="ab"/>
        <w:spacing w:line="360" w:lineRule="auto"/>
        <w:ind w:left="720"/>
        <w:jc w:val="both"/>
        <w:rPr>
          <w:rFonts w:cs="David"/>
          <w:szCs w:val="24"/>
          <w:rtl/>
          <w:lang w:eastAsia="en-US"/>
        </w:rPr>
      </w:pPr>
      <w:r w:rsidRPr="00826122">
        <w:rPr>
          <w:rFonts w:cs="David" w:hint="cs"/>
          <w:szCs w:val="24"/>
          <w:rtl/>
          <w:lang w:eastAsia="en-US"/>
        </w:rPr>
        <w:t xml:space="preserve">בית המשפט העליון דן ביחס בין עונשו של המסייע לזה של המבצע העיקרי, ואמר בין היתר את הדברים הבאים- </w:t>
      </w:r>
    </w:p>
    <w:p w14:paraId="4EF11998" w14:textId="77777777" w:rsidR="00804EA8" w:rsidRPr="00826122" w:rsidRDefault="00804EA8" w:rsidP="00804EA8">
      <w:pPr>
        <w:pStyle w:val="ab"/>
        <w:spacing w:line="360" w:lineRule="auto"/>
        <w:ind w:left="1440"/>
        <w:jc w:val="both"/>
        <w:rPr>
          <w:rFonts w:cs="David"/>
          <w:szCs w:val="24"/>
          <w:rtl/>
        </w:rPr>
      </w:pPr>
      <w:r w:rsidRPr="00826122">
        <w:rPr>
          <w:rFonts w:cs="David" w:hint="cs"/>
          <w:szCs w:val="24"/>
          <w:rtl/>
        </w:rPr>
        <w:t xml:space="preserve">"לאחר בחינת טענות הצדדים, סבורנו כי אין להיעתר לערעורים. אומר כבר כאן, וזו ראשית והיא גם אחרית, כי בהתחשב בטיב הסם ובכמותו – קוקאין במשקל קרוב למחצית הקילוגרם – </w:t>
      </w:r>
      <w:r w:rsidRPr="00826122">
        <w:rPr>
          <w:rFonts w:cs="David" w:hint="cs"/>
          <w:b/>
          <w:bCs/>
          <w:szCs w:val="24"/>
          <w:rtl/>
        </w:rPr>
        <w:t>העונשים שהושתו קלים</w:t>
      </w:r>
      <w:r w:rsidRPr="00826122">
        <w:rPr>
          <w:rFonts w:cs="David" w:hint="cs"/>
          <w:szCs w:val="24"/>
          <w:rtl/>
        </w:rPr>
        <w:t xml:space="preserve">, ועל כן אין מקום להפחתה נוספת... הדבר נובע משיקולי גמול והרתעה, ומשנתן בית המשפט קמא מקום גם לנסיבות לקולה ולשיקול השיקום, מלאה "סאת ההקלות" בנידון דידן. המערערים שימשו כחוליות חשובות בשרשרת ההפצה של כמות גדולה זו של הסם הקשה, ואילולא נלכדו היה מגיע הסם לרחובות, ומרעיל נפשות במספר לא מבוטל... נגע הסמים, והסמים הקשים כבענייננו בפרט, מרעיל לא רק את הצרכנים עצמם, אלא השפעתו הרסנית לחברה הסובבת ככלל. בנגע זה יש להילחם בכל שלביו, החל מהפצתו ועד מכירתו והשימוש בו.. הענישה בעבירות מסוג זה נועדה, קודם לכל, לשרת את מטרת הגמול לעבריין על עיסוק בסם העלול לסכן חיי אדם ולפגוע בבריאות המשתמשים בו; שנית, </w:t>
      </w:r>
      <w:r w:rsidRPr="00826122">
        <w:rPr>
          <w:rFonts w:cs="David" w:hint="cs"/>
          <w:b/>
          <w:bCs/>
          <w:szCs w:val="24"/>
          <w:rtl/>
        </w:rPr>
        <w:t>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r w:rsidRPr="00826122">
        <w:rPr>
          <w:rFonts w:cs="David" w:hint="cs"/>
          <w:szCs w:val="24"/>
          <w:rtl/>
        </w:rPr>
        <w:t xml:space="preserve">... </w:t>
      </w:r>
    </w:p>
    <w:p w14:paraId="126FCD37" w14:textId="77777777" w:rsidR="00804EA8" w:rsidRPr="00826122" w:rsidRDefault="00804EA8" w:rsidP="00804EA8">
      <w:pPr>
        <w:pStyle w:val="ab"/>
        <w:spacing w:line="360" w:lineRule="auto"/>
        <w:ind w:left="1440"/>
        <w:jc w:val="both"/>
        <w:rPr>
          <w:rFonts w:cs="David"/>
          <w:szCs w:val="24"/>
          <w:rtl/>
        </w:rPr>
      </w:pPr>
      <w:r w:rsidRPr="00826122">
        <w:rPr>
          <w:rFonts w:cs="David" w:hint="cs"/>
          <w:szCs w:val="24"/>
          <w:rtl/>
        </w:rPr>
        <w:t>מסקירת הפסיקה בנושא עולה, כי אמנם קיים גיוון רב בענישה, אולם</w:t>
      </w:r>
      <w:r w:rsidRPr="00826122">
        <w:rPr>
          <w:rFonts w:cs="David" w:hint="cs"/>
          <w:b/>
          <w:bCs/>
          <w:szCs w:val="24"/>
          <w:rtl/>
        </w:rPr>
        <w:t xml:space="preserve"> במקרים העוסקים בהחזקת סם מסוכן מסוג הרואין או קוקאין שלא לצריכה עצמית, בכמות של עשרות גרמים, נע טווח הענישה בין שלוש לחמש שנות מאסר</w:t>
      </w:r>
      <w:r w:rsidRPr="00826122">
        <w:rPr>
          <w:rFonts w:cs="David" w:hint="cs"/>
          <w:szCs w:val="24"/>
          <w:rtl/>
        </w:rPr>
        <w:t xml:space="preserve"> (</w:t>
      </w:r>
      <w:hyperlink r:id="rId27" w:history="1">
        <w:r w:rsidR="005528C6" w:rsidRPr="005528C6">
          <w:rPr>
            <w:rFonts w:cs="David"/>
            <w:b/>
            <w:bCs/>
            <w:color w:val="0000FF"/>
            <w:szCs w:val="24"/>
            <w:u w:val="single"/>
            <w:rtl/>
          </w:rPr>
          <w:t>ע"פ 8820/14</w:t>
        </w:r>
      </w:hyperlink>
      <w:r w:rsidRPr="00826122">
        <w:rPr>
          <w:rFonts w:cs="David" w:hint="cs"/>
          <w:szCs w:val="24"/>
          <w:rtl/>
        </w:rPr>
        <w:t xml:space="preserve"> זהר שחר נ' מדינת ישראל [פורסם בנבו] (2015) בפסקה 12 וההפניות שם; </w:t>
      </w:r>
      <w:r w:rsidRPr="005528C6">
        <w:rPr>
          <w:rFonts w:cs="David"/>
          <w:color w:val="000000"/>
          <w:szCs w:val="24"/>
          <w:rtl/>
        </w:rPr>
        <w:t>1313/14</w:t>
      </w:r>
      <w:r w:rsidRPr="00826122">
        <w:rPr>
          <w:rFonts w:cs="David" w:hint="cs"/>
          <w:szCs w:val="24"/>
          <w:u w:val="single"/>
          <w:rtl/>
        </w:rPr>
        <w:t xml:space="preserve"> </w:t>
      </w:r>
      <w:r w:rsidRPr="00826122">
        <w:rPr>
          <w:rFonts w:cs="David" w:hint="cs"/>
          <w:szCs w:val="24"/>
          <w:rtl/>
        </w:rPr>
        <w:t xml:space="preserve">גמאל בהתימי נ' מדינת ישראל [פורסם בנבו] (2015); עניין פיצו, בפסקה 14 וההפניות שם; </w:t>
      </w:r>
      <w:hyperlink r:id="rId28" w:history="1">
        <w:r w:rsidR="005528C6" w:rsidRPr="005528C6">
          <w:rPr>
            <w:rFonts w:cs="David"/>
            <w:color w:val="0000FF"/>
            <w:szCs w:val="24"/>
            <w:u w:val="single"/>
            <w:rtl/>
          </w:rPr>
          <w:t>ע"פ 5374/12</w:t>
        </w:r>
      </w:hyperlink>
      <w:r w:rsidRPr="00826122">
        <w:rPr>
          <w:rFonts w:cs="David" w:hint="cs"/>
          <w:szCs w:val="24"/>
          <w:rtl/>
        </w:rPr>
        <w:t xml:space="preserve"> אברג'יל נ' מדינת ישראל [פורסם בנבו] (2013); </w:t>
      </w:r>
      <w:hyperlink r:id="rId29" w:history="1">
        <w:r w:rsidR="005528C6" w:rsidRPr="005528C6">
          <w:rPr>
            <w:rFonts w:cs="David"/>
            <w:color w:val="0000FF"/>
            <w:szCs w:val="24"/>
            <w:u w:val="single"/>
            <w:rtl/>
          </w:rPr>
          <w:t>ע"פ 11469/05</w:t>
        </w:r>
      </w:hyperlink>
      <w:r w:rsidRPr="00826122">
        <w:rPr>
          <w:rFonts w:cs="David" w:hint="cs"/>
          <w:szCs w:val="24"/>
          <w:rtl/>
        </w:rPr>
        <w:t xml:space="preserve"> מדינת ישראל נ' עייש [פורסם בנבו] (2006); </w:t>
      </w:r>
      <w:r w:rsidRPr="005528C6">
        <w:rPr>
          <w:rFonts w:cs="David"/>
          <w:color w:val="000000"/>
          <w:szCs w:val="24"/>
          <w:rtl/>
        </w:rPr>
        <w:t>5958/13</w:t>
      </w:r>
      <w:r w:rsidRPr="00826122">
        <w:rPr>
          <w:rFonts w:cs="David" w:hint="cs"/>
          <w:szCs w:val="24"/>
          <w:rtl/>
        </w:rPr>
        <w:t xml:space="preserve"> גיא שרגא סבג נ' מדינת ישראל [פורסם בנבו] (2014); </w:t>
      </w:r>
      <w:r w:rsidRPr="005528C6">
        <w:rPr>
          <w:rFonts w:cs="David"/>
          <w:color w:val="000000"/>
          <w:szCs w:val="24"/>
          <w:rtl/>
        </w:rPr>
        <w:t>4203/14</w:t>
      </w:r>
      <w:r w:rsidRPr="00826122">
        <w:rPr>
          <w:rFonts w:cs="David" w:hint="cs"/>
          <w:szCs w:val="24"/>
          <w:rtl/>
        </w:rPr>
        <w:t xml:space="preserve"> אליהו כהן נ' מדינת ישראל [פורסם בנבו] (2015)). </w:t>
      </w:r>
      <w:r w:rsidRPr="00826122">
        <w:rPr>
          <w:rFonts w:cs="David" w:hint="cs"/>
          <w:b/>
          <w:bCs/>
          <w:szCs w:val="24"/>
          <w:rtl/>
        </w:rPr>
        <w:t>עסקינן בנידון דידן בכמות גדולה, כאמור, ואין מקום להתערב בתחום הענישה שנקבע, 6-2 שנים אשר אינו גבוה לטעמנו.</w:t>
      </w:r>
      <w:r w:rsidRPr="00826122">
        <w:rPr>
          <w:rFonts w:cs="David" w:hint="cs"/>
          <w:szCs w:val="24"/>
          <w:rtl/>
        </w:rPr>
        <w:t xml:space="preserve">.. </w:t>
      </w:r>
    </w:p>
    <w:p w14:paraId="66206728" w14:textId="77777777" w:rsidR="00804EA8" w:rsidRPr="00826122" w:rsidRDefault="00804EA8" w:rsidP="00804EA8">
      <w:pPr>
        <w:pStyle w:val="ab"/>
        <w:spacing w:line="360" w:lineRule="auto"/>
        <w:ind w:left="1440"/>
        <w:jc w:val="both"/>
        <w:rPr>
          <w:rFonts w:cs="David"/>
          <w:szCs w:val="24"/>
          <w:rtl/>
        </w:rPr>
      </w:pPr>
      <w:r w:rsidRPr="00826122">
        <w:rPr>
          <w:rFonts w:cs="David" w:hint="cs"/>
          <w:b/>
          <w:bCs/>
          <w:szCs w:val="24"/>
          <w:rtl/>
        </w:rPr>
        <w:t>מן המפורסמות הוא שמערכת הפצת הסמים נסמכת ונשענת על שירותיהם של אנשים רבים הממלאים לפעמים תפקידים של שליח או של בלדר. ברור שללא עזרתם של אלה לא הייתה המערכת הזאת מסוגלת לגרום את הנזק שהיא גורמת</w:t>
      </w:r>
      <w:r w:rsidRPr="00826122">
        <w:rPr>
          <w:rFonts w:cs="David" w:hint="cs"/>
          <w:szCs w:val="24"/>
          <w:rtl/>
        </w:rPr>
        <w:t xml:space="preserve"> [ראו למשל </w:t>
      </w:r>
      <w:hyperlink r:id="rId30" w:history="1">
        <w:r w:rsidR="005528C6" w:rsidRPr="005528C6">
          <w:rPr>
            <w:rFonts w:cs="David"/>
            <w:color w:val="0000FF"/>
            <w:szCs w:val="24"/>
            <w:u w:val="single"/>
            <w:rtl/>
          </w:rPr>
          <w:t>ע"פ 5735/92</w:t>
        </w:r>
      </w:hyperlink>
      <w:r w:rsidRPr="00826122">
        <w:rPr>
          <w:rFonts w:cs="David" w:hint="cs"/>
          <w:szCs w:val="24"/>
          <w:rtl/>
        </w:rPr>
        <w:t xml:space="preserve"> לוי נ' מדינת ישראל (לא פורסם, [פורסם בנבו], 26.5.1994)].. נקבע כי </w:t>
      </w:r>
      <w:r w:rsidRPr="00826122">
        <w:rPr>
          <w:rFonts w:cs="David" w:hint="cs"/>
          <w:b/>
          <w:bCs/>
          <w:szCs w:val="24"/>
          <w:rtl/>
        </w:rPr>
        <w:t>בסוג זה של עבירות יש להעניש בחומרה ראויה גם שליחים ובלדרים שכן "מערכת הפצת הסמים נסמכת ונשענת, במידה רבה, על שירותיהם של בעלי תפקידים (כביכול "משניים") כאלה"</w:t>
      </w:r>
      <w:r w:rsidRPr="00826122">
        <w:rPr>
          <w:rFonts w:cs="David" w:hint="cs"/>
          <w:szCs w:val="24"/>
          <w:rtl/>
        </w:rPr>
        <w:t xml:space="preserve"> [ראו: </w:t>
      </w:r>
      <w:hyperlink r:id="rId31" w:history="1">
        <w:r w:rsidR="005528C6" w:rsidRPr="005528C6">
          <w:rPr>
            <w:rFonts w:cs="David"/>
            <w:color w:val="0000FF"/>
            <w:szCs w:val="24"/>
            <w:u w:val="single"/>
            <w:rtl/>
          </w:rPr>
          <w:t>ע"פ 1674/96 קנטו נ' מדינת ישראל, פ"ד נ</w:t>
        </w:r>
      </w:hyperlink>
      <w:r w:rsidRPr="00826122">
        <w:rPr>
          <w:rFonts w:cs="David" w:hint="cs"/>
          <w:szCs w:val="24"/>
          <w:rtl/>
        </w:rPr>
        <w:t>(3) 722,725 (1996) סעיף 5]".</w:t>
      </w:r>
    </w:p>
    <w:p w14:paraId="042261DF" w14:textId="77777777" w:rsidR="00804EA8" w:rsidRPr="00826122" w:rsidRDefault="00804EA8" w:rsidP="00804EA8">
      <w:pPr>
        <w:spacing w:line="360" w:lineRule="auto"/>
        <w:ind w:left="720"/>
        <w:jc w:val="both"/>
        <w:rPr>
          <w:rtl/>
        </w:rPr>
      </w:pPr>
    </w:p>
    <w:p w14:paraId="3611508D" w14:textId="77777777" w:rsidR="00804EA8" w:rsidRPr="00826122" w:rsidRDefault="00804EA8" w:rsidP="00804EA8">
      <w:pPr>
        <w:spacing w:line="360" w:lineRule="auto"/>
        <w:ind w:left="720"/>
        <w:jc w:val="both"/>
        <w:rPr>
          <w:rtl/>
        </w:rPr>
      </w:pPr>
    </w:p>
    <w:p w14:paraId="514BEEF6" w14:textId="77777777" w:rsidR="00804EA8" w:rsidRPr="00826122" w:rsidRDefault="00804EA8" w:rsidP="00804EA8">
      <w:pPr>
        <w:spacing w:line="360" w:lineRule="auto"/>
        <w:ind w:left="720"/>
        <w:jc w:val="both"/>
        <w:rPr>
          <w:rtl/>
        </w:rPr>
      </w:pPr>
      <w:r w:rsidRPr="00826122">
        <w:rPr>
          <w:rFonts w:hint="cs"/>
          <w:rtl/>
        </w:rPr>
        <w:t>ב</w:t>
      </w:r>
      <w:hyperlink r:id="rId32" w:history="1">
        <w:r w:rsidR="005528C6" w:rsidRPr="005528C6">
          <w:rPr>
            <w:color w:val="0000FF"/>
            <w:u w:val="single"/>
            <w:rtl/>
          </w:rPr>
          <w:t>ע"פ 1313/14</w:t>
        </w:r>
      </w:hyperlink>
      <w:r w:rsidRPr="005528C6">
        <w:rPr>
          <w:color w:val="000000"/>
          <w:rtl/>
        </w:rPr>
        <w:t xml:space="preserve"> </w:t>
      </w:r>
      <w:r w:rsidRPr="005528C6">
        <w:rPr>
          <w:b/>
          <w:bCs/>
          <w:color w:val="000000"/>
          <w:rtl/>
        </w:rPr>
        <w:t>גמאל בהתימי</w:t>
      </w:r>
      <w:r w:rsidRPr="005528C6">
        <w:rPr>
          <w:color w:val="000000"/>
          <w:rtl/>
        </w:rPr>
        <w:t xml:space="preserve"> נ' </w:t>
      </w:r>
      <w:r w:rsidRPr="005528C6">
        <w:rPr>
          <w:b/>
          <w:bCs/>
          <w:color w:val="000000"/>
          <w:rtl/>
        </w:rPr>
        <w:t>מדינת ישראל</w:t>
      </w:r>
      <w:r w:rsidRPr="005528C6">
        <w:rPr>
          <w:color w:val="000000"/>
          <w:rtl/>
        </w:rPr>
        <w:t xml:space="preserve"> (פורסם בנבו, 09.06.15</w:t>
      </w:r>
      <w:r w:rsidRPr="00826122">
        <w:rPr>
          <w:rFonts w:hint="cs"/>
          <w:rtl/>
        </w:rPr>
        <w:t>) הורשע המערער בהחזקת סם מסוכן מסוג קוקאין במשקל של</w:t>
      </w:r>
      <w:r w:rsidRPr="00826122">
        <w:rPr>
          <w:rFonts w:hint="cs"/>
          <w:b/>
          <w:bCs/>
          <w:rtl/>
        </w:rPr>
        <w:t xml:space="preserve"> 50 גרם</w:t>
      </w:r>
      <w:r w:rsidRPr="00826122">
        <w:rPr>
          <w:rFonts w:hint="cs"/>
          <w:rtl/>
        </w:rPr>
        <w:t xml:space="preserve">, ונדון ל </w:t>
      </w:r>
      <w:r w:rsidRPr="00826122">
        <w:rPr>
          <w:rFonts w:hint="cs"/>
          <w:b/>
          <w:bCs/>
          <w:rtl/>
        </w:rPr>
        <w:t>42 חודשי מאסר</w:t>
      </w:r>
      <w:r w:rsidRPr="00826122">
        <w:rPr>
          <w:rFonts w:hint="cs"/>
          <w:rtl/>
        </w:rPr>
        <w:t xml:space="preserve">, ובנוסף הופעל, במצטבר, מאסר על תנאי של 10 חודשים. </w:t>
      </w:r>
    </w:p>
    <w:p w14:paraId="691B46FB" w14:textId="77777777" w:rsidR="00804EA8" w:rsidRPr="00826122" w:rsidRDefault="00804EA8" w:rsidP="00804EA8">
      <w:pPr>
        <w:spacing w:line="360" w:lineRule="auto"/>
        <w:ind w:firstLine="720"/>
        <w:jc w:val="both"/>
        <w:rPr>
          <w:rtl/>
        </w:rPr>
      </w:pPr>
      <w:r w:rsidRPr="00826122">
        <w:rPr>
          <w:rFonts w:hint="cs"/>
          <w:rtl/>
        </w:rPr>
        <w:t xml:space="preserve">בית המשפט העליון דחה את הערעור. </w:t>
      </w:r>
    </w:p>
    <w:p w14:paraId="567EEF70" w14:textId="77777777" w:rsidR="00804EA8" w:rsidRPr="00826122" w:rsidRDefault="00804EA8" w:rsidP="00804EA8">
      <w:pPr>
        <w:spacing w:line="360" w:lineRule="auto"/>
        <w:ind w:firstLine="720"/>
        <w:jc w:val="both"/>
        <w:rPr>
          <w:rtl/>
        </w:rPr>
      </w:pPr>
    </w:p>
    <w:p w14:paraId="5EB476E0" w14:textId="77777777" w:rsidR="00804EA8" w:rsidRPr="00826122" w:rsidRDefault="00804EA8" w:rsidP="00804EA8">
      <w:pPr>
        <w:spacing w:line="360" w:lineRule="auto"/>
        <w:ind w:left="720" w:hanging="720"/>
        <w:jc w:val="both"/>
        <w:rPr>
          <w:rtl/>
        </w:rPr>
      </w:pPr>
      <w:r w:rsidRPr="00826122">
        <w:rPr>
          <w:rFonts w:hint="cs"/>
          <w:rtl/>
        </w:rPr>
        <w:t>9.</w:t>
      </w:r>
      <w:r w:rsidRPr="00826122">
        <w:rPr>
          <w:rFonts w:hint="cs"/>
          <w:rtl/>
        </w:rPr>
        <w:tab/>
        <w:t xml:space="preserve">אמנם ניתן למצוא גזרי דין – כמו למשל אלה שהסנגור הפנה אליהם - בהם הוטל על מי שביצע עבירת סמים חמורה, עונש קל יחסית. אולם, אלה הם היוצאים מהכלל. הקו העיקרי, של  המדיניות השיפוטית ושל הענישה המוטלת בפועל, הינו במובהק של חומרה. </w:t>
      </w:r>
    </w:p>
    <w:p w14:paraId="4C414B63" w14:textId="77777777" w:rsidR="00804EA8" w:rsidRPr="00826122" w:rsidRDefault="00804EA8" w:rsidP="00804EA8">
      <w:pPr>
        <w:spacing w:line="360" w:lineRule="auto"/>
        <w:ind w:left="720" w:hanging="720"/>
        <w:jc w:val="both"/>
        <w:rPr>
          <w:rtl/>
        </w:rPr>
      </w:pPr>
    </w:p>
    <w:p w14:paraId="7FF5F0E6" w14:textId="77777777" w:rsidR="00804EA8" w:rsidRPr="00826122" w:rsidRDefault="00804EA8" w:rsidP="00804EA8">
      <w:pPr>
        <w:spacing w:line="360" w:lineRule="auto"/>
        <w:ind w:left="360" w:hanging="360"/>
        <w:jc w:val="both"/>
        <w:rPr>
          <w:rFonts w:ascii="Arial" w:hAnsi="Arial"/>
          <w:rtl/>
        </w:rPr>
      </w:pPr>
      <w:r w:rsidRPr="00826122">
        <w:rPr>
          <w:rFonts w:ascii="Calibri" w:hAnsi="Calibri" w:hint="cs"/>
          <w:rtl/>
        </w:rPr>
        <w:t>10.</w:t>
      </w:r>
      <w:r w:rsidRPr="00826122">
        <w:rPr>
          <w:rFonts w:ascii="Calibri" w:hAnsi="Calibri" w:hint="cs"/>
          <w:rtl/>
        </w:rPr>
        <w:tab/>
      </w:r>
      <w:r w:rsidRPr="00826122">
        <w:rPr>
          <w:rFonts w:ascii="Calibri" w:hAnsi="Calibri" w:hint="cs"/>
          <w:rtl/>
        </w:rPr>
        <w:tab/>
      </w:r>
      <w:r w:rsidRPr="00826122">
        <w:rPr>
          <w:rFonts w:ascii="Arial" w:hAnsi="Arial" w:hint="cs"/>
          <w:rtl/>
        </w:rPr>
        <w:t xml:space="preserve">באשר לנסיבות ביצוע העבירה – </w:t>
      </w:r>
    </w:p>
    <w:p w14:paraId="1927A2E4" w14:textId="77777777" w:rsidR="00804EA8" w:rsidRPr="00826122" w:rsidRDefault="00804EA8" w:rsidP="00804EA8">
      <w:pPr>
        <w:spacing w:line="360" w:lineRule="auto"/>
        <w:ind w:left="720"/>
        <w:jc w:val="both"/>
        <w:rPr>
          <w:rFonts w:ascii="Arial" w:hAnsi="Arial"/>
          <w:rtl/>
        </w:rPr>
      </w:pPr>
    </w:p>
    <w:p w14:paraId="20A0B7B5" w14:textId="77777777" w:rsidR="00804EA8" w:rsidRPr="00826122" w:rsidRDefault="00804EA8" w:rsidP="00804EA8">
      <w:pPr>
        <w:spacing w:line="360" w:lineRule="auto"/>
        <w:ind w:left="720"/>
        <w:jc w:val="both"/>
        <w:rPr>
          <w:rFonts w:ascii="Arial" w:hAnsi="Arial"/>
          <w:rtl/>
        </w:rPr>
      </w:pPr>
      <w:r w:rsidRPr="00826122">
        <w:rPr>
          <w:rFonts w:ascii="Arial" w:hAnsi="Arial" w:hint="cs"/>
          <w:rtl/>
        </w:rPr>
        <w:t>מעשה הנאשמת חייב פעולות מקדימות ותכנון.</w:t>
      </w:r>
    </w:p>
    <w:p w14:paraId="50B45B0B" w14:textId="77777777" w:rsidR="00804EA8" w:rsidRPr="00826122" w:rsidRDefault="00804EA8" w:rsidP="00804EA8">
      <w:pPr>
        <w:spacing w:line="360" w:lineRule="auto"/>
        <w:ind w:left="720"/>
        <w:jc w:val="both"/>
        <w:rPr>
          <w:rFonts w:ascii="Arial" w:hAnsi="Arial"/>
          <w:rtl/>
        </w:rPr>
      </w:pPr>
    </w:p>
    <w:p w14:paraId="321588FE" w14:textId="77777777" w:rsidR="00804EA8" w:rsidRPr="00826122" w:rsidRDefault="00804EA8" w:rsidP="00804EA8">
      <w:pPr>
        <w:spacing w:line="360" w:lineRule="auto"/>
        <w:ind w:left="720"/>
        <w:jc w:val="both"/>
        <w:rPr>
          <w:rFonts w:ascii="Arial" w:hAnsi="Arial"/>
          <w:rtl/>
        </w:rPr>
      </w:pPr>
      <w:r w:rsidRPr="00826122">
        <w:rPr>
          <w:rFonts w:ascii="Arial" w:hAnsi="Arial" w:hint="cs"/>
          <w:rtl/>
        </w:rPr>
        <w:t xml:space="preserve">חלקה של הנאשמת בעבירה, משמעותי. </w:t>
      </w:r>
    </w:p>
    <w:p w14:paraId="7F35437F" w14:textId="77777777" w:rsidR="00804EA8" w:rsidRPr="00826122" w:rsidRDefault="00804EA8" w:rsidP="00804EA8">
      <w:pPr>
        <w:spacing w:line="360" w:lineRule="auto"/>
        <w:ind w:left="720"/>
        <w:jc w:val="both"/>
        <w:rPr>
          <w:rFonts w:ascii="David" w:hAnsi="David"/>
          <w:rtl/>
        </w:rPr>
      </w:pPr>
      <w:r w:rsidRPr="00826122">
        <w:rPr>
          <w:rFonts w:ascii="Arial" w:hAnsi="Arial" w:hint="cs"/>
          <w:rtl/>
        </w:rPr>
        <w:t xml:space="preserve">הנאשמת </w:t>
      </w:r>
      <w:r w:rsidRPr="00826122">
        <w:rPr>
          <w:rFonts w:hint="cs"/>
          <w:rtl/>
        </w:rPr>
        <w:t xml:space="preserve">טענה באזני שירות המבחן, כי מכר שלה ברוסיה קישר בינה לבין אדם בארץ כדי שתעביר את הסמים והיא עשתה זאת. הנאשמת טענה את הדברים הנ"ל בעלמא, ללא פרטים המאפשרים לעמוד על טיבם. בבית המשפט הטענה לא עלתה וההגנה לא הציגה כל ראיה לענין זה. </w:t>
      </w:r>
    </w:p>
    <w:p w14:paraId="396B6D6D" w14:textId="77777777" w:rsidR="00804EA8" w:rsidRPr="00826122" w:rsidRDefault="00804EA8" w:rsidP="00804EA8">
      <w:pPr>
        <w:spacing w:line="360" w:lineRule="auto"/>
        <w:ind w:left="720"/>
        <w:jc w:val="both"/>
        <w:rPr>
          <w:rtl/>
        </w:rPr>
      </w:pPr>
      <w:r w:rsidRPr="00826122">
        <w:rPr>
          <w:rFonts w:hint="cs"/>
          <w:rtl/>
        </w:rPr>
        <w:t xml:space="preserve">ההנחה היא שמי שמחזיק סם מסוג ובכמות שהנאשמת החזיקה, ששוויו הכספי עצום ורב, הוא בעל זיקה משמעותית אליו. </w:t>
      </w:r>
    </w:p>
    <w:p w14:paraId="6951C609" w14:textId="77777777" w:rsidR="00804EA8" w:rsidRPr="00826122" w:rsidRDefault="00804EA8" w:rsidP="00804EA8">
      <w:pPr>
        <w:spacing w:line="360" w:lineRule="auto"/>
        <w:ind w:left="720"/>
        <w:jc w:val="both"/>
        <w:rPr>
          <w:rtl/>
        </w:rPr>
      </w:pPr>
    </w:p>
    <w:p w14:paraId="01274680" w14:textId="77777777" w:rsidR="00804EA8" w:rsidRPr="00826122" w:rsidRDefault="00804EA8" w:rsidP="00804EA8">
      <w:pPr>
        <w:spacing w:line="360" w:lineRule="auto"/>
        <w:ind w:left="720"/>
        <w:jc w:val="both"/>
        <w:rPr>
          <w:rFonts w:ascii="Arial" w:hAnsi="Arial"/>
          <w:rtl/>
        </w:rPr>
      </w:pPr>
      <w:r w:rsidRPr="00826122">
        <w:rPr>
          <w:rFonts w:ascii="Arial" w:hAnsi="Arial" w:hint="cs"/>
          <w:rtl/>
        </w:rPr>
        <w:t>באשר לנזק הקשור למעשה העבירה של הנאשמת- הנזק הישיר, העיקרי, מעבירות הסמים הקשות, הוא תוצאה של צריכתם.</w:t>
      </w:r>
      <w:r w:rsidRPr="00826122">
        <w:rPr>
          <w:rStyle w:val="a8"/>
          <w:rFonts w:hint="cs"/>
          <w:b/>
          <w:rtl/>
        </w:rPr>
        <w:t xml:space="preserve"> כאן, הסם נתפס ע"י המשטרה והוא לא הגיע לצרכנים. אולם, בהתחשב בכמות הסם ובסוגו, הנזק שהיה צפוי להיגרם </w:t>
      </w:r>
      <w:r w:rsidRPr="00826122">
        <w:rPr>
          <w:rFonts w:ascii="Arial" w:hAnsi="Arial" w:hint="cs"/>
          <w:rtl/>
        </w:rPr>
        <w:t>בהתפתחות הרגילה של הדברים,</w:t>
      </w:r>
      <w:r w:rsidRPr="00826122">
        <w:rPr>
          <w:rStyle w:val="a8"/>
          <w:rFonts w:hint="cs"/>
          <w:b/>
          <w:rtl/>
        </w:rPr>
        <w:t xml:space="preserve"> מהפצת הקוקאין, הוא רב וחמור</w:t>
      </w:r>
      <w:r w:rsidRPr="00826122">
        <w:rPr>
          <w:rFonts w:ascii="Arial" w:hAnsi="Arial" w:hint="cs"/>
          <w:rtl/>
        </w:rPr>
        <w:t>.</w:t>
      </w:r>
    </w:p>
    <w:p w14:paraId="5AC8604F" w14:textId="77777777" w:rsidR="00804EA8" w:rsidRPr="00826122" w:rsidRDefault="00804EA8" w:rsidP="00804EA8">
      <w:pPr>
        <w:spacing w:line="360" w:lineRule="auto"/>
        <w:ind w:left="720"/>
        <w:jc w:val="both"/>
        <w:rPr>
          <w:rFonts w:ascii="Arial" w:hAnsi="Arial"/>
          <w:rtl/>
        </w:rPr>
      </w:pPr>
      <w:r w:rsidRPr="00826122">
        <w:rPr>
          <w:rFonts w:ascii="Arial" w:hAnsi="Arial" w:hint="cs"/>
          <w:rtl/>
        </w:rPr>
        <w:t xml:space="preserve">  </w:t>
      </w:r>
    </w:p>
    <w:p w14:paraId="54239F4D" w14:textId="77777777" w:rsidR="00804EA8" w:rsidRPr="00826122" w:rsidRDefault="00804EA8" w:rsidP="00804EA8">
      <w:pPr>
        <w:spacing w:line="360" w:lineRule="auto"/>
        <w:ind w:left="720"/>
        <w:jc w:val="both"/>
        <w:rPr>
          <w:rFonts w:ascii="Arial" w:hAnsi="Arial"/>
          <w:rtl/>
        </w:rPr>
      </w:pPr>
      <w:r w:rsidRPr="00826122">
        <w:rPr>
          <w:rFonts w:ascii="Arial" w:hAnsi="Arial" w:hint="cs"/>
          <w:rtl/>
        </w:rPr>
        <w:t xml:space="preserve">עבירות הסמים החמורות מבוצעות, ככלל, לשם הפקת רווח כספי. יש להניח שכך היה גם כאן. </w:t>
      </w:r>
    </w:p>
    <w:p w14:paraId="75A321CA" w14:textId="77777777" w:rsidR="00804EA8" w:rsidRPr="00826122" w:rsidRDefault="00804EA8" w:rsidP="00804EA8">
      <w:pPr>
        <w:spacing w:line="360" w:lineRule="auto"/>
        <w:ind w:left="720"/>
        <w:jc w:val="both"/>
        <w:rPr>
          <w:rFonts w:ascii="Arial" w:hAnsi="Arial"/>
          <w:rtl/>
        </w:rPr>
      </w:pPr>
    </w:p>
    <w:p w14:paraId="0E5433E7" w14:textId="77777777" w:rsidR="00804EA8" w:rsidRPr="00826122" w:rsidRDefault="00804EA8" w:rsidP="00804EA8">
      <w:pPr>
        <w:spacing w:line="360" w:lineRule="auto"/>
        <w:ind w:left="720" w:hanging="720"/>
        <w:jc w:val="both"/>
        <w:rPr>
          <w:rFonts w:ascii="David" w:hAnsi="David"/>
          <w:rtl/>
        </w:rPr>
      </w:pPr>
      <w:r w:rsidRPr="00826122">
        <w:rPr>
          <w:rFonts w:hint="cs"/>
          <w:rtl/>
        </w:rPr>
        <w:t xml:space="preserve">11. </w:t>
      </w:r>
      <w:r w:rsidRPr="00826122">
        <w:rPr>
          <w:rFonts w:hint="cs"/>
          <w:rtl/>
        </w:rPr>
        <w:tab/>
        <w:t>בהתאם לצורך לקיים יחס הולם בין חומרת מעשה העבירה בנסיבותיו ומידת אשמו של הנאשם ובין העונש שיוטל, ובהתחשב בערכים החברתיים שנפגעו מביצוע העבירה, במידת הפגיעה בהם, במדיניות הענישה הנהוגה ובנסיבות הקשורות בביצוע העבירה, אני קובע כי מתחם העונש ההולם למעשה העבירה שביצעה הנאשמת הוא בין 3 ל-7 שנות מאסר בפועל.</w:t>
      </w:r>
    </w:p>
    <w:p w14:paraId="4F57DF96" w14:textId="77777777" w:rsidR="00804EA8" w:rsidRPr="00826122" w:rsidRDefault="00804EA8" w:rsidP="00804EA8">
      <w:pPr>
        <w:spacing w:line="360" w:lineRule="auto"/>
        <w:ind w:left="720" w:hanging="720"/>
        <w:jc w:val="both"/>
        <w:rPr>
          <w:rtl/>
        </w:rPr>
      </w:pPr>
    </w:p>
    <w:p w14:paraId="79295FF2" w14:textId="77777777" w:rsidR="00804EA8" w:rsidRPr="00826122" w:rsidRDefault="00804EA8" w:rsidP="00804EA8">
      <w:pPr>
        <w:spacing w:line="360" w:lineRule="auto"/>
        <w:ind w:left="720" w:hanging="720"/>
        <w:jc w:val="both"/>
        <w:rPr>
          <w:rtl/>
        </w:rPr>
      </w:pPr>
      <w:r w:rsidRPr="00826122">
        <w:rPr>
          <w:rFonts w:hint="cs"/>
          <w:rtl/>
        </w:rPr>
        <w:t>12.</w:t>
      </w:r>
      <w:r w:rsidRPr="00826122">
        <w:rPr>
          <w:rFonts w:hint="cs"/>
          <w:rtl/>
        </w:rPr>
        <w:tab/>
        <w:t xml:space="preserve">בגזירת עונשה של הנאשמת אני מביא בחשבון את גילה – כבת 45; את נסיבות חייה, כמתואר בתסקיר שירות המבחן; את הפגיעה הצפויה לה ממאסרה, הן בהתחשב במצבה הרפואי והן בהתחשב בכך שהגם שהיא אזרחית ישראל, היא תושבת רוסיה ואין לה משפחה בארץ; את הודאתה במיוחס לה – הגם שהסמים נתפסו על גופה ממש בנסיבות שקשה להתכחש להחזקתם; ואת העובדה כי אין לה עבר פלילי. </w:t>
      </w:r>
    </w:p>
    <w:p w14:paraId="4352BAAE" w14:textId="77777777" w:rsidR="00804EA8" w:rsidRPr="00826122" w:rsidRDefault="00804EA8" w:rsidP="00804EA8">
      <w:pPr>
        <w:spacing w:line="360" w:lineRule="auto"/>
        <w:ind w:left="720" w:hanging="720"/>
        <w:jc w:val="both"/>
        <w:rPr>
          <w:rtl/>
        </w:rPr>
      </w:pPr>
    </w:p>
    <w:p w14:paraId="57D0711D" w14:textId="77777777" w:rsidR="00804EA8" w:rsidRPr="00826122" w:rsidRDefault="00804EA8" w:rsidP="00804EA8">
      <w:pPr>
        <w:spacing w:line="360" w:lineRule="auto"/>
        <w:ind w:left="720" w:hanging="720"/>
        <w:jc w:val="both"/>
        <w:rPr>
          <w:rtl/>
        </w:rPr>
      </w:pPr>
      <w:r w:rsidRPr="00826122">
        <w:rPr>
          <w:rFonts w:hint="cs"/>
          <w:rtl/>
        </w:rPr>
        <w:t>13.</w:t>
      </w:r>
      <w:r w:rsidRPr="00826122">
        <w:rPr>
          <w:rFonts w:hint="cs"/>
          <w:rtl/>
        </w:rPr>
        <w:tab/>
        <w:t xml:space="preserve">מעשים כמעשה הנאשמת כרוכים בהפקת רווח כספי והסיכוי שהם יתגלו איננו גדול במיוחד. צירוף נתונים זה מהווה פיתוי המחייב העמדת הרתעה מולו. הדעת נותנת שענישה משמעותית תורמת להרתעה. </w:t>
      </w:r>
    </w:p>
    <w:p w14:paraId="72903F72" w14:textId="77777777" w:rsidR="00804EA8" w:rsidRPr="00826122" w:rsidRDefault="00804EA8" w:rsidP="00804EA8">
      <w:pPr>
        <w:spacing w:line="360" w:lineRule="auto"/>
        <w:ind w:left="720" w:hanging="720"/>
        <w:jc w:val="both"/>
        <w:rPr>
          <w:rtl/>
        </w:rPr>
      </w:pPr>
    </w:p>
    <w:p w14:paraId="22DEF76B" w14:textId="77777777" w:rsidR="00804EA8" w:rsidRPr="00826122" w:rsidRDefault="00804EA8" w:rsidP="00804EA8">
      <w:pPr>
        <w:spacing w:line="360" w:lineRule="auto"/>
        <w:ind w:left="720" w:hanging="720"/>
        <w:jc w:val="both"/>
        <w:rPr>
          <w:rtl/>
        </w:rPr>
      </w:pPr>
      <w:r w:rsidRPr="00826122">
        <w:rPr>
          <w:rFonts w:hint="cs"/>
          <w:rtl/>
        </w:rPr>
        <w:t>14.</w:t>
      </w:r>
      <w:r w:rsidRPr="00826122">
        <w:rPr>
          <w:rFonts w:hint="cs"/>
          <w:rtl/>
        </w:rPr>
        <w:tab/>
        <w:t xml:space="preserve">בסופו של דבר, העונש צריך להלום את חומרת המעשה בנסיבותיו ואת מידת אשמו של הנאשם. כאן, חומרת המעשה רבה ומידת האשם משמעותית. פרמטרים אלה מצדיקים להטיל על הנאשמת תקופת מאסר ארוכה מזו שתוטל עליה. תקופת המאסר שתיקבע לה מתחשבת בנסיבותיה המיוחדות – האישיות והרפואיות – ובמובן מסוים היא בבחינת לפנים משורת הדין. </w:t>
      </w:r>
    </w:p>
    <w:p w14:paraId="5EC69936" w14:textId="77777777" w:rsidR="00804EA8" w:rsidRPr="00826122" w:rsidRDefault="00804EA8" w:rsidP="00804EA8">
      <w:pPr>
        <w:spacing w:line="360" w:lineRule="auto"/>
        <w:ind w:left="720" w:hanging="720"/>
        <w:jc w:val="both"/>
        <w:rPr>
          <w:rtl/>
        </w:rPr>
      </w:pPr>
    </w:p>
    <w:p w14:paraId="03F0A88D" w14:textId="77777777" w:rsidR="00804EA8" w:rsidRPr="00826122" w:rsidRDefault="00804EA8" w:rsidP="00804EA8">
      <w:pPr>
        <w:spacing w:line="360" w:lineRule="auto"/>
        <w:jc w:val="both"/>
        <w:rPr>
          <w:rFonts w:ascii="FrankRuehl" w:hAnsi="FrankRuehl"/>
          <w:rtl/>
        </w:rPr>
      </w:pPr>
      <w:r w:rsidRPr="00826122">
        <w:rPr>
          <w:rFonts w:hint="cs"/>
          <w:rtl/>
        </w:rPr>
        <w:t>15.</w:t>
      </w:r>
      <w:r w:rsidRPr="00826122">
        <w:rPr>
          <w:rFonts w:hint="cs"/>
          <w:rtl/>
        </w:rPr>
        <w:tab/>
        <w:t xml:space="preserve">נוכח </w:t>
      </w:r>
      <w:r w:rsidRPr="00826122">
        <w:rPr>
          <w:rFonts w:ascii="FrankRuehl" w:hAnsi="FrankRuehl" w:hint="cs"/>
          <w:rtl/>
        </w:rPr>
        <w:t>כל האמור אני דן את הנאשמת לעונשים הבאים:</w:t>
      </w:r>
    </w:p>
    <w:p w14:paraId="427EED55" w14:textId="77777777" w:rsidR="00804EA8" w:rsidRPr="00826122" w:rsidRDefault="00804EA8" w:rsidP="00804EA8">
      <w:pPr>
        <w:spacing w:line="360" w:lineRule="auto"/>
        <w:jc w:val="both"/>
        <w:rPr>
          <w:rFonts w:ascii="FrankRuehl" w:hAnsi="FrankRuehl"/>
          <w:rtl/>
        </w:rPr>
      </w:pPr>
    </w:p>
    <w:p w14:paraId="1A63B3FE" w14:textId="77777777" w:rsidR="00804EA8" w:rsidRPr="00826122" w:rsidRDefault="00804EA8" w:rsidP="00804EA8">
      <w:pPr>
        <w:spacing w:line="360" w:lineRule="auto"/>
        <w:ind w:firstLine="720"/>
        <w:jc w:val="both"/>
        <w:rPr>
          <w:rFonts w:ascii="FrankRuehl" w:hAnsi="FrankRuehl"/>
          <w:rtl/>
        </w:rPr>
      </w:pPr>
      <w:r w:rsidRPr="00826122">
        <w:rPr>
          <w:rFonts w:ascii="FrankRuehl" w:hAnsi="FrankRuehl" w:hint="cs"/>
          <w:rtl/>
        </w:rPr>
        <w:t xml:space="preserve">א. </w:t>
      </w:r>
      <w:r w:rsidRPr="00826122">
        <w:rPr>
          <w:rFonts w:ascii="FrankRuehl" w:hAnsi="FrankRuehl" w:hint="cs"/>
          <w:rtl/>
        </w:rPr>
        <w:tab/>
        <w:t>4 שנות מאסר בפועל, מיום מעצרה .</w:t>
      </w:r>
    </w:p>
    <w:p w14:paraId="7DFCD024" w14:textId="77777777" w:rsidR="00804EA8" w:rsidRPr="00826122" w:rsidRDefault="00804EA8" w:rsidP="00804EA8">
      <w:pPr>
        <w:spacing w:line="360" w:lineRule="auto"/>
        <w:ind w:left="1440" w:hanging="720"/>
        <w:jc w:val="both"/>
        <w:rPr>
          <w:rFonts w:ascii="Calibri" w:hAnsi="Calibri"/>
          <w:rtl/>
        </w:rPr>
      </w:pPr>
      <w:r w:rsidRPr="00826122">
        <w:rPr>
          <w:rFonts w:ascii="FrankRuehl" w:hAnsi="FrankRuehl" w:hint="cs"/>
          <w:rtl/>
        </w:rPr>
        <w:t xml:space="preserve">ב. </w:t>
      </w:r>
      <w:r w:rsidRPr="00826122">
        <w:rPr>
          <w:rFonts w:ascii="FrankRuehl" w:hAnsi="FrankRuehl" w:hint="cs"/>
          <w:rtl/>
        </w:rPr>
        <w:tab/>
        <w:t>12 חודשי מאסר על תנאי למשך 3 שנים מיום שחרורה מהמאסר, שלא תעבור עבירת סמים שהיא פשע.</w:t>
      </w:r>
      <w:r w:rsidRPr="00826122">
        <w:rPr>
          <w:rFonts w:ascii="Calibri" w:hAnsi="Calibri" w:hint="cs"/>
          <w:rtl/>
        </w:rPr>
        <w:t xml:space="preserve"> </w:t>
      </w:r>
    </w:p>
    <w:p w14:paraId="66C9F01C" w14:textId="77777777" w:rsidR="00804EA8" w:rsidRPr="00826122" w:rsidRDefault="00804EA8" w:rsidP="00804EA8">
      <w:pPr>
        <w:spacing w:line="360" w:lineRule="auto"/>
        <w:ind w:left="1440" w:hanging="720"/>
        <w:jc w:val="both"/>
        <w:rPr>
          <w:rFonts w:ascii="David" w:hAnsi="David"/>
          <w:rtl/>
        </w:rPr>
      </w:pPr>
      <w:r w:rsidRPr="00826122">
        <w:rPr>
          <w:rFonts w:ascii="Calibri" w:hAnsi="Calibri" w:hint="cs"/>
          <w:rtl/>
        </w:rPr>
        <w:t>ג.</w:t>
      </w:r>
      <w:r w:rsidRPr="00826122">
        <w:rPr>
          <w:rFonts w:ascii="Calibri" w:hAnsi="Calibri" w:hint="cs"/>
          <w:rtl/>
        </w:rPr>
        <w:tab/>
        <w:t xml:space="preserve">קנס בסך 10,000₪ או חודש מאסר תחתיו. </w:t>
      </w:r>
    </w:p>
    <w:p w14:paraId="6C0D45E6" w14:textId="77777777" w:rsidR="00804EA8" w:rsidRPr="00826122" w:rsidRDefault="00804EA8" w:rsidP="00804EA8">
      <w:pPr>
        <w:spacing w:line="360" w:lineRule="auto"/>
        <w:jc w:val="both"/>
        <w:rPr>
          <w:rtl/>
        </w:rPr>
      </w:pPr>
    </w:p>
    <w:p w14:paraId="543F7FB1" w14:textId="77777777" w:rsidR="00804EA8" w:rsidRPr="005528C6" w:rsidRDefault="005528C6" w:rsidP="00804EA8">
      <w:pPr>
        <w:spacing w:line="360" w:lineRule="auto"/>
        <w:jc w:val="both"/>
        <w:rPr>
          <w:color w:val="FFFFFF"/>
          <w:sz w:val="2"/>
          <w:szCs w:val="2"/>
          <w:rtl/>
        </w:rPr>
      </w:pPr>
      <w:r w:rsidRPr="005528C6">
        <w:rPr>
          <w:color w:val="FFFFFF"/>
          <w:sz w:val="2"/>
          <w:szCs w:val="2"/>
          <w:rtl/>
        </w:rPr>
        <w:t>5129371</w:t>
      </w:r>
    </w:p>
    <w:p w14:paraId="23127BF3" w14:textId="77777777" w:rsidR="00804EA8" w:rsidRPr="00826122" w:rsidRDefault="005528C6" w:rsidP="00804EA8">
      <w:pPr>
        <w:spacing w:line="360" w:lineRule="auto"/>
        <w:jc w:val="both"/>
        <w:rPr>
          <w:b/>
          <w:bCs/>
          <w:rtl/>
        </w:rPr>
      </w:pPr>
      <w:r w:rsidRPr="005528C6">
        <w:rPr>
          <w:b/>
          <w:bCs/>
          <w:color w:val="FFFFFF"/>
          <w:sz w:val="2"/>
          <w:szCs w:val="2"/>
          <w:rtl/>
        </w:rPr>
        <w:t>54678313</w:t>
      </w:r>
      <w:r w:rsidR="00804EA8" w:rsidRPr="00826122">
        <w:rPr>
          <w:rFonts w:hint="cs"/>
          <w:b/>
          <w:bCs/>
          <w:rtl/>
        </w:rPr>
        <w:t>זכות ערעור תוך 45 יום.</w:t>
      </w:r>
    </w:p>
    <w:p w14:paraId="1729DA2B" w14:textId="77777777" w:rsidR="00804EA8" w:rsidRPr="00826122" w:rsidRDefault="00804EA8" w:rsidP="00804EA8">
      <w:pPr>
        <w:spacing w:line="360" w:lineRule="auto"/>
        <w:rPr>
          <w:rtl/>
        </w:rPr>
      </w:pPr>
    </w:p>
    <w:p w14:paraId="3BA362A3" w14:textId="77777777" w:rsidR="00804EA8" w:rsidRPr="00826122" w:rsidRDefault="005528C6" w:rsidP="00804EA8">
      <w:pPr>
        <w:spacing w:line="360" w:lineRule="auto"/>
        <w:rPr>
          <w:rtl/>
        </w:rPr>
      </w:pPr>
      <w:r>
        <w:rPr>
          <w:rFonts w:ascii="Arial" w:hAnsi="Arial"/>
          <w:rtl/>
        </w:rPr>
        <w:t xml:space="preserve">ניתן היום,  כ"ג אייר תשע"ח, 08 מאי 2018, בהעדר הצדדים. </w:t>
      </w:r>
    </w:p>
    <w:p w14:paraId="060BD7D7" w14:textId="77777777" w:rsidR="00804EA8" w:rsidRPr="00826122" w:rsidRDefault="00804EA8" w:rsidP="00804EA8">
      <w:pPr>
        <w:spacing w:line="360" w:lineRule="auto"/>
        <w:jc w:val="center"/>
      </w:pPr>
      <w:r w:rsidRPr="00826122">
        <w:rPr>
          <w:rFonts w:hint="cs"/>
          <w:rtl/>
        </w:rPr>
        <w:t xml:space="preserve">   </w:t>
      </w:r>
      <w:r w:rsidRPr="00826122">
        <w:rPr>
          <w:rFonts w:hint="cs"/>
          <w:rtl/>
        </w:rPr>
        <w:tab/>
      </w:r>
      <w:r w:rsidRPr="00826122">
        <w:rPr>
          <w:rFonts w:hint="cs"/>
          <w:rtl/>
        </w:rPr>
        <w:tab/>
      </w:r>
      <w:r w:rsidRPr="00826122">
        <w:rPr>
          <w:rFonts w:hint="cs"/>
          <w:rtl/>
        </w:rPr>
        <w:tab/>
      </w:r>
      <w:r w:rsidRPr="00826122">
        <w:rPr>
          <w:rFonts w:hint="cs"/>
          <w:rtl/>
        </w:rPr>
        <w:tab/>
      </w:r>
      <w:r w:rsidRPr="00826122">
        <w:rPr>
          <w:rFonts w:hint="cs"/>
          <w:rtl/>
        </w:rPr>
        <w:tab/>
      </w:r>
      <w:r>
        <w:rPr>
          <w:rtl/>
        </w:rPr>
        <w:t xml:space="preserve">     </w:t>
      </w:r>
    </w:p>
    <w:p w14:paraId="0F6417AB" w14:textId="77777777" w:rsidR="00804EA8" w:rsidRPr="00826122" w:rsidRDefault="00804EA8" w:rsidP="00804EA8">
      <w:pPr>
        <w:spacing w:line="360" w:lineRule="auto"/>
        <w:jc w:val="center"/>
        <w:rPr>
          <w:rFonts w:ascii="Arial" w:hAnsi="Arial"/>
          <w:rtl/>
        </w:rPr>
      </w:pPr>
    </w:p>
    <w:p w14:paraId="0DECB651" w14:textId="77777777" w:rsidR="002D7B2F" w:rsidRPr="005528C6" w:rsidRDefault="002D7B2F" w:rsidP="005528C6">
      <w:pPr>
        <w:keepNext/>
        <w:rPr>
          <w:rFonts w:ascii="David" w:hAnsi="David"/>
          <w:color w:val="000000"/>
          <w:sz w:val="22"/>
          <w:szCs w:val="22"/>
          <w:rtl/>
        </w:rPr>
      </w:pPr>
    </w:p>
    <w:p w14:paraId="4D1B07EF" w14:textId="77777777" w:rsidR="005528C6" w:rsidRPr="005528C6" w:rsidRDefault="005528C6" w:rsidP="005528C6">
      <w:pPr>
        <w:keepNext/>
        <w:rPr>
          <w:rFonts w:ascii="David" w:hAnsi="David"/>
          <w:color w:val="000000"/>
          <w:sz w:val="22"/>
          <w:szCs w:val="22"/>
          <w:rtl/>
        </w:rPr>
      </w:pPr>
      <w:r w:rsidRPr="005528C6">
        <w:rPr>
          <w:rFonts w:ascii="David" w:hAnsi="David"/>
          <w:color w:val="000000"/>
          <w:sz w:val="22"/>
          <w:szCs w:val="22"/>
          <w:rtl/>
        </w:rPr>
        <w:t>אליהו ביתן 54678313</w:t>
      </w:r>
    </w:p>
    <w:p w14:paraId="210C32BE" w14:textId="77777777" w:rsidR="005528C6" w:rsidRDefault="005528C6" w:rsidP="005528C6">
      <w:r w:rsidRPr="005528C6">
        <w:rPr>
          <w:color w:val="000000"/>
          <w:rtl/>
        </w:rPr>
        <w:t>נוסח מסמך זה כפוף לשינויי ניסוח ועריכה</w:t>
      </w:r>
    </w:p>
    <w:p w14:paraId="6C037179" w14:textId="77777777" w:rsidR="005528C6" w:rsidRDefault="005528C6" w:rsidP="005528C6">
      <w:pPr>
        <w:rPr>
          <w:rtl/>
        </w:rPr>
      </w:pPr>
    </w:p>
    <w:p w14:paraId="5B250F9D" w14:textId="77777777" w:rsidR="005528C6" w:rsidRDefault="005528C6" w:rsidP="005528C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7D4E02A" w14:textId="77777777" w:rsidR="005528C6" w:rsidRPr="005528C6" w:rsidRDefault="005528C6" w:rsidP="005528C6">
      <w:pPr>
        <w:jc w:val="center"/>
        <w:rPr>
          <w:color w:val="0000FF"/>
          <w:u w:val="single"/>
        </w:rPr>
      </w:pPr>
    </w:p>
    <w:sectPr w:rsidR="005528C6" w:rsidRPr="005528C6" w:rsidSect="005528C6">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922A7" w14:textId="77777777" w:rsidR="004B36C6" w:rsidRDefault="004B36C6" w:rsidP="003175DA">
      <w:r>
        <w:separator/>
      </w:r>
    </w:p>
  </w:endnote>
  <w:endnote w:type="continuationSeparator" w:id="0">
    <w:p w14:paraId="4C2BBA4F" w14:textId="77777777" w:rsidR="004B36C6" w:rsidRDefault="004B36C6" w:rsidP="0031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AE1D" w14:textId="77777777" w:rsidR="005528C6" w:rsidRDefault="005528C6" w:rsidP="005528C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6898A0" w14:textId="77777777" w:rsidR="008C602E" w:rsidRPr="005528C6" w:rsidRDefault="005528C6" w:rsidP="005528C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2A1C8" w14:textId="77777777" w:rsidR="005528C6" w:rsidRDefault="005528C6" w:rsidP="005528C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0FFA">
      <w:rPr>
        <w:rFonts w:ascii="FrankRuehl" w:hAnsi="FrankRuehl" w:cs="FrankRuehl"/>
        <w:noProof/>
        <w:rtl/>
      </w:rPr>
      <w:t>1</w:t>
    </w:r>
    <w:r>
      <w:rPr>
        <w:rFonts w:ascii="FrankRuehl" w:hAnsi="FrankRuehl" w:cs="FrankRuehl"/>
        <w:rtl/>
      </w:rPr>
      <w:fldChar w:fldCharType="end"/>
    </w:r>
  </w:p>
  <w:p w14:paraId="0D2551D2" w14:textId="77777777" w:rsidR="008C602E" w:rsidRPr="005528C6" w:rsidRDefault="005528C6" w:rsidP="005528C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EDB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71DD1" w14:textId="77777777" w:rsidR="004B36C6" w:rsidRDefault="004B36C6" w:rsidP="003175DA">
      <w:r>
        <w:separator/>
      </w:r>
    </w:p>
  </w:footnote>
  <w:footnote w:type="continuationSeparator" w:id="0">
    <w:p w14:paraId="016140F7" w14:textId="77777777" w:rsidR="004B36C6" w:rsidRDefault="004B36C6" w:rsidP="00317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C3999" w14:textId="77777777" w:rsidR="005528C6" w:rsidRPr="005528C6" w:rsidRDefault="005528C6" w:rsidP="005528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2599-09-17</w:t>
    </w:r>
    <w:r>
      <w:rPr>
        <w:rFonts w:ascii="David" w:hAnsi="David"/>
        <w:color w:val="000000"/>
        <w:sz w:val="22"/>
        <w:szCs w:val="22"/>
        <w:rtl/>
      </w:rPr>
      <w:tab/>
      <w:t xml:space="preserve"> מדינת ישראל נ' אולגה יונייבה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55AEF" w14:textId="77777777" w:rsidR="005528C6" w:rsidRPr="005528C6" w:rsidRDefault="005528C6" w:rsidP="005528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2599-09-17</w:t>
    </w:r>
    <w:r>
      <w:rPr>
        <w:rFonts w:ascii="David" w:hAnsi="David"/>
        <w:color w:val="000000"/>
        <w:sz w:val="22"/>
        <w:szCs w:val="22"/>
        <w:rtl/>
      </w:rPr>
      <w:tab/>
      <w:t xml:space="preserve"> מדינת ישראל נ' אולגה יונייבה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4EA8"/>
    <w:rsid w:val="002D7B2F"/>
    <w:rsid w:val="003175DA"/>
    <w:rsid w:val="00333DEA"/>
    <w:rsid w:val="004341F5"/>
    <w:rsid w:val="004B36C6"/>
    <w:rsid w:val="005528C6"/>
    <w:rsid w:val="006508E1"/>
    <w:rsid w:val="00804EA8"/>
    <w:rsid w:val="008C602E"/>
    <w:rsid w:val="009A2BEE"/>
    <w:rsid w:val="00A10DE5"/>
    <w:rsid w:val="00BA16A0"/>
    <w:rsid w:val="00F60F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AFBEBAD"/>
  <w15:chartTrackingRefBased/>
  <w15:docId w15:val="{28D37101-DD69-436E-B687-F0895364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4EA8"/>
    <w:pPr>
      <w:bidi/>
    </w:pPr>
    <w:rPr>
      <w:rFonts w:ascii="Times New Roman" w:eastAsia="Times New Roman" w:hAnsi="Times New Roman" w:cs="David"/>
      <w:sz w:val="24"/>
      <w:szCs w:val="24"/>
    </w:rPr>
  </w:style>
  <w:style w:type="paragraph" w:styleId="1">
    <w:name w:val="heading 1"/>
    <w:basedOn w:val="a"/>
    <w:next w:val="a"/>
    <w:link w:val="10"/>
    <w:qFormat/>
    <w:rsid w:val="00804EA8"/>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04EA8"/>
    <w:rPr>
      <w:rFonts w:ascii="Arial" w:eastAsia="Times New Roman" w:hAnsi="Arial" w:cs="Arial"/>
      <w:b/>
      <w:bCs/>
      <w:kern w:val="32"/>
      <w:sz w:val="32"/>
      <w:szCs w:val="32"/>
    </w:rPr>
  </w:style>
  <w:style w:type="paragraph" w:styleId="a3">
    <w:name w:val="header"/>
    <w:basedOn w:val="a"/>
    <w:link w:val="a4"/>
    <w:rsid w:val="00804EA8"/>
    <w:pPr>
      <w:tabs>
        <w:tab w:val="center" w:pos="4153"/>
        <w:tab w:val="right" w:pos="8306"/>
      </w:tabs>
    </w:pPr>
  </w:style>
  <w:style w:type="character" w:customStyle="1" w:styleId="a4">
    <w:name w:val="כותרת עליונה תו"/>
    <w:link w:val="a3"/>
    <w:rsid w:val="00804EA8"/>
    <w:rPr>
      <w:rFonts w:ascii="Times New Roman" w:eastAsia="Times New Roman" w:hAnsi="Times New Roman" w:cs="David"/>
      <w:sz w:val="24"/>
      <w:szCs w:val="24"/>
    </w:rPr>
  </w:style>
  <w:style w:type="paragraph" w:styleId="a5">
    <w:name w:val="footer"/>
    <w:basedOn w:val="a"/>
    <w:link w:val="a6"/>
    <w:rsid w:val="00804EA8"/>
    <w:pPr>
      <w:tabs>
        <w:tab w:val="center" w:pos="4153"/>
        <w:tab w:val="right" w:pos="8306"/>
      </w:tabs>
    </w:pPr>
  </w:style>
  <w:style w:type="character" w:customStyle="1" w:styleId="a6">
    <w:name w:val="כותרת תחתונה תו"/>
    <w:link w:val="a5"/>
    <w:rsid w:val="00804EA8"/>
    <w:rPr>
      <w:rFonts w:ascii="Times New Roman" w:eastAsia="Times New Roman" w:hAnsi="Times New Roman" w:cs="David"/>
      <w:sz w:val="24"/>
      <w:szCs w:val="24"/>
    </w:rPr>
  </w:style>
  <w:style w:type="table" w:styleId="a7">
    <w:name w:val="Table Grid"/>
    <w:basedOn w:val="a1"/>
    <w:rsid w:val="00804E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04EA8"/>
  </w:style>
  <w:style w:type="character" w:styleId="Hyperlink">
    <w:name w:val="Hyperlink"/>
    <w:rsid w:val="00804EA8"/>
    <w:rPr>
      <w:rFonts w:ascii="Times New Roman" w:hAnsi="Times New Roman" w:cs="Times New Roman" w:hint="default"/>
      <w:color w:val="0000FF"/>
      <w:u w:val="single"/>
    </w:rPr>
  </w:style>
  <w:style w:type="paragraph" w:styleId="a9">
    <w:name w:val="Body Text Indent"/>
    <w:basedOn w:val="a"/>
    <w:link w:val="aa"/>
    <w:rsid w:val="00804EA8"/>
    <w:pPr>
      <w:spacing w:line="360" w:lineRule="auto"/>
      <w:ind w:left="720" w:hanging="720"/>
    </w:pPr>
    <w:rPr>
      <w:rFonts w:cs="FrankRuehl"/>
      <w:szCs w:val="28"/>
      <w:lang w:eastAsia="he-IL"/>
    </w:rPr>
  </w:style>
  <w:style w:type="character" w:customStyle="1" w:styleId="aa">
    <w:name w:val="כניסה בגוף טקסט תו"/>
    <w:link w:val="a9"/>
    <w:rsid w:val="00804EA8"/>
    <w:rPr>
      <w:rFonts w:ascii="Times New Roman" w:eastAsia="Times New Roman" w:hAnsi="Times New Roman" w:cs="FrankRuehl"/>
      <w:sz w:val="24"/>
      <w:szCs w:val="28"/>
      <w:lang w:eastAsia="he-IL"/>
    </w:rPr>
  </w:style>
  <w:style w:type="paragraph" w:styleId="ab">
    <w:name w:val="No Spacing"/>
    <w:qFormat/>
    <w:rsid w:val="00804EA8"/>
    <w:pPr>
      <w:bidi/>
    </w:pPr>
    <w:rPr>
      <w:rFonts w:ascii="Times New Roman" w:eastAsia="Times New Roman" w:hAnsi="Times New Roman" w:cs="FrankRuehl"/>
      <w:sz w:val="24"/>
      <w:szCs w:val="28"/>
      <w:lang w:eastAsia="he-IL"/>
    </w:rPr>
  </w:style>
  <w:style w:type="paragraph" w:customStyle="1" w:styleId="ac">
    <w:name w:val="כללי"/>
    <w:basedOn w:val="a"/>
    <w:rsid w:val="00804EA8"/>
    <w:pPr>
      <w:overflowPunct w:val="0"/>
      <w:autoSpaceDE w:val="0"/>
      <w:autoSpaceDN w:val="0"/>
      <w:adjustRightInd w:val="0"/>
      <w:spacing w:after="240" w:line="284" w:lineRule="exact"/>
      <w:ind w:firstLine="284"/>
      <w:jc w:val="both"/>
    </w:pPr>
    <w:rPr>
      <w:rFonts w:cs="FrankRuehl"/>
      <w:sz w:val="20"/>
      <w:lang w:eastAsia="he-IL"/>
    </w:rPr>
  </w:style>
  <w:style w:type="character" w:styleId="ad">
    <w:name w:val="Unresolved Mention"/>
    <w:rsid w:val="005528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0412551" TargetMode="External"/><Relationship Id="rId39" Type="http://schemas.openxmlformats.org/officeDocument/2006/relationships/theme" Target="theme/theme1.xml"/><Relationship Id="rId21" Type="http://schemas.openxmlformats.org/officeDocument/2006/relationships/hyperlink" Target="http://www.nevo.co.il/case/7980171" TargetMode="External"/><Relationship Id="rId34" Type="http://schemas.openxmlformats.org/officeDocument/2006/relationships/header" Target="header1.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1066819" TargetMode="External"/><Relationship Id="rId25" Type="http://schemas.openxmlformats.org/officeDocument/2006/relationships/hyperlink" Target="http://www.nevo.co.il/case/5726579"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2505524" TargetMode="External"/><Relationship Id="rId20" Type="http://schemas.openxmlformats.org/officeDocument/2006/relationships/hyperlink" Target="http://www.nevo.co.il/case/21472796" TargetMode="External"/><Relationship Id="rId29" Type="http://schemas.openxmlformats.org/officeDocument/2006/relationships/hyperlink" Target="http://www.nevo.co.il/case/6180833"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24" Type="http://schemas.openxmlformats.org/officeDocument/2006/relationships/hyperlink" Target="http://www.nevo.co.il/case/20245898" TargetMode="External"/><Relationship Id="rId32" Type="http://schemas.openxmlformats.org/officeDocument/2006/relationships/hyperlink" Target="http://www.nevo.co.il/case/12063973"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5988308" TargetMode="External"/><Relationship Id="rId23" Type="http://schemas.openxmlformats.org/officeDocument/2006/relationships/hyperlink" Target="http://www.nevo.co.il/case/20371632" TargetMode="External"/><Relationship Id="rId28" Type="http://schemas.openxmlformats.org/officeDocument/2006/relationships/hyperlink" Target="http://www.nevo.co.il/case/5590128" TargetMode="External"/><Relationship Id="rId36" Type="http://schemas.openxmlformats.org/officeDocument/2006/relationships/footer" Target="footer1.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7912837"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5786821" TargetMode="External"/><Relationship Id="rId22" Type="http://schemas.openxmlformats.org/officeDocument/2006/relationships/hyperlink" Target="http://www.nevo.co.il/case/6987521" TargetMode="External"/><Relationship Id="rId27" Type="http://schemas.openxmlformats.org/officeDocument/2006/relationships/hyperlink" Target="http://www.nevo.co.il/case/18753213" TargetMode="External"/><Relationship Id="rId30" Type="http://schemas.openxmlformats.org/officeDocument/2006/relationships/hyperlink" Target="http://www.nevo.co.il/case/17927691" TargetMode="External"/><Relationship Id="rId35" Type="http://schemas.openxmlformats.org/officeDocument/2006/relationships/header" Target="header2.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2759</Words>
  <Characters>13797</Characters>
  <Application>Microsoft Office Word</Application>
  <DocSecurity>0</DocSecurity>
  <Lines>114</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16523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3473529</vt:i4>
      </vt:variant>
      <vt:variant>
        <vt:i4>78</vt:i4>
      </vt:variant>
      <vt:variant>
        <vt:i4>0</vt:i4>
      </vt:variant>
      <vt:variant>
        <vt:i4>5</vt:i4>
      </vt:variant>
      <vt:variant>
        <vt:lpwstr>http://www.nevo.co.il/case/12063973</vt:lpwstr>
      </vt:variant>
      <vt:variant>
        <vt:lpwstr/>
      </vt:variant>
      <vt:variant>
        <vt:i4>3735674</vt:i4>
      </vt:variant>
      <vt:variant>
        <vt:i4>75</vt:i4>
      </vt:variant>
      <vt:variant>
        <vt:i4>0</vt:i4>
      </vt:variant>
      <vt:variant>
        <vt:i4>5</vt:i4>
      </vt:variant>
      <vt:variant>
        <vt:lpwstr>http://www.nevo.co.il/case/17912837</vt:lpwstr>
      </vt:variant>
      <vt:variant>
        <vt:lpwstr/>
      </vt:variant>
      <vt:variant>
        <vt:i4>3539063</vt:i4>
      </vt:variant>
      <vt:variant>
        <vt:i4>72</vt:i4>
      </vt:variant>
      <vt:variant>
        <vt:i4>0</vt:i4>
      </vt:variant>
      <vt:variant>
        <vt:i4>5</vt:i4>
      </vt:variant>
      <vt:variant>
        <vt:lpwstr>http://www.nevo.co.il/case/17927691</vt:lpwstr>
      </vt:variant>
      <vt:variant>
        <vt:lpwstr/>
      </vt:variant>
      <vt:variant>
        <vt:i4>3473526</vt:i4>
      </vt:variant>
      <vt:variant>
        <vt:i4>69</vt:i4>
      </vt:variant>
      <vt:variant>
        <vt:i4>0</vt:i4>
      </vt:variant>
      <vt:variant>
        <vt:i4>5</vt:i4>
      </vt:variant>
      <vt:variant>
        <vt:lpwstr>http://www.nevo.co.il/case/6180833</vt:lpwstr>
      </vt:variant>
      <vt:variant>
        <vt:lpwstr/>
      </vt:variant>
      <vt:variant>
        <vt:i4>3473523</vt:i4>
      </vt:variant>
      <vt:variant>
        <vt:i4>66</vt:i4>
      </vt:variant>
      <vt:variant>
        <vt:i4>0</vt:i4>
      </vt:variant>
      <vt:variant>
        <vt:i4>5</vt:i4>
      </vt:variant>
      <vt:variant>
        <vt:lpwstr>http://www.nevo.co.il/case/5590128</vt:lpwstr>
      </vt:variant>
      <vt:variant>
        <vt:lpwstr/>
      </vt:variant>
      <vt:variant>
        <vt:i4>3407995</vt:i4>
      </vt:variant>
      <vt:variant>
        <vt:i4>63</vt:i4>
      </vt:variant>
      <vt:variant>
        <vt:i4>0</vt:i4>
      </vt:variant>
      <vt:variant>
        <vt:i4>5</vt:i4>
      </vt:variant>
      <vt:variant>
        <vt:lpwstr>http://www.nevo.co.il/case/18753213</vt:lpwstr>
      </vt:variant>
      <vt:variant>
        <vt:lpwstr/>
      </vt:variant>
      <vt:variant>
        <vt:i4>3211376</vt:i4>
      </vt:variant>
      <vt:variant>
        <vt:i4>60</vt:i4>
      </vt:variant>
      <vt:variant>
        <vt:i4>0</vt:i4>
      </vt:variant>
      <vt:variant>
        <vt:i4>5</vt:i4>
      </vt:variant>
      <vt:variant>
        <vt:lpwstr>http://www.nevo.co.il/case/20412551</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3932280</vt:i4>
      </vt:variant>
      <vt:variant>
        <vt:i4>54</vt:i4>
      </vt:variant>
      <vt:variant>
        <vt:i4>0</vt:i4>
      </vt:variant>
      <vt:variant>
        <vt:i4>5</vt:i4>
      </vt:variant>
      <vt:variant>
        <vt:lpwstr>http://www.nevo.co.il/case/20245898</vt:lpwstr>
      </vt:variant>
      <vt:variant>
        <vt:lpwstr/>
      </vt:variant>
      <vt:variant>
        <vt:i4>3342453</vt:i4>
      </vt:variant>
      <vt:variant>
        <vt:i4>51</vt:i4>
      </vt:variant>
      <vt:variant>
        <vt:i4>0</vt:i4>
      </vt:variant>
      <vt:variant>
        <vt:i4>5</vt:i4>
      </vt:variant>
      <vt:variant>
        <vt:lpwstr>http://www.nevo.co.il/case/20371632</vt:lpwstr>
      </vt:variant>
      <vt:variant>
        <vt:lpwstr/>
      </vt:variant>
      <vt:variant>
        <vt:i4>3801208</vt:i4>
      </vt:variant>
      <vt:variant>
        <vt:i4>48</vt:i4>
      </vt:variant>
      <vt:variant>
        <vt:i4>0</vt:i4>
      </vt:variant>
      <vt:variant>
        <vt:i4>5</vt:i4>
      </vt:variant>
      <vt:variant>
        <vt:lpwstr>http://www.nevo.co.il/case/6987521</vt:lpwstr>
      </vt:variant>
      <vt:variant>
        <vt:lpwstr/>
      </vt:variant>
      <vt:variant>
        <vt:i4>4128890</vt:i4>
      </vt:variant>
      <vt:variant>
        <vt:i4>45</vt:i4>
      </vt:variant>
      <vt:variant>
        <vt:i4>0</vt:i4>
      </vt:variant>
      <vt:variant>
        <vt:i4>5</vt:i4>
      </vt:variant>
      <vt:variant>
        <vt:lpwstr>http://www.nevo.co.il/case/7980171</vt:lpwstr>
      </vt:variant>
      <vt:variant>
        <vt:lpwstr/>
      </vt:variant>
      <vt:variant>
        <vt:i4>3997813</vt:i4>
      </vt:variant>
      <vt:variant>
        <vt:i4>42</vt:i4>
      </vt:variant>
      <vt:variant>
        <vt:i4>0</vt:i4>
      </vt:variant>
      <vt:variant>
        <vt:i4>5</vt:i4>
      </vt:variant>
      <vt:variant>
        <vt:lpwstr>http://www.nevo.co.il/case/21472796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3473531</vt:i4>
      </vt:variant>
      <vt:variant>
        <vt:i4>33</vt:i4>
      </vt:variant>
      <vt:variant>
        <vt:i4>0</vt:i4>
      </vt:variant>
      <vt:variant>
        <vt:i4>5</vt:i4>
      </vt:variant>
      <vt:variant>
        <vt:lpwstr>http://www.nevo.co.il/case/21066819</vt:lpwstr>
      </vt:variant>
      <vt:variant>
        <vt:lpwstr/>
      </vt:variant>
      <vt:variant>
        <vt:i4>3145843</vt:i4>
      </vt:variant>
      <vt:variant>
        <vt:i4>30</vt:i4>
      </vt:variant>
      <vt:variant>
        <vt:i4>0</vt:i4>
      </vt:variant>
      <vt:variant>
        <vt:i4>5</vt:i4>
      </vt:variant>
      <vt:variant>
        <vt:lpwstr>http://www.nevo.co.il/case/22505524</vt:lpwstr>
      </vt:variant>
      <vt:variant>
        <vt:lpwstr/>
      </vt:variant>
      <vt:variant>
        <vt:i4>3539061</vt:i4>
      </vt:variant>
      <vt:variant>
        <vt:i4>27</vt:i4>
      </vt:variant>
      <vt:variant>
        <vt:i4>0</vt:i4>
      </vt:variant>
      <vt:variant>
        <vt:i4>5</vt:i4>
      </vt:variant>
      <vt:variant>
        <vt:lpwstr>http://www.nevo.co.il/case/5988308</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2599</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אולגה יונייבה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20180508</vt:lpwstr>
  </property>
  <property fmtid="{D5CDD505-2E9C-101B-9397-08002B2CF9AE}" pid="13" name="TYPE_N_DATE">
    <vt:lpwstr>39020180508</vt:lpwstr>
  </property>
  <property fmtid="{D5CDD505-2E9C-101B-9397-08002B2CF9AE}" pid="14" name="WORDNUMPAGES">
    <vt:lpwstr>9</vt:lpwstr>
  </property>
  <property fmtid="{D5CDD505-2E9C-101B-9397-08002B2CF9AE}" pid="15" name="TYPE_ABS_DATE">
    <vt:lpwstr>390020180508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5786821;5988308;22505524;21066819;21472796;7980171;6987521;20371632;20245898;5726579;20412551;18753213;5590128;6180833;17927691;17912837;12063973</vt:lpwstr>
  </property>
  <property fmtid="{D5CDD505-2E9C-101B-9397-08002B2CF9AE}" pid="36" name="LAWLISTTMP1">
    <vt:lpwstr>4216/007.a;007.c</vt:lpwstr>
  </property>
  <property fmtid="{D5CDD505-2E9C-101B-9397-08002B2CF9AE}" pid="37" name="LAWLISTTMP2">
    <vt:lpwstr>70301/040i</vt:lpwstr>
  </property>
</Properties>
</file>