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4"/>
        <w:gridCol w:w="2271"/>
      </w:tblGrid>
      <w:tr w:rsidR="009A71EA" w:rsidRPr="00A57F73" w14:paraId="4E97C88A" w14:textId="77777777" w:rsidTr="00AE3A5D">
        <w:trPr>
          <w:trHeight w:hRule="exact" w:val="418"/>
          <w:jc w:val="center"/>
        </w:trPr>
        <w:tc>
          <w:tcPr>
            <w:tcW w:w="8505" w:type="dxa"/>
            <w:gridSpan w:val="2"/>
          </w:tcPr>
          <w:p w14:paraId="331BDA70" w14:textId="77777777" w:rsidR="009A71EA" w:rsidRPr="00A57F73" w:rsidRDefault="009A71EA" w:rsidP="00AE3A5D">
            <w:pPr>
              <w:pStyle w:val="a3"/>
              <w:jc w:val="center"/>
              <w:rPr>
                <w:rFonts w:ascii="Tahoma" w:hAnsi="Tahoma" w:cs="Tahoma"/>
                <w:color w:val="000080"/>
                <w:rtl/>
              </w:rPr>
            </w:pPr>
            <w:r w:rsidRPr="00A57F73">
              <w:rPr>
                <w:rFonts w:ascii="Tahoma" w:hAnsi="Tahoma" w:cs="Tahoma"/>
                <w:b/>
                <w:bCs/>
                <w:color w:val="000080"/>
                <w:rtl/>
              </w:rPr>
              <w:t>בית המשפט המחוזי בבאר שבע</w:t>
            </w:r>
          </w:p>
        </w:tc>
      </w:tr>
      <w:tr w:rsidR="009A71EA" w:rsidRPr="00A57F73" w14:paraId="38A486E0" w14:textId="77777777" w:rsidTr="00AE3A5D">
        <w:trPr>
          <w:trHeight w:val="337"/>
          <w:jc w:val="center"/>
        </w:trPr>
        <w:tc>
          <w:tcPr>
            <w:tcW w:w="6234" w:type="dxa"/>
          </w:tcPr>
          <w:p w14:paraId="2FF52569" w14:textId="77777777" w:rsidR="009A71EA" w:rsidRPr="00A57F73" w:rsidRDefault="009A71EA" w:rsidP="00AE3A5D">
            <w:pPr>
              <w:rPr>
                <w:sz w:val="28"/>
                <w:szCs w:val="28"/>
                <w:rtl/>
              </w:rPr>
            </w:pPr>
            <w:r w:rsidRPr="00A57F73">
              <w:rPr>
                <w:sz w:val="28"/>
                <w:szCs w:val="28"/>
                <w:rtl/>
              </w:rPr>
              <w:t>ת"פ</w:t>
            </w:r>
            <w:r w:rsidRPr="00A57F73">
              <w:rPr>
                <w:rFonts w:hint="cs"/>
                <w:sz w:val="28"/>
                <w:szCs w:val="28"/>
                <w:rtl/>
              </w:rPr>
              <w:t xml:space="preserve"> </w:t>
            </w:r>
            <w:r w:rsidRPr="00A57F73">
              <w:rPr>
                <w:sz w:val="28"/>
                <w:szCs w:val="28"/>
                <w:rtl/>
              </w:rPr>
              <w:t>48338-11-17</w:t>
            </w:r>
            <w:r w:rsidRPr="00A57F73">
              <w:rPr>
                <w:rFonts w:hint="cs"/>
                <w:sz w:val="28"/>
                <w:szCs w:val="28"/>
                <w:rtl/>
              </w:rPr>
              <w:t xml:space="preserve"> </w:t>
            </w:r>
            <w:r w:rsidRPr="00A57F73">
              <w:rPr>
                <w:sz w:val="28"/>
                <w:szCs w:val="28"/>
                <w:rtl/>
              </w:rPr>
              <w:t>מדינת ישראל נ' אלהואשלה(עציר)</w:t>
            </w:r>
          </w:p>
          <w:p w14:paraId="6AA8E75D" w14:textId="77777777" w:rsidR="009A71EA" w:rsidRPr="00A57F73" w:rsidRDefault="009A71EA" w:rsidP="00AE3A5D">
            <w:pPr>
              <w:pStyle w:val="a3"/>
              <w:rPr>
                <w:rFonts w:cs="FrankRuehl"/>
                <w:sz w:val="28"/>
                <w:szCs w:val="28"/>
                <w:rtl/>
              </w:rPr>
            </w:pPr>
          </w:p>
        </w:tc>
        <w:tc>
          <w:tcPr>
            <w:tcW w:w="2271" w:type="dxa"/>
          </w:tcPr>
          <w:p w14:paraId="6CC0B9CB" w14:textId="77777777" w:rsidR="009A71EA" w:rsidRPr="00A57F73" w:rsidRDefault="009A71EA" w:rsidP="00AE3A5D">
            <w:pPr>
              <w:pStyle w:val="a3"/>
              <w:jc w:val="right"/>
              <w:rPr>
                <w:rFonts w:cs="FrankRuehl"/>
                <w:sz w:val="28"/>
                <w:szCs w:val="28"/>
                <w:rtl/>
              </w:rPr>
            </w:pPr>
          </w:p>
        </w:tc>
      </w:tr>
    </w:tbl>
    <w:p w14:paraId="1AD70908" w14:textId="77777777" w:rsidR="009A71EA" w:rsidRPr="00A57F73" w:rsidRDefault="009A71EA" w:rsidP="009A71EA">
      <w:pPr>
        <w:pStyle w:val="a3"/>
        <w:rPr>
          <w:rtl/>
        </w:rPr>
      </w:pPr>
      <w:r w:rsidRPr="00A57F73">
        <w:rPr>
          <w:rFonts w:hint="cs"/>
          <w:rtl/>
        </w:rPr>
        <w:t xml:space="preserve"> </w:t>
      </w:r>
    </w:p>
    <w:p w14:paraId="46824096" w14:textId="77777777" w:rsidR="009A71EA" w:rsidRPr="00A57F73" w:rsidRDefault="009A71EA" w:rsidP="009A71EA">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3912"/>
        <w:gridCol w:w="2708"/>
        <w:gridCol w:w="867"/>
      </w:tblGrid>
      <w:tr w:rsidR="00AE3A5D" w:rsidRPr="00A57F73" w14:paraId="7C0505E0" w14:textId="77777777" w:rsidTr="009A71EA">
        <w:trPr>
          <w:gridAfter w:val="1"/>
          <w:wAfter w:w="867" w:type="dxa"/>
          <w:trHeight w:val="295"/>
          <w:jc w:val="center"/>
        </w:trPr>
        <w:tc>
          <w:tcPr>
            <w:tcW w:w="7953" w:type="dxa"/>
            <w:gridSpan w:val="3"/>
            <w:tcBorders>
              <w:top w:val="nil"/>
              <w:left w:val="nil"/>
              <w:bottom w:val="nil"/>
              <w:right w:val="nil"/>
            </w:tcBorders>
            <w:shd w:val="clear" w:color="auto" w:fill="auto"/>
          </w:tcPr>
          <w:p w14:paraId="0DF49BAD" w14:textId="77777777" w:rsidR="009A71EA" w:rsidRPr="00A57F73" w:rsidRDefault="009A71EA" w:rsidP="00AE3A5D">
            <w:pPr>
              <w:rPr>
                <w:rFonts w:ascii="Arial" w:hAnsi="Arial"/>
                <w:b/>
                <w:bCs/>
                <w:sz w:val="26"/>
                <w:szCs w:val="26"/>
              </w:rPr>
            </w:pPr>
            <w:r w:rsidRPr="00A57F73">
              <w:rPr>
                <w:rFonts w:ascii="Arial" w:hAnsi="Arial" w:hint="cs"/>
                <w:b/>
                <w:bCs/>
                <w:sz w:val="26"/>
                <w:szCs w:val="26"/>
                <w:rtl/>
              </w:rPr>
              <w:t>בפני כב' סגן הנשיאה, השופט אליהו ביתן</w:t>
            </w:r>
          </w:p>
        </w:tc>
      </w:tr>
      <w:tr w:rsidR="00AE3A5D" w:rsidRPr="00A57F73" w14:paraId="71E9BA6A" w14:textId="77777777" w:rsidTr="009A71EA">
        <w:trPr>
          <w:trHeight w:val="355"/>
          <w:jc w:val="center"/>
        </w:trPr>
        <w:tc>
          <w:tcPr>
            <w:tcW w:w="1333" w:type="dxa"/>
            <w:tcBorders>
              <w:top w:val="nil"/>
              <w:left w:val="nil"/>
              <w:bottom w:val="nil"/>
              <w:right w:val="nil"/>
            </w:tcBorders>
            <w:shd w:val="clear" w:color="auto" w:fill="auto"/>
          </w:tcPr>
          <w:p w14:paraId="67BF4DE5" w14:textId="77777777" w:rsidR="009A71EA" w:rsidRPr="00A57F73" w:rsidRDefault="009A71EA" w:rsidP="009A71EA">
            <w:pPr>
              <w:jc w:val="both"/>
              <w:rPr>
                <w:rFonts w:ascii="Arial" w:hAnsi="Arial"/>
                <w:b/>
                <w:bCs/>
                <w:sz w:val="26"/>
                <w:szCs w:val="26"/>
              </w:rPr>
            </w:pPr>
            <w:bookmarkStart w:id="0" w:name="LastJudge"/>
            <w:bookmarkEnd w:id="0"/>
            <w:r w:rsidRPr="00A57F73">
              <w:rPr>
                <w:rFonts w:ascii="Arial" w:hAnsi="Arial" w:hint="cs"/>
                <w:b/>
                <w:bCs/>
                <w:sz w:val="26"/>
                <w:szCs w:val="26"/>
                <w:rtl/>
              </w:rPr>
              <w:t>בעניין:</w:t>
            </w:r>
          </w:p>
        </w:tc>
        <w:tc>
          <w:tcPr>
            <w:tcW w:w="3912" w:type="dxa"/>
            <w:tcBorders>
              <w:top w:val="nil"/>
              <w:left w:val="nil"/>
              <w:bottom w:val="nil"/>
              <w:right w:val="nil"/>
            </w:tcBorders>
            <w:shd w:val="clear" w:color="auto" w:fill="auto"/>
          </w:tcPr>
          <w:p w14:paraId="311C3D35" w14:textId="77777777" w:rsidR="009A71EA" w:rsidRPr="00A57F73" w:rsidRDefault="009A71EA" w:rsidP="00AE3A5D">
            <w:pPr>
              <w:rPr>
                <w:rFonts w:ascii="Arial" w:hAnsi="Arial"/>
                <w:b/>
                <w:bCs/>
                <w:sz w:val="26"/>
                <w:szCs w:val="26"/>
              </w:rPr>
            </w:pPr>
            <w:r w:rsidRPr="00A57F73">
              <w:rPr>
                <w:rFonts w:ascii="Arial" w:hAnsi="Arial"/>
                <w:b/>
                <w:bCs/>
                <w:sz w:val="26"/>
                <w:szCs w:val="26"/>
                <w:rtl/>
              </w:rPr>
              <w:t xml:space="preserve">     </w:t>
            </w:r>
          </w:p>
        </w:tc>
        <w:tc>
          <w:tcPr>
            <w:tcW w:w="3575" w:type="dxa"/>
            <w:gridSpan w:val="2"/>
            <w:tcBorders>
              <w:top w:val="nil"/>
              <w:left w:val="nil"/>
              <w:bottom w:val="nil"/>
              <w:right w:val="nil"/>
            </w:tcBorders>
            <w:shd w:val="clear" w:color="auto" w:fill="auto"/>
          </w:tcPr>
          <w:p w14:paraId="2364ED20" w14:textId="77777777" w:rsidR="009A71EA" w:rsidRPr="00A57F73" w:rsidRDefault="009A71EA" w:rsidP="009A71EA">
            <w:pPr>
              <w:jc w:val="both"/>
              <w:rPr>
                <w:rFonts w:ascii="Arial" w:hAnsi="Arial"/>
                <w:b/>
                <w:bCs/>
                <w:sz w:val="26"/>
                <w:szCs w:val="26"/>
              </w:rPr>
            </w:pPr>
          </w:p>
        </w:tc>
      </w:tr>
      <w:tr w:rsidR="00AE3A5D" w:rsidRPr="00A57F73" w14:paraId="783D40EC" w14:textId="77777777" w:rsidTr="009A71EA">
        <w:trPr>
          <w:trHeight w:val="355"/>
          <w:jc w:val="center"/>
        </w:trPr>
        <w:tc>
          <w:tcPr>
            <w:tcW w:w="1333" w:type="dxa"/>
            <w:tcBorders>
              <w:top w:val="nil"/>
              <w:left w:val="nil"/>
              <w:bottom w:val="nil"/>
              <w:right w:val="nil"/>
            </w:tcBorders>
            <w:shd w:val="clear" w:color="auto" w:fill="auto"/>
          </w:tcPr>
          <w:p w14:paraId="2EA173E3" w14:textId="77777777" w:rsidR="009A71EA" w:rsidRPr="00A57F73" w:rsidRDefault="009A71EA" w:rsidP="009A71EA">
            <w:pPr>
              <w:jc w:val="both"/>
              <w:rPr>
                <w:rFonts w:ascii="Arial" w:hAnsi="Arial"/>
                <w:b/>
                <w:bCs/>
                <w:sz w:val="26"/>
                <w:szCs w:val="26"/>
                <w:rtl/>
              </w:rPr>
            </w:pPr>
            <w:bookmarkStart w:id="1" w:name="FirstAppellant"/>
            <w:r w:rsidRPr="00A57F73">
              <w:rPr>
                <w:rFonts w:ascii="Arial" w:hAnsi="Arial" w:hint="cs"/>
                <w:b/>
                <w:bCs/>
                <w:sz w:val="26"/>
                <w:szCs w:val="26"/>
                <w:rtl/>
              </w:rPr>
              <w:t>המאשימה:</w:t>
            </w:r>
          </w:p>
        </w:tc>
        <w:tc>
          <w:tcPr>
            <w:tcW w:w="3912" w:type="dxa"/>
            <w:tcBorders>
              <w:top w:val="nil"/>
              <w:left w:val="nil"/>
              <w:bottom w:val="nil"/>
              <w:right w:val="nil"/>
            </w:tcBorders>
            <w:shd w:val="clear" w:color="auto" w:fill="auto"/>
          </w:tcPr>
          <w:p w14:paraId="02E79D37" w14:textId="77777777" w:rsidR="009A71EA" w:rsidRPr="00A57F73" w:rsidRDefault="009A71EA" w:rsidP="009A71EA">
            <w:pPr>
              <w:jc w:val="both"/>
              <w:rPr>
                <w:rFonts w:ascii="Arial" w:hAnsi="Arial"/>
                <w:b/>
                <w:bCs/>
                <w:sz w:val="26"/>
                <w:szCs w:val="26"/>
                <w:rtl/>
              </w:rPr>
            </w:pPr>
            <w:r w:rsidRPr="00A57F73">
              <w:rPr>
                <w:rFonts w:ascii="Arial" w:hAnsi="Arial" w:hint="cs"/>
                <w:b/>
                <w:bCs/>
                <w:sz w:val="26"/>
                <w:szCs w:val="26"/>
                <w:rtl/>
              </w:rPr>
              <w:t xml:space="preserve">מדינת ישראל </w:t>
            </w:r>
          </w:p>
        </w:tc>
        <w:tc>
          <w:tcPr>
            <w:tcW w:w="3575" w:type="dxa"/>
            <w:gridSpan w:val="2"/>
            <w:tcBorders>
              <w:top w:val="nil"/>
              <w:left w:val="nil"/>
              <w:bottom w:val="nil"/>
              <w:right w:val="nil"/>
            </w:tcBorders>
            <w:shd w:val="clear" w:color="auto" w:fill="auto"/>
          </w:tcPr>
          <w:p w14:paraId="0A8700FB" w14:textId="77777777" w:rsidR="009A71EA" w:rsidRPr="00A57F73" w:rsidRDefault="009A71EA" w:rsidP="009A71EA">
            <w:pPr>
              <w:jc w:val="right"/>
              <w:rPr>
                <w:rFonts w:ascii="Arial" w:hAnsi="Arial"/>
                <w:b/>
                <w:bCs/>
                <w:sz w:val="26"/>
                <w:szCs w:val="26"/>
                <w:rtl/>
              </w:rPr>
            </w:pPr>
          </w:p>
        </w:tc>
      </w:tr>
      <w:bookmarkEnd w:id="1"/>
      <w:tr w:rsidR="00AE3A5D" w:rsidRPr="00A57F73" w14:paraId="308D2297" w14:textId="77777777" w:rsidTr="009A71EA">
        <w:trPr>
          <w:trHeight w:val="355"/>
          <w:jc w:val="center"/>
        </w:trPr>
        <w:tc>
          <w:tcPr>
            <w:tcW w:w="1333" w:type="dxa"/>
            <w:tcBorders>
              <w:top w:val="nil"/>
              <w:left w:val="nil"/>
              <w:bottom w:val="nil"/>
              <w:right w:val="nil"/>
            </w:tcBorders>
            <w:shd w:val="clear" w:color="auto" w:fill="auto"/>
          </w:tcPr>
          <w:p w14:paraId="60F0A737" w14:textId="77777777" w:rsidR="009A71EA" w:rsidRPr="00A57F73" w:rsidRDefault="009A71EA" w:rsidP="009A71EA">
            <w:pPr>
              <w:jc w:val="both"/>
              <w:rPr>
                <w:rFonts w:ascii="Arial" w:hAnsi="Arial"/>
                <w:b/>
                <w:bCs/>
                <w:sz w:val="26"/>
                <w:szCs w:val="26"/>
                <w:rtl/>
              </w:rPr>
            </w:pPr>
          </w:p>
        </w:tc>
        <w:tc>
          <w:tcPr>
            <w:tcW w:w="7487" w:type="dxa"/>
            <w:gridSpan w:val="3"/>
            <w:tcBorders>
              <w:top w:val="nil"/>
              <w:left w:val="nil"/>
              <w:bottom w:val="nil"/>
              <w:right w:val="nil"/>
            </w:tcBorders>
            <w:shd w:val="clear" w:color="auto" w:fill="auto"/>
          </w:tcPr>
          <w:p w14:paraId="0B4BE5E4" w14:textId="77777777" w:rsidR="009A71EA" w:rsidRPr="00A57F73" w:rsidRDefault="009A71EA" w:rsidP="009A71EA">
            <w:pPr>
              <w:jc w:val="center"/>
              <w:rPr>
                <w:rFonts w:ascii="Arial" w:hAnsi="Arial"/>
                <w:b/>
                <w:bCs/>
                <w:sz w:val="30"/>
                <w:szCs w:val="30"/>
                <w:rtl/>
              </w:rPr>
            </w:pPr>
            <w:r w:rsidRPr="00A57F73">
              <w:rPr>
                <w:rFonts w:ascii="Arial" w:hAnsi="Arial"/>
                <w:b/>
                <w:bCs/>
                <w:sz w:val="30"/>
                <w:szCs w:val="30"/>
                <w:rtl/>
              </w:rPr>
              <w:t>נגד</w:t>
            </w:r>
          </w:p>
          <w:p w14:paraId="79BF076F" w14:textId="77777777" w:rsidR="009A71EA" w:rsidRPr="00A57F73" w:rsidRDefault="009A71EA" w:rsidP="009A71EA">
            <w:pPr>
              <w:jc w:val="both"/>
              <w:rPr>
                <w:rFonts w:ascii="Arial" w:hAnsi="Arial"/>
                <w:b/>
                <w:bCs/>
                <w:sz w:val="26"/>
                <w:szCs w:val="26"/>
              </w:rPr>
            </w:pPr>
          </w:p>
        </w:tc>
      </w:tr>
      <w:tr w:rsidR="00AE3A5D" w:rsidRPr="00A57F73" w14:paraId="68D9473D" w14:textId="77777777" w:rsidTr="009A71EA">
        <w:trPr>
          <w:trHeight w:val="355"/>
          <w:jc w:val="center"/>
        </w:trPr>
        <w:tc>
          <w:tcPr>
            <w:tcW w:w="1333" w:type="dxa"/>
            <w:tcBorders>
              <w:top w:val="nil"/>
              <w:left w:val="nil"/>
              <w:bottom w:val="nil"/>
              <w:right w:val="nil"/>
            </w:tcBorders>
            <w:shd w:val="clear" w:color="auto" w:fill="auto"/>
          </w:tcPr>
          <w:p w14:paraId="3174B8AC" w14:textId="77777777" w:rsidR="009A71EA" w:rsidRPr="00A57F73" w:rsidRDefault="009A71EA" w:rsidP="00AE3A5D">
            <w:pPr>
              <w:rPr>
                <w:rFonts w:ascii="Arial" w:hAnsi="Arial"/>
                <w:b/>
                <w:bCs/>
                <w:sz w:val="26"/>
                <w:szCs w:val="26"/>
                <w:rtl/>
              </w:rPr>
            </w:pPr>
            <w:r w:rsidRPr="00A57F73">
              <w:rPr>
                <w:rFonts w:ascii="Arial" w:hAnsi="Arial" w:hint="cs"/>
                <w:b/>
                <w:bCs/>
                <w:sz w:val="26"/>
                <w:szCs w:val="26"/>
                <w:rtl/>
              </w:rPr>
              <w:t>הנאשם:</w:t>
            </w:r>
          </w:p>
        </w:tc>
        <w:tc>
          <w:tcPr>
            <w:tcW w:w="3912" w:type="dxa"/>
            <w:tcBorders>
              <w:top w:val="nil"/>
              <w:left w:val="nil"/>
              <w:bottom w:val="nil"/>
              <w:right w:val="nil"/>
            </w:tcBorders>
            <w:shd w:val="clear" w:color="auto" w:fill="auto"/>
          </w:tcPr>
          <w:p w14:paraId="65DD72B4" w14:textId="77777777" w:rsidR="009A71EA" w:rsidRPr="00A57F73" w:rsidRDefault="009A71EA" w:rsidP="00AE3A5D">
            <w:pPr>
              <w:rPr>
                <w:rFonts w:ascii="Arial" w:hAnsi="Arial"/>
                <w:b/>
                <w:bCs/>
                <w:sz w:val="26"/>
                <w:szCs w:val="26"/>
                <w:rtl/>
              </w:rPr>
            </w:pPr>
            <w:r w:rsidRPr="00A57F73">
              <w:rPr>
                <w:rFonts w:ascii="Arial" w:hAnsi="Arial"/>
                <w:b/>
                <w:bCs/>
                <w:sz w:val="26"/>
                <w:szCs w:val="26"/>
                <w:rtl/>
              </w:rPr>
              <w:t>ודיע אלהואשלה (עציר)</w:t>
            </w:r>
          </w:p>
        </w:tc>
        <w:tc>
          <w:tcPr>
            <w:tcW w:w="3575" w:type="dxa"/>
            <w:gridSpan w:val="2"/>
            <w:tcBorders>
              <w:top w:val="nil"/>
              <w:left w:val="nil"/>
              <w:bottom w:val="nil"/>
              <w:right w:val="nil"/>
            </w:tcBorders>
            <w:shd w:val="clear" w:color="auto" w:fill="auto"/>
          </w:tcPr>
          <w:p w14:paraId="7B864385" w14:textId="77777777" w:rsidR="009A71EA" w:rsidRPr="00A57F73" w:rsidRDefault="009A71EA" w:rsidP="009A71EA">
            <w:pPr>
              <w:jc w:val="right"/>
              <w:rPr>
                <w:rFonts w:ascii="Arial" w:hAnsi="Arial"/>
                <w:b/>
                <w:bCs/>
                <w:sz w:val="26"/>
                <w:szCs w:val="26"/>
              </w:rPr>
            </w:pPr>
          </w:p>
        </w:tc>
      </w:tr>
    </w:tbl>
    <w:p w14:paraId="728EEE29" w14:textId="77777777" w:rsidR="00054630" w:rsidRDefault="00054630" w:rsidP="009A71EA">
      <w:pPr>
        <w:rPr>
          <w:rFonts w:ascii="Arial" w:hAnsi="Arial"/>
          <w:sz w:val="26"/>
          <w:szCs w:val="26"/>
          <w:rtl/>
        </w:rPr>
      </w:pPr>
      <w:bookmarkStart w:id="2" w:name="LawTable"/>
      <w:bookmarkEnd w:id="2"/>
    </w:p>
    <w:p w14:paraId="70539686" w14:textId="77777777" w:rsidR="00054630" w:rsidRPr="00054630" w:rsidRDefault="00054630" w:rsidP="00054630">
      <w:pPr>
        <w:spacing w:after="120" w:line="240" w:lineRule="exact"/>
        <w:ind w:left="283" w:hanging="283"/>
        <w:jc w:val="both"/>
        <w:rPr>
          <w:rFonts w:ascii="FrankRuehl" w:hAnsi="FrankRuehl" w:cs="FrankRuehl"/>
          <w:rtl/>
        </w:rPr>
      </w:pPr>
    </w:p>
    <w:p w14:paraId="51C287CB" w14:textId="77777777" w:rsidR="00054630" w:rsidRPr="00054630" w:rsidRDefault="00054630" w:rsidP="00054630">
      <w:pPr>
        <w:spacing w:after="120" w:line="240" w:lineRule="exact"/>
        <w:ind w:left="283" w:hanging="283"/>
        <w:jc w:val="both"/>
        <w:rPr>
          <w:rFonts w:ascii="FrankRuehl" w:hAnsi="FrankRuehl" w:cs="FrankRuehl"/>
          <w:rtl/>
        </w:rPr>
      </w:pPr>
      <w:r w:rsidRPr="00054630">
        <w:rPr>
          <w:rFonts w:ascii="FrankRuehl" w:hAnsi="FrankRuehl" w:cs="FrankRuehl"/>
          <w:rtl/>
        </w:rPr>
        <w:t xml:space="preserve">חקיקה שאוזכרה: </w:t>
      </w:r>
    </w:p>
    <w:p w14:paraId="2EE04CFD" w14:textId="77777777" w:rsidR="00054630" w:rsidRPr="00054630" w:rsidRDefault="00054630" w:rsidP="00054630">
      <w:pPr>
        <w:spacing w:after="120" w:line="240" w:lineRule="exact"/>
        <w:ind w:left="283" w:hanging="283"/>
        <w:jc w:val="both"/>
        <w:rPr>
          <w:rFonts w:ascii="FrankRuehl" w:hAnsi="FrankRuehl" w:cs="FrankRuehl"/>
          <w:rtl/>
        </w:rPr>
      </w:pPr>
      <w:hyperlink r:id="rId6" w:history="1">
        <w:r w:rsidRPr="00054630">
          <w:rPr>
            <w:rFonts w:ascii="FrankRuehl" w:hAnsi="FrankRuehl" w:cs="FrankRuehl"/>
            <w:color w:val="0000FF"/>
            <w:u w:val="single"/>
            <w:rtl/>
          </w:rPr>
          <w:t>פקודת הסמים המסוכנים [נוסח חדש], תשל"ג-1973</w:t>
        </w:r>
      </w:hyperlink>
      <w:r w:rsidRPr="00054630">
        <w:rPr>
          <w:rFonts w:ascii="FrankRuehl" w:hAnsi="FrankRuehl" w:cs="FrankRuehl"/>
          <w:rtl/>
        </w:rPr>
        <w:t xml:space="preserve">: סע'  </w:t>
      </w:r>
      <w:hyperlink r:id="rId7" w:history="1">
        <w:r w:rsidRPr="00054630">
          <w:rPr>
            <w:rFonts w:ascii="FrankRuehl" w:hAnsi="FrankRuehl" w:cs="FrankRuehl"/>
            <w:color w:val="0000FF"/>
            <w:u w:val="single"/>
            <w:rtl/>
          </w:rPr>
          <w:t>6</w:t>
        </w:r>
      </w:hyperlink>
      <w:r w:rsidRPr="00054630">
        <w:rPr>
          <w:rFonts w:ascii="FrankRuehl" w:hAnsi="FrankRuehl" w:cs="FrankRuehl"/>
          <w:rtl/>
        </w:rPr>
        <w:t xml:space="preserve">, </w:t>
      </w:r>
      <w:hyperlink r:id="rId8" w:history="1">
        <w:r w:rsidRPr="00054630">
          <w:rPr>
            <w:rFonts w:ascii="FrankRuehl" w:hAnsi="FrankRuehl" w:cs="FrankRuehl"/>
            <w:color w:val="0000FF"/>
            <w:u w:val="single"/>
            <w:rtl/>
          </w:rPr>
          <w:t>7.א.</w:t>
        </w:r>
      </w:hyperlink>
      <w:r w:rsidRPr="00054630">
        <w:rPr>
          <w:rFonts w:ascii="FrankRuehl" w:hAnsi="FrankRuehl" w:cs="FrankRuehl"/>
          <w:rtl/>
        </w:rPr>
        <w:t xml:space="preserve">, </w:t>
      </w:r>
      <w:hyperlink r:id="rId9" w:history="1">
        <w:r w:rsidRPr="00054630">
          <w:rPr>
            <w:rFonts w:ascii="FrankRuehl" w:hAnsi="FrankRuehl" w:cs="FrankRuehl"/>
            <w:color w:val="0000FF"/>
            <w:u w:val="single"/>
            <w:rtl/>
          </w:rPr>
          <w:t>7.ג</w:t>
        </w:r>
      </w:hyperlink>
    </w:p>
    <w:p w14:paraId="6DF6625F" w14:textId="77777777" w:rsidR="00054630" w:rsidRPr="00054630" w:rsidRDefault="00054630" w:rsidP="00054630">
      <w:pPr>
        <w:spacing w:after="120" w:line="240" w:lineRule="exact"/>
        <w:ind w:left="283" w:hanging="283"/>
        <w:jc w:val="both"/>
        <w:rPr>
          <w:rFonts w:ascii="FrankRuehl" w:hAnsi="FrankRuehl" w:cs="FrankRuehl"/>
          <w:rtl/>
        </w:rPr>
      </w:pPr>
      <w:hyperlink r:id="rId10" w:history="1">
        <w:r w:rsidRPr="00054630">
          <w:rPr>
            <w:rFonts w:ascii="FrankRuehl" w:hAnsi="FrankRuehl" w:cs="FrankRuehl"/>
            <w:color w:val="0000FF"/>
            <w:u w:val="single"/>
            <w:rtl/>
          </w:rPr>
          <w:t>חוק העונשין, תשל"ז-1977</w:t>
        </w:r>
      </w:hyperlink>
      <w:r w:rsidRPr="00054630">
        <w:rPr>
          <w:rFonts w:ascii="FrankRuehl" w:hAnsi="FrankRuehl" w:cs="FrankRuehl"/>
          <w:rtl/>
        </w:rPr>
        <w:t xml:space="preserve">: סע'  </w:t>
      </w:r>
      <w:hyperlink r:id="rId11" w:history="1">
        <w:r w:rsidRPr="00054630">
          <w:rPr>
            <w:rFonts w:ascii="FrankRuehl" w:hAnsi="FrankRuehl" w:cs="FrankRuehl"/>
            <w:color w:val="0000FF"/>
            <w:u w:val="single"/>
            <w:rtl/>
          </w:rPr>
          <w:t>31</w:t>
        </w:r>
      </w:hyperlink>
    </w:p>
    <w:p w14:paraId="2028B5E6" w14:textId="77777777" w:rsidR="00054630" w:rsidRPr="00054630" w:rsidRDefault="00054630" w:rsidP="00054630">
      <w:pPr>
        <w:spacing w:after="120" w:line="240" w:lineRule="exact"/>
        <w:ind w:left="283" w:hanging="283"/>
        <w:jc w:val="both"/>
        <w:rPr>
          <w:rFonts w:ascii="FrankRuehl" w:hAnsi="FrankRuehl" w:cs="FrankRuehl"/>
          <w:rtl/>
        </w:rPr>
      </w:pPr>
    </w:p>
    <w:p w14:paraId="54D6F4DF" w14:textId="77777777" w:rsidR="00054630" w:rsidRPr="00054630" w:rsidRDefault="00054630" w:rsidP="009A71EA">
      <w:pPr>
        <w:rPr>
          <w:rFonts w:ascii="Arial" w:hAnsi="Arial"/>
          <w:sz w:val="26"/>
          <w:szCs w:val="26"/>
          <w:rtl/>
        </w:rPr>
      </w:pPr>
      <w:bookmarkStart w:id="3" w:name="LawTable_End"/>
      <w:bookmarkEnd w:id="3"/>
    </w:p>
    <w:p w14:paraId="557CF151" w14:textId="77777777" w:rsidR="00054630" w:rsidRPr="00054630" w:rsidRDefault="00054630" w:rsidP="009A71EA">
      <w:pPr>
        <w:rPr>
          <w:rFonts w:ascii="Arial" w:hAnsi="Arial"/>
          <w:b/>
          <w:bCs/>
          <w:sz w:val="26"/>
          <w:szCs w:val="26"/>
          <w:rtl/>
        </w:rPr>
      </w:pPr>
    </w:p>
    <w:p w14:paraId="35429641" w14:textId="77777777" w:rsidR="009A71EA" w:rsidRPr="00054630" w:rsidRDefault="009A71EA" w:rsidP="009A71EA">
      <w:pPr>
        <w:rPr>
          <w:rFonts w:ascii="Arial" w:hAnsi="Arial"/>
          <w:b/>
          <w:bCs/>
          <w:sz w:val="26"/>
          <w:szCs w:val="26"/>
        </w:rPr>
      </w:pPr>
    </w:p>
    <w:p w14:paraId="568B0FAF" w14:textId="77777777" w:rsidR="00A57F73" w:rsidRPr="00A57F73" w:rsidRDefault="00A57F73" w:rsidP="009A71EA">
      <w:pPr>
        <w:rPr>
          <w:rFonts w:ascii="Arial" w:hAnsi="Arial"/>
          <w:rtl/>
        </w:rPr>
      </w:pPr>
    </w:p>
    <w:p w14:paraId="2FE57EC6" w14:textId="77777777" w:rsidR="00A57F73" w:rsidRPr="00A57F73" w:rsidRDefault="00A57F73" w:rsidP="009A71EA">
      <w:pPr>
        <w:rPr>
          <w:rFonts w:ascii="Arial" w:hAnsi="Arial"/>
          <w:rtl/>
        </w:rPr>
      </w:pPr>
    </w:p>
    <w:p w14:paraId="123D2F60" w14:textId="77777777" w:rsidR="009A71EA" w:rsidRPr="00A57F73" w:rsidRDefault="009A71EA" w:rsidP="009A71EA">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3A5D" w:rsidRPr="001613C8" w14:paraId="61F5E199" w14:textId="77777777" w:rsidTr="009A71EA">
        <w:trPr>
          <w:trHeight w:val="355"/>
          <w:jc w:val="center"/>
        </w:trPr>
        <w:tc>
          <w:tcPr>
            <w:tcW w:w="8820" w:type="dxa"/>
            <w:tcBorders>
              <w:top w:val="nil"/>
              <w:left w:val="nil"/>
              <w:bottom w:val="nil"/>
              <w:right w:val="nil"/>
            </w:tcBorders>
            <w:shd w:val="clear" w:color="auto" w:fill="auto"/>
          </w:tcPr>
          <w:p w14:paraId="504F2741" w14:textId="77777777" w:rsidR="00A57F73" w:rsidRPr="00A57F73" w:rsidRDefault="00A57F73" w:rsidP="00A57F73">
            <w:pPr>
              <w:jc w:val="center"/>
              <w:rPr>
                <w:rFonts w:ascii="Arial" w:hAnsi="Arial"/>
                <w:b/>
                <w:bCs/>
                <w:sz w:val="30"/>
                <w:szCs w:val="30"/>
                <w:u w:val="single"/>
                <w:rtl/>
              </w:rPr>
            </w:pPr>
            <w:bookmarkStart w:id="4" w:name="PsakDin" w:colFirst="0" w:colLast="0"/>
            <w:r w:rsidRPr="00A57F73">
              <w:rPr>
                <w:rFonts w:ascii="Arial" w:hAnsi="Arial"/>
                <w:b/>
                <w:bCs/>
                <w:sz w:val="30"/>
                <w:szCs w:val="30"/>
                <w:u w:val="single"/>
                <w:rtl/>
              </w:rPr>
              <w:t>גזר דין</w:t>
            </w:r>
          </w:p>
          <w:p w14:paraId="07A1B6FE" w14:textId="77777777" w:rsidR="009A71EA" w:rsidRPr="00A57F73" w:rsidRDefault="009A71EA" w:rsidP="00A57F73">
            <w:pPr>
              <w:jc w:val="center"/>
              <w:rPr>
                <w:rFonts w:ascii="Arial" w:hAnsi="Arial"/>
                <w:b/>
                <w:bCs/>
                <w:sz w:val="26"/>
                <w:szCs w:val="26"/>
                <w:u w:val="single"/>
                <w:rtl/>
              </w:rPr>
            </w:pPr>
          </w:p>
        </w:tc>
      </w:tr>
      <w:bookmarkEnd w:id="4"/>
    </w:tbl>
    <w:p w14:paraId="30DC94AF" w14:textId="77777777" w:rsidR="009A71EA" w:rsidRPr="001613C8" w:rsidRDefault="009A71EA" w:rsidP="009A71EA">
      <w:pPr>
        <w:rPr>
          <w:rFonts w:ascii="Arial" w:hAnsi="Arial"/>
          <w:rtl/>
        </w:rPr>
      </w:pPr>
    </w:p>
    <w:p w14:paraId="1940B8D8" w14:textId="77777777" w:rsidR="009A71EA" w:rsidRPr="001613C8" w:rsidRDefault="009A71EA" w:rsidP="009A71EA">
      <w:pPr>
        <w:rPr>
          <w:rFonts w:ascii="Arial" w:hAnsi="Arial"/>
          <w:rtl/>
        </w:rPr>
      </w:pPr>
    </w:p>
    <w:p w14:paraId="630003F1" w14:textId="77777777" w:rsidR="009A71EA" w:rsidRPr="001613C8" w:rsidRDefault="009A71EA" w:rsidP="009A71EA">
      <w:pPr>
        <w:rPr>
          <w:rtl/>
        </w:rPr>
      </w:pPr>
      <w:bookmarkStart w:id="5" w:name="ABSTRACT_START"/>
      <w:bookmarkEnd w:id="5"/>
    </w:p>
    <w:p w14:paraId="12A42DB7"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t>1.</w:t>
      </w:r>
      <w:r w:rsidRPr="009A71EA">
        <w:rPr>
          <w:rFonts w:ascii="Calibri" w:hAnsi="Calibri" w:hint="cs"/>
          <w:rtl/>
        </w:rPr>
        <w:tab/>
        <w:t xml:space="preserve">הנאשם הודה, במסגרת הסדר טיעון, כי במשך תקופה מסוימת עד ליום 13.11.17, הוא סייע לאחרים לגדל בחצר ביתו, בחממה, סם מסוכן מסוג קנביס בכמות שאינה ידועה במדויק למאשימה. במסגרת זו, הנאשם ביצע פעולות שונות הקשורות בגידול הסם, השקה את צמחי הסם, חיבר את החממה לחשמל ביתו ודאג לשמירת החממה. הנאשם קיבל תשלום על פעולותיו. </w:t>
      </w:r>
    </w:p>
    <w:p w14:paraId="3F7A6DF1" w14:textId="77777777" w:rsidR="009A71EA" w:rsidRPr="009A71EA" w:rsidRDefault="009A71EA" w:rsidP="009A71EA">
      <w:pPr>
        <w:spacing w:after="160" w:line="360" w:lineRule="auto"/>
        <w:ind w:left="720"/>
        <w:jc w:val="both"/>
        <w:rPr>
          <w:rFonts w:ascii="Calibri" w:hAnsi="Calibri"/>
          <w:rtl/>
        </w:rPr>
      </w:pPr>
      <w:bookmarkStart w:id="6" w:name="ABSTRACT_END"/>
      <w:bookmarkEnd w:id="6"/>
      <w:r w:rsidRPr="009A71EA">
        <w:rPr>
          <w:rFonts w:ascii="Calibri" w:hAnsi="Calibri" w:hint="cs"/>
          <w:rtl/>
        </w:rPr>
        <w:t xml:space="preserve">בתאריך 13.11.17, שוטרים ביצעו חיפוש במתחם ביתו ומצאו את שתילי הסם. </w:t>
      </w:r>
    </w:p>
    <w:p w14:paraId="56D893B0"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t>2.</w:t>
      </w:r>
      <w:r w:rsidRPr="009A71EA">
        <w:rPr>
          <w:rFonts w:ascii="Calibri" w:hAnsi="Calibri" w:hint="cs"/>
          <w:rtl/>
        </w:rPr>
        <w:tab/>
        <w:t xml:space="preserve">על יסוד הודאת הנאשם בעובדות כאמור, הוא הורשע בעבירה של סיוע לגידול, ייצור הכנה והפקה של סם, לפי </w:t>
      </w:r>
      <w:hyperlink r:id="rId12" w:history="1">
        <w:r w:rsidR="00054630" w:rsidRPr="00054630">
          <w:rPr>
            <w:rFonts w:ascii="Calibri" w:hAnsi="Calibri" w:hint="eastAsia"/>
            <w:color w:val="0000FF"/>
            <w:u w:val="single"/>
            <w:rtl/>
          </w:rPr>
          <w:t>סעיף</w:t>
        </w:r>
        <w:r w:rsidR="00054630" w:rsidRPr="00054630">
          <w:rPr>
            <w:rFonts w:ascii="Calibri" w:hAnsi="Calibri"/>
            <w:color w:val="0000FF"/>
            <w:u w:val="single"/>
            <w:rtl/>
          </w:rPr>
          <w:t xml:space="preserve"> 6</w:t>
        </w:r>
      </w:hyperlink>
      <w:r w:rsidRPr="009A71EA">
        <w:rPr>
          <w:rFonts w:ascii="Calibri" w:hAnsi="Calibri" w:hint="cs"/>
          <w:rtl/>
        </w:rPr>
        <w:t xml:space="preserve"> ל</w:t>
      </w:r>
      <w:hyperlink r:id="rId13" w:history="1">
        <w:r w:rsidR="00A57F73" w:rsidRPr="00A57F73">
          <w:rPr>
            <w:rFonts w:ascii="Calibri" w:hAnsi="Calibri" w:hint="eastAsia"/>
            <w:color w:val="0000FF"/>
            <w:u w:val="single"/>
            <w:rtl/>
          </w:rPr>
          <w:t>פקודת</w:t>
        </w:r>
        <w:r w:rsidR="00A57F73" w:rsidRPr="00A57F73">
          <w:rPr>
            <w:rFonts w:ascii="Calibri" w:hAnsi="Calibri"/>
            <w:color w:val="0000FF"/>
            <w:u w:val="single"/>
            <w:rtl/>
          </w:rPr>
          <w:t xml:space="preserve"> </w:t>
        </w:r>
        <w:r w:rsidR="00A57F73" w:rsidRPr="00A57F73">
          <w:rPr>
            <w:rFonts w:ascii="Calibri" w:hAnsi="Calibri" w:hint="eastAsia"/>
            <w:color w:val="0000FF"/>
            <w:u w:val="single"/>
            <w:rtl/>
          </w:rPr>
          <w:t>הסמים</w:t>
        </w:r>
        <w:r w:rsidR="00A57F73" w:rsidRPr="00A57F73">
          <w:rPr>
            <w:rFonts w:ascii="Calibri" w:hAnsi="Calibri"/>
            <w:color w:val="0000FF"/>
            <w:u w:val="single"/>
            <w:rtl/>
          </w:rPr>
          <w:t xml:space="preserve"> </w:t>
        </w:r>
        <w:r w:rsidR="00A57F73" w:rsidRPr="00A57F73">
          <w:rPr>
            <w:rFonts w:ascii="Calibri" w:hAnsi="Calibri" w:hint="eastAsia"/>
            <w:color w:val="0000FF"/>
            <w:u w:val="single"/>
            <w:rtl/>
          </w:rPr>
          <w:t>המסוכנים</w:t>
        </w:r>
      </w:hyperlink>
      <w:r w:rsidRPr="009A71EA">
        <w:rPr>
          <w:rFonts w:ascii="Calibri" w:hAnsi="Calibri" w:hint="cs"/>
          <w:rtl/>
        </w:rPr>
        <w:t xml:space="preserve"> [נוסח חדש], התשל"ג-1973, </w:t>
      </w:r>
      <w:hyperlink r:id="rId14" w:history="1">
        <w:r w:rsidR="00054630" w:rsidRPr="00054630">
          <w:rPr>
            <w:rFonts w:ascii="Calibri" w:hAnsi="Calibri" w:hint="eastAsia"/>
            <w:color w:val="0000FF"/>
            <w:u w:val="single"/>
            <w:rtl/>
          </w:rPr>
          <w:t>וסעיף</w:t>
        </w:r>
        <w:r w:rsidR="00054630" w:rsidRPr="00054630">
          <w:rPr>
            <w:rFonts w:ascii="Calibri" w:hAnsi="Calibri"/>
            <w:color w:val="0000FF"/>
            <w:u w:val="single"/>
            <w:rtl/>
          </w:rPr>
          <w:t xml:space="preserve"> 31</w:t>
        </w:r>
      </w:hyperlink>
      <w:r w:rsidRPr="009A71EA">
        <w:rPr>
          <w:rFonts w:ascii="Calibri" w:hAnsi="Calibri" w:hint="cs"/>
          <w:rtl/>
        </w:rPr>
        <w:t xml:space="preserve"> ל</w:t>
      </w:r>
      <w:hyperlink r:id="rId15" w:history="1">
        <w:r w:rsidR="00A57F73" w:rsidRPr="00A57F73">
          <w:rPr>
            <w:rFonts w:ascii="Calibri" w:hAnsi="Calibri" w:hint="eastAsia"/>
            <w:color w:val="0000FF"/>
            <w:u w:val="single"/>
            <w:rtl/>
          </w:rPr>
          <w:t>חוק</w:t>
        </w:r>
        <w:r w:rsidR="00A57F73" w:rsidRPr="00A57F73">
          <w:rPr>
            <w:rFonts w:ascii="Calibri" w:hAnsi="Calibri"/>
            <w:color w:val="0000FF"/>
            <w:u w:val="single"/>
            <w:rtl/>
          </w:rPr>
          <w:t xml:space="preserve"> </w:t>
        </w:r>
        <w:r w:rsidR="00A57F73" w:rsidRPr="00A57F73">
          <w:rPr>
            <w:rFonts w:ascii="Calibri" w:hAnsi="Calibri" w:hint="eastAsia"/>
            <w:color w:val="0000FF"/>
            <w:u w:val="single"/>
            <w:rtl/>
          </w:rPr>
          <w:t>העונשין</w:t>
        </w:r>
      </w:hyperlink>
      <w:r w:rsidRPr="009A71EA">
        <w:rPr>
          <w:rFonts w:ascii="Calibri" w:hAnsi="Calibri" w:hint="cs"/>
          <w:rtl/>
        </w:rPr>
        <w:t xml:space="preserve"> תשל"ז-1977, ובעבירה של החזקת סם מסוכן שלא לצריכה עצמית, לפי סעיף </w:t>
      </w:r>
      <w:hyperlink r:id="rId16" w:history="1">
        <w:r w:rsidR="00054630" w:rsidRPr="00054630">
          <w:rPr>
            <w:rFonts w:ascii="Calibri" w:hAnsi="Calibri"/>
            <w:color w:val="0000FF"/>
            <w:u w:val="single"/>
            <w:rtl/>
          </w:rPr>
          <w:t>7(</w:t>
        </w:r>
        <w:r w:rsidR="00054630" w:rsidRPr="00054630">
          <w:rPr>
            <w:rFonts w:ascii="Calibri" w:hAnsi="Calibri" w:hint="eastAsia"/>
            <w:color w:val="0000FF"/>
            <w:u w:val="single"/>
            <w:rtl/>
          </w:rPr>
          <w:t>א</w:t>
        </w:r>
        <w:r w:rsidR="00054630" w:rsidRPr="00054630">
          <w:rPr>
            <w:rFonts w:ascii="Calibri" w:hAnsi="Calibri"/>
            <w:color w:val="0000FF"/>
            <w:u w:val="single"/>
            <w:rtl/>
          </w:rPr>
          <w:t xml:space="preserve">) </w:t>
        </w:r>
        <w:r w:rsidR="00054630" w:rsidRPr="00054630">
          <w:rPr>
            <w:rFonts w:ascii="Calibri" w:hAnsi="Calibri" w:hint="eastAsia"/>
            <w:color w:val="0000FF"/>
            <w:u w:val="single"/>
            <w:rtl/>
          </w:rPr>
          <w:t>ו</w:t>
        </w:r>
        <w:r w:rsidR="00054630" w:rsidRPr="00054630">
          <w:rPr>
            <w:rFonts w:ascii="Calibri" w:hAnsi="Calibri"/>
            <w:color w:val="0000FF"/>
            <w:u w:val="single"/>
            <w:rtl/>
          </w:rPr>
          <w:t>-(</w:t>
        </w:r>
        <w:r w:rsidR="00054630" w:rsidRPr="00054630">
          <w:rPr>
            <w:rFonts w:ascii="Calibri" w:hAnsi="Calibri" w:hint="eastAsia"/>
            <w:color w:val="0000FF"/>
            <w:u w:val="single"/>
            <w:rtl/>
          </w:rPr>
          <w:t>ג</w:t>
        </w:r>
        <w:r w:rsidR="00054630" w:rsidRPr="00054630">
          <w:rPr>
            <w:rFonts w:ascii="Calibri" w:hAnsi="Calibri"/>
            <w:color w:val="0000FF"/>
            <w:u w:val="single"/>
            <w:rtl/>
          </w:rPr>
          <w:t>)</w:t>
        </w:r>
      </w:hyperlink>
      <w:r w:rsidRPr="009A71EA">
        <w:rPr>
          <w:rFonts w:ascii="Calibri" w:hAnsi="Calibri" w:hint="cs"/>
          <w:rtl/>
        </w:rPr>
        <w:t xml:space="preserve"> רישא לפקודת הסמים המסוכנים [נוסח חדש] התשל"ג-1973.</w:t>
      </w:r>
    </w:p>
    <w:p w14:paraId="4DA6984F"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lastRenderedPageBreak/>
        <w:t>3.</w:t>
      </w:r>
      <w:r w:rsidRPr="009A71EA">
        <w:rPr>
          <w:rFonts w:ascii="Calibri" w:hAnsi="Calibri" w:hint="cs"/>
          <w:rtl/>
        </w:rPr>
        <w:tab/>
        <w:t xml:space="preserve">במסגרת הסדר הטיעון, המליצו הצדדים לבית המשפט להטיל על הנאשם 24 חודשי מאסר בפועל, מאסר על תנאי וקנס בסך 20,000 ₪. </w:t>
      </w:r>
    </w:p>
    <w:p w14:paraId="0B2DF295"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t>4.</w:t>
      </w:r>
      <w:r w:rsidRPr="009A71EA">
        <w:rPr>
          <w:rFonts w:ascii="Calibri" w:hAnsi="Calibri" w:hint="cs"/>
          <w:rtl/>
        </w:rPr>
        <w:tab/>
        <w:t xml:space="preserve">התביעה ציינה כי הרקע להסדר הטיעון נעוץ במצבו הרפואי- הפסיכיאטרי של הנאשם, וכי בנסיבות המיוחדות של המקרה, העונש ראוי. </w:t>
      </w:r>
    </w:p>
    <w:p w14:paraId="7CBFF679" w14:textId="77777777" w:rsidR="009A71EA" w:rsidRPr="009A71EA" w:rsidRDefault="009A71EA" w:rsidP="009A71EA">
      <w:pPr>
        <w:spacing w:after="160" w:line="360" w:lineRule="auto"/>
        <w:ind w:left="720"/>
        <w:jc w:val="both"/>
        <w:rPr>
          <w:rFonts w:ascii="Calibri" w:hAnsi="Calibri"/>
          <w:rtl/>
        </w:rPr>
      </w:pPr>
      <w:r w:rsidRPr="009A71EA">
        <w:rPr>
          <w:rFonts w:ascii="Calibri" w:hAnsi="Calibri" w:hint="cs"/>
          <w:rtl/>
        </w:rPr>
        <w:t xml:space="preserve">ב"כ הנאשם הודה לתביעה על עמדתה, וביקש לכבד את הסדר הטיעון. הוסיף כי הנאשם צעיר ונוצל על ידי אחרים. וציין כי יש לו בעיות רפואיות מורכבות.  </w:t>
      </w:r>
    </w:p>
    <w:p w14:paraId="6B5F7092" w14:textId="77777777" w:rsidR="009A71EA" w:rsidRPr="009A71EA" w:rsidRDefault="009A71EA" w:rsidP="009A71EA">
      <w:pPr>
        <w:spacing w:after="160" w:line="360" w:lineRule="auto"/>
        <w:ind w:firstLine="720"/>
        <w:jc w:val="both"/>
        <w:rPr>
          <w:rFonts w:ascii="Calibri" w:hAnsi="Calibri"/>
          <w:rtl/>
        </w:rPr>
      </w:pPr>
      <w:r w:rsidRPr="009A71EA">
        <w:rPr>
          <w:rFonts w:ascii="Calibri" w:hAnsi="Calibri" w:hint="cs"/>
          <w:rtl/>
        </w:rPr>
        <w:t xml:space="preserve">הנאשם הביע צער על מעשיו. </w:t>
      </w:r>
    </w:p>
    <w:p w14:paraId="476E918A"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t>5.</w:t>
      </w:r>
      <w:r w:rsidRPr="009A71EA">
        <w:rPr>
          <w:rFonts w:ascii="Calibri" w:hAnsi="Calibri" w:hint="cs"/>
          <w:rtl/>
        </w:rPr>
        <w:tab/>
        <w:t xml:space="preserve">ככלל, עבירת גידול וייצור סם מסוכן היא מהחמורות שבעבירות הסמים, שכן מעשים אלה גורמים להכנסת כמות סמים חדשה לשוק הסמים שלא היתה בו קודם לכן. סמים אלה מגיעים בסופו של התהליך לצרכני הסמים, המשתמשים בהם וגורמים לעצמם ולסביבתם את הפגיעות והנזקים שהשימוש בסם מביא אתו. משכך, ככלל, העונש הראוי למעשים כאלה כולל מאסר בפועל לתקופה משמעותית. </w:t>
      </w:r>
    </w:p>
    <w:p w14:paraId="77D248C0" w14:textId="77777777" w:rsidR="009A71EA" w:rsidRPr="009A71EA" w:rsidRDefault="009A71EA" w:rsidP="009A71EA">
      <w:pPr>
        <w:spacing w:after="160" w:line="360" w:lineRule="auto"/>
        <w:ind w:left="720" w:hanging="720"/>
        <w:jc w:val="both"/>
        <w:rPr>
          <w:rFonts w:ascii="Calibri" w:hAnsi="Calibri"/>
          <w:rtl/>
        </w:rPr>
      </w:pPr>
    </w:p>
    <w:p w14:paraId="593DE3FC" w14:textId="77777777" w:rsidR="009A71EA" w:rsidRPr="009A71EA" w:rsidRDefault="009A71EA" w:rsidP="009A71EA">
      <w:pPr>
        <w:spacing w:after="160" w:line="360" w:lineRule="auto"/>
        <w:ind w:left="720" w:hanging="720"/>
        <w:jc w:val="both"/>
        <w:rPr>
          <w:rFonts w:ascii="Calibri" w:hAnsi="Calibri"/>
          <w:rtl/>
        </w:rPr>
      </w:pPr>
      <w:r w:rsidRPr="009A71EA">
        <w:rPr>
          <w:rFonts w:ascii="Calibri" w:hAnsi="Calibri" w:hint="cs"/>
          <w:rtl/>
        </w:rPr>
        <w:t>6.</w:t>
      </w:r>
      <w:r w:rsidRPr="009A71EA">
        <w:rPr>
          <w:rFonts w:ascii="Calibri" w:hAnsi="Calibri" w:hint="cs"/>
          <w:rtl/>
        </w:rPr>
        <w:tab/>
        <w:t xml:space="preserve">כאן, הנאשם הורשע בסיוע לביצוע עבירת גידול הסמים ויש רגליים לטענה שהוא הושפע מאחרים שיזמו את המהלך. הנאשם הודה במעשיו, נטל אחריות וחסך זמן שיפוט יקר. ובנוסף – כעולה מהמסמך הרפואי שהוגש במסגרת טיעוני ההגנה לעונש – הנאשם סובל מבעיות פסיכיאטריות. בהתחשב במכלול הנתונים, העונש המוצע בהסדר הטיעון, סביר. </w:t>
      </w:r>
    </w:p>
    <w:p w14:paraId="36602CAA" w14:textId="77777777" w:rsidR="009A71EA" w:rsidRPr="009A71EA" w:rsidRDefault="009A71EA" w:rsidP="009A71EA">
      <w:pPr>
        <w:spacing w:after="160" w:line="360" w:lineRule="auto"/>
        <w:jc w:val="both"/>
        <w:rPr>
          <w:rFonts w:ascii="Calibri" w:hAnsi="Calibri"/>
          <w:rtl/>
        </w:rPr>
      </w:pPr>
      <w:r w:rsidRPr="009A71EA">
        <w:rPr>
          <w:rFonts w:ascii="Calibri" w:hAnsi="Calibri" w:hint="cs"/>
          <w:rtl/>
        </w:rPr>
        <w:t>7.</w:t>
      </w:r>
      <w:r w:rsidRPr="009A71EA">
        <w:rPr>
          <w:rFonts w:ascii="Calibri" w:hAnsi="Calibri" w:hint="cs"/>
          <w:rtl/>
        </w:rPr>
        <w:tab/>
        <w:t xml:space="preserve">נוכח האמור, אני גוזר על הנאשם את העונשים הבאים - </w:t>
      </w:r>
    </w:p>
    <w:p w14:paraId="229E41BD" w14:textId="77777777" w:rsidR="009A71EA" w:rsidRPr="009A71EA" w:rsidRDefault="009A71EA" w:rsidP="009A71EA">
      <w:pPr>
        <w:spacing w:after="160" w:line="360" w:lineRule="auto"/>
        <w:ind w:firstLine="720"/>
        <w:jc w:val="both"/>
        <w:rPr>
          <w:rFonts w:ascii="Calibri" w:hAnsi="Calibri"/>
          <w:rtl/>
        </w:rPr>
      </w:pPr>
      <w:r w:rsidRPr="009A71EA">
        <w:rPr>
          <w:rFonts w:ascii="Calibri" w:hAnsi="Calibri" w:hint="cs"/>
          <w:rtl/>
        </w:rPr>
        <w:t xml:space="preserve">24 חודשי מאסר בפועל, מיום מעצרו. </w:t>
      </w:r>
    </w:p>
    <w:p w14:paraId="2C4CAA2E" w14:textId="77777777" w:rsidR="009A71EA" w:rsidRPr="009A71EA" w:rsidRDefault="009A71EA" w:rsidP="009A71EA">
      <w:pPr>
        <w:spacing w:after="160" w:line="360" w:lineRule="auto"/>
        <w:ind w:left="720"/>
        <w:jc w:val="both"/>
        <w:rPr>
          <w:rFonts w:ascii="Calibri" w:hAnsi="Calibri"/>
          <w:rtl/>
        </w:rPr>
      </w:pPr>
      <w:r w:rsidRPr="009A71EA">
        <w:rPr>
          <w:rFonts w:ascii="Calibri" w:hAnsi="Calibri" w:hint="cs"/>
          <w:rtl/>
        </w:rPr>
        <w:t xml:space="preserve">6 חודשי מאסר על תנאי למשך 3 שנים מיום שחרורו מהמאסר, שלא יעבור עבירת סמים המסווגת כפשע. </w:t>
      </w:r>
    </w:p>
    <w:p w14:paraId="14297B3C" w14:textId="77777777" w:rsidR="009A71EA" w:rsidRPr="009A71EA" w:rsidRDefault="009A71EA" w:rsidP="009A71EA">
      <w:pPr>
        <w:spacing w:after="160" w:line="360" w:lineRule="auto"/>
        <w:ind w:left="720"/>
        <w:jc w:val="both"/>
        <w:rPr>
          <w:rFonts w:ascii="Calibri" w:hAnsi="Calibri"/>
          <w:rtl/>
        </w:rPr>
      </w:pPr>
      <w:r w:rsidRPr="009A71EA">
        <w:rPr>
          <w:rFonts w:ascii="Calibri" w:hAnsi="Calibri" w:hint="cs"/>
          <w:rtl/>
        </w:rPr>
        <w:t xml:space="preserve">קנס בסך 20,000 ₪ או שלושה חודשי מאסר תחתיו. הקנס ישולם ב – 20 תשלומים חודשיים ורצופים, הראשון בהם ביום 01.10.18. תשלום שלא ישולם במועדו, יעמיד את כל יתרת הסכום לפירעון מיידי. </w:t>
      </w:r>
    </w:p>
    <w:p w14:paraId="16695C14" w14:textId="77777777" w:rsidR="009A71EA" w:rsidRPr="009A71EA" w:rsidRDefault="009A71EA" w:rsidP="009A71EA">
      <w:pPr>
        <w:spacing w:after="160" w:line="360" w:lineRule="auto"/>
        <w:jc w:val="both"/>
        <w:rPr>
          <w:rFonts w:ascii="Calibri" w:hAnsi="Calibri"/>
          <w:rtl/>
        </w:rPr>
      </w:pPr>
    </w:p>
    <w:p w14:paraId="62FE3658" w14:textId="77777777" w:rsidR="009A71EA" w:rsidRPr="009A71EA" w:rsidRDefault="009A71EA" w:rsidP="009A71EA">
      <w:pPr>
        <w:spacing w:after="160" w:line="360" w:lineRule="auto"/>
        <w:jc w:val="both"/>
        <w:rPr>
          <w:rFonts w:ascii="Calibri" w:hAnsi="Calibri"/>
          <w:rtl/>
        </w:rPr>
      </w:pPr>
    </w:p>
    <w:p w14:paraId="4D77A7F5" w14:textId="77777777" w:rsidR="009A71EA" w:rsidRPr="009A71EA" w:rsidRDefault="009A71EA" w:rsidP="009A71EA">
      <w:pPr>
        <w:spacing w:after="160" w:line="360" w:lineRule="auto"/>
        <w:jc w:val="both"/>
        <w:rPr>
          <w:rFonts w:ascii="Calibri" w:hAnsi="Calibri"/>
          <w:rtl/>
        </w:rPr>
      </w:pPr>
      <w:r w:rsidRPr="009A71EA">
        <w:rPr>
          <w:rFonts w:ascii="Calibri" w:hAnsi="Calibri" w:hint="cs"/>
          <w:rtl/>
        </w:rPr>
        <w:t xml:space="preserve">זכות ערעור תוך 45 יום. </w:t>
      </w:r>
    </w:p>
    <w:p w14:paraId="0273419E" w14:textId="77777777" w:rsidR="009A71EA" w:rsidRPr="001613C8" w:rsidRDefault="009A71EA" w:rsidP="009A71EA">
      <w:pPr>
        <w:rPr>
          <w:rtl/>
        </w:rPr>
      </w:pPr>
    </w:p>
    <w:p w14:paraId="1AA8F52F" w14:textId="77777777" w:rsidR="009A71EA" w:rsidRPr="001613C8" w:rsidRDefault="009A71EA" w:rsidP="009A71EA">
      <w:pPr>
        <w:rPr>
          <w:rtl/>
        </w:rPr>
      </w:pPr>
    </w:p>
    <w:p w14:paraId="5ED2DB0D" w14:textId="77777777" w:rsidR="009A71EA" w:rsidRPr="001613C8" w:rsidRDefault="009A71EA" w:rsidP="009A71EA">
      <w:pPr>
        <w:rPr>
          <w:rtl/>
        </w:rPr>
      </w:pPr>
    </w:p>
    <w:p w14:paraId="5A2A5D6F" w14:textId="77777777" w:rsidR="009A71EA" w:rsidRPr="001613C8" w:rsidRDefault="009A71EA" w:rsidP="009A71EA">
      <w:pPr>
        <w:rPr>
          <w:rtl/>
        </w:rPr>
      </w:pPr>
    </w:p>
    <w:p w14:paraId="264F51C1" w14:textId="77777777" w:rsidR="009A71EA" w:rsidRPr="00A57F73" w:rsidRDefault="00A57F73" w:rsidP="009A71EA">
      <w:pPr>
        <w:rPr>
          <w:color w:val="FFFFFF"/>
          <w:sz w:val="2"/>
          <w:szCs w:val="2"/>
          <w:rtl/>
        </w:rPr>
      </w:pPr>
      <w:r w:rsidRPr="00A57F73">
        <w:rPr>
          <w:color w:val="FFFFFF"/>
          <w:sz w:val="2"/>
          <w:szCs w:val="2"/>
          <w:rtl/>
        </w:rPr>
        <w:t>5129371</w:t>
      </w:r>
    </w:p>
    <w:p w14:paraId="4C001834" w14:textId="77777777" w:rsidR="009A71EA" w:rsidRPr="00A57F73" w:rsidRDefault="00A57F73" w:rsidP="009A71EA">
      <w:pPr>
        <w:rPr>
          <w:color w:val="FFFFFF"/>
          <w:sz w:val="2"/>
          <w:szCs w:val="2"/>
          <w:rtl/>
        </w:rPr>
      </w:pPr>
      <w:r w:rsidRPr="00A57F73">
        <w:rPr>
          <w:color w:val="FFFFFF"/>
          <w:sz w:val="2"/>
          <w:szCs w:val="2"/>
          <w:rtl/>
        </w:rPr>
        <w:t>54678313</w:t>
      </w:r>
    </w:p>
    <w:p w14:paraId="3AAD5A7C" w14:textId="77777777" w:rsidR="009A71EA" w:rsidRPr="001613C8" w:rsidRDefault="009A71EA" w:rsidP="009A71EA">
      <w:pPr>
        <w:rPr>
          <w:rtl/>
        </w:rPr>
      </w:pPr>
    </w:p>
    <w:p w14:paraId="2775077D" w14:textId="77777777" w:rsidR="009A71EA" w:rsidRPr="001613C8" w:rsidRDefault="00A57F73" w:rsidP="009A71EA">
      <w:pPr>
        <w:rPr>
          <w:sz w:val="28"/>
          <w:szCs w:val="28"/>
          <w:rtl/>
        </w:rPr>
      </w:pPr>
      <w:r>
        <w:rPr>
          <w:rFonts w:ascii="Arial" w:hAnsi="Arial"/>
          <w:rtl/>
        </w:rPr>
        <w:t xml:space="preserve">ניתן היום,  ח' תשרי תשע"ט, 17 ספטמבר 2018, בהעדר הצדדים. </w:t>
      </w:r>
    </w:p>
    <w:p w14:paraId="4FAD01FA" w14:textId="77777777" w:rsidR="009A71EA" w:rsidRPr="001613C8" w:rsidRDefault="009A71EA" w:rsidP="009A71EA">
      <w:pPr>
        <w:jc w:val="center"/>
      </w:pPr>
      <w:r w:rsidRPr="001613C8">
        <w:rPr>
          <w:rFonts w:hint="cs"/>
          <w:rtl/>
        </w:rPr>
        <w:t xml:space="preserve">   </w:t>
      </w:r>
      <w:r w:rsidRPr="001613C8">
        <w:rPr>
          <w:rFonts w:hint="cs"/>
          <w:rtl/>
        </w:rPr>
        <w:tab/>
      </w:r>
      <w:r w:rsidRPr="001613C8">
        <w:rPr>
          <w:rFonts w:hint="cs"/>
          <w:rtl/>
        </w:rPr>
        <w:tab/>
      </w:r>
      <w:r w:rsidRPr="001613C8">
        <w:rPr>
          <w:rFonts w:hint="cs"/>
          <w:rtl/>
        </w:rPr>
        <w:tab/>
      </w:r>
      <w:r w:rsidRPr="001613C8">
        <w:rPr>
          <w:rFonts w:hint="cs"/>
          <w:rtl/>
        </w:rPr>
        <w:tab/>
      </w:r>
      <w:r w:rsidRPr="001613C8">
        <w:rPr>
          <w:rFonts w:hint="cs"/>
          <w:rtl/>
        </w:rPr>
        <w:tab/>
      </w:r>
      <w:r>
        <w:rPr>
          <w:rtl/>
        </w:rPr>
        <w:t xml:space="preserve">     </w:t>
      </w:r>
    </w:p>
    <w:p w14:paraId="3B31BD2C" w14:textId="77777777" w:rsidR="009A71EA" w:rsidRPr="001613C8" w:rsidRDefault="009A71EA" w:rsidP="009A71EA">
      <w:pPr>
        <w:jc w:val="center"/>
        <w:rPr>
          <w:rFonts w:ascii="Arial" w:hAnsi="Arial"/>
          <w:sz w:val="28"/>
          <w:szCs w:val="28"/>
          <w:rtl/>
        </w:rPr>
      </w:pPr>
    </w:p>
    <w:p w14:paraId="7E33034B" w14:textId="77777777" w:rsidR="000C152E" w:rsidRPr="00A57F73" w:rsidRDefault="000C152E" w:rsidP="00A57F73">
      <w:pPr>
        <w:keepNext/>
        <w:rPr>
          <w:rFonts w:ascii="David" w:hAnsi="David"/>
          <w:color w:val="000000"/>
          <w:sz w:val="22"/>
          <w:szCs w:val="22"/>
          <w:rtl/>
        </w:rPr>
      </w:pPr>
    </w:p>
    <w:p w14:paraId="06124AF0" w14:textId="77777777" w:rsidR="00A57F73" w:rsidRPr="00A57F73" w:rsidRDefault="00A57F73" w:rsidP="00A57F73">
      <w:pPr>
        <w:keepNext/>
        <w:rPr>
          <w:rFonts w:ascii="David" w:hAnsi="David"/>
          <w:color w:val="000000"/>
          <w:sz w:val="22"/>
          <w:szCs w:val="22"/>
          <w:rtl/>
        </w:rPr>
      </w:pPr>
      <w:r w:rsidRPr="00A57F73">
        <w:rPr>
          <w:rFonts w:ascii="David" w:hAnsi="David"/>
          <w:color w:val="000000"/>
          <w:sz w:val="22"/>
          <w:szCs w:val="22"/>
          <w:rtl/>
        </w:rPr>
        <w:t>אליהו ביתן 54678313</w:t>
      </w:r>
    </w:p>
    <w:p w14:paraId="06D181E1" w14:textId="77777777" w:rsidR="00A57F73" w:rsidRDefault="00A57F73" w:rsidP="00A57F73">
      <w:r w:rsidRPr="00A57F73">
        <w:rPr>
          <w:color w:val="000000"/>
          <w:rtl/>
        </w:rPr>
        <w:t>נוסח מסמך זה כפוף לשינויי ניסוח ועריכה</w:t>
      </w:r>
    </w:p>
    <w:p w14:paraId="2E703A0E" w14:textId="77777777" w:rsidR="00A57F73" w:rsidRDefault="00A57F73" w:rsidP="00A57F73">
      <w:pPr>
        <w:rPr>
          <w:rtl/>
        </w:rPr>
      </w:pPr>
    </w:p>
    <w:p w14:paraId="226FF019" w14:textId="77777777" w:rsidR="00A57F73" w:rsidRDefault="00A57F73" w:rsidP="00A57F73">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3B5AADB9" w14:textId="77777777" w:rsidR="00A57F73" w:rsidRPr="00A57F73" w:rsidRDefault="00A57F73" w:rsidP="00A57F73">
      <w:pPr>
        <w:jc w:val="center"/>
        <w:rPr>
          <w:color w:val="0000FF"/>
          <w:u w:val="single"/>
        </w:rPr>
      </w:pPr>
    </w:p>
    <w:sectPr w:rsidR="00A57F73" w:rsidRPr="00A57F73" w:rsidSect="00A57F73">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EF3A" w14:textId="77777777" w:rsidR="00450F1B" w:rsidRDefault="00450F1B" w:rsidP="00087EE3">
      <w:r>
        <w:separator/>
      </w:r>
    </w:p>
  </w:endnote>
  <w:endnote w:type="continuationSeparator" w:id="0">
    <w:p w14:paraId="3DFC683C" w14:textId="77777777" w:rsidR="00450F1B" w:rsidRDefault="00450F1B" w:rsidP="0008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6747" w14:textId="77777777" w:rsidR="00A57F73" w:rsidRDefault="00A57F73" w:rsidP="00A57F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520E8D" w14:textId="77777777" w:rsidR="00AE3A5D" w:rsidRPr="00A57F73" w:rsidRDefault="00A57F73" w:rsidP="00A57F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1FA9D" w14:textId="77777777" w:rsidR="00A57F73" w:rsidRDefault="00A57F73" w:rsidP="00A57F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1BC5">
      <w:rPr>
        <w:rFonts w:ascii="FrankRuehl" w:hAnsi="FrankRuehl" w:cs="FrankRuehl"/>
        <w:noProof/>
        <w:rtl/>
      </w:rPr>
      <w:t>1</w:t>
    </w:r>
    <w:r>
      <w:rPr>
        <w:rFonts w:ascii="FrankRuehl" w:hAnsi="FrankRuehl" w:cs="FrankRuehl"/>
        <w:rtl/>
      </w:rPr>
      <w:fldChar w:fldCharType="end"/>
    </w:r>
  </w:p>
  <w:p w14:paraId="4B284741" w14:textId="77777777" w:rsidR="00AE3A5D" w:rsidRPr="00A57F73" w:rsidRDefault="00A57F73" w:rsidP="00A57F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6A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E63DD" w14:textId="77777777" w:rsidR="00450F1B" w:rsidRDefault="00450F1B" w:rsidP="00087EE3">
      <w:r>
        <w:separator/>
      </w:r>
    </w:p>
  </w:footnote>
  <w:footnote w:type="continuationSeparator" w:id="0">
    <w:p w14:paraId="69B7E86C" w14:textId="77777777" w:rsidR="00450F1B" w:rsidRDefault="00450F1B" w:rsidP="00087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88267" w14:textId="77777777" w:rsidR="00A57F73" w:rsidRPr="00A57F73" w:rsidRDefault="00A57F73" w:rsidP="00A57F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48338-11-17</w:t>
    </w:r>
    <w:r>
      <w:rPr>
        <w:rFonts w:ascii="David" w:hAnsi="David"/>
        <w:color w:val="000000"/>
        <w:sz w:val="22"/>
        <w:szCs w:val="22"/>
        <w:rtl/>
      </w:rPr>
      <w:tab/>
      <w:t xml:space="preserve"> מדינת ישראל נ' ודיע אלהואשלה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70F8" w14:textId="77777777" w:rsidR="00A57F73" w:rsidRPr="00A57F73" w:rsidRDefault="00A57F73" w:rsidP="00A57F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48338-11-17</w:t>
    </w:r>
    <w:r>
      <w:rPr>
        <w:rFonts w:ascii="David" w:hAnsi="David"/>
        <w:color w:val="000000"/>
        <w:sz w:val="22"/>
        <w:szCs w:val="22"/>
        <w:rtl/>
      </w:rPr>
      <w:tab/>
      <w:t xml:space="preserve"> מדינת ישראל נ' ודיע אלהואשלה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71EA"/>
    <w:rsid w:val="00054630"/>
    <w:rsid w:val="00087EE3"/>
    <w:rsid w:val="000C152E"/>
    <w:rsid w:val="00450F1B"/>
    <w:rsid w:val="009A71EA"/>
    <w:rsid w:val="00A57F73"/>
    <w:rsid w:val="00AE3A5D"/>
    <w:rsid w:val="00CF1BC5"/>
    <w:rsid w:val="00E728E2"/>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D6A4EE"/>
  <w15:chartTrackingRefBased/>
  <w15:docId w15:val="{B0A78B50-E562-4841-A592-63B37F1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71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71EA"/>
    <w:pPr>
      <w:tabs>
        <w:tab w:val="center" w:pos="4153"/>
        <w:tab w:val="right" w:pos="8306"/>
      </w:tabs>
    </w:pPr>
  </w:style>
  <w:style w:type="character" w:customStyle="1" w:styleId="a4">
    <w:name w:val="כותרת עליונה תו"/>
    <w:link w:val="a3"/>
    <w:rsid w:val="009A71EA"/>
    <w:rPr>
      <w:rFonts w:ascii="Times New Roman" w:eastAsia="Times New Roman" w:hAnsi="Times New Roman" w:cs="David"/>
      <w:sz w:val="24"/>
      <w:szCs w:val="24"/>
    </w:rPr>
  </w:style>
  <w:style w:type="paragraph" w:styleId="a5">
    <w:name w:val="footer"/>
    <w:basedOn w:val="a"/>
    <w:link w:val="a6"/>
    <w:rsid w:val="009A71EA"/>
    <w:pPr>
      <w:tabs>
        <w:tab w:val="center" w:pos="4153"/>
        <w:tab w:val="right" w:pos="8306"/>
      </w:tabs>
    </w:pPr>
  </w:style>
  <w:style w:type="character" w:customStyle="1" w:styleId="a6">
    <w:name w:val="כותרת תחתונה תו"/>
    <w:link w:val="a5"/>
    <w:rsid w:val="009A71EA"/>
    <w:rPr>
      <w:rFonts w:ascii="Times New Roman" w:eastAsia="Times New Roman" w:hAnsi="Times New Roman" w:cs="David"/>
      <w:sz w:val="24"/>
      <w:szCs w:val="24"/>
    </w:rPr>
  </w:style>
  <w:style w:type="table" w:styleId="a7">
    <w:name w:val="Table Grid"/>
    <w:basedOn w:val="a1"/>
    <w:rsid w:val="009A71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71EA"/>
  </w:style>
  <w:style w:type="character" w:styleId="Hyperlink">
    <w:name w:val="Hyperlink"/>
    <w:rsid w:val="00A57F7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48338</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ודיע אלהואשלה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20180917</vt:lpwstr>
  </property>
  <property fmtid="{D5CDD505-2E9C-101B-9397-08002B2CF9AE}" pid="13" name="TYPE_N_DATE">
    <vt:lpwstr>39020180917</vt:lpwstr>
  </property>
  <property fmtid="{D5CDD505-2E9C-101B-9397-08002B2CF9AE}" pid="14" name="WORDNUMPAGES">
    <vt:lpwstr>3</vt:lpwstr>
  </property>
  <property fmtid="{D5CDD505-2E9C-101B-9397-08002B2CF9AE}" pid="15" name="TYPE_ABS_DATE">
    <vt:lpwstr>390020180917</vt:lpwstr>
  </property>
  <property fmtid="{D5CDD505-2E9C-101B-9397-08002B2CF9AE}" pid="16" name="ISABSTRACT">
    <vt:lpwstr>Y</vt:lpwstr>
  </property>
  <property fmtid="{D5CDD505-2E9C-101B-9397-08002B2CF9AE}" pid="17" name="LAWLISTTMP1">
    <vt:lpwstr>4216/006;007.a;007.c</vt:lpwstr>
  </property>
  <property fmtid="{D5CDD505-2E9C-101B-9397-08002B2CF9AE}" pid="18" name="LAWLISTTMP2">
    <vt:lpwstr>70301/031</vt:lpwstr>
  </property>
</Properties>
</file>