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B32BEC" w:rsidRPr="00DE63F6" w14:paraId="15279C8D" w14:textId="77777777" w:rsidTr="003F3AC4">
        <w:trPr>
          <w:trHeight w:hRule="exact" w:val="418"/>
          <w:jc w:val="center"/>
        </w:trPr>
        <w:tc>
          <w:tcPr>
            <w:tcW w:w="8861" w:type="dxa"/>
            <w:gridSpan w:val="2"/>
          </w:tcPr>
          <w:p w14:paraId="4AED8582" w14:textId="77777777" w:rsidR="00B32BEC" w:rsidRPr="00DE63F6" w:rsidRDefault="00B32BEC" w:rsidP="003F3AC4">
            <w:pPr>
              <w:pStyle w:val="a3"/>
              <w:jc w:val="center"/>
              <w:rPr>
                <w:rFonts w:ascii="Tahoma" w:hAnsi="Tahoma"/>
                <w:color w:val="000080"/>
                <w:sz w:val="32"/>
                <w:szCs w:val="32"/>
                <w:rtl/>
              </w:rPr>
            </w:pPr>
            <w:bookmarkStart w:id="0" w:name="LastJudge"/>
            <w:r w:rsidRPr="00DE63F6">
              <w:rPr>
                <w:rFonts w:ascii="Tahoma" w:hAnsi="Tahoma"/>
                <w:b/>
                <w:bCs/>
                <w:color w:val="000080"/>
                <w:sz w:val="32"/>
                <w:szCs w:val="32"/>
                <w:rtl/>
              </w:rPr>
              <w:t>בית המשפט המחוזי בתל אביב - יפו</w:t>
            </w:r>
          </w:p>
        </w:tc>
      </w:tr>
      <w:tr w:rsidR="00B32BEC" w:rsidRPr="00DE63F6" w14:paraId="7258E1B6" w14:textId="77777777" w:rsidTr="003F3AC4">
        <w:trPr>
          <w:trHeight w:val="337"/>
          <w:jc w:val="center"/>
        </w:trPr>
        <w:tc>
          <w:tcPr>
            <w:tcW w:w="5131" w:type="dxa"/>
          </w:tcPr>
          <w:p w14:paraId="2BAD9C46" w14:textId="77777777" w:rsidR="00B32BEC" w:rsidRPr="00DE63F6" w:rsidRDefault="00B32BEC" w:rsidP="003F3AC4">
            <w:pPr>
              <w:rPr>
                <w:sz w:val="26"/>
                <w:szCs w:val="26"/>
                <w:rtl/>
              </w:rPr>
            </w:pPr>
            <w:r w:rsidRPr="00DE63F6">
              <w:rPr>
                <w:sz w:val="26"/>
                <w:szCs w:val="26"/>
                <w:rtl/>
              </w:rPr>
              <w:t>ת"פ</w:t>
            </w:r>
            <w:r w:rsidRPr="00DE63F6">
              <w:rPr>
                <w:rFonts w:hint="cs"/>
                <w:sz w:val="26"/>
                <w:szCs w:val="26"/>
                <w:rtl/>
              </w:rPr>
              <w:t xml:space="preserve"> </w:t>
            </w:r>
            <w:r w:rsidRPr="00DE63F6">
              <w:rPr>
                <w:sz w:val="26"/>
                <w:szCs w:val="26"/>
                <w:rtl/>
              </w:rPr>
              <w:t>68352-01-18</w:t>
            </w:r>
            <w:r w:rsidRPr="00DE63F6">
              <w:rPr>
                <w:rFonts w:hint="cs"/>
                <w:sz w:val="26"/>
                <w:szCs w:val="26"/>
                <w:rtl/>
              </w:rPr>
              <w:t xml:space="preserve"> </w:t>
            </w:r>
            <w:r w:rsidRPr="00DE63F6">
              <w:rPr>
                <w:sz w:val="26"/>
                <w:szCs w:val="26"/>
                <w:rtl/>
              </w:rPr>
              <w:t>מדינת ישראל נ' עסאף(עציר) ואח'</w:t>
            </w:r>
          </w:p>
          <w:p w14:paraId="3E50F51C" w14:textId="77777777" w:rsidR="00B32BEC" w:rsidRPr="00DE63F6" w:rsidRDefault="00B32BEC" w:rsidP="003F3AC4">
            <w:pPr>
              <w:pStyle w:val="a3"/>
              <w:rPr>
                <w:rFonts w:cs="FrankRuehl"/>
                <w:sz w:val="28"/>
                <w:szCs w:val="28"/>
                <w:rtl/>
              </w:rPr>
            </w:pPr>
          </w:p>
        </w:tc>
        <w:tc>
          <w:tcPr>
            <w:tcW w:w="3730" w:type="dxa"/>
          </w:tcPr>
          <w:p w14:paraId="42D7F82E" w14:textId="77777777" w:rsidR="00B32BEC" w:rsidRPr="00DE63F6" w:rsidRDefault="00B32BEC" w:rsidP="003F3AC4">
            <w:pPr>
              <w:pStyle w:val="a3"/>
              <w:jc w:val="right"/>
              <w:rPr>
                <w:rFonts w:cs="FrankRuehl"/>
                <w:sz w:val="28"/>
                <w:szCs w:val="28"/>
                <w:rtl/>
              </w:rPr>
            </w:pPr>
          </w:p>
        </w:tc>
      </w:tr>
    </w:tbl>
    <w:p w14:paraId="56D7FDA0" w14:textId="77777777" w:rsidR="00B32BEC" w:rsidRPr="00DE63F6" w:rsidRDefault="00B32BEC" w:rsidP="00B32BEC">
      <w:pPr>
        <w:pStyle w:val="a3"/>
        <w:rPr>
          <w:rtl/>
        </w:rPr>
      </w:pPr>
      <w:r w:rsidRPr="00DE63F6">
        <w:rPr>
          <w:rFonts w:hint="cs"/>
          <w:rtl/>
        </w:rPr>
        <w:t xml:space="preserve"> </w:t>
      </w:r>
    </w:p>
    <w:p w14:paraId="3729BC5E" w14:textId="77777777" w:rsidR="00B32BEC" w:rsidRPr="00DE63F6" w:rsidRDefault="00B32BEC" w:rsidP="00B32BE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7"/>
        <w:gridCol w:w="3306"/>
        <w:gridCol w:w="3357"/>
      </w:tblGrid>
      <w:tr w:rsidR="00B32BEC" w:rsidRPr="00DE63F6" w14:paraId="01C83A67" w14:textId="77777777" w:rsidTr="00B32BEC">
        <w:trPr>
          <w:trHeight w:val="295"/>
          <w:jc w:val="center"/>
        </w:trPr>
        <w:tc>
          <w:tcPr>
            <w:tcW w:w="8820" w:type="dxa"/>
            <w:gridSpan w:val="3"/>
            <w:tcBorders>
              <w:top w:val="nil"/>
              <w:left w:val="nil"/>
              <w:bottom w:val="nil"/>
              <w:right w:val="nil"/>
            </w:tcBorders>
            <w:shd w:val="clear" w:color="auto" w:fill="auto"/>
          </w:tcPr>
          <w:p w14:paraId="572C2270" w14:textId="77777777" w:rsidR="00B32BEC" w:rsidRPr="00DE63F6" w:rsidRDefault="00B32BEC" w:rsidP="00B32BEC">
            <w:pPr>
              <w:jc w:val="both"/>
              <w:rPr>
                <w:rFonts w:ascii="Arial" w:hAnsi="Arial"/>
                <w:b/>
                <w:bCs/>
                <w:rtl/>
              </w:rPr>
            </w:pPr>
            <w:r w:rsidRPr="00DE63F6">
              <w:rPr>
                <w:rFonts w:ascii="Arial" w:hAnsi="Arial" w:hint="cs"/>
                <w:b/>
                <w:bCs/>
                <w:rtl/>
              </w:rPr>
              <w:t>ל</w:t>
            </w:r>
            <w:r w:rsidRPr="00DE63F6">
              <w:rPr>
                <w:rFonts w:ascii="Arial" w:hAnsi="Arial"/>
                <w:b/>
                <w:bCs/>
                <w:rtl/>
              </w:rPr>
              <w:t xml:space="preserve">פני </w:t>
            </w:r>
            <w:r w:rsidRPr="00DE63F6">
              <w:rPr>
                <w:rFonts w:ascii="Arial" w:hAnsi="Arial" w:hint="cs"/>
                <w:b/>
                <w:bCs/>
                <w:rtl/>
              </w:rPr>
              <w:t>כבוד ה</w:t>
            </w:r>
            <w:r w:rsidRPr="00DE63F6">
              <w:rPr>
                <w:rFonts w:ascii="Arial" w:hAnsi="Arial"/>
                <w:b/>
                <w:bCs/>
                <w:rtl/>
              </w:rPr>
              <w:t>שופט</w:t>
            </w:r>
            <w:r w:rsidRPr="00DE63F6">
              <w:rPr>
                <w:rFonts w:ascii="Arial" w:hAnsi="Arial" w:hint="cs"/>
                <w:b/>
                <w:bCs/>
                <w:rtl/>
              </w:rPr>
              <w:t xml:space="preserve">  </w:t>
            </w:r>
            <w:r w:rsidRPr="00DE63F6">
              <w:rPr>
                <w:rFonts w:ascii="Arial" w:hAnsi="Arial"/>
                <w:b/>
                <w:bCs/>
                <w:rtl/>
              </w:rPr>
              <w:t>בני שגיא</w:t>
            </w:r>
          </w:p>
          <w:p w14:paraId="5331F6AE" w14:textId="77777777" w:rsidR="00B32BEC" w:rsidRPr="00DE63F6" w:rsidRDefault="00B32BEC" w:rsidP="003F3AC4">
            <w:pPr>
              <w:rPr>
                <w:rtl/>
              </w:rPr>
            </w:pPr>
          </w:p>
          <w:p w14:paraId="3ED162CD" w14:textId="77777777" w:rsidR="00B32BEC" w:rsidRPr="00DE63F6" w:rsidRDefault="00B32BEC" w:rsidP="00B32BEC">
            <w:pPr>
              <w:jc w:val="both"/>
              <w:rPr>
                <w:rFonts w:ascii="Arial" w:hAnsi="Arial"/>
              </w:rPr>
            </w:pPr>
          </w:p>
        </w:tc>
      </w:tr>
      <w:tr w:rsidR="00B32BEC" w:rsidRPr="00DE63F6" w14:paraId="5C21DA0F" w14:textId="77777777" w:rsidTr="00B32BEC">
        <w:trPr>
          <w:trHeight w:val="355"/>
          <w:jc w:val="center"/>
        </w:trPr>
        <w:tc>
          <w:tcPr>
            <w:tcW w:w="2157" w:type="dxa"/>
            <w:tcBorders>
              <w:top w:val="nil"/>
              <w:left w:val="nil"/>
              <w:bottom w:val="nil"/>
              <w:right w:val="nil"/>
            </w:tcBorders>
            <w:shd w:val="clear" w:color="auto" w:fill="auto"/>
          </w:tcPr>
          <w:p w14:paraId="7975326B" w14:textId="77777777" w:rsidR="00B32BEC" w:rsidRPr="00DE63F6" w:rsidRDefault="00B32BEC" w:rsidP="00B32BEC">
            <w:pPr>
              <w:jc w:val="both"/>
              <w:rPr>
                <w:rFonts w:ascii="Arial" w:hAnsi="Arial"/>
                <w:b/>
                <w:bCs/>
              </w:rPr>
            </w:pPr>
            <w:bookmarkStart w:id="1" w:name="FirstAppellant"/>
            <w:bookmarkStart w:id="2" w:name="FirstLawyer"/>
            <w:r w:rsidRPr="00DE63F6">
              <w:rPr>
                <w:rFonts w:ascii="Arial" w:hAnsi="Arial" w:hint="cs"/>
                <w:b/>
                <w:bCs/>
                <w:rtl/>
              </w:rPr>
              <w:t>ה</w:t>
            </w:r>
            <w:r w:rsidRPr="00DE63F6">
              <w:rPr>
                <w:rFonts w:ascii="Arial" w:hAnsi="Arial"/>
                <w:b/>
                <w:bCs/>
                <w:rtl/>
              </w:rPr>
              <w:t>מאשימה</w:t>
            </w:r>
          </w:p>
        </w:tc>
        <w:tc>
          <w:tcPr>
            <w:tcW w:w="3306" w:type="dxa"/>
            <w:tcBorders>
              <w:top w:val="nil"/>
              <w:left w:val="nil"/>
              <w:bottom w:val="nil"/>
              <w:right w:val="nil"/>
            </w:tcBorders>
            <w:shd w:val="clear" w:color="auto" w:fill="auto"/>
          </w:tcPr>
          <w:p w14:paraId="201C2B23" w14:textId="77777777" w:rsidR="00B32BEC" w:rsidRPr="00DE63F6" w:rsidRDefault="00B32BEC" w:rsidP="00B32BEC">
            <w:pPr>
              <w:spacing w:line="360" w:lineRule="auto"/>
              <w:rPr>
                <w:b/>
                <w:bCs/>
                <w:rtl/>
              </w:rPr>
            </w:pPr>
            <w:r w:rsidRPr="00DE63F6">
              <w:rPr>
                <w:rFonts w:ascii="Arial" w:hAnsi="Arial"/>
                <w:b/>
                <w:bCs/>
                <w:rtl/>
              </w:rPr>
              <w:t>מדינת ישראל</w:t>
            </w:r>
          </w:p>
          <w:p w14:paraId="73AF9648" w14:textId="77777777" w:rsidR="00B32BEC" w:rsidRPr="00DE63F6" w:rsidRDefault="00B32BEC" w:rsidP="003F3AC4">
            <w:r w:rsidRPr="00DE63F6">
              <w:rPr>
                <w:rFonts w:hint="cs"/>
                <w:rtl/>
              </w:rPr>
              <w:t>על-ידי ב"כ עו"ד צחי יונגר</w:t>
            </w:r>
          </w:p>
        </w:tc>
        <w:tc>
          <w:tcPr>
            <w:tcW w:w="3357" w:type="dxa"/>
            <w:tcBorders>
              <w:top w:val="nil"/>
              <w:left w:val="nil"/>
              <w:bottom w:val="nil"/>
              <w:right w:val="nil"/>
            </w:tcBorders>
            <w:shd w:val="clear" w:color="auto" w:fill="auto"/>
          </w:tcPr>
          <w:p w14:paraId="32254DAE" w14:textId="77777777" w:rsidR="00B32BEC" w:rsidRPr="00DE63F6" w:rsidRDefault="00B32BEC" w:rsidP="00B32BEC">
            <w:pPr>
              <w:jc w:val="both"/>
              <w:rPr>
                <w:rFonts w:ascii="Arial" w:hAnsi="Arial"/>
              </w:rPr>
            </w:pPr>
          </w:p>
        </w:tc>
      </w:tr>
      <w:bookmarkEnd w:id="1"/>
      <w:bookmarkEnd w:id="2"/>
      <w:tr w:rsidR="00B32BEC" w:rsidRPr="00DE63F6" w14:paraId="5729BF45" w14:textId="77777777" w:rsidTr="00B32BEC">
        <w:trPr>
          <w:trHeight w:val="355"/>
          <w:jc w:val="center"/>
        </w:trPr>
        <w:tc>
          <w:tcPr>
            <w:tcW w:w="2157" w:type="dxa"/>
            <w:tcBorders>
              <w:top w:val="nil"/>
              <w:left w:val="nil"/>
              <w:bottom w:val="nil"/>
              <w:right w:val="nil"/>
            </w:tcBorders>
            <w:shd w:val="clear" w:color="auto" w:fill="auto"/>
          </w:tcPr>
          <w:p w14:paraId="19B76717" w14:textId="77777777" w:rsidR="00B32BEC" w:rsidRPr="00DE63F6" w:rsidRDefault="00B32BEC" w:rsidP="00B32BEC">
            <w:pPr>
              <w:jc w:val="both"/>
              <w:rPr>
                <w:rFonts w:ascii="Arial" w:hAnsi="Arial"/>
                <w:rtl/>
              </w:rPr>
            </w:pPr>
          </w:p>
        </w:tc>
        <w:tc>
          <w:tcPr>
            <w:tcW w:w="3306" w:type="dxa"/>
            <w:tcBorders>
              <w:top w:val="nil"/>
              <w:left w:val="nil"/>
              <w:bottom w:val="nil"/>
              <w:right w:val="nil"/>
            </w:tcBorders>
            <w:shd w:val="clear" w:color="auto" w:fill="auto"/>
          </w:tcPr>
          <w:p w14:paraId="2BFA9794" w14:textId="77777777" w:rsidR="00B32BEC" w:rsidRPr="00DE63F6" w:rsidRDefault="00B32BEC" w:rsidP="003F3AC4">
            <w:pPr>
              <w:rPr>
                <w:rFonts w:ascii="Arial" w:hAnsi="Arial"/>
                <w:rtl/>
              </w:rPr>
            </w:pPr>
          </w:p>
        </w:tc>
        <w:tc>
          <w:tcPr>
            <w:tcW w:w="3357" w:type="dxa"/>
            <w:tcBorders>
              <w:top w:val="nil"/>
              <w:left w:val="nil"/>
              <w:bottom w:val="nil"/>
              <w:right w:val="nil"/>
            </w:tcBorders>
            <w:shd w:val="clear" w:color="auto" w:fill="auto"/>
          </w:tcPr>
          <w:p w14:paraId="4795C169" w14:textId="77777777" w:rsidR="00B32BEC" w:rsidRPr="00DE63F6" w:rsidRDefault="00B32BEC" w:rsidP="00B32BEC">
            <w:pPr>
              <w:jc w:val="right"/>
              <w:rPr>
                <w:rFonts w:ascii="Arial" w:hAnsi="Arial"/>
                <w:rtl/>
              </w:rPr>
            </w:pPr>
          </w:p>
        </w:tc>
      </w:tr>
      <w:tr w:rsidR="00B32BEC" w:rsidRPr="00DE63F6" w14:paraId="2178FEDA" w14:textId="77777777" w:rsidTr="00B32BEC">
        <w:trPr>
          <w:trHeight w:val="355"/>
          <w:jc w:val="center"/>
        </w:trPr>
        <w:tc>
          <w:tcPr>
            <w:tcW w:w="2157" w:type="dxa"/>
            <w:tcBorders>
              <w:top w:val="nil"/>
              <w:left w:val="nil"/>
              <w:bottom w:val="nil"/>
              <w:right w:val="nil"/>
            </w:tcBorders>
            <w:shd w:val="clear" w:color="auto" w:fill="auto"/>
          </w:tcPr>
          <w:p w14:paraId="779BAA02" w14:textId="77777777" w:rsidR="00B32BEC" w:rsidRPr="00DE63F6" w:rsidRDefault="00B32BEC" w:rsidP="00B32BEC">
            <w:pPr>
              <w:jc w:val="both"/>
              <w:rPr>
                <w:rFonts w:ascii="Arial" w:hAnsi="Arial"/>
                <w:rtl/>
              </w:rPr>
            </w:pPr>
          </w:p>
        </w:tc>
        <w:tc>
          <w:tcPr>
            <w:tcW w:w="6663" w:type="dxa"/>
            <w:gridSpan w:val="2"/>
            <w:tcBorders>
              <w:top w:val="nil"/>
              <w:left w:val="nil"/>
              <w:bottom w:val="nil"/>
              <w:right w:val="nil"/>
            </w:tcBorders>
            <w:shd w:val="clear" w:color="auto" w:fill="auto"/>
          </w:tcPr>
          <w:p w14:paraId="29D5F6CE" w14:textId="77777777" w:rsidR="00B32BEC" w:rsidRPr="00DE63F6" w:rsidRDefault="00B32BEC" w:rsidP="00B32BEC">
            <w:pPr>
              <w:jc w:val="center"/>
              <w:rPr>
                <w:rFonts w:ascii="Arial" w:hAnsi="Arial"/>
                <w:b/>
                <w:bCs/>
                <w:rtl/>
              </w:rPr>
            </w:pPr>
          </w:p>
          <w:p w14:paraId="1069FBDB" w14:textId="77777777" w:rsidR="00B32BEC" w:rsidRPr="00DE63F6" w:rsidRDefault="00B32BEC" w:rsidP="003F3AC4">
            <w:pPr>
              <w:rPr>
                <w:rFonts w:ascii="Arial" w:hAnsi="Arial"/>
                <w:b/>
                <w:bCs/>
                <w:rtl/>
              </w:rPr>
            </w:pPr>
            <w:r w:rsidRPr="00DE63F6">
              <w:rPr>
                <w:rFonts w:ascii="Arial" w:hAnsi="Arial" w:hint="cs"/>
                <w:b/>
                <w:bCs/>
                <w:rtl/>
              </w:rPr>
              <w:t xml:space="preserve">                           </w:t>
            </w:r>
            <w:r w:rsidRPr="00DE63F6">
              <w:rPr>
                <w:rFonts w:ascii="Arial" w:hAnsi="Arial"/>
                <w:b/>
                <w:bCs/>
                <w:rtl/>
              </w:rPr>
              <w:t>נגד</w:t>
            </w:r>
          </w:p>
          <w:p w14:paraId="4CEFAAD1" w14:textId="77777777" w:rsidR="00B32BEC" w:rsidRPr="00DE63F6" w:rsidRDefault="00B32BEC" w:rsidP="00B32BEC">
            <w:pPr>
              <w:jc w:val="both"/>
              <w:rPr>
                <w:rFonts w:ascii="Arial" w:hAnsi="Arial"/>
              </w:rPr>
            </w:pPr>
          </w:p>
        </w:tc>
      </w:tr>
      <w:tr w:rsidR="00B32BEC" w:rsidRPr="00DE63F6" w14:paraId="03379A21" w14:textId="77777777" w:rsidTr="00B32BEC">
        <w:trPr>
          <w:trHeight w:val="355"/>
          <w:jc w:val="center"/>
        </w:trPr>
        <w:tc>
          <w:tcPr>
            <w:tcW w:w="2157" w:type="dxa"/>
            <w:tcBorders>
              <w:top w:val="nil"/>
              <w:left w:val="nil"/>
              <w:bottom w:val="nil"/>
              <w:right w:val="nil"/>
            </w:tcBorders>
            <w:shd w:val="clear" w:color="auto" w:fill="auto"/>
          </w:tcPr>
          <w:p w14:paraId="39D5AC64" w14:textId="77777777" w:rsidR="00B32BEC" w:rsidRPr="00DE63F6" w:rsidRDefault="00B32BEC" w:rsidP="003F3AC4">
            <w:pPr>
              <w:rPr>
                <w:rFonts w:ascii="Arial" w:hAnsi="Arial"/>
                <w:b/>
                <w:bCs/>
                <w:rtl/>
              </w:rPr>
            </w:pPr>
            <w:r w:rsidRPr="00DE63F6">
              <w:rPr>
                <w:rFonts w:ascii="Arial" w:hAnsi="Arial" w:hint="cs"/>
                <w:b/>
                <w:bCs/>
                <w:rtl/>
              </w:rPr>
              <w:t>ה</w:t>
            </w:r>
            <w:r w:rsidRPr="00DE63F6">
              <w:rPr>
                <w:rFonts w:ascii="Arial" w:hAnsi="Arial"/>
                <w:b/>
                <w:bCs/>
                <w:rtl/>
              </w:rPr>
              <w:t>נאשם</w:t>
            </w:r>
          </w:p>
        </w:tc>
        <w:tc>
          <w:tcPr>
            <w:tcW w:w="3306" w:type="dxa"/>
            <w:tcBorders>
              <w:top w:val="nil"/>
              <w:left w:val="nil"/>
              <w:bottom w:val="nil"/>
              <w:right w:val="nil"/>
            </w:tcBorders>
            <w:shd w:val="clear" w:color="auto" w:fill="auto"/>
          </w:tcPr>
          <w:p w14:paraId="55433ED6" w14:textId="77777777" w:rsidR="00B32BEC" w:rsidRPr="00DE63F6" w:rsidRDefault="00B32BEC" w:rsidP="00B32BEC">
            <w:pPr>
              <w:spacing w:line="360" w:lineRule="auto"/>
              <w:rPr>
                <w:rFonts w:ascii="Arial" w:hAnsi="Arial"/>
                <w:b/>
                <w:bCs/>
                <w:rtl/>
              </w:rPr>
            </w:pPr>
            <w:r w:rsidRPr="00DE63F6">
              <w:rPr>
                <w:rFonts w:ascii="Arial" w:hAnsi="Arial" w:hint="cs"/>
                <w:b/>
                <w:bCs/>
                <w:rtl/>
              </w:rPr>
              <w:t>2. יאסין סעדי</w:t>
            </w:r>
          </w:p>
          <w:p w14:paraId="0FCE6EAA" w14:textId="77777777" w:rsidR="00B32BEC" w:rsidRPr="00DE63F6" w:rsidRDefault="00B32BEC" w:rsidP="003F3AC4">
            <w:pPr>
              <w:rPr>
                <w:rtl/>
              </w:rPr>
            </w:pPr>
            <w:r w:rsidRPr="00DE63F6">
              <w:rPr>
                <w:rFonts w:hint="cs"/>
                <w:rtl/>
              </w:rPr>
              <w:t>על-ידי ב"כ עו"ד מחמוד נעאמנה</w:t>
            </w:r>
          </w:p>
        </w:tc>
        <w:tc>
          <w:tcPr>
            <w:tcW w:w="3357" w:type="dxa"/>
            <w:tcBorders>
              <w:top w:val="nil"/>
              <w:left w:val="nil"/>
              <w:bottom w:val="nil"/>
              <w:right w:val="nil"/>
            </w:tcBorders>
            <w:shd w:val="clear" w:color="auto" w:fill="auto"/>
          </w:tcPr>
          <w:p w14:paraId="7D7817D7" w14:textId="77777777" w:rsidR="00B32BEC" w:rsidRPr="00DE63F6" w:rsidRDefault="00B32BEC" w:rsidP="00B32BEC">
            <w:pPr>
              <w:jc w:val="right"/>
              <w:rPr>
                <w:rFonts w:ascii="Arial" w:hAnsi="Arial"/>
              </w:rPr>
            </w:pPr>
          </w:p>
        </w:tc>
      </w:tr>
      <w:tr w:rsidR="00B32BEC" w:rsidRPr="00DE63F6" w14:paraId="7B8FA67D" w14:textId="77777777" w:rsidTr="00B32BEC">
        <w:trPr>
          <w:trHeight w:val="355"/>
          <w:jc w:val="center"/>
        </w:trPr>
        <w:tc>
          <w:tcPr>
            <w:tcW w:w="2157" w:type="dxa"/>
            <w:tcBorders>
              <w:top w:val="nil"/>
              <w:left w:val="nil"/>
              <w:bottom w:val="nil"/>
              <w:right w:val="nil"/>
            </w:tcBorders>
            <w:shd w:val="clear" w:color="auto" w:fill="auto"/>
          </w:tcPr>
          <w:p w14:paraId="0720A3C2" w14:textId="77777777" w:rsidR="00B32BEC" w:rsidRPr="00DE63F6" w:rsidRDefault="00B32BEC" w:rsidP="00B32BEC">
            <w:pPr>
              <w:jc w:val="both"/>
              <w:rPr>
                <w:rFonts w:ascii="Arial" w:hAnsi="Arial"/>
                <w:sz w:val="26"/>
                <w:szCs w:val="26"/>
                <w:rtl/>
              </w:rPr>
            </w:pPr>
          </w:p>
        </w:tc>
        <w:tc>
          <w:tcPr>
            <w:tcW w:w="3306" w:type="dxa"/>
            <w:tcBorders>
              <w:top w:val="nil"/>
              <w:left w:val="nil"/>
              <w:bottom w:val="nil"/>
              <w:right w:val="nil"/>
            </w:tcBorders>
            <w:shd w:val="clear" w:color="auto" w:fill="auto"/>
          </w:tcPr>
          <w:p w14:paraId="0A36ECB3" w14:textId="77777777" w:rsidR="00B32BEC" w:rsidRPr="00DE63F6" w:rsidRDefault="00B32BEC" w:rsidP="003F3AC4">
            <w:pPr>
              <w:rPr>
                <w:rFonts w:ascii="Arial" w:hAnsi="Arial"/>
                <w:sz w:val="26"/>
                <w:szCs w:val="26"/>
              </w:rPr>
            </w:pPr>
          </w:p>
        </w:tc>
        <w:tc>
          <w:tcPr>
            <w:tcW w:w="3357" w:type="dxa"/>
            <w:tcBorders>
              <w:top w:val="nil"/>
              <w:left w:val="nil"/>
              <w:bottom w:val="nil"/>
              <w:right w:val="nil"/>
            </w:tcBorders>
            <w:shd w:val="clear" w:color="auto" w:fill="auto"/>
          </w:tcPr>
          <w:p w14:paraId="7823415E" w14:textId="77777777" w:rsidR="00B32BEC" w:rsidRPr="00DE63F6" w:rsidRDefault="00B32BEC" w:rsidP="00B32BEC">
            <w:pPr>
              <w:jc w:val="right"/>
              <w:rPr>
                <w:rFonts w:ascii="Arial" w:hAnsi="Arial"/>
                <w:sz w:val="26"/>
                <w:szCs w:val="26"/>
              </w:rPr>
            </w:pPr>
          </w:p>
        </w:tc>
      </w:tr>
    </w:tbl>
    <w:p w14:paraId="50F2FF92" w14:textId="77777777" w:rsidR="00B32BEC" w:rsidRPr="00DE63F6" w:rsidRDefault="00B32BEC" w:rsidP="00B32BEC">
      <w:pPr>
        <w:rPr>
          <w:rtl/>
        </w:rPr>
      </w:pPr>
    </w:p>
    <w:p w14:paraId="15436F1D" w14:textId="77777777" w:rsidR="00B32BEC" w:rsidRPr="00DE63F6" w:rsidRDefault="00B32BEC" w:rsidP="00B32BE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2BEC" w:rsidRPr="00DE63F6" w14:paraId="472A8263" w14:textId="77777777" w:rsidTr="00B32BEC">
        <w:trPr>
          <w:trHeight w:val="355"/>
          <w:jc w:val="center"/>
        </w:trPr>
        <w:tc>
          <w:tcPr>
            <w:tcW w:w="8820" w:type="dxa"/>
            <w:tcBorders>
              <w:top w:val="nil"/>
              <w:left w:val="nil"/>
              <w:bottom w:val="nil"/>
              <w:right w:val="nil"/>
            </w:tcBorders>
            <w:shd w:val="clear" w:color="auto" w:fill="auto"/>
          </w:tcPr>
          <w:p w14:paraId="570A74AA" w14:textId="77777777" w:rsidR="00B32BEC" w:rsidRPr="00DE63F6" w:rsidRDefault="00B32BEC" w:rsidP="00B32BEC">
            <w:pPr>
              <w:jc w:val="center"/>
              <w:rPr>
                <w:rFonts w:ascii="Arial" w:hAnsi="Arial"/>
                <w:sz w:val="28"/>
                <w:szCs w:val="28"/>
                <w:rtl/>
              </w:rPr>
            </w:pPr>
            <w:bookmarkStart w:id="3" w:name="PsakDin"/>
            <w:r w:rsidRPr="00DE63F6">
              <w:rPr>
                <w:rFonts w:ascii="Arial" w:hAnsi="Arial" w:hint="cs"/>
                <w:b/>
                <w:bCs/>
                <w:sz w:val="28"/>
                <w:szCs w:val="28"/>
                <w:rtl/>
              </w:rPr>
              <w:t xml:space="preserve">גזר </w:t>
            </w:r>
            <w:bookmarkEnd w:id="3"/>
            <w:r w:rsidRPr="00DE63F6">
              <w:rPr>
                <w:rFonts w:ascii="Arial" w:hAnsi="Arial" w:hint="cs"/>
                <w:b/>
                <w:bCs/>
                <w:sz w:val="28"/>
                <w:szCs w:val="28"/>
                <w:rtl/>
              </w:rPr>
              <w:t xml:space="preserve">דין </w:t>
            </w:r>
            <w:r w:rsidRPr="00DE63F6">
              <w:rPr>
                <w:rFonts w:ascii="Arial" w:hAnsi="Arial"/>
                <w:b/>
                <w:bCs/>
                <w:sz w:val="28"/>
                <w:szCs w:val="28"/>
                <w:rtl/>
              </w:rPr>
              <w:t>–</w:t>
            </w:r>
            <w:r w:rsidRPr="00DE63F6">
              <w:rPr>
                <w:rFonts w:ascii="Arial" w:hAnsi="Arial" w:hint="cs"/>
                <w:b/>
                <w:bCs/>
                <w:sz w:val="28"/>
                <w:szCs w:val="28"/>
                <w:rtl/>
              </w:rPr>
              <w:t xml:space="preserve"> נאשם 2</w:t>
            </w:r>
          </w:p>
        </w:tc>
      </w:tr>
    </w:tbl>
    <w:p w14:paraId="44D8E7A2" w14:textId="77777777" w:rsidR="00B32BEC" w:rsidRPr="00DE63F6" w:rsidRDefault="00B32BEC" w:rsidP="00B32BEC">
      <w:pPr>
        <w:rPr>
          <w:rFonts w:ascii="Arial" w:hAnsi="Arial"/>
          <w:rtl/>
        </w:rPr>
      </w:pPr>
    </w:p>
    <w:p w14:paraId="503AF942" w14:textId="77777777" w:rsidR="00B32BEC" w:rsidRPr="00DE63F6" w:rsidRDefault="00B32BEC" w:rsidP="00B32BEC">
      <w:pPr>
        <w:spacing w:line="360" w:lineRule="auto"/>
        <w:rPr>
          <w:rFonts w:ascii="Arial" w:hAnsi="Arial"/>
          <w:rtl/>
        </w:rPr>
      </w:pPr>
    </w:p>
    <w:p w14:paraId="017936CA" w14:textId="77777777" w:rsidR="00B32BEC" w:rsidRPr="00DE63F6" w:rsidRDefault="00B32BEC" w:rsidP="00B32BEC">
      <w:pPr>
        <w:spacing w:line="360" w:lineRule="auto"/>
        <w:rPr>
          <w:rFonts w:hint="cs"/>
          <w:rtl/>
        </w:rPr>
      </w:pPr>
      <w:r w:rsidRPr="00DE63F6">
        <w:rPr>
          <w:rtl/>
        </w:rPr>
        <w:tab/>
      </w:r>
      <w:r w:rsidRPr="00DE63F6">
        <w:rPr>
          <w:rFonts w:hint="cs"/>
          <w:rtl/>
        </w:rPr>
        <w:t>כללי</w:t>
      </w:r>
      <w:r w:rsidR="00775FD2">
        <w:rPr>
          <w:rFonts w:hint="cs"/>
          <w:rtl/>
        </w:rPr>
        <w:t xml:space="preserve">   </w:t>
      </w:r>
    </w:p>
    <w:p w14:paraId="2237A6BF" w14:textId="77777777" w:rsidR="00B32BEC" w:rsidRPr="00DE63F6" w:rsidRDefault="00B32BEC" w:rsidP="00B32BEC">
      <w:pPr>
        <w:spacing w:line="360" w:lineRule="auto"/>
        <w:rPr>
          <w:rtl/>
        </w:rPr>
      </w:pPr>
    </w:p>
    <w:p w14:paraId="4C04AC2D" w14:textId="77777777" w:rsidR="00B32BEC" w:rsidRPr="00DE63F6" w:rsidRDefault="00B32BEC" w:rsidP="00B32BEC">
      <w:pPr>
        <w:spacing w:line="360" w:lineRule="auto"/>
        <w:ind w:left="720" w:hanging="720"/>
        <w:jc w:val="both"/>
        <w:rPr>
          <w:rtl/>
        </w:rPr>
      </w:pPr>
      <w:r w:rsidRPr="00DE63F6">
        <w:rPr>
          <w:rFonts w:hint="cs"/>
          <w:rtl/>
        </w:rPr>
        <w:t>1.</w:t>
      </w:r>
      <w:r w:rsidRPr="00DE63F6">
        <w:rPr>
          <w:rFonts w:hint="cs"/>
          <w:rtl/>
        </w:rPr>
        <w:tab/>
      </w:r>
      <w:bookmarkStart w:id="4" w:name="ABSTRACT_START"/>
      <w:bookmarkEnd w:id="4"/>
      <w:r w:rsidRPr="00DE63F6">
        <w:rPr>
          <w:rFonts w:hint="cs"/>
          <w:rtl/>
        </w:rPr>
        <w:t xml:space="preserve">נאשם 2 (להלן </w:t>
      </w:r>
      <w:r w:rsidRPr="00DE63F6">
        <w:rPr>
          <w:rtl/>
        </w:rPr>
        <w:t>–</w:t>
      </w:r>
      <w:r w:rsidRPr="00DE63F6">
        <w:rPr>
          <w:rFonts w:hint="cs"/>
          <w:rtl/>
        </w:rPr>
        <w:t xml:space="preserve"> </w:t>
      </w:r>
      <w:r w:rsidRPr="00DE63F6">
        <w:rPr>
          <w:rFonts w:hint="cs"/>
          <w:b/>
          <w:bCs/>
          <w:rtl/>
        </w:rPr>
        <w:t xml:space="preserve">הנאשם) </w:t>
      </w:r>
      <w:r w:rsidRPr="00DE63F6">
        <w:rPr>
          <w:rFonts w:hint="cs"/>
          <w:rtl/>
        </w:rPr>
        <w:t xml:space="preserve">הורשע בעבירה של סחר בסם מסוכן, וזאת על בסיס עובדותיו של האישום הראשון כפי שאלה פורטו בכתב האישום, למעט הגעתו לקיוסק ביום 19.10.17 לצורך איסוף יתרת התשלום. </w:t>
      </w:r>
    </w:p>
    <w:p w14:paraId="6A4E27EE" w14:textId="77777777" w:rsidR="00B32BEC" w:rsidRPr="00DE63F6" w:rsidRDefault="00B32BEC" w:rsidP="00B32BEC">
      <w:pPr>
        <w:spacing w:line="360" w:lineRule="auto"/>
        <w:ind w:left="720" w:hanging="720"/>
        <w:jc w:val="both"/>
        <w:rPr>
          <w:rtl/>
        </w:rPr>
      </w:pPr>
    </w:p>
    <w:p w14:paraId="535EB512" w14:textId="77777777" w:rsidR="00B32BEC" w:rsidRPr="00DE63F6" w:rsidRDefault="00B32BEC" w:rsidP="00B32BEC">
      <w:pPr>
        <w:spacing w:line="360" w:lineRule="auto"/>
        <w:ind w:left="720" w:hanging="720"/>
        <w:jc w:val="both"/>
        <w:rPr>
          <w:rtl/>
        </w:rPr>
      </w:pPr>
      <w:r w:rsidRPr="00DE63F6">
        <w:rPr>
          <w:rtl/>
        </w:rPr>
        <w:tab/>
      </w:r>
      <w:r w:rsidRPr="00DE63F6">
        <w:rPr>
          <w:rFonts w:hint="cs"/>
          <w:rtl/>
        </w:rPr>
        <w:t xml:space="preserve">בהינתן העובדה שניתנה הכרעת דין מפורטת, לא ראיתי לחזור בהרחבה על עובדות כתב האישום, ואסתפק בכך שאציין כי מדובר במי שמכר, בצוותא עם נאשם 1, סם מסוכן מסוג קוקאין במשקל 58.78 לסוכן משטרתי, תמורת 24,000 ₪. אתייחס בהמשך לעובדות נוספות שנקבעו בהכרעת הדין, שיש בהן כדי להשפיע על קביעת מתחם העונש ההולם. </w:t>
      </w:r>
    </w:p>
    <w:p w14:paraId="735544AF" w14:textId="77777777" w:rsidR="00B32BEC" w:rsidRPr="00DE63F6" w:rsidRDefault="00B32BEC" w:rsidP="00B32BEC">
      <w:pPr>
        <w:spacing w:line="360" w:lineRule="auto"/>
        <w:ind w:left="720" w:hanging="720"/>
        <w:jc w:val="both"/>
        <w:rPr>
          <w:rtl/>
        </w:rPr>
      </w:pPr>
    </w:p>
    <w:p w14:paraId="2938E2EA" w14:textId="77777777" w:rsidR="00B32BEC" w:rsidRPr="00DE63F6" w:rsidRDefault="00B32BEC" w:rsidP="00B32BEC">
      <w:pPr>
        <w:spacing w:line="360" w:lineRule="auto"/>
        <w:ind w:left="720" w:hanging="720"/>
        <w:jc w:val="both"/>
        <w:rPr>
          <w:rtl/>
        </w:rPr>
      </w:pPr>
      <w:bookmarkStart w:id="5" w:name="ABSTRACT_END"/>
      <w:bookmarkEnd w:id="5"/>
      <w:r w:rsidRPr="00DE63F6">
        <w:rPr>
          <w:rtl/>
        </w:rPr>
        <w:tab/>
      </w:r>
      <w:r w:rsidRPr="00DE63F6">
        <w:rPr>
          <w:rFonts w:hint="cs"/>
          <w:rtl/>
        </w:rPr>
        <w:t xml:space="preserve">לציין כי נאשם 1 בכתב האישום הודה במסגרת הסדר טיעון הן במעורבות באישום הראשון (בו הורשע אף הנאשם) והן במכירת 50.8 גרם סם מסוכן מסוג קוקאין לסוכן באישום השני, ונדון ל- 40 חודשי מאסר. </w:t>
      </w:r>
    </w:p>
    <w:bookmarkEnd w:id="0"/>
    <w:p w14:paraId="0665EFDF" w14:textId="77777777" w:rsidR="00B32BEC" w:rsidRDefault="00B32BEC" w:rsidP="00B32BEC">
      <w:pPr>
        <w:spacing w:line="360" w:lineRule="auto"/>
        <w:ind w:left="720" w:hanging="720"/>
        <w:jc w:val="both"/>
        <w:rPr>
          <w:rtl/>
        </w:rPr>
      </w:pPr>
    </w:p>
    <w:p w14:paraId="0FAFEEB8" w14:textId="77777777" w:rsidR="00B32BEC" w:rsidRDefault="00B32BEC" w:rsidP="00B32BEC">
      <w:pPr>
        <w:spacing w:line="360" w:lineRule="auto"/>
        <w:ind w:left="720" w:hanging="720"/>
        <w:jc w:val="both"/>
        <w:rPr>
          <w:rtl/>
        </w:rPr>
      </w:pPr>
      <w:r>
        <w:rPr>
          <w:rtl/>
        </w:rPr>
        <w:tab/>
      </w:r>
      <w:r>
        <w:rPr>
          <w:rFonts w:hint="cs"/>
          <w:rtl/>
        </w:rPr>
        <w:t xml:space="preserve">הנאשם בחר לכפור באשמתו, והורשע לאחר שמיעת ראיות. </w:t>
      </w:r>
    </w:p>
    <w:p w14:paraId="6B65BEDD" w14:textId="77777777" w:rsidR="00B32BEC" w:rsidRDefault="00B32BEC" w:rsidP="00B32BEC">
      <w:pPr>
        <w:spacing w:line="360" w:lineRule="auto"/>
        <w:ind w:left="720" w:hanging="720"/>
        <w:jc w:val="both"/>
        <w:rPr>
          <w:rtl/>
        </w:rPr>
      </w:pPr>
    </w:p>
    <w:p w14:paraId="39582311" w14:textId="77777777" w:rsidR="00B32BEC" w:rsidRDefault="00B32BEC" w:rsidP="00B32BEC">
      <w:pPr>
        <w:spacing w:line="360" w:lineRule="auto"/>
        <w:ind w:left="720" w:hanging="720"/>
        <w:jc w:val="both"/>
        <w:rPr>
          <w:rtl/>
        </w:rPr>
      </w:pPr>
      <w:r>
        <w:rPr>
          <w:rtl/>
        </w:rPr>
        <w:tab/>
      </w:r>
      <w:r>
        <w:rPr>
          <w:rFonts w:hint="cs"/>
          <w:u w:val="single"/>
          <w:rtl/>
        </w:rPr>
        <w:t>טיעוני הצדדים לעונש</w:t>
      </w:r>
    </w:p>
    <w:p w14:paraId="0546038B" w14:textId="77777777" w:rsidR="00B32BEC" w:rsidRPr="006F4B2F" w:rsidRDefault="00B32BEC" w:rsidP="00B32BEC">
      <w:pPr>
        <w:spacing w:line="360" w:lineRule="auto"/>
        <w:ind w:left="720" w:hanging="720"/>
        <w:jc w:val="both"/>
        <w:rPr>
          <w:rtl/>
        </w:rPr>
      </w:pPr>
    </w:p>
    <w:p w14:paraId="6A02A018" w14:textId="77777777" w:rsidR="00B32BEC" w:rsidRDefault="00B32BEC" w:rsidP="00B32BEC">
      <w:pPr>
        <w:spacing w:line="360" w:lineRule="auto"/>
        <w:ind w:left="720" w:hanging="720"/>
        <w:jc w:val="both"/>
        <w:rPr>
          <w:rtl/>
        </w:rPr>
      </w:pPr>
      <w:r>
        <w:rPr>
          <w:rFonts w:hint="cs"/>
          <w:rtl/>
        </w:rPr>
        <w:t>2.</w:t>
      </w:r>
      <w:r>
        <w:rPr>
          <w:rFonts w:hint="cs"/>
          <w:rtl/>
        </w:rPr>
        <w:tab/>
        <w:t xml:space="preserve">התובע, עו"ד צחי יונגר, עמד בטיעוניו על החומרה הנוגעת בביצוע עבירות סמים, על הפגיעה בשלום הציבור ובריאותו, ועל העובדה שחלק מצרכני הסמים הופכים לנטל על החברה ומבצעים עבירות נוספות. </w:t>
      </w:r>
      <w:r>
        <w:rPr>
          <w:rFonts w:hint="cs"/>
          <w:rtl/>
        </w:rPr>
        <w:lastRenderedPageBreak/>
        <w:t xml:space="preserve">עוד התייחס התובע לסוג הסם, לכמותו, ולמידת הדומיננטיות המשמעותית של הנאשם כפי שזו נקבעה בהכרעת הדין. </w:t>
      </w:r>
    </w:p>
    <w:p w14:paraId="01C4A631" w14:textId="77777777" w:rsidR="00B32BEC" w:rsidRDefault="00B32BEC" w:rsidP="00B32BEC">
      <w:pPr>
        <w:spacing w:line="360" w:lineRule="auto"/>
        <w:ind w:left="720" w:hanging="720"/>
        <w:jc w:val="both"/>
        <w:rPr>
          <w:rtl/>
        </w:rPr>
      </w:pPr>
    </w:p>
    <w:p w14:paraId="702867BC" w14:textId="77777777" w:rsidR="00B32BEC" w:rsidRDefault="00B32BEC" w:rsidP="00B32BEC">
      <w:pPr>
        <w:spacing w:line="360" w:lineRule="auto"/>
        <w:ind w:left="720" w:hanging="720"/>
        <w:jc w:val="both"/>
        <w:rPr>
          <w:rtl/>
        </w:rPr>
      </w:pPr>
      <w:r>
        <w:rPr>
          <w:rtl/>
        </w:rPr>
        <w:tab/>
      </w:r>
      <w:r>
        <w:rPr>
          <w:rFonts w:hint="cs"/>
          <w:rtl/>
        </w:rPr>
        <w:t>בהינתן מידת הדומיננטיות המוגברת והקביעה לפיה הנאשם הוא "ספק הסם" (במובחן מנאשם 1), ביקש התובע לקבוע מתחם עונש חמור יותר מזה שנקבע בעניינו של האישום הראשון בגזר הדין שניתן בעניינו של נאשם 1, כך שהרף התחתון שלו יעמוד על 42 חודשי מאסר והרף העליון על 70 חודשי מאסר. התובע הגיש פסיקה רלוונטית לעבירות סמים וכן פסקי דין שניתנו בפרשה הנוכחית, בתיקים של נאשמים אחרים שהופללו על-ידי אותו סוכן.</w:t>
      </w:r>
    </w:p>
    <w:p w14:paraId="59209182" w14:textId="77777777" w:rsidR="00B32BEC" w:rsidRDefault="00B32BEC" w:rsidP="00B32BEC">
      <w:pPr>
        <w:spacing w:line="360" w:lineRule="auto"/>
        <w:ind w:left="720" w:hanging="720"/>
        <w:jc w:val="both"/>
        <w:rPr>
          <w:rtl/>
        </w:rPr>
      </w:pPr>
    </w:p>
    <w:p w14:paraId="517AFC85" w14:textId="77777777" w:rsidR="00B32BEC" w:rsidRDefault="00B32BEC" w:rsidP="00B32BEC">
      <w:pPr>
        <w:spacing w:line="360" w:lineRule="auto"/>
        <w:ind w:left="720" w:hanging="720"/>
        <w:jc w:val="both"/>
        <w:rPr>
          <w:rtl/>
        </w:rPr>
      </w:pPr>
      <w:r>
        <w:rPr>
          <w:rtl/>
        </w:rPr>
        <w:tab/>
      </w:r>
      <w:r>
        <w:rPr>
          <w:rFonts w:hint="cs"/>
          <w:rtl/>
        </w:rPr>
        <w:t xml:space="preserve">באשר לקביעת העונש המתאים, ובשים לב לעובדה כי לא ניתן להעניק לנאשם הקלה המוענקת לאלה שבחרו לקבל אחריות על מעשיהם, ולאור עברו הפלילי, עתר התובע להשתת עונש המשקף את חלקו העליון של מתחם הענישה. </w:t>
      </w:r>
    </w:p>
    <w:p w14:paraId="7636616A" w14:textId="77777777" w:rsidR="00B32BEC" w:rsidRDefault="00B32BEC" w:rsidP="00B32BEC">
      <w:pPr>
        <w:spacing w:line="360" w:lineRule="auto"/>
        <w:ind w:left="720" w:hanging="720"/>
        <w:jc w:val="both"/>
        <w:rPr>
          <w:rtl/>
        </w:rPr>
      </w:pPr>
    </w:p>
    <w:p w14:paraId="1F441D51" w14:textId="77777777" w:rsidR="00B32BEC" w:rsidRDefault="00B32BEC" w:rsidP="00B32BEC">
      <w:pPr>
        <w:spacing w:line="360" w:lineRule="auto"/>
        <w:ind w:left="720" w:hanging="720"/>
        <w:jc w:val="both"/>
        <w:rPr>
          <w:rtl/>
        </w:rPr>
      </w:pPr>
      <w:r>
        <w:rPr>
          <w:rFonts w:hint="cs"/>
          <w:rtl/>
        </w:rPr>
        <w:t>3.</w:t>
      </w:r>
      <w:r>
        <w:rPr>
          <w:rFonts w:hint="cs"/>
          <w:rtl/>
        </w:rPr>
        <w:tab/>
        <w:t xml:space="preserve">הסנגור, עו"ד מחמוד נעאמנה, עמד בטיעוניו על ההצדקה שהייתה קיימת, לשיטתו, לניהול התיק, ותלה זאת הן בחזרת התביעה (בהמלצת בית המשפט </w:t>
      </w:r>
      <w:r>
        <w:rPr>
          <w:rtl/>
        </w:rPr>
        <w:t>–</w:t>
      </w:r>
      <w:r>
        <w:rPr>
          <w:rFonts w:hint="cs"/>
          <w:rtl/>
        </w:rPr>
        <w:t xml:space="preserve"> ראה הכרעת הדין) מהעבירה של עסקה אחרת בסם, ובקביעה לפיה הנאשם לא אסף את יתרת התמורה ביום 19.10.17. עוד עמד הסנגור על נתוניו האישיים של הנאשם, על נישואיו ליהודייה שהולידו משברים משפחתיים לא פשוטים עימם נאלצו בני הזוג להתמודד, על לידת בנו (ומעצרו בסמוך לאחר מכן), ועל התרסקותו הכלכלית (הוגש צו כינוס - סומן נע/1). </w:t>
      </w:r>
    </w:p>
    <w:p w14:paraId="13255F01" w14:textId="77777777" w:rsidR="00B32BEC" w:rsidRDefault="00B32BEC" w:rsidP="00B32BEC">
      <w:pPr>
        <w:spacing w:line="360" w:lineRule="auto"/>
        <w:ind w:left="720" w:hanging="720"/>
        <w:jc w:val="both"/>
        <w:rPr>
          <w:rtl/>
        </w:rPr>
      </w:pPr>
      <w:r>
        <w:rPr>
          <w:rtl/>
        </w:rPr>
        <w:br/>
      </w:r>
      <w:r>
        <w:rPr>
          <w:rFonts w:hint="cs"/>
          <w:rtl/>
        </w:rPr>
        <w:t>פרק משמעותי בטיעוניו הקדיש הסנגור להשוואה בין עניינו של נאשם 1 לעניינו של הנאשם, ונטען כי אם על נאשם 1 שהורשע בשני אישומים, הוטל עונש של 40 חודשי מאסר, יש להטיל על הנאשם פחות ממחצית העונש, וזאת בהינתן חלקו המשמעותי של נאשם 1, והעובדה כי המשיך לבצע עסקאות עם אותו סוכן. באותו הקשר עמד הסנגור על עברו הפלילי המכביד של נאשם 1, ועל העובדה כי העבירות בוצעו על ידו בסמוך לשחרורו ממאסר ממושך.</w:t>
      </w:r>
    </w:p>
    <w:p w14:paraId="1BBA7425" w14:textId="77777777" w:rsidR="00B32BEC" w:rsidRDefault="00B32BEC" w:rsidP="00B32BEC">
      <w:pPr>
        <w:spacing w:line="360" w:lineRule="auto"/>
        <w:ind w:left="720" w:hanging="720"/>
        <w:jc w:val="both"/>
        <w:rPr>
          <w:rtl/>
        </w:rPr>
      </w:pPr>
    </w:p>
    <w:p w14:paraId="5B066D8E" w14:textId="77777777" w:rsidR="00B32BEC" w:rsidRDefault="00B32BEC" w:rsidP="00B32BEC">
      <w:pPr>
        <w:spacing w:line="360" w:lineRule="auto"/>
        <w:ind w:left="720" w:hanging="720"/>
        <w:jc w:val="both"/>
        <w:rPr>
          <w:rtl/>
        </w:rPr>
      </w:pPr>
      <w:r>
        <w:rPr>
          <w:rtl/>
        </w:rPr>
        <w:tab/>
      </w:r>
      <w:r>
        <w:rPr>
          <w:rFonts w:hint="cs"/>
          <w:rtl/>
        </w:rPr>
        <w:t xml:space="preserve">בסיכומו של טיעון, עתר הסנגור לקביעת מתחם הנע בין 15 ל- 30 חודשי מאסר, ולהשתת עונש המשקף את הרף התחתון של המתחם. </w:t>
      </w:r>
    </w:p>
    <w:p w14:paraId="20A5D0AE" w14:textId="77777777" w:rsidR="00B32BEC" w:rsidRDefault="00B32BEC" w:rsidP="00B32BEC">
      <w:pPr>
        <w:spacing w:line="360" w:lineRule="auto"/>
        <w:ind w:left="720" w:hanging="720"/>
        <w:jc w:val="both"/>
        <w:rPr>
          <w:rtl/>
        </w:rPr>
      </w:pPr>
    </w:p>
    <w:p w14:paraId="144372DD" w14:textId="77777777" w:rsidR="00B32BEC" w:rsidRDefault="00B32BEC" w:rsidP="00B32BEC">
      <w:pPr>
        <w:spacing w:line="360" w:lineRule="auto"/>
        <w:ind w:left="720" w:hanging="720"/>
        <w:jc w:val="both"/>
        <w:rPr>
          <w:rtl/>
        </w:rPr>
      </w:pPr>
      <w:r>
        <w:rPr>
          <w:rFonts w:hint="cs"/>
          <w:rtl/>
        </w:rPr>
        <w:t>4.</w:t>
      </w:r>
      <w:r>
        <w:rPr>
          <w:rFonts w:hint="cs"/>
          <w:rtl/>
        </w:rPr>
        <w:tab/>
        <w:t xml:space="preserve">הנאשם בדברו האחרון עמד על כפירתו בעובדות בהן הורשע, ולצד זאת התייחס גם למצבו האישי ולמשבר שפקד אותו. </w:t>
      </w:r>
    </w:p>
    <w:p w14:paraId="7A9A3EFB" w14:textId="77777777" w:rsidR="00B32BEC" w:rsidRDefault="00B32BEC" w:rsidP="00B32BEC">
      <w:pPr>
        <w:spacing w:line="360" w:lineRule="auto"/>
        <w:ind w:left="720" w:hanging="720"/>
        <w:jc w:val="both"/>
        <w:rPr>
          <w:rtl/>
        </w:rPr>
      </w:pPr>
    </w:p>
    <w:p w14:paraId="0A6F13F4" w14:textId="77777777" w:rsidR="00B32BEC" w:rsidRDefault="00B32BEC" w:rsidP="00B32BEC">
      <w:pPr>
        <w:overflowPunct w:val="0"/>
        <w:autoSpaceDE w:val="0"/>
        <w:autoSpaceDN w:val="0"/>
        <w:adjustRightInd w:val="0"/>
        <w:spacing w:after="120" w:line="360" w:lineRule="auto"/>
        <w:ind w:left="720" w:hanging="720"/>
        <w:jc w:val="both"/>
        <w:rPr>
          <w:rFonts w:ascii="Arial (W1)" w:hAnsi="Arial (W1)"/>
          <w:rtl/>
        </w:rPr>
      </w:pPr>
      <w:r>
        <w:rPr>
          <w:rFonts w:ascii="Arial (W1)" w:hAnsi="Arial (W1)"/>
          <w:rtl/>
        </w:rPr>
        <w:tab/>
      </w:r>
      <w:r>
        <w:rPr>
          <w:rFonts w:ascii="Arial (W1)" w:hAnsi="Arial (W1)" w:hint="cs"/>
          <w:u w:val="single"/>
          <w:rtl/>
        </w:rPr>
        <w:t>קביעת העונש ההולם</w:t>
      </w:r>
    </w:p>
    <w:p w14:paraId="625D395A" w14:textId="77777777" w:rsidR="00B32BEC" w:rsidRPr="006D0446" w:rsidRDefault="00B32BEC" w:rsidP="00B32BEC">
      <w:pPr>
        <w:overflowPunct w:val="0"/>
        <w:autoSpaceDE w:val="0"/>
        <w:autoSpaceDN w:val="0"/>
        <w:adjustRightInd w:val="0"/>
        <w:spacing w:after="120"/>
        <w:ind w:left="720" w:hanging="720"/>
        <w:jc w:val="both"/>
        <w:rPr>
          <w:rFonts w:ascii="Arial (W1)" w:hAnsi="Arial (W1)"/>
          <w:rtl/>
        </w:rPr>
      </w:pPr>
    </w:p>
    <w:p w14:paraId="2D6E1700" w14:textId="77777777" w:rsidR="00B32BEC" w:rsidRDefault="00B32BEC" w:rsidP="00B32BEC">
      <w:pPr>
        <w:overflowPunct w:val="0"/>
        <w:autoSpaceDE w:val="0"/>
        <w:autoSpaceDN w:val="0"/>
        <w:adjustRightInd w:val="0"/>
        <w:spacing w:line="360" w:lineRule="auto"/>
        <w:ind w:left="720" w:hanging="720"/>
        <w:jc w:val="both"/>
        <w:rPr>
          <w:rFonts w:ascii="Arial (W1)" w:hAnsi="Arial (W1)"/>
          <w:rtl/>
        </w:rPr>
      </w:pPr>
      <w:r>
        <w:rPr>
          <w:rFonts w:ascii="Arial (W1)" w:hAnsi="Arial (W1)" w:hint="cs"/>
          <w:rtl/>
        </w:rPr>
        <w:t>5.</w:t>
      </w:r>
      <w:r>
        <w:rPr>
          <w:rFonts w:ascii="Arial (W1)" w:hAnsi="Arial (W1)" w:hint="cs"/>
          <w:rtl/>
        </w:rPr>
        <w:tab/>
        <w:t xml:space="preserve">בגזר הדין שניתן בעניינו של נאשם 1, עמדתי על מכלול השיקולים הרלוונטיים לקביעת מתחם העונש ההולם (בעניינו של נאשם 1 באישום הראשון), ודברים אלה יהוו בסיס גם לקביעת מתחם העונש ההולם בעניינו של הנאשם </w:t>
      </w:r>
      <w:r>
        <w:rPr>
          <w:rFonts w:ascii="Arial (W1)" w:hAnsi="Arial (W1)"/>
          <w:rtl/>
        </w:rPr>
        <w:t>–</w:t>
      </w:r>
      <w:r>
        <w:rPr>
          <w:rFonts w:ascii="Arial (W1)" w:hAnsi="Arial (W1)" w:hint="cs"/>
          <w:rtl/>
        </w:rPr>
        <w:t xml:space="preserve"> שותפו באותו אישום.</w:t>
      </w:r>
    </w:p>
    <w:p w14:paraId="737524A7" w14:textId="77777777" w:rsidR="00B32BEC" w:rsidRDefault="00B32BEC" w:rsidP="00B32BEC">
      <w:pPr>
        <w:overflowPunct w:val="0"/>
        <w:autoSpaceDE w:val="0"/>
        <w:autoSpaceDN w:val="0"/>
        <w:adjustRightInd w:val="0"/>
        <w:spacing w:line="360" w:lineRule="auto"/>
        <w:ind w:left="720" w:hanging="720"/>
        <w:jc w:val="both"/>
        <w:rPr>
          <w:rFonts w:ascii="Arial (W1)" w:hAnsi="Arial (W1)"/>
          <w:rtl/>
        </w:rPr>
      </w:pPr>
    </w:p>
    <w:p w14:paraId="700C09B6" w14:textId="77777777" w:rsidR="00B32BEC" w:rsidRDefault="00B32BEC" w:rsidP="00B32BEC">
      <w:pPr>
        <w:overflowPunct w:val="0"/>
        <w:autoSpaceDE w:val="0"/>
        <w:autoSpaceDN w:val="0"/>
        <w:adjustRightInd w:val="0"/>
        <w:spacing w:line="360" w:lineRule="auto"/>
        <w:ind w:left="720"/>
        <w:jc w:val="both"/>
        <w:rPr>
          <w:rFonts w:ascii="Arial (W1)" w:hAnsi="Arial (W1)"/>
        </w:rPr>
      </w:pPr>
      <w:r>
        <w:rPr>
          <w:rFonts w:ascii="Arial (W1)" w:hAnsi="Arial (W1)" w:hint="cs"/>
          <w:rtl/>
        </w:rPr>
        <w:lastRenderedPageBreak/>
        <w:t>באשר לערכים המוגנים, ציינתי כי דומה שהכל נכתב אודות עבירות הסמים אשר פוגעות פגיעה קשה בשלום הציבור, בבריאותו, ובאותם ערכים נלווים הקשורים בטבורם לעבירות הסמים. כידוע, השימוש בסמים אינו רק עניינו של המשתמש, ולעיתים רבות הופך המשתמש לנטל על החברה, ופועל בתחומי עבריינות נוספים על מנת לממן את צריכת הסם. במקרה דנן, ניתן לומר כי קיימת פגיעה משמעותית בערכים המוגנים, וברור כי קיימת חשיבות לנזק הפוטנציאלי הגלום במעשיו של הנאשם, ולא רק הנזק שהתממש בפועל. יחד עם זאת, יש לקחת בחשבון כי הסמים הועברו  לסוכן משטרתי ולכן לא מצאו את דרכם לידי משתמשים.</w:t>
      </w:r>
    </w:p>
    <w:p w14:paraId="18DD6C74" w14:textId="77777777" w:rsidR="00B32BEC" w:rsidRDefault="00B32BEC" w:rsidP="00B32BEC">
      <w:pPr>
        <w:spacing w:line="360" w:lineRule="auto"/>
        <w:ind w:left="720" w:hanging="720"/>
        <w:jc w:val="both"/>
        <w:rPr>
          <w:rFonts w:ascii="Arial (W1)" w:hAnsi="Arial (W1)"/>
          <w:rtl/>
        </w:rPr>
      </w:pPr>
    </w:p>
    <w:p w14:paraId="01964FD2" w14:textId="77777777" w:rsidR="00B32BEC" w:rsidRPr="00502178" w:rsidRDefault="00B32BEC" w:rsidP="00B32BEC">
      <w:pPr>
        <w:spacing w:line="360" w:lineRule="auto"/>
        <w:ind w:left="720" w:hanging="720"/>
        <w:jc w:val="both"/>
        <w:rPr>
          <w:rFonts w:ascii="Arial (W1)" w:hAnsi="Arial (W1)"/>
          <w:color w:val="000000"/>
          <w:rtl/>
        </w:rPr>
      </w:pPr>
      <w:r>
        <w:rPr>
          <w:rFonts w:ascii="Arial (W1)" w:hAnsi="Arial (W1)" w:hint="cs"/>
          <w:color w:val="000000"/>
          <w:rtl/>
        </w:rPr>
        <w:tab/>
        <w:t>עוד התייחסתי לפסיקת בית המשפט העליון, באשר לחומרה היתרה של עבירות הסמים, ולהשלכות הקשות שיש לשימוש בסם על גופו ועל נפשו של המשתמש [ראו, למשל,</w:t>
      </w:r>
      <w:r w:rsidRPr="00502178">
        <w:rPr>
          <w:rFonts w:ascii="Arial (W1)" w:hAnsi="Arial (W1)" w:hint="cs"/>
          <w:color w:val="000000"/>
          <w:rtl/>
        </w:rPr>
        <w:t xml:space="preserve"> </w:t>
      </w:r>
      <w:hyperlink r:id="rId6" w:history="1">
        <w:r w:rsidR="00DE63F6" w:rsidRPr="00DE63F6">
          <w:rPr>
            <w:color w:val="0000FF"/>
            <w:u w:val="single"/>
            <w:rtl/>
          </w:rPr>
          <w:t>ע"פ 6029/03 מדינת ישראל נ' שמאי, פ"ד נח</w:t>
        </w:r>
      </w:hyperlink>
      <w:r w:rsidRPr="00502178">
        <w:rPr>
          <w:rFonts w:ascii="Arial (W1)" w:hAnsi="Arial (W1)" w:hint="cs"/>
          <w:color w:val="000000"/>
          <w:rtl/>
        </w:rPr>
        <w:t>(2) 734 (2004), שם נקבע כי הענישה אמורה "לשקף את הצורך הדוחק להביא להדברת הנגע"].</w:t>
      </w:r>
    </w:p>
    <w:p w14:paraId="7E80EF2C" w14:textId="77777777" w:rsidR="00B32BEC" w:rsidRPr="00741D31" w:rsidRDefault="00B32BEC" w:rsidP="00B32BEC">
      <w:pPr>
        <w:spacing w:line="360" w:lineRule="auto"/>
        <w:ind w:left="720" w:hanging="720"/>
        <w:jc w:val="both"/>
        <w:rPr>
          <w:rFonts w:ascii="Arial (W1)" w:hAnsi="Arial (W1)"/>
          <w:b/>
          <w:bCs/>
          <w:color w:val="000000"/>
        </w:rPr>
      </w:pPr>
    </w:p>
    <w:p w14:paraId="33645A8E" w14:textId="77777777" w:rsidR="00B32BEC" w:rsidRDefault="00B32BEC" w:rsidP="00B32BEC">
      <w:pPr>
        <w:spacing w:line="360" w:lineRule="auto"/>
        <w:ind w:left="720"/>
        <w:jc w:val="both"/>
        <w:rPr>
          <w:rFonts w:ascii="Arial (W1)" w:hAnsi="Arial (W1)"/>
          <w:color w:val="000000"/>
          <w:rtl/>
        </w:rPr>
      </w:pPr>
      <w:r>
        <w:rPr>
          <w:rFonts w:ascii="Arial (W1)" w:hAnsi="Arial (W1)" w:hint="cs"/>
          <w:color w:val="000000"/>
          <w:rtl/>
        </w:rPr>
        <w:t xml:space="preserve">ראה גם עמדת בית המשפט העליון </w:t>
      </w:r>
      <w:r w:rsidRPr="00502178">
        <w:rPr>
          <w:rFonts w:ascii="Arial (W1)" w:hAnsi="Arial (W1)" w:hint="cs"/>
          <w:color w:val="000000"/>
          <w:rtl/>
        </w:rPr>
        <w:t>ב</w:t>
      </w:r>
      <w:hyperlink r:id="rId7" w:history="1">
        <w:r w:rsidR="00DE63F6" w:rsidRPr="00DE63F6">
          <w:rPr>
            <w:rFonts w:ascii="Arial (W1)" w:hAnsi="Arial (W1)" w:hint="eastAsia"/>
            <w:color w:val="0000FF"/>
            <w:u w:val="single"/>
            <w:rtl/>
          </w:rPr>
          <w:t>ע</w:t>
        </w:r>
        <w:r w:rsidR="00DE63F6" w:rsidRPr="00DE63F6">
          <w:rPr>
            <w:rFonts w:ascii="Arial (W1)" w:hAnsi="Arial (W1)"/>
            <w:color w:val="0000FF"/>
            <w:u w:val="single"/>
            <w:rtl/>
          </w:rPr>
          <w:t>"</w:t>
        </w:r>
        <w:r w:rsidR="00DE63F6" w:rsidRPr="00DE63F6">
          <w:rPr>
            <w:rFonts w:ascii="Arial (W1)" w:hAnsi="Arial (W1)" w:hint="eastAsia"/>
            <w:color w:val="0000FF"/>
            <w:u w:val="single"/>
            <w:rtl/>
          </w:rPr>
          <w:t>פ</w:t>
        </w:r>
        <w:r w:rsidR="00DE63F6" w:rsidRPr="00DE63F6">
          <w:rPr>
            <w:rFonts w:ascii="Arial (W1)" w:hAnsi="Arial (W1)"/>
            <w:color w:val="0000FF"/>
            <w:u w:val="single"/>
            <w:rtl/>
          </w:rPr>
          <w:t xml:space="preserve"> 9482/09</w:t>
        </w:r>
      </w:hyperlink>
      <w:r w:rsidRPr="00B32BEC">
        <w:rPr>
          <w:rFonts w:ascii="Arial (W1)" w:hAnsi="Arial (W1)" w:hint="cs"/>
          <w:color w:val="000000"/>
          <w:rtl/>
        </w:rPr>
        <w:t xml:space="preserve"> </w:t>
      </w:r>
      <w:r>
        <w:rPr>
          <w:rFonts w:ascii="Arial (W1)" w:hAnsi="Arial (W1)" w:hint="cs"/>
          <w:b/>
          <w:bCs/>
          <w:color w:val="000000"/>
          <w:rtl/>
        </w:rPr>
        <w:t>ביטון נ' מדינת ישראל</w:t>
      </w:r>
      <w:r>
        <w:rPr>
          <w:rFonts w:ascii="Arial (W1)" w:hAnsi="Arial (W1)" w:hint="cs"/>
          <w:color w:val="000000"/>
          <w:rtl/>
        </w:rPr>
        <w:t xml:space="preserve"> (24.7.2011) שם נקבעו הדברים הבאים:</w:t>
      </w:r>
    </w:p>
    <w:p w14:paraId="2BF2CA6F" w14:textId="77777777" w:rsidR="00B32BEC" w:rsidRDefault="00B32BEC" w:rsidP="00B32BEC">
      <w:pPr>
        <w:spacing w:line="360" w:lineRule="auto"/>
        <w:ind w:left="720" w:hanging="720"/>
        <w:jc w:val="both"/>
        <w:rPr>
          <w:rFonts w:ascii="Arial (W1)" w:hAnsi="Arial (W1)"/>
          <w:rtl/>
        </w:rPr>
      </w:pPr>
    </w:p>
    <w:p w14:paraId="1C4CDDCB" w14:textId="77777777" w:rsidR="00B32BEC" w:rsidRPr="00B32BEC" w:rsidRDefault="00B32BEC" w:rsidP="00B32BEC">
      <w:pPr>
        <w:spacing w:line="360" w:lineRule="auto"/>
        <w:ind w:left="720"/>
        <w:jc w:val="both"/>
        <w:rPr>
          <w:rFonts w:ascii="Arial (W1)" w:hAnsi="Arial (W1)"/>
          <w:color w:val="000000"/>
          <w:rtl/>
        </w:rPr>
      </w:pPr>
      <w:r>
        <w:rPr>
          <w:rFonts w:ascii="Arial (W1)" w:hAnsi="Arial (W1)" w:hint="cs"/>
          <w:color w:val="000000"/>
          <w:rtl/>
        </w:rPr>
        <w:t>"</w:t>
      </w:r>
      <w:r>
        <w:rPr>
          <w:rFonts w:ascii="Arial (W1)" w:hAnsi="Arial (W1)" w:hint="cs"/>
          <w:b/>
          <w:bCs/>
          <w:color w:val="000000"/>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r>
        <w:rPr>
          <w:rFonts w:ascii="Arial (W1)" w:hAnsi="Arial (W1)" w:hint="cs"/>
          <w:color w:val="000000"/>
          <w:rtl/>
        </w:rPr>
        <w:t xml:space="preserve">" [על רמת </w:t>
      </w:r>
      <w:r w:rsidRPr="00B32BEC">
        <w:rPr>
          <w:rFonts w:ascii="Arial (W1)" w:hAnsi="Arial (W1)" w:hint="cs"/>
          <w:color w:val="000000"/>
          <w:rtl/>
        </w:rPr>
        <w:t xml:space="preserve">הענישה בעבירות סחר בסמים ראו, בין היתר, </w:t>
      </w:r>
      <w:hyperlink r:id="rId8" w:history="1">
        <w:r w:rsidR="00DE63F6" w:rsidRPr="00DE63F6">
          <w:rPr>
            <w:rFonts w:ascii="Arial (W1)" w:hAnsi="Arial (W1)" w:hint="eastAsia"/>
            <w:color w:val="0000FF"/>
            <w:u w:val="single"/>
            <w:rtl/>
          </w:rPr>
          <w:t>ע</w:t>
        </w:r>
        <w:r w:rsidR="00DE63F6" w:rsidRPr="00DE63F6">
          <w:rPr>
            <w:rFonts w:ascii="Arial (W1)" w:hAnsi="Arial (W1)"/>
            <w:color w:val="0000FF"/>
            <w:u w:val="single"/>
            <w:rtl/>
          </w:rPr>
          <w:t>"</w:t>
        </w:r>
        <w:r w:rsidR="00DE63F6" w:rsidRPr="00DE63F6">
          <w:rPr>
            <w:rFonts w:ascii="Arial (W1)" w:hAnsi="Arial (W1)" w:hint="eastAsia"/>
            <w:color w:val="0000FF"/>
            <w:u w:val="single"/>
            <w:rtl/>
          </w:rPr>
          <w:t>פ</w:t>
        </w:r>
        <w:r w:rsidR="00DE63F6" w:rsidRPr="00DE63F6">
          <w:rPr>
            <w:rFonts w:ascii="Arial (W1)" w:hAnsi="Arial (W1)"/>
            <w:color w:val="0000FF"/>
            <w:u w:val="single"/>
            <w:rtl/>
          </w:rPr>
          <w:t xml:space="preserve"> 5765/10</w:t>
        </w:r>
      </w:hyperlink>
      <w:r w:rsidRPr="00B32BEC">
        <w:rPr>
          <w:rFonts w:ascii="Arial (W1)" w:hAnsi="Arial (W1)" w:hint="cs"/>
          <w:color w:val="000000"/>
          <w:rtl/>
        </w:rPr>
        <w:t xml:space="preserve"> </w:t>
      </w:r>
      <w:r w:rsidRPr="00B32BEC">
        <w:rPr>
          <w:rFonts w:ascii="Arial (W1)" w:hAnsi="Arial (W1)" w:hint="cs"/>
          <w:b/>
          <w:bCs/>
          <w:color w:val="000000"/>
          <w:rtl/>
        </w:rPr>
        <w:t>פלוני נ' מדינת ישראל</w:t>
      </w:r>
      <w:r w:rsidRPr="00B32BEC">
        <w:rPr>
          <w:rFonts w:ascii="Arial (W1)" w:hAnsi="Arial (W1)" w:hint="cs"/>
          <w:color w:val="000000"/>
          <w:rtl/>
        </w:rPr>
        <w:t xml:space="preserve">, (5.6.2011); </w:t>
      </w:r>
      <w:hyperlink r:id="rId9" w:history="1">
        <w:r w:rsidR="00DE63F6" w:rsidRPr="00DE63F6">
          <w:rPr>
            <w:rFonts w:ascii="Arial (W1)" w:hAnsi="Arial (W1)" w:hint="eastAsia"/>
            <w:color w:val="0000FF"/>
            <w:u w:val="single"/>
            <w:rtl/>
          </w:rPr>
          <w:t>ע</w:t>
        </w:r>
        <w:r w:rsidR="00DE63F6" w:rsidRPr="00DE63F6">
          <w:rPr>
            <w:rFonts w:ascii="Arial (W1)" w:hAnsi="Arial (W1)"/>
            <w:color w:val="0000FF"/>
            <w:u w:val="single"/>
            <w:rtl/>
          </w:rPr>
          <w:t>"</w:t>
        </w:r>
        <w:r w:rsidR="00DE63F6" w:rsidRPr="00DE63F6">
          <w:rPr>
            <w:rFonts w:ascii="Arial (W1)" w:hAnsi="Arial (W1)" w:hint="eastAsia"/>
            <w:color w:val="0000FF"/>
            <w:u w:val="single"/>
            <w:rtl/>
          </w:rPr>
          <w:t>פ</w:t>
        </w:r>
        <w:r w:rsidR="00DE63F6" w:rsidRPr="00DE63F6">
          <w:rPr>
            <w:rFonts w:ascii="Arial (W1)" w:hAnsi="Arial (W1)"/>
            <w:color w:val="0000FF"/>
            <w:u w:val="single"/>
            <w:rtl/>
          </w:rPr>
          <w:t xml:space="preserve"> 3570/09</w:t>
        </w:r>
      </w:hyperlink>
      <w:r w:rsidRPr="00B32BEC">
        <w:rPr>
          <w:rFonts w:ascii="Arial (W1)" w:hAnsi="Arial (W1)" w:hint="cs"/>
          <w:color w:val="000000"/>
          <w:rtl/>
        </w:rPr>
        <w:t xml:space="preserve"> </w:t>
      </w:r>
      <w:r w:rsidRPr="00B32BEC">
        <w:rPr>
          <w:rFonts w:ascii="Arial (W1)" w:hAnsi="Arial (W1)" w:hint="cs"/>
          <w:b/>
          <w:bCs/>
          <w:color w:val="000000"/>
          <w:rtl/>
        </w:rPr>
        <w:t>אבו עמרה נ' מדינת ישראל</w:t>
      </w:r>
      <w:r w:rsidRPr="00B32BEC">
        <w:rPr>
          <w:rFonts w:ascii="Arial (W1)" w:hAnsi="Arial (W1)" w:hint="cs"/>
          <w:color w:val="000000"/>
          <w:rtl/>
        </w:rPr>
        <w:t xml:space="preserve"> (3.5.2010); </w:t>
      </w:r>
      <w:hyperlink r:id="rId10" w:history="1">
        <w:r w:rsidR="00DE63F6" w:rsidRPr="00DE63F6">
          <w:rPr>
            <w:rFonts w:ascii="Arial (W1)" w:hAnsi="Arial (W1)" w:hint="eastAsia"/>
            <w:color w:val="0000FF"/>
            <w:u w:val="single"/>
            <w:rtl/>
          </w:rPr>
          <w:t>ע</w:t>
        </w:r>
        <w:r w:rsidR="00DE63F6" w:rsidRPr="00DE63F6">
          <w:rPr>
            <w:rFonts w:ascii="Arial (W1)" w:hAnsi="Arial (W1)"/>
            <w:color w:val="0000FF"/>
            <w:u w:val="single"/>
            <w:rtl/>
          </w:rPr>
          <w:t>"</w:t>
        </w:r>
        <w:r w:rsidR="00DE63F6" w:rsidRPr="00DE63F6">
          <w:rPr>
            <w:rFonts w:ascii="Arial (W1)" w:hAnsi="Arial (W1)" w:hint="eastAsia"/>
            <w:color w:val="0000FF"/>
            <w:u w:val="single"/>
            <w:rtl/>
          </w:rPr>
          <w:t>פ</w:t>
        </w:r>
        <w:r w:rsidR="00DE63F6" w:rsidRPr="00DE63F6">
          <w:rPr>
            <w:rFonts w:ascii="Arial (W1)" w:hAnsi="Arial (W1)"/>
            <w:color w:val="0000FF"/>
            <w:u w:val="single"/>
            <w:rtl/>
          </w:rPr>
          <w:t xml:space="preserve"> 3477/12</w:t>
        </w:r>
      </w:hyperlink>
      <w:r w:rsidRPr="00B32BEC">
        <w:rPr>
          <w:rFonts w:ascii="Arial (W1)" w:hAnsi="Arial (W1)" w:hint="cs"/>
          <w:color w:val="000000"/>
          <w:rtl/>
        </w:rPr>
        <w:t xml:space="preserve"> </w:t>
      </w:r>
      <w:r w:rsidRPr="00B32BEC">
        <w:rPr>
          <w:rFonts w:ascii="Arial (W1)" w:hAnsi="Arial (W1)" w:hint="cs"/>
          <w:b/>
          <w:bCs/>
          <w:color w:val="000000"/>
          <w:rtl/>
        </w:rPr>
        <w:t>מרזוק נ' מדינת ישראל</w:t>
      </w:r>
      <w:r w:rsidRPr="00B32BEC">
        <w:rPr>
          <w:rFonts w:ascii="Arial (W1)" w:hAnsi="Arial (W1)" w:hint="cs"/>
          <w:color w:val="000000"/>
          <w:rtl/>
        </w:rPr>
        <w:t xml:space="preserve"> (25.6.2012)]. </w:t>
      </w:r>
      <w:r w:rsidR="00DE63F6">
        <w:rPr>
          <w:rFonts w:ascii="Arial (W1)" w:hAnsi="Arial (W1)" w:hint="cs"/>
          <w:color w:val="000000"/>
          <w:rtl/>
        </w:rPr>
        <w:t xml:space="preserve"> </w:t>
      </w:r>
    </w:p>
    <w:p w14:paraId="4BE56393" w14:textId="77777777" w:rsidR="00B32BEC" w:rsidRPr="00B32BEC" w:rsidRDefault="00B32BEC" w:rsidP="00B32BEC">
      <w:pPr>
        <w:spacing w:line="360" w:lineRule="auto"/>
        <w:ind w:left="720"/>
        <w:jc w:val="both"/>
        <w:rPr>
          <w:rFonts w:ascii="Arial (W1)" w:hAnsi="Arial (W1)"/>
          <w:color w:val="000000"/>
          <w:rtl/>
        </w:rPr>
      </w:pPr>
    </w:p>
    <w:p w14:paraId="3A29EC66" w14:textId="77777777" w:rsidR="00B32BEC" w:rsidRPr="00B32BEC" w:rsidRDefault="00B32BEC" w:rsidP="00B32BEC">
      <w:pPr>
        <w:spacing w:line="360" w:lineRule="auto"/>
        <w:ind w:left="720" w:hanging="720"/>
        <w:jc w:val="both"/>
        <w:rPr>
          <w:rFonts w:ascii="Arial (W1)" w:hAnsi="Arial (W1)"/>
          <w:color w:val="000000"/>
          <w:rtl/>
        </w:rPr>
      </w:pPr>
      <w:r w:rsidRPr="00B32BEC">
        <w:rPr>
          <w:rFonts w:ascii="Arial (W1)" w:hAnsi="Arial (W1)" w:hint="cs"/>
          <w:color w:val="000000"/>
          <w:rtl/>
        </w:rPr>
        <w:t>6.</w:t>
      </w:r>
      <w:r w:rsidRPr="00B32BEC">
        <w:rPr>
          <w:rFonts w:ascii="Arial (W1)" w:hAnsi="Arial (W1)" w:hint="cs"/>
          <w:color w:val="000000"/>
          <w:rtl/>
        </w:rPr>
        <w:tab/>
        <w:t>מעבר לפגיעה בערכים המוגנים, ניתן לומר כי מידת הפגיעה, ובהתאם לכך גם ההשפעה על המתחם, נגזרת מהנתונים הקונקרטיים המאפיינים את עסקת הסמים, ואלה הם:</w:t>
      </w:r>
    </w:p>
    <w:p w14:paraId="755ED167" w14:textId="77777777" w:rsidR="00B32BEC" w:rsidRPr="00B32BEC" w:rsidRDefault="00B32BEC" w:rsidP="00B32BEC">
      <w:pPr>
        <w:spacing w:line="360" w:lineRule="auto"/>
        <w:ind w:left="720" w:hanging="720"/>
        <w:jc w:val="both"/>
        <w:rPr>
          <w:rFonts w:ascii="Arial (W1)" w:hAnsi="Arial (W1)"/>
          <w:color w:val="000000"/>
          <w:rtl/>
        </w:rPr>
      </w:pPr>
    </w:p>
    <w:p w14:paraId="51946024" w14:textId="77777777" w:rsidR="00B32BEC" w:rsidRDefault="00B32BEC" w:rsidP="00B32BEC">
      <w:pPr>
        <w:spacing w:line="360" w:lineRule="auto"/>
        <w:ind w:left="720" w:hanging="720"/>
        <w:jc w:val="both"/>
        <w:rPr>
          <w:rFonts w:ascii="Arial (W1)" w:hAnsi="Arial (W1)"/>
          <w:rtl/>
        </w:rPr>
      </w:pPr>
      <w:r w:rsidRPr="00B32BEC">
        <w:rPr>
          <w:rFonts w:ascii="Arial (W1)" w:hAnsi="Arial (W1)"/>
          <w:color w:val="000000"/>
          <w:rtl/>
        </w:rPr>
        <w:tab/>
      </w:r>
      <w:r w:rsidRPr="00B32BEC">
        <w:rPr>
          <w:rFonts w:ascii="Arial (W1)" w:hAnsi="Arial (W1)" w:hint="cs"/>
          <w:color w:val="000000"/>
          <w:rtl/>
        </w:rPr>
        <w:t xml:space="preserve">(א) </w:t>
      </w:r>
      <w:r w:rsidRPr="00B32BEC">
        <w:rPr>
          <w:rFonts w:ascii="Arial (W1)" w:hAnsi="Arial (W1)" w:hint="cs"/>
          <w:b/>
          <w:bCs/>
          <w:color w:val="000000"/>
          <w:rtl/>
        </w:rPr>
        <w:t>סוג הסם</w:t>
      </w:r>
      <w:r w:rsidRPr="00B32BEC">
        <w:rPr>
          <w:rFonts w:ascii="Arial (W1)" w:hAnsi="Arial (W1)" w:hint="cs"/>
          <w:color w:val="000000"/>
          <w:rtl/>
        </w:rPr>
        <w:t xml:space="preserve"> - </w:t>
      </w:r>
      <w:r>
        <w:rPr>
          <w:rFonts w:ascii="Arial (W1)" w:hAnsi="Arial (W1)" w:hint="cs"/>
          <w:rtl/>
        </w:rPr>
        <w:t>מדובר בסם מסוכן מסוג קוקאין במשקל משמעותי. על נזקיו של סם זה למשתמשים בו, על התלות שמפתחים צרכניו והתוצאות החברתיות השליליות הנובעות משימוש בו רבות נכתב, ואפנה בהקשר זה לעמדת בית המשפט העליון ב</w:t>
      </w:r>
      <w:hyperlink r:id="rId11" w:history="1">
        <w:r w:rsidR="00DE63F6" w:rsidRPr="00DE63F6">
          <w:rPr>
            <w:rFonts w:ascii="Arial (W1)" w:hAnsi="Arial (W1)" w:hint="eastAsia"/>
            <w:color w:val="0000FF"/>
            <w:u w:val="single"/>
            <w:rtl/>
          </w:rPr>
          <w:t>ע</w:t>
        </w:r>
        <w:r w:rsidR="00DE63F6" w:rsidRPr="00DE63F6">
          <w:rPr>
            <w:rFonts w:ascii="Arial (W1)" w:hAnsi="Arial (W1)"/>
            <w:color w:val="0000FF"/>
            <w:u w:val="single"/>
            <w:rtl/>
          </w:rPr>
          <w:t>"</w:t>
        </w:r>
        <w:r w:rsidR="00DE63F6" w:rsidRPr="00DE63F6">
          <w:rPr>
            <w:rFonts w:ascii="Arial (W1)" w:hAnsi="Arial (W1)" w:hint="eastAsia"/>
            <w:color w:val="0000FF"/>
            <w:u w:val="single"/>
            <w:rtl/>
          </w:rPr>
          <w:t>פ</w:t>
        </w:r>
        <w:r w:rsidR="00DE63F6" w:rsidRPr="00DE63F6">
          <w:rPr>
            <w:rFonts w:ascii="Arial (W1)" w:hAnsi="Arial (W1)"/>
            <w:color w:val="0000FF"/>
            <w:u w:val="single"/>
            <w:rtl/>
          </w:rPr>
          <w:t xml:space="preserve"> 972/11</w:t>
        </w:r>
      </w:hyperlink>
      <w:r>
        <w:rPr>
          <w:rFonts w:ascii="Arial (W1)" w:hAnsi="Arial (W1)" w:hint="cs"/>
          <w:rtl/>
        </w:rPr>
        <w:t xml:space="preserve"> </w:t>
      </w:r>
      <w:r>
        <w:rPr>
          <w:rFonts w:ascii="Arial (W1)" w:hAnsi="Arial (W1)" w:hint="cs"/>
          <w:b/>
          <w:bCs/>
          <w:rtl/>
        </w:rPr>
        <w:t>מדינת ישראל נ' יונה</w:t>
      </w:r>
      <w:r>
        <w:rPr>
          <w:rFonts w:ascii="Arial (W1)" w:hAnsi="Arial (W1)" w:hint="cs"/>
          <w:rtl/>
        </w:rPr>
        <w:t xml:space="preserve"> (4.7.2012) שם נקבעו הדברים הבאים:</w:t>
      </w:r>
    </w:p>
    <w:p w14:paraId="44392B81" w14:textId="77777777" w:rsidR="00B32BEC" w:rsidRDefault="00B32BEC" w:rsidP="00B32BEC">
      <w:pPr>
        <w:spacing w:line="360" w:lineRule="auto"/>
        <w:ind w:left="720"/>
        <w:jc w:val="both"/>
        <w:rPr>
          <w:rFonts w:ascii="Arial (W1)" w:hAnsi="Arial (W1)"/>
          <w:rtl/>
        </w:rPr>
      </w:pPr>
    </w:p>
    <w:p w14:paraId="6046D951" w14:textId="77777777" w:rsidR="00B32BEC" w:rsidRPr="00B868F2" w:rsidRDefault="00B32BEC" w:rsidP="00B32BEC">
      <w:pPr>
        <w:spacing w:line="360" w:lineRule="auto"/>
        <w:ind w:left="720"/>
        <w:jc w:val="both"/>
        <w:rPr>
          <w:rFonts w:ascii="Arial (W1)" w:hAnsi="Arial (W1)"/>
          <w:rtl/>
        </w:rPr>
      </w:pPr>
      <w:r>
        <w:rPr>
          <w:rFonts w:ascii="Arial (W1)" w:hAnsi="Arial (W1)" w:hint="cs"/>
          <w:rtl/>
        </w:rPr>
        <w:t>"</w:t>
      </w:r>
      <w:r>
        <w:rPr>
          <w:rFonts w:ascii="Arial (W1)" w:hAnsi="Arial (W1)" w:hint="cs"/>
          <w:b/>
          <w:bCs/>
          <w:rtl/>
        </w:rPr>
        <w:t>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w:t>
      </w:r>
      <w:r w:rsidRPr="00B868F2">
        <w:rPr>
          <w:rFonts w:ascii="Arial (W1)" w:hAnsi="Arial (W1)" w:hint="cs"/>
          <w:rtl/>
        </w:rPr>
        <w:t>".</w:t>
      </w:r>
    </w:p>
    <w:p w14:paraId="190BD005" w14:textId="77777777" w:rsidR="00B32BEC" w:rsidRDefault="00B32BEC" w:rsidP="00B32BEC">
      <w:pPr>
        <w:spacing w:line="360" w:lineRule="auto"/>
        <w:ind w:left="643"/>
        <w:jc w:val="both"/>
        <w:rPr>
          <w:rFonts w:ascii="Arial (W1)" w:hAnsi="Arial (W1)"/>
          <w:b/>
          <w:bCs/>
          <w:rtl/>
        </w:rPr>
      </w:pPr>
    </w:p>
    <w:p w14:paraId="75381040" w14:textId="77777777" w:rsidR="00B32BEC" w:rsidRDefault="00B32BEC" w:rsidP="00B32BEC">
      <w:pPr>
        <w:spacing w:line="360" w:lineRule="auto"/>
        <w:ind w:left="720"/>
        <w:jc w:val="both"/>
        <w:rPr>
          <w:rFonts w:ascii="Arial (W1)" w:hAnsi="Arial (W1)"/>
          <w:rtl/>
        </w:rPr>
      </w:pPr>
      <w:r>
        <w:rPr>
          <w:rFonts w:ascii="Arial (W1)" w:hAnsi="Arial (W1)" w:hint="cs"/>
          <w:rtl/>
        </w:rPr>
        <w:t xml:space="preserve">(ב) </w:t>
      </w:r>
      <w:r>
        <w:rPr>
          <w:rFonts w:ascii="Arial (W1)" w:hAnsi="Arial (W1)" w:hint="cs"/>
          <w:b/>
          <w:bCs/>
          <w:rtl/>
        </w:rPr>
        <w:t>כמות הסם</w:t>
      </w:r>
      <w:r>
        <w:rPr>
          <w:rFonts w:ascii="Arial (W1)" w:hAnsi="Arial (W1)" w:hint="cs"/>
          <w:rtl/>
        </w:rPr>
        <w:t xml:space="preserve"> - מדובר בסם בכמות משמעותית (58.78 גרם) ויש לראות בנתון זה כבעל משמעות של ממש בקביעת מתחם העונש ההולם. </w:t>
      </w:r>
    </w:p>
    <w:p w14:paraId="02D46F8C" w14:textId="77777777" w:rsidR="00B32BEC" w:rsidRDefault="00B32BEC" w:rsidP="00B32BEC">
      <w:pPr>
        <w:spacing w:line="360" w:lineRule="auto"/>
        <w:ind w:left="720"/>
        <w:jc w:val="both"/>
        <w:rPr>
          <w:rFonts w:ascii="Arial (W1)" w:hAnsi="Arial (W1)"/>
          <w:rtl/>
        </w:rPr>
      </w:pPr>
    </w:p>
    <w:p w14:paraId="2AC810EC" w14:textId="77777777" w:rsidR="00B32BEC" w:rsidRDefault="00B32BEC" w:rsidP="00B32BEC">
      <w:pPr>
        <w:spacing w:line="360" w:lineRule="auto"/>
        <w:ind w:left="720"/>
        <w:jc w:val="both"/>
        <w:rPr>
          <w:rFonts w:ascii="Arial (W1)" w:hAnsi="Arial (W1)"/>
          <w:rtl/>
        </w:rPr>
      </w:pPr>
      <w:r>
        <w:rPr>
          <w:rFonts w:ascii="Arial (W1)" w:hAnsi="Arial (W1)" w:hint="cs"/>
          <w:rtl/>
        </w:rPr>
        <w:t xml:space="preserve">(ג) </w:t>
      </w:r>
      <w:r>
        <w:rPr>
          <w:rFonts w:ascii="Arial (W1)" w:hAnsi="Arial (W1)" w:hint="cs"/>
          <w:b/>
          <w:bCs/>
          <w:rtl/>
        </w:rPr>
        <w:t>חלקו של הנאשם</w:t>
      </w:r>
      <w:r>
        <w:rPr>
          <w:rFonts w:ascii="Arial (W1)" w:hAnsi="Arial (W1)" w:hint="cs"/>
          <w:rtl/>
        </w:rPr>
        <w:t xml:space="preserve"> - בקביעת מתחם העונש ההולם יש להתייחס לנסיבות ביצוע העבירה, ובמקרה דנן, אף שאין חולק כי נאשם 1 היה מעורב בביצוע העסקה, והוא זה שעמד בקשר עם הסוכן ברוב שלביה, קבעתי בהכרעת הדין את הדברים הבאים: </w:t>
      </w:r>
    </w:p>
    <w:p w14:paraId="583DF704" w14:textId="77777777" w:rsidR="00B32BEC" w:rsidRDefault="00B32BEC" w:rsidP="00B32BEC">
      <w:pPr>
        <w:spacing w:line="360" w:lineRule="auto"/>
        <w:ind w:left="720"/>
        <w:jc w:val="both"/>
        <w:rPr>
          <w:rFonts w:ascii="Arial (W1)" w:hAnsi="Arial (W1)"/>
          <w:rtl/>
        </w:rPr>
      </w:pPr>
    </w:p>
    <w:p w14:paraId="5C3A37A8" w14:textId="77777777" w:rsidR="00B32BEC" w:rsidRDefault="00B32BEC" w:rsidP="00B32BEC">
      <w:pPr>
        <w:spacing w:line="360" w:lineRule="auto"/>
        <w:ind w:left="720"/>
        <w:jc w:val="both"/>
        <w:rPr>
          <w:rFonts w:ascii="Arial (W1)" w:hAnsi="Arial (W1)"/>
          <w:rtl/>
        </w:rPr>
      </w:pPr>
      <w:r>
        <w:rPr>
          <w:rFonts w:ascii="Arial (W1)" w:hAnsi="Arial (W1)" w:hint="cs"/>
          <w:rtl/>
        </w:rPr>
        <w:t>"</w:t>
      </w:r>
      <w:r w:rsidRPr="00B868F2">
        <w:rPr>
          <w:rFonts w:ascii="Arial (W1)" w:hAnsi="Arial (W1)" w:hint="cs"/>
          <w:b/>
          <w:bCs/>
          <w:rtl/>
        </w:rPr>
        <w:t>מהראיות עולה שהנאשם אינו "שותף שווה זכויות" אלא אדם הדומיננטי, ספק הסם, האדם הקובע את המחיר ומי שמנסה ליצור עסקאות עתידיות עם הסוכן</w:t>
      </w:r>
      <w:r>
        <w:rPr>
          <w:rFonts w:ascii="Arial (W1)" w:hAnsi="Arial (W1)" w:hint="cs"/>
          <w:rtl/>
        </w:rPr>
        <w:t xml:space="preserve">". </w:t>
      </w:r>
    </w:p>
    <w:p w14:paraId="407614C1" w14:textId="77777777" w:rsidR="00B32BEC" w:rsidRDefault="00B32BEC" w:rsidP="00B32BEC">
      <w:pPr>
        <w:spacing w:line="360" w:lineRule="auto"/>
        <w:ind w:left="720"/>
        <w:jc w:val="both"/>
        <w:rPr>
          <w:rFonts w:ascii="Arial (W1)" w:hAnsi="Arial (W1)"/>
          <w:rtl/>
        </w:rPr>
      </w:pPr>
    </w:p>
    <w:p w14:paraId="0D06F919" w14:textId="77777777" w:rsidR="00B32BEC" w:rsidRDefault="00B32BEC" w:rsidP="00B32BEC">
      <w:pPr>
        <w:spacing w:line="360" w:lineRule="auto"/>
        <w:ind w:left="720"/>
        <w:jc w:val="both"/>
        <w:rPr>
          <w:rFonts w:ascii="Arial (W1)" w:hAnsi="Arial (W1)"/>
          <w:rtl/>
        </w:rPr>
      </w:pPr>
      <w:r>
        <w:rPr>
          <w:rFonts w:ascii="Arial (W1)" w:hAnsi="Arial (W1)" w:hint="cs"/>
          <w:rtl/>
        </w:rPr>
        <w:t xml:space="preserve">קביעה זו התבססה, בין היתר, על הדומיננטיות שהפגין הנאשם במהלך העסקה, על הקלטות השיחות שנערכו בין הסוכן לשני הנאשמים בהם נשמע הנאשם מנסה לקדם עסקאות עתידיות מול הסוכן, ועל העובדה כי בסופו של יום, הוברר כי הסמים היו ברשותו של הנאשם, ובניגוד לנאשם 1 </w:t>
      </w:r>
      <w:r>
        <w:rPr>
          <w:rFonts w:ascii="Arial (W1)" w:hAnsi="Arial (W1)"/>
          <w:rtl/>
        </w:rPr>
        <w:t>–</w:t>
      </w:r>
      <w:r>
        <w:rPr>
          <w:rFonts w:ascii="Arial (W1)" w:hAnsi="Arial (W1)" w:hint="cs"/>
          <w:rtl/>
        </w:rPr>
        <w:t xml:space="preserve"> לא ניתן לראותו כ"חוליה מקשרת" בעסקה. </w:t>
      </w:r>
    </w:p>
    <w:p w14:paraId="5F8EE469" w14:textId="77777777" w:rsidR="00B32BEC" w:rsidRDefault="00B32BEC" w:rsidP="00B32BEC">
      <w:pPr>
        <w:spacing w:line="360" w:lineRule="auto"/>
        <w:ind w:left="720"/>
        <w:jc w:val="both"/>
        <w:rPr>
          <w:rFonts w:ascii="Arial (W1)" w:hAnsi="Arial (W1)"/>
          <w:rtl/>
        </w:rPr>
      </w:pPr>
    </w:p>
    <w:p w14:paraId="07DD700E" w14:textId="77777777" w:rsidR="00B32BEC" w:rsidRDefault="00B32BEC" w:rsidP="00B32BEC">
      <w:pPr>
        <w:spacing w:line="360" w:lineRule="auto"/>
        <w:ind w:left="720"/>
        <w:jc w:val="both"/>
        <w:rPr>
          <w:b/>
          <w:bCs/>
          <w:rtl/>
        </w:rPr>
      </w:pPr>
      <w:r>
        <w:rPr>
          <w:rFonts w:ascii="Arial (W1)" w:hAnsi="Arial (W1)" w:hint="cs"/>
          <w:rtl/>
        </w:rPr>
        <w:t xml:space="preserve">כך לדוגמא, ציין הסוכן בעדותו, והדברים אומצו בהכרעת הדין: </w:t>
      </w:r>
    </w:p>
    <w:p w14:paraId="55208FBE" w14:textId="77777777" w:rsidR="00B32BEC" w:rsidRDefault="00B32BEC" w:rsidP="00B32BEC">
      <w:pPr>
        <w:spacing w:line="360" w:lineRule="auto"/>
        <w:ind w:left="720"/>
        <w:jc w:val="both"/>
        <w:rPr>
          <w:b/>
          <w:bCs/>
          <w:rtl/>
        </w:rPr>
      </w:pPr>
    </w:p>
    <w:p w14:paraId="5D3750E0" w14:textId="77777777" w:rsidR="00B32BEC" w:rsidRDefault="00B32BEC" w:rsidP="00B32BEC">
      <w:pPr>
        <w:spacing w:line="360" w:lineRule="auto"/>
        <w:ind w:left="720"/>
        <w:jc w:val="both"/>
        <w:rPr>
          <w:rtl/>
        </w:rPr>
      </w:pPr>
      <w:r>
        <w:rPr>
          <w:rFonts w:hint="cs"/>
          <w:b/>
          <w:bCs/>
          <w:rtl/>
        </w:rPr>
        <w:t xml:space="preserve">"... נכנסו לבית, יאסין </w:t>
      </w:r>
      <w:r>
        <w:rPr>
          <w:rFonts w:hint="cs"/>
          <w:rtl/>
        </w:rPr>
        <w:t xml:space="preserve">(הנאשם </w:t>
      </w:r>
      <w:r>
        <w:rPr>
          <w:rtl/>
        </w:rPr>
        <w:t>–</w:t>
      </w:r>
      <w:r>
        <w:rPr>
          <w:rFonts w:hint="cs"/>
          <w:rtl/>
        </w:rPr>
        <w:t xml:space="preserve"> ב.ש)</w:t>
      </w:r>
      <w:r>
        <w:rPr>
          <w:rFonts w:hint="cs"/>
          <w:b/>
          <w:bCs/>
          <w:rtl/>
        </w:rPr>
        <w:t xml:space="preserve"> אמר לי בלי טלפונים, אמרתי אוקיי, לקחתי את כל הטלפונים שהיו, הכנסתי  אותם לחדר השינה על המיטה שלי, ואנחנו ישבנו בסלון. יאסין התחיל לספר לי שיש לו סחורה טובה, שהסחורה שהוא מביא זה נקי, וזה לא אותו מחיר, כאילו בפעם הראשונה זה ב- 400 ובפעם הבאה ב- 450, וביקש ממני שאבדוק את החומר. אמרתי לו שאני מאמין, אני מכיר את אברהים וסומך עליו, שאני אתן את זה למישהו שקונה את זה והוא יגיד איך זה, אני סומך עליו. ושאלתי את יאסין איפה הסמים? הבאת את הסמים? הוא אמר זה לא כאן, זה בחוץ. הוא יצא להביא את זה, נשארתי עם אברהים, ואמרתי לאברהים אתה רוצה את החלק שלך עכשיו? הוא אמר אני רוצה עכשיו את החלק שלי, כדי שהוא לא ידע. אמרתי לו שאני יכול לתת לו 2000. הוא אמר תן לי 2000.... יאסין הלך להביא את הסמים. התחלתי לספור את הכסף, היה לי 20,000 על 50 גרם, ונכנס יאסין והביא לי את הסמים, היה עטוף בסמרטוט, הוציא את זה. הוא אמר תבדוק את זה, תבשל, תבדוק. אמרתי אני לא בודק, שקלנו את זה, שם במשקל וראיתי שהיה שם אולי קצת פחות חצי גרם או גרם פחות, לא התווכחתי. ספרתי את הכסף ואמרתי זה 20,000 ₪, אברהים אמר ליאסין זה הכסף שלך, אתה הבאת את הסמים, אתה תספור.... יאסין, הוא ספר את הכסף...</w:t>
      </w:r>
      <w:r>
        <w:rPr>
          <w:rFonts w:hint="cs"/>
          <w:rtl/>
        </w:rPr>
        <w:t>" (פרו' עמ' 41 ש' 7 לעניין הזיהוי ועמ' 43 ש' 12 לעניין מעשיו של הנאשם).</w:t>
      </w:r>
    </w:p>
    <w:p w14:paraId="2E268DF3" w14:textId="77777777" w:rsidR="00B32BEC" w:rsidRDefault="00B32BEC" w:rsidP="00B32BEC">
      <w:pPr>
        <w:spacing w:line="360" w:lineRule="auto"/>
        <w:ind w:left="720"/>
        <w:jc w:val="both"/>
      </w:pPr>
    </w:p>
    <w:p w14:paraId="18205E53" w14:textId="77777777" w:rsidR="00B32BEC" w:rsidRDefault="00B32BEC" w:rsidP="00B32BEC">
      <w:pPr>
        <w:spacing w:line="360" w:lineRule="auto"/>
        <w:ind w:left="720"/>
        <w:jc w:val="both"/>
        <w:rPr>
          <w:rtl/>
        </w:rPr>
      </w:pPr>
      <w:r>
        <w:rPr>
          <w:rFonts w:hint="cs"/>
          <w:rtl/>
        </w:rPr>
        <w:t xml:space="preserve">ראה גם הקלטת השיחה בין הסוכן לנאשמים עת בוצעה העסקה, שם נשמע הנאשם מנסה לקדם עסקאות עתידיות מול הסוכן באופן ברור ומובהק (ת/21א).  </w:t>
      </w:r>
    </w:p>
    <w:p w14:paraId="2CCF4EBA" w14:textId="77777777" w:rsidR="00B32BEC" w:rsidRDefault="00B32BEC" w:rsidP="00B32BEC">
      <w:pPr>
        <w:spacing w:line="360" w:lineRule="auto"/>
        <w:ind w:left="720"/>
        <w:jc w:val="both"/>
        <w:rPr>
          <w:rtl/>
        </w:rPr>
      </w:pPr>
    </w:p>
    <w:p w14:paraId="280BEE5E" w14:textId="77777777" w:rsidR="00B32BEC" w:rsidRPr="00B966B9" w:rsidRDefault="00B32BEC" w:rsidP="00B32BEC">
      <w:pPr>
        <w:spacing w:line="360" w:lineRule="auto"/>
        <w:ind w:left="720"/>
        <w:jc w:val="both"/>
        <w:rPr>
          <w:rFonts w:ascii="Arial" w:hAnsi="Arial"/>
          <w:rtl/>
        </w:rPr>
      </w:pPr>
      <w:r>
        <w:rPr>
          <w:rFonts w:ascii="Arial" w:hAnsi="Arial" w:hint="cs"/>
          <w:rtl/>
        </w:rPr>
        <w:t xml:space="preserve">עוד טרם אתייחס לפסיקה הנוהגת בעבירות סמים ולעונשים הקונקרטיים שהוטלו במסגרת פרשית סוכן זו, אציין כי די בהבדלים עליהם עמדתי בין חלקם של שני הנאשמים  על-מנת להצדיק הבדל בין המתחם שנקבע בעניינו של נאשם 1 לבין המתחם שייקבע בעניינו של נאשם 2, ואעמוד על הדברים בהמשך. </w:t>
      </w:r>
    </w:p>
    <w:p w14:paraId="6CC459D9" w14:textId="77777777" w:rsidR="00B32BEC" w:rsidRDefault="00B32BEC" w:rsidP="00B32BEC">
      <w:pPr>
        <w:spacing w:line="360" w:lineRule="auto"/>
        <w:ind w:left="720"/>
        <w:jc w:val="both"/>
        <w:rPr>
          <w:rFonts w:ascii="Arial (W1)" w:hAnsi="Arial (W1)"/>
          <w:rtl/>
        </w:rPr>
      </w:pPr>
    </w:p>
    <w:p w14:paraId="43B7C188" w14:textId="77777777" w:rsidR="00B32BEC" w:rsidRDefault="00B32BEC" w:rsidP="00B32BEC">
      <w:pPr>
        <w:spacing w:line="360" w:lineRule="auto"/>
        <w:ind w:left="720"/>
        <w:jc w:val="both"/>
        <w:rPr>
          <w:rFonts w:ascii="Arial (W1)" w:hAnsi="Arial (W1)"/>
          <w:rtl/>
        </w:rPr>
      </w:pPr>
    </w:p>
    <w:p w14:paraId="7B88673A" w14:textId="77777777" w:rsidR="00B32BEC" w:rsidRDefault="00B32BEC" w:rsidP="00B32BEC">
      <w:pPr>
        <w:spacing w:line="360" w:lineRule="auto"/>
        <w:ind w:left="720"/>
        <w:jc w:val="both"/>
        <w:rPr>
          <w:rFonts w:ascii="Arial (W1)" w:hAnsi="Arial (W1)"/>
          <w:rtl/>
        </w:rPr>
      </w:pPr>
    </w:p>
    <w:p w14:paraId="3AED20B2" w14:textId="77777777" w:rsidR="00B32BEC" w:rsidRDefault="00B32BEC" w:rsidP="00B32BEC">
      <w:pPr>
        <w:spacing w:line="360" w:lineRule="auto"/>
        <w:jc w:val="both"/>
        <w:rPr>
          <w:rFonts w:ascii="Arial (W1)" w:hAnsi="Arial (W1)"/>
          <w:rtl/>
        </w:rPr>
      </w:pPr>
      <w:r>
        <w:rPr>
          <w:rFonts w:ascii="Arial (W1)" w:hAnsi="Arial (W1)" w:hint="cs"/>
          <w:rtl/>
        </w:rPr>
        <w:t>7.</w:t>
      </w:r>
      <w:r>
        <w:rPr>
          <w:rFonts w:ascii="Arial (W1)" w:hAnsi="Arial (W1)" w:hint="cs"/>
          <w:rtl/>
        </w:rPr>
        <w:tab/>
        <w:t>באשר לפסיקה הנוהגת, מצאתי כרלוונטיים את פסקי הדין הבאים:</w:t>
      </w:r>
    </w:p>
    <w:p w14:paraId="360C139F" w14:textId="77777777" w:rsidR="00B32BEC" w:rsidRDefault="00B32BEC" w:rsidP="00B32BEC">
      <w:pPr>
        <w:spacing w:line="360" w:lineRule="auto"/>
        <w:jc w:val="both"/>
        <w:rPr>
          <w:rFonts w:ascii="Arial (W1)" w:hAnsi="Arial (W1)"/>
          <w:rtl/>
        </w:rPr>
      </w:pPr>
    </w:p>
    <w:p w14:paraId="08599521" w14:textId="77777777" w:rsidR="00B32BEC" w:rsidRDefault="00B32BEC" w:rsidP="00B32BEC">
      <w:pPr>
        <w:spacing w:line="360" w:lineRule="auto"/>
        <w:ind w:left="720" w:hanging="720"/>
        <w:jc w:val="both"/>
        <w:rPr>
          <w:rFonts w:ascii="Arial (W1)" w:hAnsi="Arial (W1)"/>
          <w:rtl/>
        </w:rPr>
      </w:pPr>
      <w:r>
        <w:rPr>
          <w:rFonts w:ascii="Arial (W1)" w:hAnsi="Arial (W1)" w:hint="cs"/>
          <w:rtl/>
        </w:rPr>
        <w:tab/>
      </w:r>
      <w:hyperlink r:id="rId12" w:history="1">
        <w:r w:rsidR="00DE63F6" w:rsidRPr="00DE63F6">
          <w:rPr>
            <w:rFonts w:ascii="Arial (W1)" w:hAnsi="Arial (W1)" w:hint="eastAsia"/>
            <w:color w:val="0000FF"/>
            <w:u w:val="single"/>
            <w:rtl/>
          </w:rPr>
          <w:t>ת</w:t>
        </w:r>
        <w:r w:rsidR="00DE63F6" w:rsidRPr="00DE63F6">
          <w:rPr>
            <w:rFonts w:ascii="Arial (W1)" w:hAnsi="Arial (W1)"/>
            <w:color w:val="0000FF"/>
            <w:u w:val="single"/>
            <w:rtl/>
          </w:rPr>
          <w:t>"</w:t>
        </w:r>
        <w:r w:rsidR="00DE63F6" w:rsidRPr="00DE63F6">
          <w:rPr>
            <w:rFonts w:ascii="Arial (W1)" w:hAnsi="Arial (W1)" w:hint="eastAsia"/>
            <w:color w:val="0000FF"/>
            <w:u w:val="single"/>
            <w:rtl/>
          </w:rPr>
          <w:t>פ</w:t>
        </w:r>
        <w:r w:rsidR="00DE63F6" w:rsidRPr="00DE63F6">
          <w:rPr>
            <w:rFonts w:ascii="Arial (W1)" w:hAnsi="Arial (W1)"/>
            <w:color w:val="0000FF"/>
            <w:u w:val="single"/>
            <w:rtl/>
          </w:rPr>
          <w:t xml:space="preserve"> 73635-01-18</w:t>
        </w:r>
      </w:hyperlink>
      <w:r>
        <w:rPr>
          <w:rFonts w:ascii="Arial (W1)" w:hAnsi="Arial (W1)" w:hint="cs"/>
          <w:rtl/>
        </w:rPr>
        <w:t xml:space="preserve"> </w:t>
      </w:r>
      <w:r>
        <w:rPr>
          <w:rFonts w:ascii="Arial (W1)" w:hAnsi="Arial (W1)" w:hint="cs"/>
          <w:b/>
          <w:bCs/>
          <w:rtl/>
        </w:rPr>
        <w:t xml:space="preserve">מדינת ישראל נ' אבאייב  </w:t>
      </w:r>
      <w:r>
        <w:rPr>
          <w:rFonts w:ascii="Arial (W1)" w:hAnsi="Arial (W1)" w:hint="cs"/>
          <w:rtl/>
        </w:rPr>
        <w:t xml:space="preserve">(13.9.2018), שם הורשע הנאשם בשתי עבירות של סחר בסם </w:t>
      </w:r>
      <w:r>
        <w:rPr>
          <w:rFonts w:ascii="Arial (W1)" w:hAnsi="Arial (W1)" w:hint="cs"/>
          <w:u w:val="single"/>
          <w:rtl/>
        </w:rPr>
        <w:t>בפרשה הנוכחית לזו בה הורשע הנאשם</w:t>
      </w:r>
      <w:r>
        <w:rPr>
          <w:rFonts w:ascii="Arial (W1)" w:hAnsi="Arial (W1)" w:hint="cs"/>
          <w:rtl/>
        </w:rPr>
        <w:t xml:space="preserve">, ואף צירף שני תיקי סמים. בכל אחת מהעסקאות בהן הורשע הנאשם עמדה כמות הסם על 50 גרם, כאשר גם באותם מקרים אדם אחר הביא את הסמים לעסקה וקיבל את חלקו הארי של התשלום עבור הסמים. באותו מקרה, על יסוד כלל הנימוקים שפורטו בגזר הדין, נקבע על ידי מתחם הנע בין 30 חודשי מאסר ל- 60 חודשי מאסר. העונש שנגזר על הנאשם, שנתן ביטוי גם לתיקי הצירוף וגם לעברו הפלילי הלא מכביד של הנאשם, עמד על 42 חודשי מאסר. </w:t>
      </w:r>
    </w:p>
    <w:p w14:paraId="6FBAC8B6" w14:textId="77777777" w:rsidR="00B32BEC" w:rsidRDefault="00B32BEC" w:rsidP="00B32BEC">
      <w:pPr>
        <w:spacing w:line="360" w:lineRule="auto"/>
        <w:ind w:left="720" w:hanging="720"/>
        <w:jc w:val="both"/>
        <w:rPr>
          <w:rFonts w:ascii="Arial (W1)" w:hAnsi="Arial (W1)"/>
          <w:rtl/>
        </w:rPr>
      </w:pPr>
    </w:p>
    <w:p w14:paraId="6BB2D105" w14:textId="77777777" w:rsidR="00B32BEC" w:rsidRDefault="00DE63F6" w:rsidP="00B32BEC">
      <w:pPr>
        <w:spacing w:line="360" w:lineRule="auto"/>
        <w:ind w:left="720"/>
        <w:jc w:val="both"/>
        <w:rPr>
          <w:rFonts w:ascii="Arial (W1)" w:hAnsi="Arial (W1)"/>
          <w:rtl/>
        </w:rPr>
      </w:pPr>
      <w:hyperlink r:id="rId13" w:history="1">
        <w:r w:rsidRPr="00DE63F6">
          <w:rPr>
            <w:rFonts w:ascii="Arial (W1)" w:hAnsi="Arial (W1)" w:hint="eastAsia"/>
            <w:color w:val="0000FF"/>
            <w:u w:val="single"/>
            <w:rtl/>
          </w:rPr>
          <w:t>ת</w:t>
        </w:r>
        <w:r w:rsidRPr="00DE63F6">
          <w:rPr>
            <w:rFonts w:ascii="Arial (W1)" w:hAnsi="Arial (W1)"/>
            <w:color w:val="0000FF"/>
            <w:u w:val="single"/>
            <w:rtl/>
          </w:rPr>
          <w:t>"</w:t>
        </w:r>
        <w:r w:rsidRPr="00DE63F6">
          <w:rPr>
            <w:rFonts w:ascii="Arial (W1)" w:hAnsi="Arial (W1)" w:hint="eastAsia"/>
            <w:color w:val="0000FF"/>
            <w:u w:val="single"/>
            <w:rtl/>
          </w:rPr>
          <w:t>פ</w:t>
        </w:r>
        <w:r w:rsidRPr="00DE63F6">
          <w:rPr>
            <w:rFonts w:ascii="Arial (W1)" w:hAnsi="Arial (W1)"/>
            <w:color w:val="0000FF"/>
            <w:u w:val="single"/>
            <w:rtl/>
          </w:rPr>
          <w:t xml:space="preserve"> 68294-01-18</w:t>
        </w:r>
      </w:hyperlink>
      <w:r w:rsidR="00B32BEC">
        <w:rPr>
          <w:rFonts w:ascii="Arial (W1)" w:hAnsi="Arial (W1)" w:hint="cs"/>
          <w:rtl/>
        </w:rPr>
        <w:t xml:space="preserve"> </w:t>
      </w:r>
      <w:r w:rsidR="00B32BEC">
        <w:rPr>
          <w:rFonts w:ascii="Arial (W1)" w:hAnsi="Arial (W1)" w:hint="cs"/>
          <w:b/>
          <w:bCs/>
          <w:rtl/>
        </w:rPr>
        <w:t xml:space="preserve">מדינת ישראל נ' נס </w:t>
      </w:r>
      <w:r w:rsidR="00B32BEC">
        <w:rPr>
          <w:rFonts w:ascii="Arial (W1)" w:hAnsi="Arial (W1)" w:hint="cs"/>
          <w:rtl/>
        </w:rPr>
        <w:t xml:space="preserve">(7.10.2018) שם הורשע הנאשם בשתי עבירות של סחר בסם </w:t>
      </w:r>
      <w:r w:rsidR="00B32BEC">
        <w:rPr>
          <w:rFonts w:ascii="Arial (W1)" w:hAnsi="Arial (W1)" w:hint="cs"/>
          <w:u w:val="single"/>
          <w:rtl/>
        </w:rPr>
        <w:t>בפרשה הנוכחית לזו בה הורשע הנאשם.</w:t>
      </w:r>
      <w:r w:rsidR="00B32BEC">
        <w:rPr>
          <w:rFonts w:ascii="Arial (W1)" w:hAnsi="Arial (W1)" w:hint="cs"/>
          <w:rtl/>
        </w:rPr>
        <w:t xml:space="preserve"> בגין העסקה הראשונה שם מכר הנאשם לסוכן 29.9 גרם קוקאין, נקבע מתחם הנע בין 23 חודשי מאסר ל- 50 חודשי מאסר, ובגין העסקה השנייה שם מכר הנאשם לסוכן 50.4 גרם קוקאין, נקבע מתחם הנע בין 27 חודשי מאסר ל- 54 חודשי מאסר. חשוב לציין, כי באותו מקרה, קבעתי כי לטעמי, ראוי היה כי המתחם בגין העסקה השנייה ינוע בין 30 חודשי מאסר ל- 60 חודשי מאסר, אולם בהתחשב באותם נתונים שפורטו באותו גזר דין, נקבע המתחם שפורט לעיל (וראה סעיף 9 לגזר הדין באותו מקרה).</w:t>
      </w:r>
    </w:p>
    <w:p w14:paraId="4609A407" w14:textId="77777777" w:rsidR="00B32BEC" w:rsidRDefault="00B32BEC" w:rsidP="00B32BEC">
      <w:pPr>
        <w:spacing w:line="360" w:lineRule="auto"/>
        <w:ind w:left="720"/>
        <w:jc w:val="both"/>
        <w:rPr>
          <w:rFonts w:ascii="Arial (W1)" w:hAnsi="Arial (W1)"/>
          <w:rtl/>
        </w:rPr>
      </w:pPr>
    </w:p>
    <w:p w14:paraId="7AE67A14" w14:textId="77777777" w:rsidR="00B32BEC" w:rsidRPr="00A73F07" w:rsidRDefault="00DE63F6" w:rsidP="00B32BEC">
      <w:pPr>
        <w:spacing w:line="360" w:lineRule="auto"/>
        <w:ind w:left="720"/>
        <w:jc w:val="both"/>
        <w:rPr>
          <w:rFonts w:ascii="Arial (W1)" w:hAnsi="Arial (W1)"/>
          <w:rtl/>
        </w:rPr>
      </w:pPr>
      <w:hyperlink r:id="rId14" w:history="1">
        <w:r w:rsidRPr="00DE63F6">
          <w:rPr>
            <w:rFonts w:ascii="Arial (W1)" w:hAnsi="Arial (W1)" w:hint="eastAsia"/>
            <w:color w:val="0000FF"/>
            <w:u w:val="single"/>
            <w:rtl/>
          </w:rPr>
          <w:t>ת</w:t>
        </w:r>
        <w:r w:rsidRPr="00DE63F6">
          <w:rPr>
            <w:rFonts w:ascii="Arial (W1)" w:hAnsi="Arial (W1)"/>
            <w:color w:val="0000FF"/>
            <w:u w:val="single"/>
            <w:rtl/>
          </w:rPr>
          <w:t>"</w:t>
        </w:r>
        <w:r w:rsidRPr="00DE63F6">
          <w:rPr>
            <w:rFonts w:ascii="Arial (W1)" w:hAnsi="Arial (W1)" w:hint="eastAsia"/>
            <w:color w:val="0000FF"/>
            <w:u w:val="single"/>
            <w:rtl/>
          </w:rPr>
          <w:t>פ</w:t>
        </w:r>
        <w:r w:rsidRPr="00DE63F6">
          <w:rPr>
            <w:rFonts w:ascii="Arial (W1)" w:hAnsi="Arial (W1)"/>
            <w:color w:val="0000FF"/>
            <w:u w:val="single"/>
            <w:rtl/>
          </w:rPr>
          <w:t xml:space="preserve"> 71009-07-18</w:t>
        </w:r>
      </w:hyperlink>
      <w:r w:rsidR="00B32BEC">
        <w:rPr>
          <w:rFonts w:ascii="Arial (W1)" w:hAnsi="Arial (W1)" w:hint="cs"/>
          <w:rtl/>
        </w:rPr>
        <w:t xml:space="preserve"> </w:t>
      </w:r>
      <w:r w:rsidR="00B32BEC">
        <w:rPr>
          <w:rFonts w:ascii="Arial (W1)" w:hAnsi="Arial (W1)" w:hint="cs"/>
          <w:b/>
          <w:bCs/>
          <w:rtl/>
        </w:rPr>
        <w:t>מדינת ישראל נ' סלאח אבו עמאר</w:t>
      </w:r>
      <w:r w:rsidR="00B32BEC">
        <w:rPr>
          <w:rFonts w:ascii="Arial (W1)" w:hAnsi="Arial (W1)" w:hint="cs"/>
          <w:rtl/>
        </w:rPr>
        <w:t xml:space="preserve"> (27.12.2018), שם הורשע נאשם בשתי עבירות של סחר בסם, בפרשה הנוכחית לזו בה הורשע הנאשם, והוסכם כי עונשו יעמוד על 38 חודשי מאסר, תוך הותרת המחלוקת בדבר אופן הפעלת מאסר מותנה בן 12 חודשים להכרעתו של בית המשפט. העונש שהוטל על אותו אבו עמאר בסופו של יום, עמד על 42 חודשי מאסר, וזאת תוך התחשבות בשילובו של הנאשם בפרויקט שיקום בין כתלי בית המאסר, והתקדמותו הראויה במסגרת אותו פרויקט. </w:t>
      </w:r>
    </w:p>
    <w:p w14:paraId="76E653CA" w14:textId="77777777" w:rsidR="00B32BEC" w:rsidRDefault="00B32BEC" w:rsidP="00B32BEC">
      <w:pPr>
        <w:spacing w:line="360" w:lineRule="auto"/>
        <w:jc w:val="both"/>
        <w:rPr>
          <w:rFonts w:ascii="Arial (W1)" w:hAnsi="Arial (W1)"/>
          <w:rtl/>
        </w:rPr>
      </w:pPr>
    </w:p>
    <w:p w14:paraId="7D295667" w14:textId="77777777" w:rsidR="00B32BEC" w:rsidRDefault="00B32BEC" w:rsidP="00B32BEC">
      <w:pPr>
        <w:spacing w:line="360" w:lineRule="auto"/>
        <w:ind w:left="720" w:hanging="720"/>
        <w:jc w:val="both"/>
        <w:rPr>
          <w:rFonts w:ascii="Arial (W1)" w:hAnsi="Arial (W1)"/>
          <w:rtl/>
        </w:rPr>
      </w:pPr>
      <w:r>
        <w:rPr>
          <w:rFonts w:ascii="Arial (W1)" w:hAnsi="Arial (W1)" w:hint="cs"/>
          <w:rtl/>
        </w:rPr>
        <w:tab/>
      </w:r>
      <w:hyperlink r:id="rId15" w:history="1">
        <w:r w:rsidR="00DE63F6" w:rsidRPr="00DE63F6">
          <w:rPr>
            <w:rFonts w:ascii="Arial (W1)" w:hAnsi="Arial (W1)" w:hint="eastAsia"/>
            <w:color w:val="0000FF"/>
            <w:u w:val="single"/>
            <w:rtl/>
          </w:rPr>
          <w:t>ת</w:t>
        </w:r>
        <w:r w:rsidR="00DE63F6" w:rsidRPr="00DE63F6">
          <w:rPr>
            <w:rFonts w:ascii="Arial (W1)" w:hAnsi="Arial (W1)"/>
            <w:color w:val="0000FF"/>
            <w:u w:val="single"/>
            <w:rtl/>
          </w:rPr>
          <w:t>"</w:t>
        </w:r>
        <w:r w:rsidR="00DE63F6" w:rsidRPr="00DE63F6">
          <w:rPr>
            <w:rFonts w:ascii="Arial (W1)" w:hAnsi="Arial (W1)" w:hint="eastAsia"/>
            <w:color w:val="0000FF"/>
            <w:u w:val="single"/>
            <w:rtl/>
          </w:rPr>
          <w:t>פ</w:t>
        </w:r>
        <w:r w:rsidR="00DE63F6" w:rsidRPr="00DE63F6">
          <w:rPr>
            <w:rFonts w:ascii="Arial (W1)" w:hAnsi="Arial (W1)"/>
            <w:color w:val="0000FF"/>
            <w:u w:val="single"/>
            <w:rtl/>
          </w:rPr>
          <w:t xml:space="preserve"> 27280-09-17</w:t>
        </w:r>
      </w:hyperlink>
      <w:r>
        <w:rPr>
          <w:rFonts w:ascii="Arial (W1)" w:hAnsi="Arial (W1)" w:hint="cs"/>
          <w:rtl/>
        </w:rPr>
        <w:t xml:space="preserve"> </w:t>
      </w:r>
      <w:r>
        <w:rPr>
          <w:rFonts w:ascii="Arial (W1)" w:hAnsi="Arial (W1)" w:hint="cs"/>
          <w:b/>
          <w:bCs/>
          <w:rtl/>
        </w:rPr>
        <w:t>מדינת ישראל נ' אבו קישק ואח'</w:t>
      </w:r>
      <w:r>
        <w:rPr>
          <w:rFonts w:ascii="Arial (W1)" w:hAnsi="Arial (W1)" w:hint="cs"/>
          <w:rtl/>
        </w:rPr>
        <w:t xml:space="preserve"> (20.3.2018), שם הורשעו שני נאשמים בשתי עבירות של סחר בסם מסוכן, בכך שמכרו לסוכן בצוותא 25 גרם קוקאין ו- 30 גרם קוקאין. הסדר הטיעון שיקלל גם קשיים ראייתיים שהיו ביסוד ראיות התביעה, ובמסגרתו הוטל על כל אחד מהנאשמים עונש של 32 חודשי מאסר (בעניינו של נאשם 1 הופעל גם מאסר מותנה, כך שהתוצאה העונשית הסופית עמדה על 36 חודשים). </w:t>
      </w:r>
    </w:p>
    <w:p w14:paraId="35E4AE85" w14:textId="77777777" w:rsidR="00B32BEC" w:rsidRDefault="00B32BEC" w:rsidP="00B32BEC">
      <w:pPr>
        <w:spacing w:line="360" w:lineRule="auto"/>
        <w:ind w:left="720" w:hanging="720"/>
        <w:jc w:val="both"/>
        <w:rPr>
          <w:rFonts w:ascii="Arial (W1)" w:hAnsi="Arial (W1)"/>
          <w:rtl/>
        </w:rPr>
      </w:pPr>
    </w:p>
    <w:p w14:paraId="2107FCF5" w14:textId="77777777" w:rsidR="00B32BEC" w:rsidRDefault="00B32BEC" w:rsidP="00B32BEC">
      <w:pPr>
        <w:spacing w:line="360" w:lineRule="auto"/>
        <w:ind w:left="720" w:hanging="720"/>
        <w:jc w:val="both"/>
        <w:rPr>
          <w:rFonts w:ascii="Arial (W1)" w:hAnsi="Arial (W1)"/>
          <w:rtl/>
        </w:rPr>
      </w:pPr>
      <w:r>
        <w:rPr>
          <w:rFonts w:ascii="Arial (W1)" w:hAnsi="Arial (W1)" w:hint="cs"/>
          <w:rtl/>
        </w:rPr>
        <w:tab/>
      </w:r>
      <w:hyperlink r:id="rId16" w:history="1">
        <w:r w:rsidR="00DE63F6" w:rsidRPr="00DE63F6">
          <w:rPr>
            <w:rFonts w:ascii="Arial (W1)" w:hAnsi="Arial (W1)" w:hint="eastAsia"/>
            <w:color w:val="0000FF"/>
            <w:u w:val="single"/>
            <w:rtl/>
          </w:rPr>
          <w:t>ת</w:t>
        </w:r>
        <w:r w:rsidR="00DE63F6" w:rsidRPr="00DE63F6">
          <w:rPr>
            <w:rFonts w:ascii="Arial (W1)" w:hAnsi="Arial (W1)"/>
            <w:color w:val="0000FF"/>
            <w:u w:val="single"/>
            <w:rtl/>
          </w:rPr>
          <w:t>"</w:t>
        </w:r>
        <w:r w:rsidR="00DE63F6" w:rsidRPr="00DE63F6">
          <w:rPr>
            <w:rFonts w:ascii="Arial (W1)" w:hAnsi="Arial (W1)" w:hint="eastAsia"/>
            <w:color w:val="0000FF"/>
            <w:u w:val="single"/>
            <w:rtl/>
          </w:rPr>
          <w:t>פ</w:t>
        </w:r>
        <w:r w:rsidR="00DE63F6" w:rsidRPr="00DE63F6">
          <w:rPr>
            <w:rFonts w:ascii="Arial (W1)" w:hAnsi="Arial (W1)"/>
            <w:color w:val="0000FF"/>
            <w:u w:val="single"/>
            <w:rtl/>
          </w:rPr>
          <w:t xml:space="preserve"> 27701-09-17</w:t>
        </w:r>
      </w:hyperlink>
      <w:r>
        <w:rPr>
          <w:rFonts w:ascii="Arial (W1)" w:hAnsi="Arial (W1)" w:hint="cs"/>
          <w:rtl/>
        </w:rPr>
        <w:t xml:space="preserve"> </w:t>
      </w:r>
      <w:r>
        <w:rPr>
          <w:rFonts w:ascii="Arial (W1)" w:hAnsi="Arial (W1)" w:hint="cs"/>
          <w:b/>
          <w:bCs/>
          <w:rtl/>
        </w:rPr>
        <w:t xml:space="preserve">מדינת ישראל נ' ג'אבר ואח' </w:t>
      </w:r>
      <w:r>
        <w:rPr>
          <w:rFonts w:ascii="Arial (W1)" w:hAnsi="Arial (W1)" w:hint="cs"/>
          <w:rtl/>
        </w:rPr>
        <w:t xml:space="preserve">(19.6.2018), שם הורשעו שלושה נאשמים בביצוע עבירות סמים באופן של מכירת קוקאין במשקלים של 60 גרם ו- 40 גרם לסוכן משטרתי. הסדר הטיעון שגובש בעניינם של נאשמים 2 ו-3 שקלל גם את הודאתם ואת החיסכון בעדות הסוכן, ובמסגרתו הוטלו עליהם עונשי מאסר של 38 חודשים. על נאשם 1 הוטלו 52 חודשי מאסר, אולם אותו נאשם צירף תיק נוסף, בו הורשע בארבע עבירות נוספות של סחר בסם ובעבירות נוספות. </w:t>
      </w:r>
    </w:p>
    <w:p w14:paraId="4A801846" w14:textId="77777777" w:rsidR="00B32BEC" w:rsidRDefault="00B32BEC" w:rsidP="00B32BEC">
      <w:pPr>
        <w:spacing w:line="360" w:lineRule="auto"/>
        <w:ind w:firstLine="720"/>
        <w:jc w:val="both"/>
        <w:rPr>
          <w:rFonts w:ascii="Arial (W1)" w:hAnsi="Arial (W1)"/>
          <w:rtl/>
        </w:rPr>
      </w:pPr>
    </w:p>
    <w:p w14:paraId="2F300408" w14:textId="77777777" w:rsidR="00B32BEC" w:rsidRDefault="00DE63F6" w:rsidP="00B32BEC">
      <w:pPr>
        <w:spacing w:line="360" w:lineRule="auto"/>
        <w:ind w:left="720"/>
        <w:jc w:val="both"/>
        <w:rPr>
          <w:rFonts w:ascii="Arial (W1)" w:hAnsi="Arial (W1)"/>
          <w:rtl/>
        </w:rPr>
      </w:pPr>
      <w:hyperlink r:id="rId17" w:history="1">
        <w:r w:rsidRPr="00DE63F6">
          <w:rPr>
            <w:rFonts w:ascii="Arial (W1)" w:hAnsi="Arial (W1)" w:hint="eastAsia"/>
            <w:color w:val="0000FF"/>
            <w:u w:val="single"/>
            <w:rtl/>
          </w:rPr>
          <w:t>ע</w:t>
        </w:r>
        <w:r w:rsidRPr="00DE63F6">
          <w:rPr>
            <w:rFonts w:ascii="Arial (W1)" w:hAnsi="Arial (W1)"/>
            <w:color w:val="0000FF"/>
            <w:u w:val="single"/>
            <w:rtl/>
          </w:rPr>
          <w:t>"</w:t>
        </w:r>
        <w:r w:rsidRPr="00DE63F6">
          <w:rPr>
            <w:rFonts w:ascii="Arial (W1)" w:hAnsi="Arial (W1)" w:hint="eastAsia"/>
            <w:color w:val="0000FF"/>
            <w:u w:val="single"/>
            <w:rtl/>
          </w:rPr>
          <w:t>פ</w:t>
        </w:r>
        <w:r w:rsidRPr="00DE63F6">
          <w:rPr>
            <w:rFonts w:ascii="Arial (W1)" w:hAnsi="Arial (W1)"/>
            <w:color w:val="0000FF"/>
            <w:u w:val="single"/>
            <w:rtl/>
          </w:rPr>
          <w:t xml:space="preserve"> 3477/12</w:t>
        </w:r>
      </w:hyperlink>
      <w:r w:rsidR="00B32BEC">
        <w:rPr>
          <w:rFonts w:ascii="Arial (W1)" w:hAnsi="Arial (W1)" w:hint="cs"/>
          <w:rtl/>
        </w:rPr>
        <w:t xml:space="preserve"> </w:t>
      </w:r>
      <w:r w:rsidR="00B32BEC">
        <w:rPr>
          <w:rFonts w:ascii="Arial (W1)" w:hAnsi="Arial (W1)" w:hint="cs"/>
          <w:b/>
          <w:bCs/>
          <w:rtl/>
        </w:rPr>
        <w:t>מרזוק נ' מדינת ישראל</w:t>
      </w:r>
      <w:r w:rsidR="00B32BEC">
        <w:rPr>
          <w:rFonts w:ascii="Arial (W1)" w:hAnsi="Arial (W1)" w:hint="cs"/>
          <w:rtl/>
        </w:rPr>
        <w:t xml:space="preserve"> (25.6.2012), באותו מקרה דובר בנאשם אשר הורשע במעורבות בשלושה אישומים. באישום הראשון - הורשע בעבירת תיווך לסחר בסם מסוכן מסוג קוקאין במשקל 100 גרם; באישום השני - הורשע הנאשם בסחר בסם מסוכן מסוג קוקאין במשקל 28 גרם; באישום השלישי - הורשע הנאשם בסחר בסם מסוכן מסוג קוקאין במשקל 49 גרם. בית המשפט המחוזי התייחס לעברו הפלילי המכביד (שלא כלל הרשעות בעבירות סמים) וגזר עליו 65 חודשי מאסר. בית המשפט העליון דחה את הערעור. </w:t>
      </w:r>
    </w:p>
    <w:p w14:paraId="60176F23" w14:textId="77777777" w:rsidR="00B32BEC" w:rsidRDefault="00B32BEC" w:rsidP="00B32BEC">
      <w:pPr>
        <w:spacing w:line="360" w:lineRule="auto"/>
        <w:ind w:left="720"/>
        <w:jc w:val="both"/>
        <w:rPr>
          <w:rFonts w:ascii="Arial (W1)" w:hAnsi="Arial (W1)"/>
          <w:rtl/>
        </w:rPr>
      </w:pPr>
    </w:p>
    <w:p w14:paraId="7E0F6F72" w14:textId="77777777" w:rsidR="00B32BEC" w:rsidRDefault="00DE63F6" w:rsidP="00B32BEC">
      <w:pPr>
        <w:spacing w:line="360" w:lineRule="auto"/>
        <w:ind w:left="720"/>
        <w:jc w:val="both"/>
        <w:rPr>
          <w:rFonts w:ascii="Arial (W1)" w:hAnsi="Arial (W1)"/>
          <w:rtl/>
        </w:rPr>
      </w:pPr>
      <w:hyperlink r:id="rId18" w:history="1">
        <w:r w:rsidRPr="00DE63F6">
          <w:rPr>
            <w:rFonts w:ascii="Arial (W1)" w:hAnsi="Arial (W1)" w:hint="eastAsia"/>
            <w:color w:val="0000FF"/>
            <w:u w:val="single"/>
            <w:rtl/>
          </w:rPr>
          <w:t>ת</w:t>
        </w:r>
        <w:r w:rsidRPr="00DE63F6">
          <w:rPr>
            <w:rFonts w:ascii="Arial (W1)" w:hAnsi="Arial (W1)"/>
            <w:color w:val="0000FF"/>
            <w:u w:val="single"/>
            <w:rtl/>
          </w:rPr>
          <w:t>"</w:t>
        </w:r>
        <w:r w:rsidRPr="00DE63F6">
          <w:rPr>
            <w:rFonts w:ascii="Arial (W1)" w:hAnsi="Arial (W1)" w:hint="eastAsia"/>
            <w:color w:val="0000FF"/>
            <w:u w:val="single"/>
            <w:rtl/>
          </w:rPr>
          <w:t>פ</w:t>
        </w:r>
        <w:r w:rsidRPr="00DE63F6">
          <w:rPr>
            <w:rFonts w:ascii="Arial (W1)" w:hAnsi="Arial (W1)"/>
            <w:color w:val="0000FF"/>
            <w:u w:val="single"/>
            <w:rtl/>
          </w:rPr>
          <w:t xml:space="preserve"> 975-05-15</w:t>
        </w:r>
      </w:hyperlink>
      <w:r w:rsidR="00B32BEC">
        <w:rPr>
          <w:rFonts w:ascii="Arial (W1)" w:hAnsi="Arial (W1)" w:hint="cs"/>
          <w:rtl/>
        </w:rPr>
        <w:t xml:space="preserve"> </w:t>
      </w:r>
      <w:r w:rsidR="00B32BEC">
        <w:rPr>
          <w:rFonts w:ascii="Arial (W1)" w:hAnsi="Arial (W1)" w:hint="cs"/>
          <w:b/>
          <w:bCs/>
          <w:rtl/>
        </w:rPr>
        <w:t xml:space="preserve">מדינת ישראל נ' אבו צאלוק ואח' </w:t>
      </w:r>
      <w:r w:rsidR="00B32BEC">
        <w:rPr>
          <w:rFonts w:ascii="Arial (W1)" w:hAnsi="Arial (W1)" w:hint="cs"/>
          <w:rtl/>
        </w:rPr>
        <w:t xml:space="preserve">(3.2.2016), שם הורשע נאשם 1 במכירת 51.05 גרם קוקאין לסוכן משטרתי, בנסיבות דומות לענייננו, שכן נאשם נוסף ואדם נוסף הגיעו למקום, וניתן לראותם כספקי הסם, הגם שנאשם 1 הוא זה שמסר את הסם לסוכן המשטרתי. בית המשפט המחוזי בחיפה קבע מתחם עונש הנע בין 3 ל- 5 שנות מאסר, והטיל על הנאשם, שהוא צעיר בן 21, שלחובתו הרשעה קודמת אחת בעבירת נשק בגינה ריצה 30 חודשי מאסר, עונש של 48 חודשי מאסר. </w:t>
      </w:r>
    </w:p>
    <w:p w14:paraId="31337189" w14:textId="77777777" w:rsidR="00B32BEC" w:rsidRDefault="00B32BEC" w:rsidP="00B32BEC">
      <w:pPr>
        <w:spacing w:line="360" w:lineRule="auto"/>
        <w:ind w:left="720"/>
        <w:jc w:val="both"/>
        <w:rPr>
          <w:rFonts w:ascii="Arial (W1)" w:hAnsi="Arial (W1)"/>
          <w:rtl/>
        </w:rPr>
      </w:pPr>
    </w:p>
    <w:p w14:paraId="1D9757D5" w14:textId="77777777" w:rsidR="00B32BEC" w:rsidRDefault="00DE63F6" w:rsidP="00B32BEC">
      <w:pPr>
        <w:spacing w:line="360" w:lineRule="auto"/>
        <w:ind w:left="720"/>
        <w:jc w:val="both"/>
        <w:rPr>
          <w:rFonts w:ascii="Arial (W1)" w:hAnsi="Arial (W1)"/>
          <w:rtl/>
        </w:rPr>
      </w:pPr>
      <w:hyperlink r:id="rId19" w:history="1">
        <w:r w:rsidRPr="00DE63F6">
          <w:rPr>
            <w:rFonts w:ascii="Arial (W1)" w:hAnsi="Arial (W1)" w:hint="eastAsia"/>
            <w:color w:val="0000FF"/>
            <w:u w:val="single"/>
            <w:rtl/>
          </w:rPr>
          <w:t>ע</w:t>
        </w:r>
        <w:r w:rsidRPr="00DE63F6">
          <w:rPr>
            <w:rFonts w:ascii="Arial (W1)" w:hAnsi="Arial (W1)"/>
            <w:color w:val="0000FF"/>
            <w:u w:val="single"/>
            <w:rtl/>
          </w:rPr>
          <w:t>"</w:t>
        </w:r>
        <w:r w:rsidRPr="00DE63F6">
          <w:rPr>
            <w:rFonts w:ascii="Arial (W1)" w:hAnsi="Arial (W1)" w:hint="eastAsia"/>
            <w:color w:val="0000FF"/>
            <w:u w:val="single"/>
            <w:rtl/>
          </w:rPr>
          <w:t>פ</w:t>
        </w:r>
        <w:r w:rsidRPr="00DE63F6">
          <w:rPr>
            <w:rFonts w:ascii="Arial (W1)" w:hAnsi="Arial (W1)"/>
            <w:color w:val="0000FF"/>
            <w:u w:val="single"/>
            <w:rtl/>
          </w:rPr>
          <w:t xml:space="preserve"> 1654/16</w:t>
        </w:r>
      </w:hyperlink>
      <w:r w:rsidR="00B32BEC">
        <w:rPr>
          <w:rFonts w:ascii="Arial (W1)" w:hAnsi="Arial (W1)" w:hint="cs"/>
          <w:rtl/>
        </w:rPr>
        <w:t xml:space="preserve"> </w:t>
      </w:r>
      <w:r w:rsidR="00B32BEC">
        <w:rPr>
          <w:rFonts w:ascii="Arial (W1)" w:hAnsi="Arial (W1)" w:hint="cs"/>
          <w:b/>
          <w:bCs/>
          <w:rtl/>
        </w:rPr>
        <w:t xml:space="preserve">גל שרר נ' מדינת ישראל </w:t>
      </w:r>
      <w:r w:rsidR="00B32BEC">
        <w:rPr>
          <w:rFonts w:ascii="Arial (W1)" w:hAnsi="Arial (W1)" w:hint="cs"/>
          <w:rtl/>
        </w:rPr>
        <w:t xml:space="preserve">(27.2.2017), שם נדון הנאשם לעונש של 54 חודשי מאסר, וזאת לאחר שהורשע בשני אישומים שעניינם עבירות סמים. האישום הראשון באותו מקרה כלל </w:t>
      </w:r>
      <w:r w:rsidR="00B32BEC">
        <w:rPr>
          <w:rFonts w:ascii="Arial (W1)" w:hAnsi="Arial (W1)" w:hint="cs"/>
          <w:b/>
          <w:bCs/>
          <w:rtl/>
        </w:rPr>
        <w:t>שני אירועי מכירה לסוכן (16.6 גרם ו- 19.6 גרם קוקאין)</w:t>
      </w:r>
      <w:r w:rsidR="00B32BEC">
        <w:rPr>
          <w:rFonts w:ascii="Arial (W1)" w:hAnsi="Arial (W1)" w:hint="cs"/>
          <w:rtl/>
        </w:rPr>
        <w:t xml:space="preserve"> כאשר בהקשר לאישום זה, נקבע בערכאה הדיונית </w:t>
      </w:r>
      <w:r w:rsidR="00B32BEC">
        <w:rPr>
          <w:rFonts w:ascii="Arial (W1)" w:hAnsi="Arial (W1)" w:hint="cs"/>
          <w:b/>
          <w:bCs/>
          <w:rtl/>
        </w:rPr>
        <w:t>מתחם הנע בין 24 ל- 48 חודשי מאסר</w:t>
      </w:r>
      <w:r w:rsidR="00B32BEC">
        <w:rPr>
          <w:rFonts w:ascii="Arial (W1)" w:hAnsi="Arial (W1)" w:hint="cs"/>
          <w:rtl/>
        </w:rPr>
        <w:t>. בית המשפט העליון קבע כי מדובר במתחם הולם, ואף דחה את הערעור בדבר הענישה הכוללת שהוטלה.</w:t>
      </w:r>
    </w:p>
    <w:p w14:paraId="52114FA8" w14:textId="77777777" w:rsidR="00B32BEC" w:rsidRDefault="00B32BEC" w:rsidP="00B32BEC">
      <w:pPr>
        <w:spacing w:line="360" w:lineRule="auto"/>
        <w:ind w:left="720"/>
        <w:jc w:val="both"/>
        <w:rPr>
          <w:rFonts w:ascii="Arial (W1)" w:hAnsi="Arial (W1)"/>
          <w:rtl/>
        </w:rPr>
      </w:pPr>
    </w:p>
    <w:p w14:paraId="7D29D298" w14:textId="77777777" w:rsidR="00B32BEC" w:rsidRDefault="00775FD2" w:rsidP="00B32BEC">
      <w:pPr>
        <w:spacing w:line="360" w:lineRule="auto"/>
        <w:ind w:left="720"/>
        <w:jc w:val="both"/>
        <w:rPr>
          <w:rFonts w:ascii="Arial (W1)" w:hAnsi="Arial (W1)"/>
          <w:rtl/>
        </w:rPr>
      </w:pPr>
      <w:hyperlink r:id="rId20" w:history="1">
        <w:r w:rsidRPr="00775FD2">
          <w:rPr>
            <w:rFonts w:ascii="Arial (W1)" w:hAnsi="Arial (W1)" w:hint="eastAsia"/>
            <w:color w:val="0000FF"/>
            <w:u w:val="single"/>
            <w:rtl/>
          </w:rPr>
          <w:t>ע</w:t>
        </w:r>
        <w:r w:rsidRPr="00775FD2">
          <w:rPr>
            <w:rFonts w:ascii="Arial (W1)" w:hAnsi="Arial (W1)"/>
            <w:color w:val="0000FF"/>
            <w:u w:val="single"/>
            <w:rtl/>
          </w:rPr>
          <w:t>"</w:t>
        </w:r>
        <w:r w:rsidRPr="00775FD2">
          <w:rPr>
            <w:rFonts w:ascii="Arial (W1)" w:hAnsi="Arial (W1)" w:hint="eastAsia"/>
            <w:color w:val="0000FF"/>
            <w:u w:val="single"/>
            <w:rtl/>
          </w:rPr>
          <w:t>פ</w:t>
        </w:r>
        <w:r w:rsidRPr="00775FD2">
          <w:rPr>
            <w:rFonts w:ascii="Arial (W1)" w:hAnsi="Arial (W1)"/>
            <w:color w:val="0000FF"/>
            <w:u w:val="single"/>
            <w:rtl/>
          </w:rPr>
          <w:t xml:space="preserve"> 792/14 </w:t>
        </w:r>
      </w:hyperlink>
      <w:r w:rsidR="00B32BEC">
        <w:rPr>
          <w:rFonts w:ascii="Arial (W1)" w:hAnsi="Arial (W1)" w:hint="cs"/>
          <w:rtl/>
        </w:rPr>
        <w:t xml:space="preserve"> </w:t>
      </w:r>
      <w:r w:rsidR="00B32BEC">
        <w:rPr>
          <w:rFonts w:ascii="Arial (W1)" w:hAnsi="Arial (W1)" w:hint="cs"/>
          <w:b/>
          <w:bCs/>
          <w:rtl/>
        </w:rPr>
        <w:t>אבו רגייג נ' מדינת ישראל</w:t>
      </w:r>
      <w:r w:rsidR="00B32BEC">
        <w:rPr>
          <w:rFonts w:ascii="Arial (W1)" w:hAnsi="Arial (W1)" w:hint="cs"/>
          <w:rtl/>
        </w:rPr>
        <w:t xml:space="preserve"> (21.7.2015) - בית המשפט המחוזי דן בעניינו של נאשם שהורשע </w:t>
      </w:r>
      <w:r w:rsidR="00B32BEC">
        <w:rPr>
          <w:rFonts w:ascii="Arial (W1)" w:hAnsi="Arial (W1)" w:hint="cs"/>
          <w:b/>
          <w:bCs/>
          <w:rtl/>
        </w:rPr>
        <w:t>בסחר ב-150 גרם קוקאין</w:t>
      </w:r>
      <w:r w:rsidR="00B32BEC">
        <w:rPr>
          <w:rFonts w:ascii="Arial (W1)" w:hAnsi="Arial (W1)" w:hint="cs"/>
          <w:rtl/>
        </w:rPr>
        <w:t xml:space="preserve">, קבע מתחם הנע בין </w:t>
      </w:r>
      <w:r w:rsidR="00B32BEC">
        <w:rPr>
          <w:rFonts w:ascii="Arial (W1)" w:hAnsi="Arial (W1)" w:hint="cs"/>
          <w:b/>
          <w:bCs/>
          <w:rtl/>
        </w:rPr>
        <w:t>30 חודשי מאסר ל-50 חודשי מאסר</w:t>
      </w:r>
      <w:r w:rsidR="00B32BEC">
        <w:rPr>
          <w:rFonts w:ascii="Arial (W1)" w:hAnsi="Arial (W1)" w:hint="cs"/>
          <w:rtl/>
        </w:rPr>
        <w:t xml:space="preserve"> וגזר על הנאשם עונש של </w:t>
      </w:r>
      <w:r w:rsidR="00B32BEC">
        <w:rPr>
          <w:rFonts w:ascii="Arial (W1)" w:hAnsi="Arial (W1)" w:hint="cs"/>
          <w:b/>
          <w:bCs/>
          <w:rtl/>
        </w:rPr>
        <w:t>32 חודשי מאסר</w:t>
      </w:r>
      <w:r w:rsidR="00B32BEC">
        <w:rPr>
          <w:rFonts w:ascii="Arial (W1)" w:hAnsi="Arial (W1)" w:hint="cs"/>
          <w:rtl/>
        </w:rPr>
        <w:t xml:space="preserve">. בית המשפט העליון דחה את ערעור הנאשם תוך שעמד על החומרה העולה מסחר בכמות כה משמעותית של קוקאין, על מרכזיותו של הנאשם, ולאחר שקבע כי מתחם העונש שנקבע הוא מתחם הולם, כמו גם עונשו של הנאשם. </w:t>
      </w:r>
    </w:p>
    <w:p w14:paraId="48810701" w14:textId="77777777" w:rsidR="00B32BEC" w:rsidRDefault="00B32BEC" w:rsidP="00B32BEC">
      <w:pPr>
        <w:spacing w:line="360" w:lineRule="auto"/>
        <w:ind w:left="720"/>
        <w:jc w:val="both"/>
        <w:rPr>
          <w:rFonts w:ascii="Arial (W1)" w:hAnsi="Arial (W1)"/>
          <w:rtl/>
        </w:rPr>
      </w:pPr>
    </w:p>
    <w:p w14:paraId="18F69FE3" w14:textId="77777777" w:rsidR="00B32BEC" w:rsidRDefault="00B32BEC" w:rsidP="00B32BEC">
      <w:pPr>
        <w:spacing w:line="360" w:lineRule="auto"/>
        <w:ind w:left="720" w:hanging="720"/>
        <w:jc w:val="both"/>
        <w:rPr>
          <w:rFonts w:ascii="Arial (W1)" w:hAnsi="Arial (W1)"/>
          <w:rtl/>
        </w:rPr>
      </w:pPr>
      <w:r>
        <w:rPr>
          <w:rFonts w:ascii="Arial (W1)" w:hAnsi="Arial (W1)" w:hint="cs"/>
          <w:rtl/>
        </w:rPr>
        <w:tab/>
      </w:r>
      <w:hyperlink r:id="rId21" w:history="1">
        <w:r w:rsidR="00DE63F6" w:rsidRPr="00DE63F6">
          <w:rPr>
            <w:rFonts w:ascii="Arial (W1)" w:hAnsi="Arial (W1)" w:hint="eastAsia"/>
            <w:color w:val="0000FF"/>
            <w:u w:val="single"/>
            <w:rtl/>
          </w:rPr>
          <w:t>ע</w:t>
        </w:r>
        <w:r w:rsidR="00DE63F6" w:rsidRPr="00DE63F6">
          <w:rPr>
            <w:rFonts w:ascii="Arial (W1)" w:hAnsi="Arial (W1)"/>
            <w:color w:val="0000FF"/>
            <w:u w:val="single"/>
            <w:rtl/>
          </w:rPr>
          <w:t>"</w:t>
        </w:r>
        <w:r w:rsidR="00DE63F6" w:rsidRPr="00DE63F6">
          <w:rPr>
            <w:rFonts w:ascii="Arial (W1)" w:hAnsi="Arial (W1)" w:hint="eastAsia"/>
            <w:color w:val="0000FF"/>
            <w:u w:val="single"/>
            <w:rtl/>
          </w:rPr>
          <w:t>פ</w:t>
        </w:r>
        <w:r w:rsidR="00DE63F6" w:rsidRPr="00DE63F6">
          <w:rPr>
            <w:rFonts w:ascii="Arial (W1)" w:hAnsi="Arial (W1)"/>
            <w:color w:val="0000FF"/>
            <w:u w:val="single"/>
            <w:rtl/>
          </w:rPr>
          <w:t xml:space="preserve"> 3117/12</w:t>
        </w:r>
      </w:hyperlink>
      <w:r>
        <w:rPr>
          <w:rFonts w:ascii="Arial (W1)" w:hAnsi="Arial (W1)" w:hint="cs"/>
          <w:rtl/>
        </w:rPr>
        <w:t xml:space="preserve"> </w:t>
      </w:r>
      <w:r>
        <w:rPr>
          <w:rFonts w:ascii="Arial (W1)" w:hAnsi="Arial (W1)" w:hint="cs"/>
          <w:b/>
          <w:bCs/>
          <w:rtl/>
        </w:rPr>
        <w:t>ארביב נ' מדינת ישראל</w:t>
      </w:r>
      <w:r>
        <w:rPr>
          <w:rFonts w:ascii="Arial (W1)" w:hAnsi="Arial (W1)" w:hint="cs"/>
          <w:rtl/>
        </w:rPr>
        <w:t xml:space="preserve"> (6.9.2012) - בית המשפט המחוזי דן בעניינו של נאשם שהורשע </w:t>
      </w:r>
      <w:r>
        <w:rPr>
          <w:rFonts w:ascii="Arial (W1)" w:hAnsi="Arial (W1)" w:hint="cs"/>
          <w:b/>
          <w:bCs/>
          <w:rtl/>
        </w:rPr>
        <w:t>בסחר ב-100 גרם קוקאין, וגזר עליו עונש של 36 חודשי מאסר</w:t>
      </w:r>
      <w:r>
        <w:rPr>
          <w:rFonts w:ascii="Arial (W1)" w:hAnsi="Arial (W1)" w:hint="cs"/>
          <w:rtl/>
        </w:rPr>
        <w:t xml:space="preserve">. בית המשפט העליון דחה את ערעור הנאשם. </w:t>
      </w:r>
    </w:p>
    <w:p w14:paraId="486077DE" w14:textId="77777777" w:rsidR="00B32BEC" w:rsidRDefault="00B32BEC" w:rsidP="00B32BEC">
      <w:pPr>
        <w:spacing w:line="360" w:lineRule="auto"/>
        <w:ind w:left="720" w:hanging="720"/>
        <w:jc w:val="both"/>
        <w:rPr>
          <w:rFonts w:ascii="Arial (W1)" w:hAnsi="Arial (W1)"/>
          <w:rtl/>
        </w:rPr>
      </w:pPr>
    </w:p>
    <w:p w14:paraId="37E36687" w14:textId="77777777" w:rsidR="00B32BEC" w:rsidRDefault="00B32BEC" w:rsidP="00B32BEC">
      <w:pPr>
        <w:spacing w:line="360" w:lineRule="auto"/>
        <w:ind w:left="720" w:hanging="720"/>
        <w:jc w:val="both"/>
        <w:rPr>
          <w:rFonts w:ascii="Arial (W1)" w:hAnsi="Arial (W1)"/>
          <w:rtl/>
        </w:rPr>
      </w:pPr>
      <w:r>
        <w:rPr>
          <w:rFonts w:ascii="Arial (W1)" w:hAnsi="Arial (W1)" w:hint="cs"/>
          <w:rtl/>
        </w:rPr>
        <w:tab/>
      </w:r>
      <w:hyperlink r:id="rId22" w:history="1">
        <w:r w:rsidR="00DE63F6" w:rsidRPr="00DE63F6">
          <w:rPr>
            <w:rFonts w:ascii="Arial (W1)" w:hAnsi="Arial (W1)" w:hint="eastAsia"/>
            <w:color w:val="0000FF"/>
            <w:u w:val="single"/>
            <w:rtl/>
          </w:rPr>
          <w:t>ע</w:t>
        </w:r>
        <w:r w:rsidR="00DE63F6" w:rsidRPr="00DE63F6">
          <w:rPr>
            <w:rFonts w:ascii="Arial (W1)" w:hAnsi="Arial (W1)"/>
            <w:color w:val="0000FF"/>
            <w:u w:val="single"/>
            <w:rtl/>
          </w:rPr>
          <w:t>"</w:t>
        </w:r>
        <w:r w:rsidR="00DE63F6" w:rsidRPr="00DE63F6">
          <w:rPr>
            <w:rFonts w:ascii="Arial (W1)" w:hAnsi="Arial (W1)" w:hint="eastAsia"/>
            <w:color w:val="0000FF"/>
            <w:u w:val="single"/>
            <w:rtl/>
          </w:rPr>
          <w:t>פ</w:t>
        </w:r>
        <w:r w:rsidR="00DE63F6" w:rsidRPr="00DE63F6">
          <w:rPr>
            <w:rFonts w:ascii="Arial (W1)" w:hAnsi="Arial (W1)"/>
            <w:color w:val="0000FF"/>
            <w:u w:val="single"/>
            <w:rtl/>
          </w:rPr>
          <w:t xml:space="preserve"> 1905/12</w:t>
        </w:r>
      </w:hyperlink>
      <w:r>
        <w:rPr>
          <w:rFonts w:ascii="Arial (W1)" w:hAnsi="Arial (W1)" w:hint="cs"/>
          <w:rtl/>
        </w:rPr>
        <w:t xml:space="preserve"> </w:t>
      </w:r>
      <w:r>
        <w:rPr>
          <w:rFonts w:ascii="Arial (W1)" w:hAnsi="Arial (W1)" w:hint="cs"/>
          <w:b/>
          <w:bCs/>
          <w:rtl/>
        </w:rPr>
        <w:t>דהן נ' מדינת ישראל</w:t>
      </w:r>
      <w:r>
        <w:rPr>
          <w:rFonts w:ascii="Arial (W1)" w:hAnsi="Arial (W1)" w:hint="cs"/>
          <w:rtl/>
        </w:rPr>
        <w:t xml:space="preserve"> (8.11.2012) – בית המשפט המחוזי גזר </w:t>
      </w:r>
      <w:r>
        <w:rPr>
          <w:rFonts w:ascii="Arial (W1)" w:hAnsi="Arial (W1)" w:hint="cs"/>
          <w:b/>
          <w:bCs/>
          <w:rtl/>
        </w:rPr>
        <w:t>44 חודשי מאסר</w:t>
      </w:r>
      <w:r>
        <w:rPr>
          <w:rFonts w:ascii="Arial (W1)" w:hAnsi="Arial (W1)" w:hint="cs"/>
          <w:rtl/>
        </w:rPr>
        <w:t xml:space="preserve"> על נאשם שהורשע בסיוע לסחר בסם מסוכן מסוג קוקאין במשקל 90 גרם לסוכן משטרתי ובמכירת 100 גרם קוקאין לאותו סוכן משטרתי. </w:t>
      </w:r>
    </w:p>
    <w:p w14:paraId="29E10B95" w14:textId="77777777" w:rsidR="00B32BEC" w:rsidRDefault="00B32BEC" w:rsidP="00B32BEC">
      <w:pPr>
        <w:spacing w:line="360" w:lineRule="auto"/>
        <w:ind w:left="720" w:hanging="720"/>
        <w:jc w:val="both"/>
        <w:rPr>
          <w:rFonts w:ascii="Arial (W1)" w:hAnsi="Arial (W1)"/>
          <w:rtl/>
        </w:rPr>
      </w:pPr>
    </w:p>
    <w:p w14:paraId="398611FF" w14:textId="77777777" w:rsidR="00B32BEC" w:rsidRDefault="00B32BEC" w:rsidP="00B32BEC">
      <w:pPr>
        <w:spacing w:line="360" w:lineRule="auto"/>
        <w:ind w:left="720" w:hanging="720"/>
        <w:jc w:val="both"/>
        <w:rPr>
          <w:rFonts w:ascii="Arial (W1)" w:hAnsi="Arial (W1)"/>
          <w:u w:val="single"/>
          <w:rtl/>
        </w:rPr>
      </w:pPr>
      <w:r>
        <w:rPr>
          <w:rFonts w:ascii="Arial (W1)" w:hAnsi="Arial (W1)"/>
          <w:rtl/>
        </w:rPr>
        <w:tab/>
      </w:r>
      <w:r>
        <w:rPr>
          <w:rFonts w:ascii="Arial (W1)" w:hAnsi="Arial (W1)" w:hint="cs"/>
          <w:u w:val="single"/>
          <w:rtl/>
        </w:rPr>
        <w:t>קביעת מתחם העונש ההולם - סיכום</w:t>
      </w:r>
    </w:p>
    <w:p w14:paraId="676D2652" w14:textId="77777777" w:rsidR="00B32BEC" w:rsidRDefault="00B32BEC" w:rsidP="00B32BEC">
      <w:pPr>
        <w:spacing w:line="360" w:lineRule="auto"/>
        <w:ind w:left="720" w:hanging="720"/>
        <w:jc w:val="both"/>
        <w:rPr>
          <w:rFonts w:ascii="Arial" w:hAnsi="Arial"/>
          <w:b/>
          <w:bCs/>
          <w:rtl/>
        </w:rPr>
      </w:pPr>
    </w:p>
    <w:p w14:paraId="61640AF4" w14:textId="77777777" w:rsidR="00B32BEC" w:rsidRDefault="00B32BEC" w:rsidP="00B32BEC">
      <w:pPr>
        <w:spacing w:line="360" w:lineRule="auto"/>
        <w:ind w:left="720" w:hanging="720"/>
        <w:jc w:val="both"/>
        <w:rPr>
          <w:rFonts w:ascii="Arial" w:hAnsi="Arial"/>
          <w:rtl/>
        </w:rPr>
      </w:pPr>
      <w:r>
        <w:rPr>
          <w:rFonts w:ascii="Arial" w:hAnsi="Arial" w:hint="cs"/>
          <w:rtl/>
        </w:rPr>
        <w:t>8.</w:t>
      </w:r>
      <w:r>
        <w:rPr>
          <w:rFonts w:ascii="Arial" w:hAnsi="Arial" w:hint="cs"/>
          <w:rtl/>
        </w:rPr>
        <w:tab/>
        <w:t xml:space="preserve">המתחם שנקבע בעניינו של נאשם 1 בגין עובדות האישום הראשון עמד ברף התחתון של 30 חודשי מאסר וברף העליון על 60 חודשי מאסר. </w:t>
      </w:r>
    </w:p>
    <w:p w14:paraId="56051372" w14:textId="77777777" w:rsidR="00B32BEC" w:rsidRDefault="00B32BEC" w:rsidP="00B32BEC">
      <w:pPr>
        <w:spacing w:line="360" w:lineRule="auto"/>
        <w:ind w:left="720" w:hanging="720"/>
        <w:jc w:val="both"/>
        <w:rPr>
          <w:rFonts w:ascii="Arial" w:hAnsi="Arial"/>
          <w:rtl/>
        </w:rPr>
      </w:pPr>
    </w:p>
    <w:p w14:paraId="1BC7F055" w14:textId="77777777" w:rsidR="00B32BEC" w:rsidRDefault="00B32BEC" w:rsidP="00B32BEC">
      <w:pPr>
        <w:spacing w:line="360" w:lineRule="auto"/>
        <w:ind w:left="720" w:hanging="720"/>
        <w:jc w:val="both"/>
        <w:rPr>
          <w:rFonts w:ascii="Arial" w:hAnsi="Arial"/>
          <w:rtl/>
        </w:rPr>
      </w:pPr>
      <w:r>
        <w:rPr>
          <w:rFonts w:ascii="Arial" w:hAnsi="Arial"/>
          <w:rtl/>
        </w:rPr>
        <w:tab/>
      </w:r>
      <w:r>
        <w:rPr>
          <w:rFonts w:ascii="Arial" w:hAnsi="Arial" w:hint="cs"/>
          <w:rtl/>
        </w:rPr>
        <w:t xml:space="preserve">בהינתן מידת הדומיננטיות המוגברת של הנאשם במהלך ביצוע העסקה (בהשוואה לנאשם 1), ניסיונותיו לקדם עסקאות עתידיות, עובדת היותו ספק הסם, ומי שגרף את מרבית הסכום ששולם עבור הסם, דומה כי  יש לקבוע מתחם עונש הולם גבוה יותר מזה שנקבע בעניינו של נאשם 1, </w:t>
      </w:r>
      <w:r w:rsidRPr="00834B99">
        <w:rPr>
          <w:rFonts w:ascii="Arial" w:hAnsi="Arial" w:hint="cs"/>
          <w:b/>
          <w:bCs/>
          <w:rtl/>
        </w:rPr>
        <w:t>ועל כן ראיתי להעמיד את הרף התחתון על 38 חודשי מאסר ואת הרף העליון של 68 חודשי מאסר</w:t>
      </w:r>
      <w:r>
        <w:rPr>
          <w:rFonts w:ascii="Arial" w:hAnsi="Arial" w:hint="cs"/>
          <w:rtl/>
        </w:rPr>
        <w:t xml:space="preserve">. </w:t>
      </w:r>
    </w:p>
    <w:p w14:paraId="605BA047" w14:textId="77777777" w:rsidR="00B32BEC" w:rsidRDefault="00B32BEC" w:rsidP="00B32BEC">
      <w:pPr>
        <w:spacing w:line="360" w:lineRule="auto"/>
        <w:ind w:left="720" w:hanging="720"/>
        <w:jc w:val="both"/>
        <w:rPr>
          <w:rFonts w:ascii="Arial" w:hAnsi="Arial"/>
          <w:rtl/>
        </w:rPr>
      </w:pPr>
    </w:p>
    <w:p w14:paraId="3620B4DC" w14:textId="77777777" w:rsidR="00B32BEC" w:rsidRDefault="00B32BEC" w:rsidP="00B32BEC">
      <w:pPr>
        <w:spacing w:line="360" w:lineRule="auto"/>
        <w:ind w:left="720" w:hanging="720"/>
        <w:jc w:val="both"/>
        <w:rPr>
          <w:rFonts w:ascii="Arial" w:hAnsi="Arial"/>
          <w:rtl/>
        </w:rPr>
      </w:pPr>
      <w:r>
        <w:rPr>
          <w:rFonts w:ascii="Arial" w:hAnsi="Arial"/>
          <w:rtl/>
        </w:rPr>
        <w:tab/>
      </w:r>
      <w:r>
        <w:rPr>
          <w:rFonts w:ascii="Arial" w:hAnsi="Arial" w:hint="cs"/>
          <w:rtl/>
        </w:rPr>
        <w:t xml:space="preserve">ראיתי לציין כי בגזר הדין שניתן על ידי בעניינו של </w:t>
      </w:r>
      <w:r w:rsidRPr="00FC602F">
        <w:rPr>
          <w:rFonts w:ascii="Arial" w:hAnsi="Arial" w:hint="cs"/>
          <w:b/>
          <w:bCs/>
          <w:rtl/>
        </w:rPr>
        <w:t>אבייב</w:t>
      </w:r>
      <w:r>
        <w:rPr>
          <w:rFonts w:ascii="Arial" w:hAnsi="Arial" w:hint="cs"/>
          <w:rtl/>
        </w:rPr>
        <w:t xml:space="preserve"> שהוזכר לעיל, באותה פרשית סוכן, התייחסתי לטענה לפיה יש לראות את חלקו של אבייב (שחלקו דומה מאוד לחלקו של נאשם 1) כמתווך, וציינתי את הדברים הבאים:</w:t>
      </w:r>
    </w:p>
    <w:p w14:paraId="1FC7396F" w14:textId="77777777" w:rsidR="00B32BEC" w:rsidRDefault="00B32BEC" w:rsidP="00B32BEC">
      <w:pPr>
        <w:spacing w:line="360" w:lineRule="auto"/>
        <w:ind w:left="720" w:hanging="720"/>
        <w:jc w:val="both"/>
        <w:rPr>
          <w:rFonts w:ascii="Arial" w:hAnsi="Arial"/>
          <w:rtl/>
        </w:rPr>
      </w:pPr>
    </w:p>
    <w:p w14:paraId="38F3252D" w14:textId="77777777" w:rsidR="00B32BEC" w:rsidRPr="00C6165C" w:rsidRDefault="00B32BEC" w:rsidP="00B32BEC">
      <w:pPr>
        <w:spacing w:line="360" w:lineRule="auto"/>
        <w:ind w:left="720" w:hanging="720"/>
        <w:jc w:val="both"/>
        <w:rPr>
          <w:rtl/>
        </w:rPr>
      </w:pPr>
      <w:r>
        <w:rPr>
          <w:rFonts w:ascii="Arial" w:hAnsi="Arial"/>
          <w:rtl/>
        </w:rPr>
        <w:tab/>
      </w:r>
      <w:r>
        <w:rPr>
          <w:rFonts w:ascii="Arial" w:hAnsi="Arial" w:hint="cs"/>
          <w:rtl/>
        </w:rPr>
        <w:t>"</w:t>
      </w:r>
      <w:r w:rsidRPr="0045042E">
        <w:rPr>
          <w:rFonts w:hint="cs"/>
          <w:b/>
          <w:bCs/>
          <w:rtl/>
        </w:rPr>
        <w:t xml:space="preserve">זה המקום להתייחס לטיעון הסנגור, לפיו חלקו של הנאשם נמוך, על גבול עבירת התיווך, כאשר לטעמי, מדובר בטיעון בעל משקל, אך לא בעל משקל מכריע. אמת הדבר, כי מכלל הנסיבות, נראה כי הנאשם אינו מבכירי שרשרת הספקת הסם, אך אין ספק כי מדובר בחוליה משמעותית בלעדיה אין. לציין, כי כאשר ביקש הסוכן את מספר הטלפון של ספק הסם, וכאמור בעובדה מספר 7 לאישום הראשון, ציין בפניו הנאשם שעל-פי עמדת "הספק" - מכירת הסם תתבצע רק דרכו (דרך הנאשם). </w:t>
      </w:r>
      <w:r w:rsidRPr="0045042E">
        <w:rPr>
          <w:rFonts w:hint="cs"/>
          <w:b/>
          <w:bCs/>
          <w:u w:val="single"/>
          <w:rtl/>
        </w:rPr>
        <w:t>ככל שספק הסם היה עומד לדין, ברור כי המתחם בעניינו היה צריך להיות גבוה יותר מזה שאקבע בעניינו של הנאשם, אך עדיין, כפי שציינתי, יש לראות את חלקו של הנאשם כחלק לא מבוטל</w:t>
      </w:r>
      <w:r>
        <w:rPr>
          <w:rFonts w:hint="cs"/>
          <w:rtl/>
        </w:rPr>
        <w:t xml:space="preserve">" (ההדגשה אינה במקור </w:t>
      </w:r>
      <w:r>
        <w:rPr>
          <w:rtl/>
        </w:rPr>
        <w:t>–</w:t>
      </w:r>
      <w:r>
        <w:rPr>
          <w:rFonts w:hint="cs"/>
          <w:rtl/>
        </w:rPr>
        <w:t xml:space="preserve"> ב.ש). </w:t>
      </w:r>
    </w:p>
    <w:p w14:paraId="62E5FE9F" w14:textId="77777777" w:rsidR="00B32BEC" w:rsidRDefault="00B32BEC" w:rsidP="00B32BEC">
      <w:pPr>
        <w:spacing w:line="360" w:lineRule="auto"/>
        <w:ind w:left="720" w:hanging="720"/>
        <w:jc w:val="both"/>
        <w:rPr>
          <w:rtl/>
        </w:rPr>
      </w:pPr>
    </w:p>
    <w:p w14:paraId="2C65FA59" w14:textId="77777777" w:rsidR="00B32BEC" w:rsidRPr="0066537B" w:rsidRDefault="00B32BEC" w:rsidP="00B32BEC">
      <w:pPr>
        <w:spacing w:line="360" w:lineRule="auto"/>
        <w:ind w:left="720" w:hanging="720"/>
        <w:jc w:val="both"/>
        <w:rPr>
          <w:rtl/>
        </w:rPr>
      </w:pPr>
      <w:r>
        <w:rPr>
          <w:rtl/>
        </w:rPr>
        <w:tab/>
      </w:r>
      <w:r>
        <w:rPr>
          <w:rFonts w:hint="cs"/>
          <w:rtl/>
        </w:rPr>
        <w:t xml:space="preserve">דברים ברוח דומה קבעתי גם בעניינו של </w:t>
      </w:r>
      <w:r w:rsidRPr="0066537B">
        <w:rPr>
          <w:rFonts w:hint="cs"/>
          <w:b/>
          <w:bCs/>
          <w:rtl/>
        </w:rPr>
        <w:t>אבי נס</w:t>
      </w:r>
      <w:r>
        <w:rPr>
          <w:rFonts w:hint="cs"/>
          <w:rtl/>
        </w:rPr>
        <w:t xml:space="preserve"> שהוזכר לעיל (ראה סעיף 6(ג) לגזר דינו).</w:t>
      </w:r>
    </w:p>
    <w:p w14:paraId="5F41E0FA" w14:textId="77777777" w:rsidR="00B32BEC" w:rsidRDefault="00B32BEC" w:rsidP="00B32BEC">
      <w:pPr>
        <w:spacing w:line="360" w:lineRule="auto"/>
        <w:ind w:left="720" w:hanging="720"/>
        <w:jc w:val="both"/>
        <w:rPr>
          <w:rtl/>
        </w:rPr>
      </w:pPr>
    </w:p>
    <w:p w14:paraId="7D60BCF2" w14:textId="77777777" w:rsidR="00B32BEC" w:rsidRDefault="00B32BEC" w:rsidP="00B32BEC">
      <w:pPr>
        <w:spacing w:line="360" w:lineRule="auto"/>
        <w:ind w:left="720" w:hanging="720"/>
        <w:jc w:val="both"/>
        <w:rPr>
          <w:rFonts w:ascii="Arial" w:hAnsi="Arial"/>
          <w:rtl/>
        </w:rPr>
      </w:pPr>
      <w:r>
        <w:rPr>
          <w:rtl/>
        </w:rPr>
        <w:tab/>
      </w:r>
      <w:r>
        <w:rPr>
          <w:rFonts w:hint="cs"/>
          <w:rtl/>
        </w:rPr>
        <w:t xml:space="preserve">דברים אלה רלוונטיים לענייננו, וזאת נוכח "הפער האיכותי" בין חלקו של נאשם 1 לחלקו של הנאשם  בהקשר לעובדותיו של האישום הראשון. </w:t>
      </w:r>
    </w:p>
    <w:p w14:paraId="033D7FDC" w14:textId="77777777" w:rsidR="00B32BEC" w:rsidRDefault="00B32BEC" w:rsidP="00B32BEC">
      <w:pPr>
        <w:spacing w:line="360" w:lineRule="auto"/>
        <w:ind w:left="720" w:hanging="720"/>
        <w:jc w:val="both"/>
        <w:rPr>
          <w:rFonts w:ascii="Arial" w:hAnsi="Arial"/>
          <w:rtl/>
        </w:rPr>
      </w:pPr>
    </w:p>
    <w:p w14:paraId="695EDCC8" w14:textId="77777777" w:rsidR="00B32BEC" w:rsidRPr="0066537B" w:rsidRDefault="00B32BEC" w:rsidP="00B32BEC">
      <w:pPr>
        <w:spacing w:line="360" w:lineRule="auto"/>
        <w:ind w:left="720" w:hanging="720"/>
        <w:jc w:val="both"/>
        <w:rPr>
          <w:rFonts w:ascii="Arial" w:hAnsi="Arial"/>
          <w:rtl/>
        </w:rPr>
      </w:pPr>
      <w:r>
        <w:rPr>
          <w:rFonts w:ascii="Arial" w:hAnsi="Arial"/>
          <w:rtl/>
        </w:rPr>
        <w:tab/>
      </w:r>
      <w:r>
        <w:rPr>
          <w:rFonts w:ascii="Arial" w:hAnsi="Arial" w:hint="cs"/>
          <w:u w:val="single"/>
          <w:rtl/>
        </w:rPr>
        <w:t>קביעת העונש המתאים לנאשם</w:t>
      </w:r>
    </w:p>
    <w:p w14:paraId="7748D7E5" w14:textId="77777777" w:rsidR="00B32BEC" w:rsidRDefault="00B32BEC" w:rsidP="00B32BEC">
      <w:pPr>
        <w:spacing w:line="360" w:lineRule="auto"/>
        <w:ind w:left="720" w:hanging="720"/>
        <w:jc w:val="both"/>
        <w:rPr>
          <w:rFonts w:ascii="Arial" w:hAnsi="Arial"/>
          <w:rtl/>
        </w:rPr>
      </w:pPr>
    </w:p>
    <w:p w14:paraId="408F6AF8" w14:textId="77777777" w:rsidR="00B32BEC" w:rsidRDefault="00B32BEC" w:rsidP="00B32BEC">
      <w:pPr>
        <w:spacing w:line="360" w:lineRule="auto"/>
        <w:ind w:left="720" w:hanging="720"/>
        <w:jc w:val="both"/>
        <w:rPr>
          <w:rFonts w:ascii="Arial" w:hAnsi="Arial"/>
          <w:rtl/>
        </w:rPr>
      </w:pPr>
      <w:r>
        <w:rPr>
          <w:rFonts w:ascii="Arial" w:hAnsi="Arial" w:hint="cs"/>
          <w:rtl/>
        </w:rPr>
        <w:t>9.</w:t>
      </w:r>
      <w:r>
        <w:rPr>
          <w:rFonts w:ascii="Arial" w:hAnsi="Arial" w:hint="cs"/>
          <w:rtl/>
        </w:rPr>
        <w:tab/>
        <w:t xml:space="preserve">ככלל, קיימים ארבעה "נתוני אב" המשליכים על מיקומו של נאשם בתוך מתחם העונש ההולם:  עבר פלילי; נטילת אחריות (כגורם בעל פוטנציאל להקלה בעונש בלבד); נתונים אישיים (לרבות גיל ומצב רפואי) וסיכויי שיקום (נתון זה יכול להוביל, בנסיבות מסוימות, גם לחריגה ממתחם העונש ההולם). </w:t>
      </w:r>
    </w:p>
    <w:p w14:paraId="590792D2" w14:textId="77777777" w:rsidR="00B32BEC" w:rsidRDefault="00B32BEC" w:rsidP="00B32BEC">
      <w:pPr>
        <w:spacing w:line="360" w:lineRule="auto"/>
        <w:ind w:left="720" w:hanging="720"/>
        <w:jc w:val="both"/>
        <w:rPr>
          <w:rFonts w:ascii="Arial" w:hAnsi="Arial"/>
          <w:rtl/>
        </w:rPr>
      </w:pPr>
    </w:p>
    <w:p w14:paraId="12985D41" w14:textId="77777777" w:rsidR="00B32BEC" w:rsidRDefault="00B32BEC" w:rsidP="00B32BEC">
      <w:pPr>
        <w:spacing w:line="360" w:lineRule="auto"/>
        <w:ind w:left="720" w:hanging="720"/>
        <w:jc w:val="both"/>
        <w:rPr>
          <w:rFonts w:ascii="Arial" w:hAnsi="Arial"/>
          <w:rtl/>
        </w:rPr>
      </w:pPr>
      <w:r>
        <w:rPr>
          <w:rFonts w:ascii="Arial" w:hAnsi="Arial"/>
          <w:rtl/>
        </w:rPr>
        <w:tab/>
      </w:r>
      <w:r>
        <w:rPr>
          <w:rFonts w:ascii="Arial" w:hAnsi="Arial" w:hint="cs"/>
          <w:rtl/>
        </w:rPr>
        <w:t xml:space="preserve">במקרה דנן, אין בנמצא נתונים כלשהם המצדיקים גזירת עונשו בקירוב לרף התחתון של המתחם. </w:t>
      </w:r>
    </w:p>
    <w:p w14:paraId="7A3E4DB8" w14:textId="77777777" w:rsidR="00B32BEC" w:rsidRDefault="00B32BEC" w:rsidP="00B32BEC">
      <w:pPr>
        <w:spacing w:line="360" w:lineRule="auto"/>
        <w:ind w:left="720" w:hanging="720"/>
        <w:jc w:val="both"/>
        <w:rPr>
          <w:rFonts w:ascii="Arial" w:hAnsi="Arial"/>
          <w:rtl/>
        </w:rPr>
      </w:pPr>
    </w:p>
    <w:p w14:paraId="43387425" w14:textId="77777777" w:rsidR="00B32BEC" w:rsidRDefault="00B32BEC" w:rsidP="00B32BEC">
      <w:pPr>
        <w:spacing w:line="360" w:lineRule="auto"/>
        <w:ind w:left="720" w:hanging="720"/>
        <w:jc w:val="both"/>
        <w:rPr>
          <w:rFonts w:ascii="Arial" w:hAnsi="Arial"/>
          <w:rtl/>
        </w:rPr>
      </w:pPr>
      <w:r>
        <w:rPr>
          <w:rFonts w:ascii="Arial" w:hAnsi="Arial"/>
          <w:rtl/>
        </w:rPr>
        <w:tab/>
      </w:r>
      <w:r w:rsidRPr="00B645C8">
        <w:rPr>
          <w:rFonts w:ascii="Arial" w:hAnsi="Arial" w:hint="cs"/>
          <w:b/>
          <w:bCs/>
          <w:rtl/>
        </w:rPr>
        <w:t>ראשית</w:t>
      </w:r>
      <w:r>
        <w:rPr>
          <w:rFonts w:ascii="Arial" w:hAnsi="Arial" w:hint="cs"/>
          <w:rtl/>
        </w:rPr>
        <w:t xml:space="preserve">, מדובר בנאשם המחזיק עבר פלילי רלוונטי. </w:t>
      </w:r>
      <w:r w:rsidRPr="00B645C8">
        <w:rPr>
          <w:rFonts w:ascii="Arial" w:hAnsi="Arial" w:hint="cs"/>
          <w:b/>
          <w:bCs/>
          <w:rtl/>
        </w:rPr>
        <w:t xml:space="preserve">הנאשם הורשע </w:t>
      </w:r>
      <w:r w:rsidRPr="00A1155B">
        <w:rPr>
          <w:rFonts w:ascii="Arial" w:hAnsi="Arial" w:hint="cs"/>
          <w:b/>
          <w:bCs/>
          <w:rtl/>
        </w:rPr>
        <w:t xml:space="preserve">בעבר בעבירות סמים ואף ריצה עונש מאסר בן 24 חודשים </w:t>
      </w:r>
      <w:r>
        <w:rPr>
          <w:rFonts w:ascii="Arial" w:hAnsi="Arial" w:hint="cs"/>
          <w:rtl/>
        </w:rPr>
        <w:t>(</w:t>
      </w:r>
      <w:hyperlink r:id="rId23" w:history="1">
        <w:r w:rsidR="00DE63F6" w:rsidRPr="00DE63F6">
          <w:rPr>
            <w:rFonts w:ascii="Arial" w:hAnsi="Arial"/>
            <w:color w:val="0000FF"/>
            <w:u w:val="single"/>
            <w:rtl/>
          </w:rPr>
          <w:t>ת"פ 13139-05-11</w:t>
        </w:r>
      </w:hyperlink>
      <w:r>
        <w:rPr>
          <w:rFonts w:ascii="Arial" w:hAnsi="Arial" w:hint="cs"/>
          <w:rtl/>
        </w:rPr>
        <w:t xml:space="preserve">). אמנם אין לחובת הנאשם הרשעות נוספות בעבירות סמים, אולם לחובתו הרשעות בעבירות של מתן אמצעים לביצוע פשע והפרעה לשוטר במילוי תפקידו. לאחר ביצוע המעשים בהם הורשע כעת, ביצע הנאשם עבירות נוספות של גניבה, פריצה לבניין והסגת גבול בגינן הורשע. די לכאורה בעבר הפלילי הרלוונטי על מנת לשלול את טענת הסניגור לפיה יש לגזור את דינו של הנאשם בקירוב לרף התחתון של המתחם. </w:t>
      </w:r>
    </w:p>
    <w:p w14:paraId="67CC8349" w14:textId="77777777" w:rsidR="00B32BEC" w:rsidRDefault="00B32BEC" w:rsidP="00B32BEC">
      <w:pPr>
        <w:spacing w:line="360" w:lineRule="auto"/>
        <w:ind w:left="720" w:hanging="720"/>
        <w:jc w:val="both"/>
        <w:rPr>
          <w:rFonts w:ascii="Arial" w:hAnsi="Arial"/>
          <w:rtl/>
        </w:rPr>
      </w:pPr>
    </w:p>
    <w:p w14:paraId="2BD56B2D" w14:textId="77777777" w:rsidR="00B32BEC" w:rsidRDefault="00B32BEC" w:rsidP="00B32BEC">
      <w:pPr>
        <w:spacing w:line="360" w:lineRule="auto"/>
        <w:ind w:left="720" w:hanging="720"/>
        <w:jc w:val="both"/>
        <w:rPr>
          <w:rFonts w:ascii="Arial" w:hAnsi="Arial"/>
          <w:rtl/>
        </w:rPr>
      </w:pPr>
      <w:r>
        <w:rPr>
          <w:rFonts w:ascii="Arial" w:hAnsi="Arial"/>
          <w:rtl/>
        </w:rPr>
        <w:tab/>
      </w:r>
      <w:r w:rsidRPr="00B645C8">
        <w:rPr>
          <w:rFonts w:ascii="Arial" w:hAnsi="Arial" w:hint="cs"/>
          <w:b/>
          <w:bCs/>
          <w:rtl/>
        </w:rPr>
        <w:t>שנית</w:t>
      </w:r>
      <w:r>
        <w:rPr>
          <w:rFonts w:ascii="Arial" w:hAnsi="Arial" w:hint="cs"/>
          <w:rtl/>
        </w:rPr>
        <w:t xml:space="preserve">, הנאשם בחר לנהל את משפטו, וברור כי אין לראות בכך נסיבה לחומרה. יחד עם זאת, חשוב להבהיר כי בכל גזרי הדין שהגישו הצדדים (לרבות אלה שניתנו בפרשה זו) דובר היה בנאשמים שבחרו לקבל אחריות על מעשיהם. באופן כללי, ההקלה הניתנת לנאשמים הבוחרים לקבל אחריות, היא הקלה משמעותית, על אחת כמה וכמה כאשר מדובר בתיק סוכן, בו חוסכת ההודאה את עדות הסוכן, עדות מפעיליו ולעיתים גם חשיפת שיטות עבודה. במילים אחרות, ולאור רצונו (הלגיטימי) של הנאשם לנהל את משפטו עד תום, לא ניתן להעניק לו את אותה </w:t>
      </w:r>
      <w:r w:rsidRPr="00C6165C">
        <w:rPr>
          <w:rFonts w:ascii="Arial" w:hAnsi="Arial" w:hint="cs"/>
          <w:b/>
          <w:bCs/>
          <w:rtl/>
        </w:rPr>
        <w:t>הקלה משמעותית</w:t>
      </w:r>
      <w:r>
        <w:rPr>
          <w:rFonts w:ascii="Arial" w:hAnsi="Arial" w:hint="cs"/>
          <w:rtl/>
        </w:rPr>
        <w:t xml:space="preserve"> שהייתה מוענקת לו, ככל שהיה מקבל אחריות על מעשיו. </w:t>
      </w:r>
    </w:p>
    <w:p w14:paraId="357D6727" w14:textId="77777777" w:rsidR="00B32BEC" w:rsidRDefault="00B32BEC" w:rsidP="00B32BEC">
      <w:pPr>
        <w:spacing w:line="360" w:lineRule="auto"/>
        <w:ind w:left="720" w:hanging="720"/>
        <w:jc w:val="both"/>
        <w:rPr>
          <w:rFonts w:ascii="Arial" w:hAnsi="Arial"/>
          <w:rtl/>
        </w:rPr>
      </w:pPr>
    </w:p>
    <w:p w14:paraId="26EB19C9" w14:textId="77777777" w:rsidR="00B32BEC" w:rsidRDefault="00B32BEC" w:rsidP="00B32BEC">
      <w:pPr>
        <w:spacing w:line="360" w:lineRule="auto"/>
        <w:ind w:left="720" w:hanging="720"/>
        <w:jc w:val="both"/>
        <w:rPr>
          <w:rFonts w:ascii="Arial" w:hAnsi="Arial"/>
          <w:rtl/>
        </w:rPr>
      </w:pPr>
      <w:r>
        <w:rPr>
          <w:rFonts w:ascii="Arial" w:hAnsi="Arial"/>
          <w:rtl/>
        </w:rPr>
        <w:tab/>
      </w:r>
      <w:r w:rsidRPr="00B645C8">
        <w:rPr>
          <w:rFonts w:ascii="Arial" w:hAnsi="Arial" w:hint="cs"/>
          <w:b/>
          <w:bCs/>
          <w:rtl/>
        </w:rPr>
        <w:t>שלישית</w:t>
      </w:r>
      <w:r>
        <w:rPr>
          <w:rFonts w:ascii="Arial" w:hAnsi="Arial" w:hint="cs"/>
          <w:rtl/>
        </w:rPr>
        <w:t>, הסנגור עמד על הסיטואציה המשפחתית המורכבת שהייתה (ועודנה) מנת חלקו של הנאשם ועל מצבו הכלכלי, וראיתי ליתן משקל מסוים לקולא לנתונים אלה. עם זאת, אין המדובר בנתונים אישיים כה קשים המצדיקים אימוץ הרף התחתון.</w:t>
      </w:r>
    </w:p>
    <w:p w14:paraId="24490CF6" w14:textId="77777777" w:rsidR="00B32BEC" w:rsidRDefault="00B32BEC" w:rsidP="00B32BEC">
      <w:pPr>
        <w:spacing w:line="360" w:lineRule="auto"/>
        <w:jc w:val="both"/>
        <w:rPr>
          <w:rFonts w:ascii="Arial" w:hAnsi="Arial"/>
          <w:rtl/>
        </w:rPr>
      </w:pPr>
    </w:p>
    <w:p w14:paraId="21830426" w14:textId="77777777" w:rsidR="00B32BEC" w:rsidRDefault="00B32BEC" w:rsidP="00B32BEC">
      <w:pPr>
        <w:spacing w:line="360" w:lineRule="auto"/>
        <w:ind w:left="720" w:hanging="720"/>
        <w:jc w:val="both"/>
        <w:rPr>
          <w:rFonts w:ascii="Arial" w:hAnsi="Arial"/>
          <w:rtl/>
        </w:rPr>
      </w:pPr>
      <w:r>
        <w:rPr>
          <w:rFonts w:ascii="Arial" w:hAnsi="Arial"/>
          <w:rtl/>
        </w:rPr>
        <w:tab/>
      </w:r>
      <w:r w:rsidRPr="00430844">
        <w:rPr>
          <w:rFonts w:ascii="Arial" w:hAnsi="Arial" w:hint="cs"/>
          <w:b/>
          <w:bCs/>
          <w:rtl/>
        </w:rPr>
        <w:t>רביעית</w:t>
      </w:r>
      <w:r>
        <w:rPr>
          <w:rFonts w:ascii="Arial" w:hAnsi="Arial" w:hint="cs"/>
          <w:rtl/>
        </w:rPr>
        <w:t xml:space="preserve">, אין בנמצא שיקולי שיקום. </w:t>
      </w:r>
    </w:p>
    <w:p w14:paraId="3A42E3EC" w14:textId="77777777" w:rsidR="00B32BEC" w:rsidRDefault="00B32BEC" w:rsidP="00B32BEC">
      <w:pPr>
        <w:spacing w:line="360" w:lineRule="auto"/>
        <w:ind w:left="720" w:hanging="720"/>
        <w:jc w:val="both"/>
        <w:rPr>
          <w:rFonts w:ascii="Arial" w:hAnsi="Arial"/>
          <w:rtl/>
        </w:rPr>
      </w:pPr>
    </w:p>
    <w:p w14:paraId="332E9E77" w14:textId="77777777" w:rsidR="00B32BEC" w:rsidRDefault="00B32BEC" w:rsidP="00B32BEC">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בהינתן האמור לעיל, ראוי היה להעמיד את עונשו של הנאשם על 60 חודשי מאסר, ואם בסופו של יום החלטתי להסתפק בעונש קל יותר, עשיתי כן נוכח ההשפעה המסוימת של עקרון האחידות בענישה והעובדה כי על נאשם 1 הוטלו 40 חודשי מאסר (בגין ביצוע שתי עסקאות). </w:t>
      </w:r>
    </w:p>
    <w:p w14:paraId="1E820AE2" w14:textId="77777777" w:rsidR="00B32BEC" w:rsidRDefault="00B32BEC" w:rsidP="00B32BEC">
      <w:pPr>
        <w:spacing w:line="360" w:lineRule="auto"/>
        <w:ind w:left="720" w:hanging="720"/>
        <w:jc w:val="both"/>
        <w:rPr>
          <w:rFonts w:ascii="Arial" w:hAnsi="Arial"/>
          <w:rtl/>
        </w:rPr>
      </w:pPr>
    </w:p>
    <w:p w14:paraId="7DE836CC" w14:textId="77777777" w:rsidR="00B32BEC" w:rsidRDefault="00B32BEC" w:rsidP="00B32BEC">
      <w:pPr>
        <w:spacing w:line="360" w:lineRule="auto"/>
        <w:ind w:left="720"/>
        <w:jc w:val="both"/>
        <w:rPr>
          <w:rFonts w:ascii="Arial" w:hAnsi="Arial"/>
          <w:rtl/>
        </w:rPr>
      </w:pPr>
      <w:r>
        <w:rPr>
          <w:rFonts w:ascii="Arial" w:hAnsi="Arial" w:hint="cs"/>
          <w:rtl/>
        </w:rPr>
        <w:t>יחד עם זאת, חשוב להדגיש כי לא ראיתי לקבל את טענת הסניגור אשר עתר, הלכה למעשה, ליתן משקל מכריע לעקרון זה, וזאת נוכח הטעמים הבאים:</w:t>
      </w:r>
    </w:p>
    <w:p w14:paraId="508B20E0" w14:textId="77777777" w:rsidR="00B32BEC" w:rsidRDefault="00B32BEC" w:rsidP="00B32BEC">
      <w:pPr>
        <w:spacing w:line="360" w:lineRule="auto"/>
        <w:ind w:left="720" w:hanging="720"/>
        <w:jc w:val="both"/>
        <w:rPr>
          <w:rFonts w:ascii="Arial" w:hAnsi="Arial"/>
          <w:rtl/>
        </w:rPr>
      </w:pPr>
      <w:r w:rsidRPr="00094093">
        <w:rPr>
          <w:rFonts w:ascii="Arial" w:hAnsi="Arial" w:hint="cs"/>
          <w:rtl/>
        </w:rPr>
        <w:tab/>
      </w:r>
    </w:p>
    <w:p w14:paraId="04791974" w14:textId="77777777" w:rsidR="00B32BEC" w:rsidRDefault="00B32BEC" w:rsidP="00B32BEC">
      <w:pPr>
        <w:spacing w:line="360" w:lineRule="auto"/>
        <w:ind w:left="720" w:hanging="720"/>
        <w:jc w:val="both"/>
        <w:rPr>
          <w:rFonts w:ascii="Arial" w:hAnsi="Arial"/>
          <w:rtl/>
        </w:rPr>
      </w:pPr>
      <w:r>
        <w:rPr>
          <w:rFonts w:ascii="Arial" w:hAnsi="Arial"/>
          <w:rtl/>
        </w:rPr>
        <w:tab/>
      </w:r>
      <w:r w:rsidRPr="00C876AB">
        <w:rPr>
          <w:rFonts w:ascii="Arial" w:hAnsi="Arial" w:hint="cs"/>
          <w:b/>
          <w:bCs/>
          <w:rtl/>
        </w:rPr>
        <w:t>הטעם הראשון</w:t>
      </w:r>
      <w:r>
        <w:rPr>
          <w:rFonts w:ascii="Arial" w:hAnsi="Arial" w:hint="cs"/>
          <w:rtl/>
        </w:rPr>
        <w:t xml:space="preserve"> </w:t>
      </w:r>
      <w:r>
        <w:rPr>
          <w:rFonts w:ascii="Arial" w:hAnsi="Arial"/>
          <w:rtl/>
        </w:rPr>
        <w:t>–</w:t>
      </w:r>
      <w:r>
        <w:rPr>
          <w:rFonts w:ascii="Arial" w:hAnsi="Arial" w:hint="cs"/>
          <w:rtl/>
        </w:rPr>
        <w:t xml:space="preserve"> קיים שוני בין מתחם הענישה שנקבע בעניינו של נאשם 1 לבין זה שנקבע בעניינו של הנאשם. </w:t>
      </w:r>
    </w:p>
    <w:p w14:paraId="34D23615" w14:textId="77777777" w:rsidR="00B32BEC" w:rsidRDefault="00B32BEC" w:rsidP="00B32BEC">
      <w:pPr>
        <w:spacing w:line="360" w:lineRule="auto"/>
        <w:ind w:left="720" w:hanging="720"/>
        <w:jc w:val="both"/>
        <w:rPr>
          <w:rFonts w:ascii="Arial" w:hAnsi="Arial"/>
          <w:rtl/>
        </w:rPr>
      </w:pPr>
    </w:p>
    <w:p w14:paraId="7F718D48" w14:textId="77777777" w:rsidR="00B32BEC" w:rsidRDefault="00B32BEC" w:rsidP="00B32BEC">
      <w:pPr>
        <w:spacing w:line="360" w:lineRule="auto"/>
        <w:ind w:left="720" w:hanging="720"/>
        <w:jc w:val="both"/>
        <w:rPr>
          <w:rFonts w:ascii="Arial" w:hAnsi="Arial"/>
          <w:rtl/>
        </w:rPr>
      </w:pPr>
      <w:r w:rsidRPr="00D115C1">
        <w:rPr>
          <w:rFonts w:ascii="Arial" w:hAnsi="Arial"/>
          <w:b/>
          <w:bCs/>
          <w:rtl/>
        </w:rPr>
        <w:tab/>
      </w:r>
      <w:r>
        <w:rPr>
          <w:rFonts w:ascii="Arial" w:hAnsi="Arial" w:hint="cs"/>
          <w:b/>
          <w:bCs/>
          <w:rtl/>
        </w:rPr>
        <w:t>הטעם השני</w:t>
      </w:r>
      <w:r>
        <w:rPr>
          <w:rFonts w:ascii="Arial" w:hAnsi="Arial" w:hint="cs"/>
          <w:rtl/>
        </w:rPr>
        <w:t xml:space="preserve"> </w:t>
      </w:r>
      <w:r>
        <w:rPr>
          <w:rFonts w:ascii="Arial" w:hAnsi="Arial"/>
          <w:rtl/>
        </w:rPr>
        <w:t>–</w:t>
      </w:r>
      <w:r>
        <w:rPr>
          <w:rFonts w:ascii="Arial" w:hAnsi="Arial" w:hint="cs"/>
          <w:rtl/>
        </w:rPr>
        <w:t xml:space="preserve"> גזר הדין שניתן בעניינו של נאשם 1 נתן </w:t>
      </w:r>
      <w:r w:rsidRPr="00D115C1">
        <w:rPr>
          <w:rFonts w:ascii="Arial" w:hAnsi="Arial" w:hint="cs"/>
          <w:b/>
          <w:bCs/>
          <w:rtl/>
        </w:rPr>
        <w:t>משקל משמעותי להודייתו וקבלת האחריות</w:t>
      </w:r>
      <w:r>
        <w:rPr>
          <w:rFonts w:ascii="Arial" w:hAnsi="Arial" w:hint="cs"/>
          <w:rtl/>
        </w:rPr>
        <w:t xml:space="preserve">. שיקול זה אינו עומד על הפרק בעניינו של הנאשם.  </w:t>
      </w:r>
    </w:p>
    <w:p w14:paraId="4245F233" w14:textId="77777777" w:rsidR="00B32BEC" w:rsidRDefault="00B32BEC" w:rsidP="00B32BEC">
      <w:pPr>
        <w:spacing w:line="360" w:lineRule="auto"/>
        <w:ind w:left="720" w:hanging="720"/>
        <w:jc w:val="both"/>
        <w:rPr>
          <w:rFonts w:ascii="Arial" w:hAnsi="Arial"/>
          <w:rtl/>
        </w:rPr>
      </w:pPr>
    </w:p>
    <w:p w14:paraId="10696FDD" w14:textId="77777777" w:rsidR="00B32BEC" w:rsidRDefault="00B32BEC" w:rsidP="00B32BEC">
      <w:pPr>
        <w:spacing w:line="360" w:lineRule="auto"/>
        <w:ind w:left="720" w:hanging="720"/>
        <w:jc w:val="both"/>
        <w:rPr>
          <w:rFonts w:ascii="Arial" w:hAnsi="Arial"/>
          <w:rtl/>
        </w:rPr>
      </w:pPr>
      <w:r w:rsidRPr="00D115C1">
        <w:rPr>
          <w:rFonts w:ascii="Arial" w:hAnsi="Arial"/>
          <w:b/>
          <w:bCs/>
          <w:rtl/>
        </w:rPr>
        <w:tab/>
      </w:r>
      <w:r>
        <w:rPr>
          <w:rFonts w:ascii="Arial" w:hAnsi="Arial" w:hint="cs"/>
          <w:b/>
          <w:bCs/>
          <w:rtl/>
        </w:rPr>
        <w:t xml:space="preserve">הטעם השלישי </w:t>
      </w:r>
      <w:r w:rsidRPr="00D115C1">
        <w:rPr>
          <w:rFonts w:ascii="Arial" w:hAnsi="Arial" w:hint="cs"/>
          <w:b/>
          <w:bCs/>
          <w:rtl/>
        </w:rPr>
        <w:t xml:space="preserve"> </w:t>
      </w:r>
      <w:r>
        <w:rPr>
          <w:rFonts w:ascii="Arial" w:hAnsi="Arial" w:hint="cs"/>
          <w:rtl/>
        </w:rPr>
        <w:t xml:space="preserve">- בגזר הדין שניתן בעניינו של נאשם 1, נתתי משקל לקולא למצבו הרפואי, שכן מדובר במי שעבר תאונת דרכים קשה, והובא לבית המשפט על-ידי שב"ס כשהוא נעזר בקביים וכיסא גלגלים. שיקול זה אינו עומד על הפרק בעניינו של הנאשם.  </w:t>
      </w:r>
    </w:p>
    <w:p w14:paraId="37F522E3" w14:textId="77777777" w:rsidR="00B32BEC" w:rsidRDefault="00B32BEC" w:rsidP="00B32BEC">
      <w:pPr>
        <w:spacing w:line="360" w:lineRule="auto"/>
        <w:ind w:left="720" w:hanging="720"/>
        <w:jc w:val="both"/>
        <w:rPr>
          <w:rFonts w:ascii="Arial" w:hAnsi="Arial"/>
          <w:rtl/>
        </w:rPr>
      </w:pPr>
    </w:p>
    <w:p w14:paraId="524841BE" w14:textId="77777777" w:rsidR="00B32BEC" w:rsidRDefault="00B32BEC" w:rsidP="00B32BEC">
      <w:pPr>
        <w:spacing w:line="360" w:lineRule="auto"/>
        <w:ind w:left="720" w:hanging="720"/>
        <w:jc w:val="both"/>
        <w:rPr>
          <w:rFonts w:ascii="Arial" w:hAnsi="Arial"/>
          <w:rtl/>
        </w:rPr>
      </w:pPr>
      <w:r w:rsidRPr="00D115C1">
        <w:rPr>
          <w:rFonts w:ascii="Arial" w:hAnsi="Arial"/>
          <w:b/>
          <w:bCs/>
          <w:rtl/>
        </w:rPr>
        <w:tab/>
      </w:r>
      <w:r>
        <w:rPr>
          <w:rFonts w:ascii="Arial" w:hAnsi="Arial" w:hint="cs"/>
          <w:b/>
          <w:bCs/>
          <w:rtl/>
        </w:rPr>
        <w:t>הטעם הרביעי</w:t>
      </w:r>
      <w:r>
        <w:rPr>
          <w:rFonts w:ascii="Arial" w:hAnsi="Arial" w:hint="cs"/>
          <w:rtl/>
        </w:rPr>
        <w:t xml:space="preserve"> </w:t>
      </w:r>
      <w:r>
        <w:rPr>
          <w:rFonts w:ascii="Arial" w:hAnsi="Arial"/>
          <w:rtl/>
        </w:rPr>
        <w:t>–</w:t>
      </w:r>
      <w:r>
        <w:rPr>
          <w:rFonts w:ascii="Arial" w:hAnsi="Arial" w:hint="cs"/>
          <w:rtl/>
        </w:rPr>
        <w:t xml:space="preserve"> העונש שהוטל על נאשם 1 בגין שתי עסקאות משקף, כנהוג, חפיפה מסוימת בין מתחמי ענישה שנקבעו בגין כל אישום, וברור כי אם נאשם 1 היה נותן את הדין בגין עסקה אחת, עונשו לא היה עומד על מחצית התקופה שנקבעה אלא הרבה מעבר לכך. </w:t>
      </w:r>
    </w:p>
    <w:p w14:paraId="390F09B7" w14:textId="77777777" w:rsidR="00B32BEC" w:rsidRDefault="00B32BEC" w:rsidP="00B32BEC">
      <w:pPr>
        <w:spacing w:line="360" w:lineRule="auto"/>
        <w:ind w:left="720" w:hanging="720"/>
        <w:jc w:val="both"/>
        <w:rPr>
          <w:rFonts w:ascii="Arial" w:hAnsi="Arial"/>
          <w:rtl/>
        </w:rPr>
      </w:pPr>
    </w:p>
    <w:p w14:paraId="10F47658" w14:textId="77777777" w:rsidR="00B32BEC" w:rsidRDefault="00B32BEC" w:rsidP="00B32BEC">
      <w:pPr>
        <w:spacing w:line="360" w:lineRule="auto"/>
        <w:ind w:left="720" w:hanging="720"/>
        <w:jc w:val="both"/>
        <w:rPr>
          <w:rFonts w:ascii="Arial" w:hAnsi="Arial"/>
          <w:rtl/>
        </w:rPr>
      </w:pPr>
    </w:p>
    <w:p w14:paraId="0D6CBEAD" w14:textId="77777777" w:rsidR="00B32BEC" w:rsidRDefault="00B32BEC" w:rsidP="00B32BEC">
      <w:pPr>
        <w:spacing w:line="360" w:lineRule="auto"/>
        <w:ind w:left="720" w:hanging="720"/>
        <w:jc w:val="both"/>
        <w:rPr>
          <w:rFonts w:ascii="Arial" w:hAnsi="Arial"/>
          <w:rtl/>
        </w:rPr>
      </w:pPr>
    </w:p>
    <w:p w14:paraId="1FDBA8E0" w14:textId="77777777" w:rsidR="00B32BEC" w:rsidRDefault="00B32BEC" w:rsidP="00B32BEC">
      <w:pPr>
        <w:spacing w:line="360" w:lineRule="auto"/>
        <w:ind w:left="720" w:hanging="720"/>
        <w:jc w:val="both"/>
        <w:rPr>
          <w:rFonts w:ascii="Arial" w:hAnsi="Arial"/>
          <w:rtl/>
        </w:rPr>
      </w:pPr>
    </w:p>
    <w:p w14:paraId="48EA4B6D" w14:textId="77777777" w:rsidR="00B32BEC" w:rsidRDefault="00B32BEC" w:rsidP="00B32BEC">
      <w:pPr>
        <w:spacing w:line="360" w:lineRule="auto"/>
        <w:ind w:left="720" w:hanging="720"/>
        <w:jc w:val="both"/>
        <w:rPr>
          <w:rFonts w:ascii="Arial" w:hAnsi="Arial"/>
          <w:rtl/>
        </w:rPr>
      </w:pPr>
    </w:p>
    <w:p w14:paraId="5F5C7B53" w14:textId="77777777" w:rsidR="00B32BEC" w:rsidRDefault="00B32BEC" w:rsidP="00B32BEC">
      <w:pPr>
        <w:spacing w:line="360" w:lineRule="auto"/>
        <w:ind w:left="720" w:hanging="720"/>
        <w:jc w:val="both"/>
        <w:rPr>
          <w:rFonts w:ascii="Arial" w:hAnsi="Arial"/>
          <w:rtl/>
        </w:rPr>
      </w:pPr>
    </w:p>
    <w:p w14:paraId="79F3FA1D" w14:textId="77777777" w:rsidR="00B32BEC" w:rsidRDefault="00B32BEC" w:rsidP="00B32BEC">
      <w:pPr>
        <w:spacing w:line="360" w:lineRule="auto"/>
        <w:ind w:left="720" w:hanging="720"/>
        <w:jc w:val="both"/>
        <w:rPr>
          <w:rFonts w:ascii="Arial" w:hAnsi="Arial"/>
          <w:rtl/>
        </w:rPr>
      </w:pPr>
      <w:r>
        <w:rPr>
          <w:rFonts w:ascii="Arial" w:hAnsi="Arial" w:hint="cs"/>
          <w:rtl/>
        </w:rPr>
        <w:t xml:space="preserve"> </w:t>
      </w:r>
      <w:r>
        <w:rPr>
          <w:rFonts w:ascii="Arial" w:hAnsi="Arial"/>
          <w:rtl/>
        </w:rPr>
        <w:tab/>
      </w:r>
      <w:r>
        <w:rPr>
          <w:rFonts w:ascii="Arial" w:hAnsi="Arial" w:hint="cs"/>
          <w:u w:val="single"/>
          <w:rtl/>
        </w:rPr>
        <w:t>סיכום</w:t>
      </w:r>
    </w:p>
    <w:p w14:paraId="1FCF1802" w14:textId="77777777" w:rsidR="00B32BEC" w:rsidRPr="0066537B" w:rsidRDefault="00B32BEC" w:rsidP="00B32BEC">
      <w:pPr>
        <w:spacing w:line="360" w:lineRule="auto"/>
        <w:ind w:left="720" w:hanging="720"/>
        <w:jc w:val="both"/>
        <w:rPr>
          <w:rFonts w:ascii="Arial" w:hAnsi="Arial"/>
          <w:rtl/>
        </w:rPr>
      </w:pPr>
    </w:p>
    <w:p w14:paraId="66D8C6BD" w14:textId="77777777" w:rsidR="00B32BEC" w:rsidRDefault="00B32BEC" w:rsidP="00B32BEC">
      <w:pPr>
        <w:spacing w:line="360" w:lineRule="auto"/>
        <w:ind w:left="720" w:hanging="720"/>
        <w:jc w:val="both"/>
        <w:rPr>
          <w:rFonts w:ascii="Arial" w:hAnsi="Arial"/>
          <w:rtl/>
        </w:rPr>
      </w:pPr>
      <w:r>
        <w:rPr>
          <w:rFonts w:ascii="Arial" w:hAnsi="Arial" w:hint="cs"/>
          <w:rtl/>
        </w:rPr>
        <w:t>11.</w:t>
      </w:r>
      <w:r>
        <w:rPr>
          <w:rFonts w:ascii="Arial" w:hAnsi="Arial" w:hint="cs"/>
          <w:rtl/>
        </w:rPr>
        <w:tab/>
        <w:t>לאור האמור לעיל, החלטתי להטיל על הנאשם את העונשים הבאים:</w:t>
      </w:r>
    </w:p>
    <w:p w14:paraId="254D1B7A" w14:textId="77777777" w:rsidR="00B32BEC" w:rsidRDefault="00B32BEC" w:rsidP="00B32BEC">
      <w:pPr>
        <w:spacing w:line="360" w:lineRule="auto"/>
        <w:ind w:left="720" w:hanging="720"/>
        <w:jc w:val="both"/>
        <w:rPr>
          <w:rFonts w:ascii="Arial" w:hAnsi="Arial"/>
          <w:rtl/>
        </w:rPr>
      </w:pPr>
    </w:p>
    <w:p w14:paraId="1A23D07E" w14:textId="77777777" w:rsidR="00B32BEC" w:rsidRDefault="00B32BEC" w:rsidP="00B32BEC">
      <w:pPr>
        <w:spacing w:line="360" w:lineRule="auto"/>
        <w:jc w:val="both"/>
        <w:rPr>
          <w:rFonts w:ascii="Arial" w:hAnsi="Arial"/>
        </w:rPr>
      </w:pPr>
      <w:r>
        <w:rPr>
          <w:rFonts w:ascii="Arial" w:hAnsi="Arial" w:hint="cs"/>
          <w:rtl/>
        </w:rPr>
        <w:t>א.</w:t>
      </w:r>
      <w:r>
        <w:rPr>
          <w:rFonts w:ascii="Arial" w:hAnsi="Arial" w:hint="cs"/>
          <w:rtl/>
        </w:rPr>
        <w:tab/>
        <w:t xml:space="preserve"> 54 חודשי מאסר לריצוי בפועל החל מיום מעצרו </w:t>
      </w:r>
      <w:r>
        <w:rPr>
          <w:rFonts w:ascii="Arial" w:hAnsi="Arial"/>
          <w:rtl/>
        </w:rPr>
        <w:t>–</w:t>
      </w:r>
      <w:r>
        <w:rPr>
          <w:rFonts w:ascii="Arial" w:hAnsi="Arial" w:hint="cs"/>
          <w:rtl/>
        </w:rPr>
        <w:t xml:space="preserve"> 22.1.18.  </w:t>
      </w:r>
    </w:p>
    <w:p w14:paraId="6B023BF3" w14:textId="77777777" w:rsidR="00B32BEC" w:rsidRDefault="00B32BEC" w:rsidP="00B32BEC">
      <w:pPr>
        <w:spacing w:line="360" w:lineRule="auto"/>
        <w:jc w:val="both"/>
        <w:rPr>
          <w:rFonts w:ascii="Arial" w:hAnsi="Arial"/>
        </w:rPr>
      </w:pPr>
      <w:r>
        <w:rPr>
          <w:rFonts w:ascii="Arial" w:hAnsi="Arial" w:hint="cs"/>
          <w:rtl/>
        </w:rPr>
        <w:tab/>
      </w:r>
    </w:p>
    <w:p w14:paraId="4FC2D2BC" w14:textId="77777777" w:rsidR="00B32BEC" w:rsidRDefault="00B32BEC" w:rsidP="00B32BEC">
      <w:pPr>
        <w:spacing w:line="360" w:lineRule="auto"/>
        <w:ind w:left="720" w:hanging="720"/>
        <w:jc w:val="both"/>
        <w:rPr>
          <w:rFonts w:ascii="Arial" w:hAnsi="Arial"/>
        </w:rPr>
      </w:pPr>
      <w:r>
        <w:rPr>
          <w:rFonts w:ascii="Arial" w:hAnsi="Arial" w:hint="cs"/>
          <w:rtl/>
        </w:rPr>
        <w:t>ב.</w:t>
      </w:r>
      <w:r>
        <w:rPr>
          <w:rFonts w:ascii="Arial" w:hAnsi="Arial" w:hint="cs"/>
          <w:rtl/>
        </w:rPr>
        <w:tab/>
        <w:t xml:space="preserve">9 חודשי מאסר, אולם הנאשם לא יישא עונש זה אלא אם יעבור תוך שלוש שנים מיום שחרורו עבירה על פקודת הסמים מסוג פשע. </w:t>
      </w:r>
    </w:p>
    <w:p w14:paraId="001B6113" w14:textId="77777777" w:rsidR="00B32BEC" w:rsidRDefault="00B32BEC" w:rsidP="00B32BEC">
      <w:pPr>
        <w:spacing w:line="360" w:lineRule="auto"/>
        <w:jc w:val="both"/>
        <w:rPr>
          <w:rFonts w:ascii="Arial" w:hAnsi="Arial"/>
          <w:rtl/>
        </w:rPr>
      </w:pPr>
    </w:p>
    <w:p w14:paraId="3567C329" w14:textId="77777777" w:rsidR="00B32BEC" w:rsidRDefault="00B32BEC" w:rsidP="00B32BEC">
      <w:pPr>
        <w:spacing w:line="360" w:lineRule="auto"/>
        <w:ind w:left="720" w:hanging="720"/>
        <w:jc w:val="both"/>
        <w:rPr>
          <w:rFonts w:ascii="Arial" w:hAnsi="Arial"/>
          <w:rtl/>
        </w:rPr>
      </w:pPr>
      <w:r>
        <w:rPr>
          <w:rFonts w:ascii="Arial" w:hAnsi="Arial" w:hint="cs"/>
          <w:rtl/>
        </w:rPr>
        <w:t>ג.</w:t>
      </w:r>
      <w:r>
        <w:rPr>
          <w:rFonts w:ascii="Arial" w:hAnsi="Arial"/>
          <w:rtl/>
        </w:rPr>
        <w:tab/>
      </w:r>
      <w:r>
        <w:rPr>
          <w:rFonts w:ascii="Arial" w:hAnsi="Arial" w:hint="cs"/>
          <w:rtl/>
        </w:rPr>
        <w:t xml:space="preserve">4 חודשי מאסר, אולם הנאשם לא יישא עונש זה אלא אם יעבור תוך שלוש שנים מיום שחרורו עבירה על פקודת הסמים מסוג עוון. </w:t>
      </w:r>
    </w:p>
    <w:p w14:paraId="68B6CAA5" w14:textId="77777777" w:rsidR="00B32BEC" w:rsidRDefault="00B32BEC" w:rsidP="00B32BEC">
      <w:pPr>
        <w:spacing w:line="360" w:lineRule="auto"/>
        <w:ind w:left="720" w:hanging="720"/>
        <w:jc w:val="both"/>
        <w:rPr>
          <w:rFonts w:ascii="Arial" w:hAnsi="Arial"/>
          <w:rtl/>
        </w:rPr>
      </w:pPr>
    </w:p>
    <w:p w14:paraId="4789007F" w14:textId="77777777" w:rsidR="00B32BEC" w:rsidRDefault="00B32BEC" w:rsidP="00B32BEC">
      <w:pPr>
        <w:spacing w:line="360" w:lineRule="auto"/>
        <w:ind w:left="720" w:hanging="720"/>
        <w:jc w:val="both"/>
        <w:rPr>
          <w:rFonts w:ascii="Arial" w:hAnsi="Arial"/>
          <w:rtl/>
        </w:rPr>
      </w:pPr>
      <w:r>
        <w:rPr>
          <w:rFonts w:ascii="Arial" w:hAnsi="Arial" w:hint="cs"/>
          <w:rtl/>
        </w:rPr>
        <w:t>ד.</w:t>
      </w:r>
      <w:r>
        <w:rPr>
          <w:rFonts w:ascii="Arial" w:hAnsi="Arial" w:hint="cs"/>
          <w:rtl/>
        </w:rPr>
        <w:tab/>
        <w:t xml:space="preserve">קנס בסך 20,000 ₪ או 100 ימי מאסר תמורתו. הקנס ישולם עד ולא יאוחר מיום 1.8.2019. </w:t>
      </w:r>
    </w:p>
    <w:p w14:paraId="6DE4D8D5" w14:textId="77777777" w:rsidR="00B32BEC" w:rsidRDefault="00B32BEC" w:rsidP="00B32BEC">
      <w:pPr>
        <w:spacing w:line="360" w:lineRule="auto"/>
        <w:ind w:left="720" w:hanging="720"/>
        <w:jc w:val="both"/>
        <w:rPr>
          <w:rFonts w:ascii="Arial" w:hAnsi="Arial"/>
          <w:rtl/>
        </w:rPr>
      </w:pPr>
    </w:p>
    <w:p w14:paraId="7F5F5544" w14:textId="77777777" w:rsidR="00B32BEC" w:rsidRDefault="00B32BEC" w:rsidP="00B32BEC">
      <w:pPr>
        <w:spacing w:line="360" w:lineRule="auto"/>
        <w:ind w:left="720" w:hanging="720"/>
        <w:jc w:val="both"/>
        <w:rPr>
          <w:rFonts w:ascii="Arial" w:hAnsi="Arial"/>
          <w:rtl/>
        </w:rPr>
      </w:pPr>
      <w:r>
        <w:rPr>
          <w:rFonts w:ascii="Arial" w:hAnsi="Arial" w:hint="cs"/>
          <w:rtl/>
        </w:rPr>
        <w:t>ניתן צו כללי למוצגים לשיקול דעת קצין משטרה ו/או התביעה.</w:t>
      </w:r>
    </w:p>
    <w:p w14:paraId="07571581" w14:textId="77777777" w:rsidR="00B32BEC" w:rsidRDefault="00B32BEC" w:rsidP="00B32BEC">
      <w:pPr>
        <w:spacing w:line="360" w:lineRule="auto"/>
        <w:ind w:left="720" w:hanging="720"/>
        <w:jc w:val="both"/>
        <w:rPr>
          <w:rFonts w:ascii="Arial" w:hAnsi="Arial"/>
          <w:rtl/>
        </w:rPr>
      </w:pPr>
    </w:p>
    <w:p w14:paraId="32E0BCD2" w14:textId="77777777" w:rsidR="00B32BEC" w:rsidRDefault="00B32BEC" w:rsidP="00B32BEC">
      <w:pPr>
        <w:spacing w:line="360" w:lineRule="auto"/>
        <w:ind w:left="720" w:hanging="720"/>
        <w:jc w:val="both"/>
        <w:rPr>
          <w:rFonts w:ascii="Arial" w:hAnsi="Arial"/>
          <w:rtl/>
        </w:rPr>
      </w:pPr>
      <w:r>
        <w:rPr>
          <w:rFonts w:ascii="Arial" w:hAnsi="Arial" w:hint="cs"/>
          <w:rtl/>
        </w:rPr>
        <w:t xml:space="preserve">זכות ערעור כחוק. </w:t>
      </w:r>
    </w:p>
    <w:p w14:paraId="72B89EA6" w14:textId="77777777" w:rsidR="00B32BEC" w:rsidRPr="00B05847" w:rsidRDefault="00B32BEC" w:rsidP="00B32BEC">
      <w:pPr>
        <w:rPr>
          <w:rtl/>
        </w:rPr>
      </w:pPr>
    </w:p>
    <w:p w14:paraId="2FAB48C2" w14:textId="77777777" w:rsidR="00B32BEC" w:rsidRPr="00B05847" w:rsidRDefault="00B32BEC" w:rsidP="00B32BEC">
      <w:pPr>
        <w:rPr>
          <w:rtl/>
        </w:rPr>
      </w:pPr>
    </w:p>
    <w:p w14:paraId="5912F718" w14:textId="77777777" w:rsidR="00B32BEC" w:rsidRPr="00250B83" w:rsidRDefault="00DE63F6" w:rsidP="00B32BEC">
      <w:pPr>
        <w:rPr>
          <w:rtl/>
        </w:rPr>
      </w:pPr>
      <w:r>
        <w:rPr>
          <w:rFonts w:ascii="Arial" w:hAnsi="Arial"/>
          <w:b/>
          <w:bCs/>
          <w:rtl/>
        </w:rPr>
        <w:t xml:space="preserve">ניתן היום, ה' אדר א' תשע"ט, 10 פברואר 2019, במעמד הצדדים. </w:t>
      </w:r>
    </w:p>
    <w:p w14:paraId="479E2B89" w14:textId="77777777" w:rsidR="00B32BEC" w:rsidRPr="00DE63F6" w:rsidRDefault="00DE63F6" w:rsidP="00B32BEC">
      <w:pPr>
        <w:spacing w:line="360" w:lineRule="auto"/>
        <w:rPr>
          <w:color w:val="FFFFFF"/>
          <w:sz w:val="2"/>
          <w:szCs w:val="2"/>
        </w:rPr>
      </w:pPr>
      <w:r w:rsidRPr="00DE63F6">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32BEC" w14:paraId="37AC61EB" w14:textId="77777777" w:rsidTr="00B32BEC">
        <w:trPr>
          <w:trHeight w:val="316"/>
          <w:jc w:val="right"/>
        </w:trPr>
        <w:tc>
          <w:tcPr>
            <w:tcW w:w="3936" w:type="dxa"/>
            <w:tcBorders>
              <w:top w:val="nil"/>
              <w:left w:val="nil"/>
              <w:bottom w:val="single" w:sz="4" w:space="0" w:color="auto"/>
              <w:right w:val="nil"/>
            </w:tcBorders>
            <w:shd w:val="clear" w:color="auto" w:fill="auto"/>
            <w:vAlign w:val="bottom"/>
          </w:tcPr>
          <w:p w14:paraId="19F8FC1E" w14:textId="77777777" w:rsidR="00B32BEC" w:rsidRPr="00DE63F6" w:rsidRDefault="00DE63F6" w:rsidP="00B32BEC">
            <w:pPr>
              <w:jc w:val="center"/>
              <w:rPr>
                <w:color w:val="FFFFFF"/>
                <w:sz w:val="2"/>
                <w:szCs w:val="2"/>
                <w:rtl/>
              </w:rPr>
            </w:pPr>
            <w:r w:rsidRPr="00DE63F6">
              <w:rPr>
                <w:rFonts w:cs="Times New Roman"/>
                <w:color w:val="FFFFFF"/>
                <w:sz w:val="2"/>
                <w:szCs w:val="2"/>
                <w:rtl/>
              </w:rPr>
              <w:t>54678313</w:t>
            </w:r>
            <w:r w:rsidR="00B32BEC" w:rsidRPr="00DE63F6">
              <w:rPr>
                <w:rFonts w:cs="Times New Roman"/>
                <w:color w:val="FFFFFF"/>
                <w:sz w:val="2"/>
                <w:szCs w:val="2"/>
                <w:rtl/>
              </w:rPr>
              <w:t xml:space="preserve">     </w:t>
            </w:r>
          </w:p>
          <w:p w14:paraId="7FECBA1A" w14:textId="77777777" w:rsidR="00B32BEC" w:rsidRDefault="00B32BEC" w:rsidP="00B32BEC">
            <w:pPr>
              <w:jc w:val="center"/>
            </w:pPr>
          </w:p>
        </w:tc>
      </w:tr>
      <w:tr w:rsidR="00B32BEC" w14:paraId="77ACF7C9" w14:textId="77777777" w:rsidTr="00B32BEC">
        <w:trPr>
          <w:trHeight w:val="361"/>
          <w:jc w:val="right"/>
        </w:trPr>
        <w:tc>
          <w:tcPr>
            <w:tcW w:w="3936" w:type="dxa"/>
            <w:tcBorders>
              <w:top w:val="single" w:sz="4" w:space="0" w:color="auto"/>
              <w:left w:val="nil"/>
              <w:bottom w:val="nil"/>
              <w:right w:val="nil"/>
            </w:tcBorders>
            <w:shd w:val="clear" w:color="auto" w:fill="auto"/>
          </w:tcPr>
          <w:p w14:paraId="6B35528E" w14:textId="77777777" w:rsidR="00B32BEC" w:rsidRPr="00B32BEC" w:rsidRDefault="00B32BEC" w:rsidP="00B32BEC">
            <w:pPr>
              <w:jc w:val="center"/>
              <w:rPr>
                <w:b/>
                <w:bCs/>
                <w:rtl/>
              </w:rPr>
            </w:pPr>
            <w:r w:rsidRPr="00B32BEC">
              <w:rPr>
                <w:rFonts w:hint="cs"/>
                <w:b/>
                <w:bCs/>
                <w:rtl/>
              </w:rPr>
              <w:t>בני שגיא, שופט</w:t>
            </w:r>
          </w:p>
        </w:tc>
      </w:tr>
    </w:tbl>
    <w:p w14:paraId="41AAD0EE" w14:textId="77777777" w:rsidR="00B32BEC" w:rsidRPr="00794987" w:rsidRDefault="00794987" w:rsidP="00B32BEC">
      <w:pPr>
        <w:pStyle w:val="a3"/>
        <w:jc w:val="center"/>
        <w:rPr>
          <w:color w:val="FFFFFF"/>
          <w:sz w:val="2"/>
          <w:szCs w:val="2"/>
          <w:rtl/>
        </w:rPr>
      </w:pPr>
      <w:r w:rsidRPr="00794987">
        <w:rPr>
          <w:color w:val="FFFFFF"/>
          <w:sz w:val="2"/>
          <w:szCs w:val="2"/>
          <w:rtl/>
        </w:rPr>
        <w:t>5129371</w:t>
      </w:r>
    </w:p>
    <w:p w14:paraId="511E1E7D" w14:textId="77777777" w:rsidR="00880414" w:rsidRPr="00794987" w:rsidRDefault="00794987" w:rsidP="00DE63F6">
      <w:pPr>
        <w:keepNext/>
        <w:rPr>
          <w:rFonts w:ascii="David" w:hAnsi="David"/>
          <w:color w:val="FFFFFF"/>
          <w:sz w:val="2"/>
          <w:szCs w:val="2"/>
          <w:rtl/>
        </w:rPr>
      </w:pPr>
      <w:r w:rsidRPr="00794987">
        <w:rPr>
          <w:rFonts w:ascii="David" w:hAnsi="David"/>
          <w:color w:val="FFFFFF"/>
          <w:sz w:val="2"/>
          <w:szCs w:val="2"/>
          <w:rtl/>
        </w:rPr>
        <w:t>54678313</w:t>
      </w:r>
    </w:p>
    <w:p w14:paraId="0B848E0F" w14:textId="77777777" w:rsidR="00DE63F6" w:rsidRPr="00DE63F6" w:rsidRDefault="00DE63F6" w:rsidP="00DE63F6">
      <w:pPr>
        <w:keepNext/>
        <w:rPr>
          <w:rFonts w:ascii="David" w:hAnsi="David"/>
          <w:color w:val="000000"/>
          <w:sz w:val="22"/>
          <w:szCs w:val="22"/>
          <w:rtl/>
        </w:rPr>
      </w:pPr>
      <w:r w:rsidRPr="00DE63F6">
        <w:rPr>
          <w:rFonts w:ascii="David" w:hAnsi="David"/>
          <w:color w:val="000000"/>
          <w:sz w:val="22"/>
          <w:szCs w:val="22"/>
          <w:rtl/>
        </w:rPr>
        <w:t>בני שגיא 54678313</w:t>
      </w:r>
    </w:p>
    <w:p w14:paraId="774A9775" w14:textId="77777777" w:rsidR="00DE63F6" w:rsidRDefault="00DE63F6" w:rsidP="00DE63F6">
      <w:r w:rsidRPr="00DE63F6">
        <w:rPr>
          <w:color w:val="000000"/>
          <w:rtl/>
        </w:rPr>
        <w:t>נוסח מסמך זה כפוף לשינויי ניסוח ועריכה</w:t>
      </w:r>
    </w:p>
    <w:p w14:paraId="03A164AF" w14:textId="77777777" w:rsidR="00DE63F6" w:rsidRDefault="00DE63F6" w:rsidP="00DE63F6">
      <w:pPr>
        <w:rPr>
          <w:rtl/>
        </w:rPr>
      </w:pPr>
    </w:p>
    <w:p w14:paraId="61A046BE" w14:textId="77777777" w:rsidR="00DE63F6" w:rsidRDefault="00DE63F6" w:rsidP="00DE63F6">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5CC6D790" w14:textId="77777777" w:rsidR="00DE63F6" w:rsidRPr="00DE63F6" w:rsidRDefault="00DE63F6" w:rsidP="00794987">
      <w:pPr>
        <w:rPr>
          <w:color w:val="0000FF"/>
          <w:u w:val="single"/>
        </w:rPr>
      </w:pPr>
    </w:p>
    <w:sectPr w:rsidR="00DE63F6" w:rsidRPr="00DE63F6" w:rsidSect="00794987">
      <w:headerReference w:type="even" r:id="rId25"/>
      <w:headerReference w:type="default" r:id="rId26"/>
      <w:footerReference w:type="even" r:id="rId27"/>
      <w:footerReference w:type="default" r:id="rId28"/>
      <w:pgSz w:w="11907" w:h="16840" w:code="9"/>
      <w:pgMar w:top="1701" w:right="1077" w:bottom="1440" w:left="1077"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FDCB4" w14:textId="77777777" w:rsidR="00822A69" w:rsidRDefault="00822A69" w:rsidP="003E0922">
      <w:r>
        <w:separator/>
      </w:r>
    </w:p>
  </w:endnote>
  <w:endnote w:type="continuationSeparator" w:id="0">
    <w:p w14:paraId="0DD3EE0C" w14:textId="77777777" w:rsidR="00822A69" w:rsidRDefault="00822A69" w:rsidP="003E0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E9D33" w14:textId="77777777" w:rsidR="00794987" w:rsidRDefault="00794987" w:rsidP="0079498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B6169EC" w14:textId="77777777" w:rsidR="003F3AC4" w:rsidRPr="00794987" w:rsidRDefault="00794987" w:rsidP="00794987">
    <w:pPr>
      <w:pStyle w:val="a5"/>
      <w:pBdr>
        <w:top w:val="single" w:sz="4" w:space="1" w:color="auto"/>
        <w:between w:val="single" w:sz="4" w:space="0" w:color="auto"/>
      </w:pBdr>
      <w:spacing w:after="60"/>
      <w:jc w:val="center"/>
      <w:rPr>
        <w:rFonts w:ascii="FrankRuehl" w:hAnsi="FrankRuehl" w:cs="FrankRuehl"/>
        <w:color w:val="000000"/>
      </w:rPr>
    </w:pPr>
    <w:r w:rsidRPr="007949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1ACA5" w14:textId="77777777" w:rsidR="00794987" w:rsidRDefault="00794987" w:rsidP="0079498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3C85">
      <w:rPr>
        <w:rFonts w:ascii="FrankRuehl" w:hAnsi="FrankRuehl" w:cs="FrankRuehl"/>
        <w:noProof/>
        <w:rtl/>
      </w:rPr>
      <w:t>1</w:t>
    </w:r>
    <w:r>
      <w:rPr>
        <w:rFonts w:ascii="FrankRuehl" w:hAnsi="FrankRuehl" w:cs="FrankRuehl"/>
        <w:rtl/>
      </w:rPr>
      <w:fldChar w:fldCharType="end"/>
    </w:r>
  </w:p>
  <w:p w14:paraId="4B2930C0" w14:textId="77777777" w:rsidR="003F3AC4" w:rsidRPr="00794987" w:rsidRDefault="00794987" w:rsidP="00794987">
    <w:pPr>
      <w:pStyle w:val="a5"/>
      <w:pBdr>
        <w:top w:val="single" w:sz="4" w:space="1" w:color="auto"/>
        <w:between w:val="single" w:sz="4" w:space="0" w:color="auto"/>
      </w:pBdr>
      <w:spacing w:after="60"/>
      <w:jc w:val="center"/>
      <w:rPr>
        <w:rFonts w:ascii="FrankRuehl" w:hAnsi="FrankRuehl" w:cs="FrankRuehl"/>
        <w:color w:val="000000"/>
      </w:rPr>
    </w:pPr>
    <w:r w:rsidRPr="00794987">
      <w:rPr>
        <w:rFonts w:ascii="FrankRuehl" w:hAnsi="FrankRuehl" w:cs="FrankRuehl"/>
        <w:color w:val="000000"/>
      </w:rPr>
      <w:pict w14:anchorId="5D970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F7844" w14:textId="77777777" w:rsidR="00822A69" w:rsidRDefault="00822A69" w:rsidP="003E0922">
      <w:r>
        <w:separator/>
      </w:r>
    </w:p>
  </w:footnote>
  <w:footnote w:type="continuationSeparator" w:id="0">
    <w:p w14:paraId="70AF96ED" w14:textId="77777777" w:rsidR="00822A69" w:rsidRDefault="00822A69" w:rsidP="003E0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C3C94" w14:textId="77777777" w:rsidR="00DE63F6" w:rsidRPr="00794987" w:rsidRDefault="00794987" w:rsidP="007949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68352-01-18</w:t>
    </w:r>
    <w:r>
      <w:rPr>
        <w:rFonts w:ascii="David" w:hAnsi="David"/>
        <w:color w:val="000000"/>
        <w:sz w:val="22"/>
        <w:szCs w:val="22"/>
        <w:rtl/>
      </w:rPr>
      <w:tab/>
      <w:t xml:space="preserve"> מדינת ישראל נ' יאסין סעדי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EB74E" w14:textId="77777777" w:rsidR="00DE63F6" w:rsidRPr="00794987" w:rsidRDefault="00794987" w:rsidP="007949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68352-01-18</w:t>
    </w:r>
    <w:r>
      <w:rPr>
        <w:rFonts w:ascii="David" w:hAnsi="David"/>
        <w:color w:val="000000"/>
        <w:sz w:val="22"/>
        <w:szCs w:val="22"/>
        <w:rtl/>
      </w:rPr>
      <w:tab/>
      <w:t xml:space="preserve"> מדינת ישראל נ' יאסין סעדי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2BEC"/>
    <w:rsid w:val="00353759"/>
    <w:rsid w:val="00370AF2"/>
    <w:rsid w:val="00381020"/>
    <w:rsid w:val="003E0922"/>
    <w:rsid w:val="003F3AC4"/>
    <w:rsid w:val="007124BA"/>
    <w:rsid w:val="00775FD2"/>
    <w:rsid w:val="00794987"/>
    <w:rsid w:val="00822A69"/>
    <w:rsid w:val="00880414"/>
    <w:rsid w:val="009926B6"/>
    <w:rsid w:val="00A43C85"/>
    <w:rsid w:val="00B32BEC"/>
    <w:rsid w:val="00DE63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24A475E"/>
  <w15:chartTrackingRefBased/>
  <w15:docId w15:val="{CE16419B-1973-4E62-98AB-53C07F87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2BE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2BEC"/>
    <w:pPr>
      <w:tabs>
        <w:tab w:val="center" w:pos="4153"/>
        <w:tab w:val="right" w:pos="8306"/>
      </w:tabs>
    </w:pPr>
  </w:style>
  <w:style w:type="character" w:customStyle="1" w:styleId="a4">
    <w:name w:val="כותרת עליונה תו"/>
    <w:link w:val="a3"/>
    <w:rsid w:val="00B32BEC"/>
    <w:rPr>
      <w:rFonts w:ascii="Times New Roman" w:eastAsia="Times New Roman" w:hAnsi="Times New Roman" w:cs="David"/>
      <w:sz w:val="24"/>
      <w:szCs w:val="24"/>
    </w:rPr>
  </w:style>
  <w:style w:type="paragraph" w:styleId="a5">
    <w:name w:val="footer"/>
    <w:basedOn w:val="a"/>
    <w:link w:val="a6"/>
    <w:rsid w:val="00B32BEC"/>
    <w:pPr>
      <w:tabs>
        <w:tab w:val="center" w:pos="4153"/>
        <w:tab w:val="right" w:pos="8306"/>
      </w:tabs>
    </w:pPr>
  </w:style>
  <w:style w:type="character" w:customStyle="1" w:styleId="a6">
    <w:name w:val="כותרת תחתונה תו"/>
    <w:link w:val="a5"/>
    <w:rsid w:val="00B32BEC"/>
    <w:rPr>
      <w:rFonts w:ascii="Times New Roman" w:eastAsia="Times New Roman" w:hAnsi="Times New Roman" w:cs="David"/>
      <w:sz w:val="24"/>
      <w:szCs w:val="24"/>
    </w:rPr>
  </w:style>
  <w:style w:type="table" w:styleId="a7">
    <w:name w:val="Table Grid"/>
    <w:basedOn w:val="a1"/>
    <w:rsid w:val="00B32BE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32BEC"/>
  </w:style>
  <w:style w:type="character" w:styleId="Hyperlink">
    <w:name w:val="Hyperlink"/>
    <w:rsid w:val="00B32BEC"/>
    <w:rPr>
      <w:color w:val="0000FF"/>
      <w:u w:val="single"/>
    </w:rPr>
  </w:style>
  <w:style w:type="character" w:styleId="a9">
    <w:name w:val="line number"/>
    <w:rsid w:val="00B3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076151" TargetMode="External"/><Relationship Id="rId13" Type="http://schemas.openxmlformats.org/officeDocument/2006/relationships/hyperlink" Target="http://www.nevo.co.il/case/23591124" TargetMode="External"/><Relationship Id="rId18" Type="http://schemas.openxmlformats.org/officeDocument/2006/relationships/hyperlink" Target="http://www.nevo.co.il/case/20240382"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5583030" TargetMode="External"/><Relationship Id="rId7" Type="http://schemas.openxmlformats.org/officeDocument/2006/relationships/hyperlink" Target="http://www.nevo.co.il/case/5726579" TargetMode="External"/><Relationship Id="rId12" Type="http://schemas.openxmlformats.org/officeDocument/2006/relationships/hyperlink" Target="http://www.nevo.co.il/case/23597004" TargetMode="External"/><Relationship Id="rId17" Type="http://schemas.openxmlformats.org/officeDocument/2006/relationships/hyperlink" Target="http://www.nevo.co.il/case/5583619"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22977631" TargetMode="External"/><Relationship Id="rId20" Type="http://schemas.openxmlformats.org/officeDocument/2006/relationships/hyperlink" Target="http://www.nevo.co.il/case/20245898"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case/5786821" TargetMode="External"/><Relationship Id="rId11" Type="http://schemas.openxmlformats.org/officeDocument/2006/relationships/hyperlink" Target="http://www.nevo.co.il/case/5738608"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case/22977208" TargetMode="External"/><Relationship Id="rId23" Type="http://schemas.openxmlformats.org/officeDocument/2006/relationships/hyperlink" Target="http://www.nevo.co.il/case/2596948" TargetMode="External"/><Relationship Id="rId28" Type="http://schemas.openxmlformats.org/officeDocument/2006/relationships/footer" Target="footer2.xml"/><Relationship Id="rId10" Type="http://schemas.openxmlformats.org/officeDocument/2006/relationships/hyperlink" Target="http://www.nevo.co.il/case/5583619" TargetMode="External"/><Relationship Id="rId19" Type="http://schemas.openxmlformats.org/officeDocument/2006/relationships/hyperlink" Target="http://www.nevo.co.il/case/21015131" TargetMode="External"/><Relationship Id="rId4" Type="http://schemas.openxmlformats.org/officeDocument/2006/relationships/footnotes" Target="footnotes.xml"/><Relationship Id="rId9" Type="http://schemas.openxmlformats.org/officeDocument/2006/relationships/hyperlink" Target="http://www.nevo.co.il/case/5903534" TargetMode="External"/><Relationship Id="rId14" Type="http://schemas.openxmlformats.org/officeDocument/2006/relationships/hyperlink" Target="http://www.nevo.co.il/case/24882985" TargetMode="External"/><Relationship Id="rId22" Type="http://schemas.openxmlformats.org/officeDocument/2006/relationships/hyperlink" Target="http://www.nevo.co.il/case/5578372"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3055</Words>
  <Characters>15279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18298</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3801203</vt:i4>
      </vt:variant>
      <vt:variant>
        <vt:i4>51</vt:i4>
      </vt:variant>
      <vt:variant>
        <vt:i4>0</vt:i4>
      </vt:variant>
      <vt:variant>
        <vt:i4>5</vt:i4>
      </vt:variant>
      <vt:variant>
        <vt:lpwstr>http://www.nevo.co.il/case/2596948</vt:lpwstr>
      </vt:variant>
      <vt:variant>
        <vt:lpwstr/>
      </vt:variant>
      <vt:variant>
        <vt:i4>3342462</vt:i4>
      </vt:variant>
      <vt:variant>
        <vt:i4>48</vt:i4>
      </vt:variant>
      <vt:variant>
        <vt:i4>0</vt:i4>
      </vt:variant>
      <vt:variant>
        <vt:i4>5</vt:i4>
      </vt:variant>
      <vt:variant>
        <vt:lpwstr>http://www.nevo.co.il/case/5578372</vt:lpwstr>
      </vt:variant>
      <vt:variant>
        <vt:lpwstr/>
      </vt:variant>
      <vt:variant>
        <vt:i4>3997809</vt:i4>
      </vt:variant>
      <vt:variant>
        <vt:i4>45</vt:i4>
      </vt:variant>
      <vt:variant>
        <vt:i4>0</vt:i4>
      </vt:variant>
      <vt:variant>
        <vt:i4>5</vt:i4>
      </vt:variant>
      <vt:variant>
        <vt:lpwstr>http://www.nevo.co.il/case/5583030</vt:lpwstr>
      </vt:variant>
      <vt:variant>
        <vt:lpwstr/>
      </vt:variant>
      <vt:variant>
        <vt:i4>3932280</vt:i4>
      </vt:variant>
      <vt:variant>
        <vt:i4>42</vt:i4>
      </vt:variant>
      <vt:variant>
        <vt:i4>0</vt:i4>
      </vt:variant>
      <vt:variant>
        <vt:i4>5</vt:i4>
      </vt:variant>
      <vt:variant>
        <vt:lpwstr>http://www.nevo.co.il/case/20245898</vt:lpwstr>
      </vt:variant>
      <vt:variant>
        <vt:lpwstr/>
      </vt:variant>
      <vt:variant>
        <vt:i4>3407989</vt:i4>
      </vt:variant>
      <vt:variant>
        <vt:i4>39</vt:i4>
      </vt:variant>
      <vt:variant>
        <vt:i4>0</vt:i4>
      </vt:variant>
      <vt:variant>
        <vt:i4>5</vt:i4>
      </vt:variant>
      <vt:variant>
        <vt:lpwstr>http://www.nevo.co.il/case/21015131</vt:lpwstr>
      </vt:variant>
      <vt:variant>
        <vt:lpwstr/>
      </vt:variant>
      <vt:variant>
        <vt:i4>3670131</vt:i4>
      </vt:variant>
      <vt:variant>
        <vt:i4>36</vt:i4>
      </vt:variant>
      <vt:variant>
        <vt:i4>0</vt:i4>
      </vt:variant>
      <vt:variant>
        <vt:i4>5</vt:i4>
      </vt:variant>
      <vt:variant>
        <vt:lpwstr>http://www.nevo.co.il/case/20240382</vt:lpwstr>
      </vt:variant>
      <vt:variant>
        <vt:lpwstr/>
      </vt:variant>
      <vt:variant>
        <vt:i4>3276915</vt:i4>
      </vt:variant>
      <vt:variant>
        <vt:i4>33</vt:i4>
      </vt:variant>
      <vt:variant>
        <vt:i4>0</vt:i4>
      </vt:variant>
      <vt:variant>
        <vt:i4>5</vt:i4>
      </vt:variant>
      <vt:variant>
        <vt:lpwstr>http://www.nevo.co.il/case/5583619</vt:lpwstr>
      </vt:variant>
      <vt:variant>
        <vt:lpwstr/>
      </vt:variant>
      <vt:variant>
        <vt:i4>4128887</vt:i4>
      </vt:variant>
      <vt:variant>
        <vt:i4>30</vt:i4>
      </vt:variant>
      <vt:variant>
        <vt:i4>0</vt:i4>
      </vt:variant>
      <vt:variant>
        <vt:i4>5</vt:i4>
      </vt:variant>
      <vt:variant>
        <vt:lpwstr>http://www.nevo.co.il/case/22977631</vt:lpwstr>
      </vt:variant>
      <vt:variant>
        <vt:lpwstr/>
      </vt:variant>
      <vt:variant>
        <vt:i4>3932275</vt:i4>
      </vt:variant>
      <vt:variant>
        <vt:i4>27</vt:i4>
      </vt:variant>
      <vt:variant>
        <vt:i4>0</vt:i4>
      </vt:variant>
      <vt:variant>
        <vt:i4>5</vt:i4>
      </vt:variant>
      <vt:variant>
        <vt:lpwstr>http://www.nevo.co.il/case/22977208</vt:lpwstr>
      </vt:variant>
      <vt:variant>
        <vt:lpwstr/>
      </vt:variant>
      <vt:variant>
        <vt:i4>3145841</vt:i4>
      </vt:variant>
      <vt:variant>
        <vt:i4>24</vt:i4>
      </vt:variant>
      <vt:variant>
        <vt:i4>0</vt:i4>
      </vt:variant>
      <vt:variant>
        <vt:i4>5</vt:i4>
      </vt:variant>
      <vt:variant>
        <vt:lpwstr>http://www.nevo.co.il/case/24882985</vt:lpwstr>
      </vt:variant>
      <vt:variant>
        <vt:lpwstr/>
      </vt:variant>
      <vt:variant>
        <vt:i4>3407999</vt:i4>
      </vt:variant>
      <vt:variant>
        <vt:i4>21</vt:i4>
      </vt:variant>
      <vt:variant>
        <vt:i4>0</vt:i4>
      </vt:variant>
      <vt:variant>
        <vt:i4>5</vt:i4>
      </vt:variant>
      <vt:variant>
        <vt:lpwstr>http://www.nevo.co.il/case/23591124</vt:lpwstr>
      </vt:variant>
      <vt:variant>
        <vt:lpwstr/>
      </vt:variant>
      <vt:variant>
        <vt:i4>3145854</vt:i4>
      </vt:variant>
      <vt:variant>
        <vt:i4>18</vt:i4>
      </vt:variant>
      <vt:variant>
        <vt:i4>0</vt:i4>
      </vt:variant>
      <vt:variant>
        <vt:i4>5</vt:i4>
      </vt:variant>
      <vt:variant>
        <vt:lpwstr>http://www.nevo.co.il/case/23597004</vt:lpwstr>
      </vt:variant>
      <vt:variant>
        <vt:lpwstr/>
      </vt:variant>
      <vt:variant>
        <vt:i4>3670139</vt:i4>
      </vt:variant>
      <vt:variant>
        <vt:i4>15</vt:i4>
      </vt:variant>
      <vt:variant>
        <vt:i4>0</vt:i4>
      </vt:variant>
      <vt:variant>
        <vt:i4>5</vt:i4>
      </vt:variant>
      <vt:variant>
        <vt:lpwstr>http://www.nevo.co.il/case/5738608</vt:lpwstr>
      </vt:variant>
      <vt:variant>
        <vt:lpwstr/>
      </vt:variant>
      <vt:variant>
        <vt:i4>3276915</vt:i4>
      </vt:variant>
      <vt:variant>
        <vt:i4>12</vt:i4>
      </vt:variant>
      <vt:variant>
        <vt:i4>0</vt:i4>
      </vt:variant>
      <vt:variant>
        <vt:i4>5</vt:i4>
      </vt:variant>
      <vt:variant>
        <vt:lpwstr>http://www.nevo.co.il/case/5583619</vt:lpwstr>
      </vt:variant>
      <vt:variant>
        <vt:lpwstr/>
      </vt:variant>
      <vt:variant>
        <vt:i4>3407997</vt:i4>
      </vt:variant>
      <vt:variant>
        <vt:i4>9</vt:i4>
      </vt:variant>
      <vt:variant>
        <vt:i4>0</vt:i4>
      </vt:variant>
      <vt:variant>
        <vt:i4>5</vt:i4>
      </vt:variant>
      <vt:variant>
        <vt:lpwstr>http://www.nevo.co.il/case/5903534</vt:lpwstr>
      </vt:variant>
      <vt:variant>
        <vt:lpwstr/>
      </vt:variant>
      <vt:variant>
        <vt:i4>3211383</vt:i4>
      </vt:variant>
      <vt:variant>
        <vt:i4>6</vt:i4>
      </vt:variant>
      <vt:variant>
        <vt:i4>0</vt:i4>
      </vt:variant>
      <vt:variant>
        <vt:i4>5</vt:i4>
      </vt:variant>
      <vt:variant>
        <vt:lpwstr>http://www.nevo.co.il/case/6076151</vt:lpwstr>
      </vt:variant>
      <vt:variant>
        <vt:lpwstr/>
      </vt:variant>
      <vt:variant>
        <vt:i4>3866738</vt:i4>
      </vt:variant>
      <vt:variant>
        <vt:i4>3</vt:i4>
      </vt:variant>
      <vt:variant>
        <vt:i4>0</vt:i4>
      </vt:variant>
      <vt:variant>
        <vt:i4>5</vt:i4>
      </vt:variant>
      <vt:variant>
        <vt:lpwstr>http://www.nevo.co.il/case/5726579</vt:lpwstr>
      </vt:variant>
      <vt:variant>
        <vt:lpwstr/>
      </vt:variant>
      <vt:variant>
        <vt:i4>3407991</vt:i4>
      </vt:variant>
      <vt:variant>
        <vt:i4>0</vt:i4>
      </vt:variant>
      <vt:variant>
        <vt:i4>0</vt:i4>
      </vt:variant>
      <vt:variant>
        <vt:i4>5</vt:i4>
      </vt:variant>
      <vt:variant>
        <vt:lpwstr>http://www.nevo.co.il/case/5786821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2025-04-22T20:53:00Z</dcterms:created>
  <dcterms:modified xsi:type="dcterms:W3CDTF">2025-04-22T20:53:00Z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68352</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יאסין סעדי</vt:lpwstr>
  </property>
  <property fmtid="{D5CDD505-2E9C-101B-9397-08002B2CF9AE}" pid="10" name="LAWYER">
    <vt:lpwstr>צחי יונגר;מחמוד נעאמנה</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20190210</vt:lpwstr>
  </property>
  <property fmtid="{D5CDD505-2E9C-101B-9397-08002B2CF9AE}" pid="14" name="TYPE_N_DATE">
    <vt:lpwstr>39020190210</vt:lpwstr>
  </property>
  <property fmtid="{D5CDD505-2E9C-101B-9397-08002B2CF9AE}" pid="15" name="WORDNUMPAGES">
    <vt:lpwstr>9</vt:lpwstr>
  </property>
  <property fmtid="{D5CDD505-2E9C-101B-9397-08002B2CF9AE}" pid="16" name="TYPE_ABS_DATE">
    <vt:lpwstr>390020190210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5786821;6076151;5903534;5583619:2;5738608;23597004;23591124;24882985;22977208;22977631;20240382;21015131;20245898;5583030;5578372;2596948</vt:lpwstr>
  </property>
</Properties>
</file>