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E648E" w:rsidRPr="002D24DA" w14:paraId="1406B219" w14:textId="77777777" w:rsidTr="0022143D">
        <w:trPr>
          <w:trHeight w:hRule="exact" w:val="418"/>
          <w:jc w:val="center"/>
        </w:trPr>
        <w:tc>
          <w:tcPr>
            <w:tcW w:w="8721" w:type="dxa"/>
            <w:gridSpan w:val="2"/>
          </w:tcPr>
          <w:p w14:paraId="7E5B6A37" w14:textId="77777777" w:rsidR="009E648E" w:rsidRPr="002D24DA" w:rsidRDefault="009E648E" w:rsidP="00125FBB">
            <w:pPr>
              <w:pStyle w:val="a3"/>
              <w:jc w:val="center"/>
              <w:rPr>
                <w:rFonts w:ascii="Tahoma" w:hAnsi="Tahoma"/>
                <w:color w:val="000080"/>
                <w:sz w:val="32"/>
                <w:szCs w:val="32"/>
                <w:rtl/>
              </w:rPr>
            </w:pPr>
            <w:bookmarkStart w:id="0" w:name="LastJudge"/>
            <w:r w:rsidRPr="002D24DA">
              <w:rPr>
                <w:rFonts w:ascii="Tahoma" w:hAnsi="Tahoma"/>
                <w:b/>
                <w:bCs/>
                <w:color w:val="000080"/>
                <w:sz w:val="32"/>
                <w:szCs w:val="32"/>
                <w:rtl/>
              </w:rPr>
              <w:t>בית המשפט המחוזי בתל אביב - יפו</w:t>
            </w:r>
          </w:p>
        </w:tc>
      </w:tr>
      <w:tr w:rsidR="009E648E" w:rsidRPr="002D24DA" w14:paraId="5BB844E6" w14:textId="77777777" w:rsidTr="0022143D">
        <w:trPr>
          <w:trHeight w:val="337"/>
          <w:jc w:val="center"/>
        </w:trPr>
        <w:tc>
          <w:tcPr>
            <w:tcW w:w="5054" w:type="dxa"/>
          </w:tcPr>
          <w:p w14:paraId="5FEB3522" w14:textId="77777777" w:rsidR="009E648E" w:rsidRPr="002D24DA" w:rsidRDefault="009E648E" w:rsidP="00125FBB">
            <w:pPr>
              <w:rPr>
                <w:b/>
                <w:bCs/>
                <w:sz w:val="26"/>
                <w:szCs w:val="26"/>
                <w:rtl/>
              </w:rPr>
            </w:pPr>
          </w:p>
          <w:p w14:paraId="5D624133" w14:textId="77777777" w:rsidR="009E648E" w:rsidRPr="002D24DA" w:rsidRDefault="009E648E" w:rsidP="00125FBB">
            <w:pPr>
              <w:rPr>
                <w:rFonts w:cs="FrankRuehl"/>
                <w:b/>
                <w:bCs/>
                <w:sz w:val="28"/>
                <w:szCs w:val="28"/>
                <w:rtl/>
              </w:rPr>
            </w:pPr>
            <w:r w:rsidRPr="002D24DA">
              <w:rPr>
                <w:b/>
                <w:bCs/>
                <w:sz w:val="26"/>
                <w:szCs w:val="26"/>
                <w:rtl/>
              </w:rPr>
              <w:t>ת"פ</w:t>
            </w:r>
            <w:r w:rsidRPr="002D24DA">
              <w:rPr>
                <w:rFonts w:hint="cs"/>
                <w:b/>
                <w:bCs/>
                <w:sz w:val="26"/>
                <w:szCs w:val="26"/>
                <w:rtl/>
              </w:rPr>
              <w:t xml:space="preserve"> </w:t>
            </w:r>
            <w:r w:rsidRPr="002D24DA">
              <w:rPr>
                <w:b/>
                <w:bCs/>
                <w:sz w:val="26"/>
                <w:szCs w:val="26"/>
                <w:rtl/>
              </w:rPr>
              <w:t>26019-02-18</w:t>
            </w:r>
            <w:r w:rsidRPr="002D24DA">
              <w:rPr>
                <w:rFonts w:hint="cs"/>
                <w:b/>
                <w:bCs/>
                <w:sz w:val="26"/>
                <w:szCs w:val="26"/>
                <w:rtl/>
              </w:rPr>
              <w:t xml:space="preserve"> </w:t>
            </w:r>
            <w:r w:rsidRPr="002D24DA">
              <w:rPr>
                <w:b/>
                <w:bCs/>
                <w:sz w:val="26"/>
                <w:szCs w:val="26"/>
                <w:rtl/>
              </w:rPr>
              <w:t>מדינת ישראל נ' אלוני פריאל</w:t>
            </w:r>
          </w:p>
        </w:tc>
        <w:tc>
          <w:tcPr>
            <w:tcW w:w="3667" w:type="dxa"/>
          </w:tcPr>
          <w:p w14:paraId="1D6C384B" w14:textId="77777777" w:rsidR="009E648E" w:rsidRPr="002D24DA" w:rsidRDefault="009E648E" w:rsidP="00125FBB">
            <w:pPr>
              <w:pStyle w:val="a3"/>
              <w:jc w:val="right"/>
              <w:rPr>
                <w:rFonts w:cs="FrankRuehl"/>
                <w:b/>
                <w:bCs/>
                <w:sz w:val="28"/>
                <w:szCs w:val="28"/>
                <w:rtl/>
              </w:rPr>
            </w:pPr>
          </w:p>
        </w:tc>
      </w:tr>
    </w:tbl>
    <w:p w14:paraId="47381979" w14:textId="77777777" w:rsidR="009E648E" w:rsidRPr="002D24DA" w:rsidRDefault="009E648E" w:rsidP="009E648E">
      <w:pPr>
        <w:pStyle w:val="a3"/>
        <w:rPr>
          <w:rtl/>
        </w:rPr>
      </w:pPr>
      <w:r w:rsidRPr="002D24DA">
        <w:rPr>
          <w:rFonts w:hint="cs"/>
          <w:rtl/>
        </w:rPr>
        <w:t xml:space="preserve"> </w:t>
      </w:r>
    </w:p>
    <w:p w14:paraId="4E3622B4" w14:textId="77777777" w:rsidR="009E648E" w:rsidRPr="002D24DA" w:rsidRDefault="009E648E" w:rsidP="009E648E">
      <w:pPr>
        <w:spacing w:line="360" w:lineRule="auto"/>
        <w:jc w:val="both"/>
        <w:rPr>
          <w:rFonts w:ascii="David" w:hAnsi="David"/>
          <w:rtl/>
        </w:rPr>
      </w:pPr>
    </w:p>
    <w:p w14:paraId="0DDE34E0" w14:textId="77777777" w:rsidR="009E648E" w:rsidRPr="002D24DA" w:rsidRDefault="009E648E" w:rsidP="009E648E">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9E648E" w:rsidRPr="002D24DA" w14:paraId="16BDD00C" w14:textId="77777777" w:rsidTr="009E648E">
        <w:trPr>
          <w:gridAfter w:val="1"/>
          <w:wAfter w:w="56" w:type="dxa"/>
        </w:trPr>
        <w:tc>
          <w:tcPr>
            <w:tcW w:w="8718" w:type="dxa"/>
            <w:gridSpan w:val="2"/>
            <w:shd w:val="clear" w:color="auto" w:fill="auto"/>
          </w:tcPr>
          <w:p w14:paraId="209F34EB" w14:textId="77777777" w:rsidR="009E648E" w:rsidRPr="002D24DA" w:rsidRDefault="009E648E" w:rsidP="009E648E">
            <w:pPr>
              <w:spacing w:line="360" w:lineRule="auto"/>
              <w:jc w:val="both"/>
              <w:rPr>
                <w:b/>
                <w:bCs/>
                <w:sz w:val="26"/>
                <w:szCs w:val="26"/>
                <w:rtl/>
              </w:rPr>
            </w:pPr>
            <w:r w:rsidRPr="002D24DA">
              <w:rPr>
                <w:rFonts w:hint="cs"/>
                <w:b/>
                <w:bCs/>
                <w:sz w:val="26"/>
                <w:szCs w:val="26"/>
                <w:rtl/>
              </w:rPr>
              <w:t>בפני כבוד השופט מרדכי לוי</w:t>
            </w:r>
            <w:r w:rsidRPr="002D24DA">
              <w:rPr>
                <w:rStyle w:val="TimesNewRomanTimesNewRoman"/>
                <w:rFonts w:hint="cs"/>
                <w:rtl/>
              </w:rPr>
              <w:t xml:space="preserve"> </w:t>
            </w:r>
          </w:p>
        </w:tc>
      </w:tr>
      <w:tr w:rsidR="009E648E" w:rsidRPr="002D24DA" w14:paraId="30786DC8" w14:textId="77777777" w:rsidTr="009E648E">
        <w:trPr>
          <w:cantSplit/>
          <w:trHeight w:val="724"/>
        </w:trPr>
        <w:tc>
          <w:tcPr>
            <w:tcW w:w="2880" w:type="dxa"/>
            <w:shd w:val="clear" w:color="auto" w:fill="auto"/>
          </w:tcPr>
          <w:p w14:paraId="0AE32A70" w14:textId="77777777" w:rsidR="009E648E" w:rsidRPr="002D24DA" w:rsidRDefault="009E648E" w:rsidP="009E648E">
            <w:pPr>
              <w:ind w:left="26"/>
              <w:rPr>
                <w:b/>
                <w:bCs/>
                <w:sz w:val="26"/>
                <w:szCs w:val="26"/>
                <w:rtl/>
              </w:rPr>
            </w:pPr>
            <w:bookmarkStart w:id="1" w:name="FirstAppellant"/>
            <w:bookmarkStart w:id="2" w:name="FirstLawyer"/>
          </w:p>
          <w:p w14:paraId="47DFC881" w14:textId="77777777" w:rsidR="009E648E" w:rsidRPr="002D24DA" w:rsidRDefault="009E648E" w:rsidP="009E648E">
            <w:pPr>
              <w:ind w:left="26"/>
              <w:rPr>
                <w:b/>
                <w:bCs/>
                <w:sz w:val="26"/>
                <w:szCs w:val="26"/>
                <w:rtl/>
              </w:rPr>
            </w:pPr>
            <w:r w:rsidRPr="002D24DA">
              <w:rPr>
                <w:rFonts w:hint="cs"/>
                <w:b/>
                <w:bCs/>
                <w:sz w:val="26"/>
                <w:szCs w:val="26"/>
                <w:rtl/>
              </w:rPr>
              <w:t>המאשימה</w:t>
            </w:r>
          </w:p>
        </w:tc>
        <w:tc>
          <w:tcPr>
            <w:tcW w:w="5922" w:type="dxa"/>
            <w:gridSpan w:val="2"/>
            <w:shd w:val="clear" w:color="auto" w:fill="auto"/>
          </w:tcPr>
          <w:p w14:paraId="6F1BD115" w14:textId="77777777" w:rsidR="009E648E" w:rsidRPr="002D24DA" w:rsidRDefault="009E648E" w:rsidP="00125FBB">
            <w:pPr>
              <w:rPr>
                <w:sz w:val="26"/>
                <w:szCs w:val="26"/>
                <w:rtl/>
              </w:rPr>
            </w:pPr>
          </w:p>
          <w:p w14:paraId="1930F2C4" w14:textId="77777777" w:rsidR="009E648E" w:rsidRPr="002D24DA" w:rsidRDefault="009E648E" w:rsidP="00125FBB">
            <w:pPr>
              <w:rPr>
                <w:sz w:val="26"/>
                <w:szCs w:val="26"/>
                <w:rtl/>
              </w:rPr>
            </w:pPr>
            <w:r w:rsidRPr="002D24DA">
              <w:rPr>
                <w:rFonts w:hint="cs"/>
                <w:b/>
                <w:bCs/>
                <w:sz w:val="26"/>
                <w:szCs w:val="26"/>
                <w:rtl/>
              </w:rPr>
              <w:t>מדינת ישראל</w:t>
            </w:r>
          </w:p>
          <w:p w14:paraId="05DDFE7B" w14:textId="77777777" w:rsidR="009E648E" w:rsidRPr="002D24DA" w:rsidRDefault="009E648E" w:rsidP="00125FBB">
            <w:pPr>
              <w:rPr>
                <w:b/>
                <w:bCs/>
                <w:sz w:val="26"/>
                <w:szCs w:val="26"/>
                <w:rtl/>
              </w:rPr>
            </w:pPr>
            <w:r w:rsidRPr="002D24DA">
              <w:rPr>
                <w:rFonts w:hint="cs"/>
                <w:sz w:val="26"/>
                <w:szCs w:val="26"/>
                <w:rtl/>
              </w:rPr>
              <w:t>ע"י עו"ד צחי יונגר, פרקליטות מחוז ת"א (פלילי)</w:t>
            </w:r>
          </w:p>
        </w:tc>
      </w:tr>
      <w:bookmarkEnd w:id="1"/>
      <w:bookmarkEnd w:id="2"/>
      <w:tr w:rsidR="009E648E" w:rsidRPr="002D24DA" w14:paraId="0748EFD9" w14:textId="77777777" w:rsidTr="009E648E">
        <w:tc>
          <w:tcPr>
            <w:tcW w:w="8802" w:type="dxa"/>
            <w:gridSpan w:val="3"/>
            <w:shd w:val="clear" w:color="auto" w:fill="auto"/>
            <w:vAlign w:val="center"/>
          </w:tcPr>
          <w:p w14:paraId="171854DF" w14:textId="77777777" w:rsidR="009E648E" w:rsidRPr="002D24DA" w:rsidRDefault="009E648E" w:rsidP="00125FBB">
            <w:pPr>
              <w:rPr>
                <w:rFonts w:ascii="Arial" w:hAnsi="Arial"/>
                <w:b/>
                <w:bCs/>
                <w:sz w:val="26"/>
                <w:szCs w:val="26"/>
                <w:rtl/>
              </w:rPr>
            </w:pPr>
          </w:p>
          <w:p w14:paraId="1B7C9FDE" w14:textId="77777777" w:rsidR="009E648E" w:rsidRPr="002D24DA" w:rsidRDefault="009E648E" w:rsidP="009E648E">
            <w:pPr>
              <w:jc w:val="center"/>
              <w:rPr>
                <w:rFonts w:ascii="Arial" w:hAnsi="Arial"/>
                <w:b/>
                <w:bCs/>
                <w:sz w:val="26"/>
                <w:szCs w:val="26"/>
                <w:rtl/>
              </w:rPr>
            </w:pPr>
            <w:r w:rsidRPr="002D24DA">
              <w:rPr>
                <w:rFonts w:ascii="Arial" w:hAnsi="Arial" w:hint="cs"/>
                <w:b/>
                <w:bCs/>
                <w:sz w:val="26"/>
                <w:szCs w:val="26"/>
                <w:rtl/>
              </w:rPr>
              <w:t>נגד</w:t>
            </w:r>
          </w:p>
          <w:p w14:paraId="170DCB9C" w14:textId="77777777" w:rsidR="009E648E" w:rsidRPr="002D24DA" w:rsidRDefault="009E648E" w:rsidP="00125FBB">
            <w:pPr>
              <w:rPr>
                <w:rFonts w:ascii="Arial" w:hAnsi="Arial"/>
                <w:b/>
                <w:bCs/>
                <w:sz w:val="26"/>
                <w:szCs w:val="26"/>
                <w:rtl/>
              </w:rPr>
            </w:pPr>
          </w:p>
        </w:tc>
      </w:tr>
      <w:tr w:rsidR="009E648E" w:rsidRPr="002D24DA" w14:paraId="521F310C" w14:textId="77777777" w:rsidTr="009E648E">
        <w:tc>
          <w:tcPr>
            <w:tcW w:w="2880" w:type="dxa"/>
            <w:shd w:val="clear" w:color="auto" w:fill="auto"/>
          </w:tcPr>
          <w:p w14:paraId="142618F3" w14:textId="77777777" w:rsidR="009E648E" w:rsidRPr="002D24DA" w:rsidRDefault="009E648E" w:rsidP="009E648E">
            <w:pPr>
              <w:ind w:left="26"/>
              <w:rPr>
                <w:b/>
                <w:bCs/>
                <w:sz w:val="26"/>
                <w:szCs w:val="26"/>
                <w:rtl/>
              </w:rPr>
            </w:pPr>
            <w:r w:rsidRPr="002D24DA">
              <w:rPr>
                <w:rFonts w:hint="cs"/>
                <w:b/>
                <w:bCs/>
                <w:sz w:val="26"/>
                <w:szCs w:val="26"/>
                <w:rtl/>
              </w:rPr>
              <w:t>הנאשם</w:t>
            </w:r>
          </w:p>
        </w:tc>
        <w:tc>
          <w:tcPr>
            <w:tcW w:w="5922" w:type="dxa"/>
            <w:gridSpan w:val="2"/>
            <w:shd w:val="clear" w:color="auto" w:fill="auto"/>
          </w:tcPr>
          <w:p w14:paraId="1497CFD6" w14:textId="77777777" w:rsidR="009E648E" w:rsidRPr="002D24DA" w:rsidRDefault="009E648E" w:rsidP="00125FBB">
            <w:pPr>
              <w:rPr>
                <w:sz w:val="26"/>
                <w:szCs w:val="26"/>
                <w:rtl/>
              </w:rPr>
            </w:pPr>
            <w:r w:rsidRPr="002D24DA">
              <w:rPr>
                <w:rFonts w:hint="cs"/>
                <w:b/>
                <w:bCs/>
                <w:sz w:val="26"/>
                <w:szCs w:val="26"/>
                <w:rtl/>
              </w:rPr>
              <w:t>אליאב אלוני פריאל</w:t>
            </w:r>
          </w:p>
          <w:p w14:paraId="1F0D0901" w14:textId="77777777" w:rsidR="009E648E" w:rsidRPr="002D24DA" w:rsidRDefault="009E648E" w:rsidP="00125FBB">
            <w:pPr>
              <w:rPr>
                <w:b/>
                <w:bCs/>
                <w:sz w:val="26"/>
                <w:szCs w:val="26"/>
              </w:rPr>
            </w:pPr>
            <w:r w:rsidRPr="002D24DA">
              <w:rPr>
                <w:rFonts w:hint="cs"/>
                <w:sz w:val="26"/>
                <w:szCs w:val="26"/>
                <w:rtl/>
              </w:rPr>
              <w:t>ע"י בא-כוחו עו"ד בועז קניג</w:t>
            </w:r>
          </w:p>
        </w:tc>
      </w:tr>
    </w:tbl>
    <w:p w14:paraId="11A9705B" w14:textId="77777777" w:rsidR="0022143D" w:rsidRPr="0022143D" w:rsidRDefault="0022143D" w:rsidP="0022143D">
      <w:pPr>
        <w:spacing w:before="240" w:after="120" w:line="240" w:lineRule="exact"/>
        <w:ind w:left="283" w:hanging="283"/>
        <w:jc w:val="both"/>
        <w:rPr>
          <w:rFonts w:ascii="FrankRuehl" w:hAnsi="FrankRuehl" w:cs="FrankRuehl"/>
          <w:rtl/>
        </w:rPr>
      </w:pPr>
      <w:bookmarkStart w:id="3" w:name="LawTable"/>
      <w:bookmarkEnd w:id="3"/>
      <w:r w:rsidRPr="0022143D">
        <w:rPr>
          <w:rFonts w:ascii="FrankRuehl" w:hAnsi="FrankRuehl" w:cs="FrankRuehl"/>
          <w:rtl/>
        </w:rPr>
        <w:t xml:space="preserve">חקיקה שאוזכרה: </w:t>
      </w:r>
    </w:p>
    <w:p w14:paraId="2C48021D" w14:textId="77777777" w:rsidR="0022143D" w:rsidRPr="0022143D" w:rsidRDefault="0022143D" w:rsidP="0022143D">
      <w:pPr>
        <w:spacing w:before="240" w:after="120" w:line="240" w:lineRule="exact"/>
        <w:ind w:left="283" w:hanging="283"/>
        <w:jc w:val="both"/>
        <w:rPr>
          <w:rFonts w:ascii="FrankRuehl" w:hAnsi="FrankRuehl" w:cs="FrankRuehl"/>
          <w:rtl/>
        </w:rPr>
      </w:pPr>
      <w:hyperlink r:id="rId7" w:history="1">
        <w:r w:rsidRPr="0022143D">
          <w:rPr>
            <w:rFonts w:ascii="FrankRuehl" w:hAnsi="FrankRuehl" w:cs="FrankRuehl"/>
            <w:color w:val="0000FF"/>
            <w:u w:val="single"/>
            <w:rtl/>
          </w:rPr>
          <w:t>פקודת הסמים המסוכנים [נוסח חדש], תשל"ג-1973</w:t>
        </w:r>
      </w:hyperlink>
      <w:r w:rsidRPr="0022143D">
        <w:rPr>
          <w:rFonts w:ascii="FrankRuehl" w:hAnsi="FrankRuehl" w:cs="FrankRuehl"/>
          <w:rtl/>
        </w:rPr>
        <w:t xml:space="preserve">: סע'  </w:t>
      </w:r>
      <w:hyperlink r:id="rId8" w:history="1">
        <w:r w:rsidRPr="0022143D">
          <w:rPr>
            <w:rFonts w:ascii="FrankRuehl" w:hAnsi="FrankRuehl" w:cs="FrankRuehl"/>
            <w:color w:val="0000FF"/>
            <w:u w:val="single"/>
            <w:rtl/>
          </w:rPr>
          <w:t>7.א.</w:t>
        </w:r>
      </w:hyperlink>
      <w:r w:rsidRPr="0022143D">
        <w:rPr>
          <w:rFonts w:ascii="FrankRuehl" w:hAnsi="FrankRuehl" w:cs="FrankRuehl"/>
          <w:rtl/>
        </w:rPr>
        <w:t xml:space="preserve">, </w:t>
      </w:r>
      <w:hyperlink r:id="rId9" w:history="1">
        <w:r w:rsidRPr="0022143D">
          <w:rPr>
            <w:rFonts w:ascii="FrankRuehl" w:hAnsi="FrankRuehl" w:cs="FrankRuehl"/>
            <w:color w:val="0000FF"/>
            <w:u w:val="single"/>
            <w:rtl/>
          </w:rPr>
          <w:t>7.ג</w:t>
        </w:r>
      </w:hyperlink>
    </w:p>
    <w:p w14:paraId="6185EF12" w14:textId="77777777" w:rsidR="0022143D" w:rsidRPr="0022143D" w:rsidRDefault="0022143D" w:rsidP="0022143D">
      <w:pPr>
        <w:spacing w:before="240" w:after="120" w:line="240" w:lineRule="exact"/>
        <w:ind w:left="283" w:hanging="283"/>
        <w:jc w:val="both"/>
        <w:rPr>
          <w:rFonts w:ascii="FrankRuehl" w:hAnsi="FrankRuehl" w:cs="FrankRuehl"/>
          <w:rtl/>
        </w:rPr>
      </w:pPr>
      <w:hyperlink r:id="rId10" w:history="1">
        <w:r w:rsidRPr="0022143D">
          <w:rPr>
            <w:rFonts w:ascii="FrankRuehl" w:hAnsi="FrankRuehl" w:cs="FrankRuehl"/>
            <w:color w:val="0000FF"/>
            <w:u w:val="single"/>
            <w:rtl/>
          </w:rPr>
          <w:t>חוק העונשין, תשל"ז-1977</w:t>
        </w:r>
      </w:hyperlink>
      <w:r w:rsidRPr="0022143D">
        <w:rPr>
          <w:rFonts w:ascii="FrankRuehl" w:hAnsi="FrankRuehl" w:cs="FrankRuehl"/>
          <w:rtl/>
        </w:rPr>
        <w:t xml:space="preserve">: סע'  </w:t>
      </w:r>
      <w:hyperlink r:id="rId11" w:history="1">
        <w:r w:rsidRPr="0022143D">
          <w:rPr>
            <w:rFonts w:ascii="FrankRuehl" w:hAnsi="FrankRuehl" w:cs="FrankRuehl"/>
            <w:color w:val="0000FF"/>
            <w:u w:val="single"/>
            <w:rtl/>
          </w:rPr>
          <w:t>40ב</w:t>
        </w:r>
      </w:hyperlink>
      <w:r w:rsidRPr="0022143D">
        <w:rPr>
          <w:rFonts w:ascii="FrankRuehl" w:hAnsi="FrankRuehl" w:cs="FrankRuehl"/>
          <w:rtl/>
        </w:rPr>
        <w:t xml:space="preserve">, </w:t>
      </w:r>
      <w:hyperlink r:id="rId12" w:history="1">
        <w:r w:rsidRPr="0022143D">
          <w:rPr>
            <w:rFonts w:ascii="FrankRuehl" w:hAnsi="FrankRuehl" w:cs="FrankRuehl"/>
            <w:color w:val="0000FF"/>
            <w:u w:val="single"/>
            <w:rtl/>
          </w:rPr>
          <w:t>40ג(א)</w:t>
        </w:r>
      </w:hyperlink>
      <w:r w:rsidRPr="0022143D">
        <w:rPr>
          <w:rFonts w:ascii="FrankRuehl" w:hAnsi="FrankRuehl" w:cs="FrankRuehl"/>
          <w:rtl/>
        </w:rPr>
        <w:t xml:space="preserve">, </w:t>
      </w:r>
      <w:hyperlink r:id="rId13" w:history="1">
        <w:r w:rsidRPr="0022143D">
          <w:rPr>
            <w:rFonts w:ascii="FrankRuehl" w:hAnsi="FrankRuehl" w:cs="FrankRuehl"/>
            <w:color w:val="0000FF"/>
            <w:u w:val="single"/>
            <w:rtl/>
          </w:rPr>
          <w:t>40ג(ב)</w:t>
        </w:r>
      </w:hyperlink>
      <w:r w:rsidRPr="0022143D">
        <w:rPr>
          <w:rFonts w:ascii="FrankRuehl" w:hAnsi="FrankRuehl" w:cs="FrankRuehl"/>
          <w:rtl/>
        </w:rPr>
        <w:t xml:space="preserve">, </w:t>
      </w:r>
      <w:hyperlink r:id="rId14" w:history="1">
        <w:r w:rsidRPr="0022143D">
          <w:rPr>
            <w:rFonts w:ascii="FrankRuehl" w:hAnsi="FrankRuehl" w:cs="FrankRuehl"/>
            <w:color w:val="0000FF"/>
            <w:u w:val="single"/>
            <w:rtl/>
          </w:rPr>
          <w:t>40ד</w:t>
        </w:r>
      </w:hyperlink>
      <w:r w:rsidRPr="0022143D">
        <w:rPr>
          <w:rFonts w:ascii="FrankRuehl" w:hAnsi="FrankRuehl" w:cs="FrankRuehl"/>
          <w:rtl/>
        </w:rPr>
        <w:t xml:space="preserve">, </w:t>
      </w:r>
      <w:hyperlink r:id="rId15" w:history="1">
        <w:r w:rsidRPr="0022143D">
          <w:rPr>
            <w:rFonts w:ascii="FrankRuehl" w:hAnsi="FrankRuehl" w:cs="FrankRuehl"/>
            <w:color w:val="0000FF"/>
            <w:u w:val="single"/>
            <w:rtl/>
          </w:rPr>
          <w:t>40ה</w:t>
        </w:r>
      </w:hyperlink>
      <w:r w:rsidRPr="0022143D">
        <w:rPr>
          <w:rFonts w:ascii="FrankRuehl" w:hAnsi="FrankRuehl" w:cs="FrankRuehl"/>
          <w:rtl/>
        </w:rPr>
        <w:t xml:space="preserve">, </w:t>
      </w:r>
      <w:hyperlink r:id="rId16" w:history="1">
        <w:r w:rsidRPr="0022143D">
          <w:rPr>
            <w:rFonts w:ascii="FrankRuehl" w:hAnsi="FrankRuehl" w:cs="FrankRuehl"/>
            <w:color w:val="0000FF"/>
            <w:u w:val="single"/>
            <w:rtl/>
          </w:rPr>
          <w:t>40ו</w:t>
        </w:r>
      </w:hyperlink>
      <w:r w:rsidRPr="0022143D">
        <w:rPr>
          <w:rFonts w:ascii="FrankRuehl" w:hAnsi="FrankRuehl" w:cs="FrankRuehl"/>
          <w:rtl/>
        </w:rPr>
        <w:t xml:space="preserve">, </w:t>
      </w:r>
      <w:hyperlink r:id="rId17" w:history="1">
        <w:r w:rsidRPr="0022143D">
          <w:rPr>
            <w:rFonts w:ascii="FrankRuehl" w:hAnsi="FrankRuehl" w:cs="FrankRuehl"/>
            <w:color w:val="0000FF"/>
            <w:u w:val="single"/>
            <w:rtl/>
          </w:rPr>
          <w:t>40ז</w:t>
        </w:r>
      </w:hyperlink>
      <w:r w:rsidRPr="0022143D">
        <w:rPr>
          <w:rFonts w:ascii="FrankRuehl" w:hAnsi="FrankRuehl" w:cs="FrankRuehl"/>
          <w:rtl/>
        </w:rPr>
        <w:t xml:space="preserve">, </w:t>
      </w:r>
      <w:hyperlink r:id="rId18" w:history="1">
        <w:r w:rsidRPr="0022143D">
          <w:rPr>
            <w:rFonts w:ascii="FrankRuehl" w:hAnsi="FrankRuehl" w:cs="FrankRuehl"/>
            <w:color w:val="0000FF"/>
            <w:u w:val="single"/>
            <w:rtl/>
          </w:rPr>
          <w:t>40ט</w:t>
        </w:r>
      </w:hyperlink>
      <w:r w:rsidRPr="0022143D">
        <w:rPr>
          <w:rFonts w:ascii="FrankRuehl" w:hAnsi="FrankRuehl" w:cs="FrankRuehl"/>
          <w:rtl/>
        </w:rPr>
        <w:t xml:space="preserve">, </w:t>
      </w:r>
      <w:hyperlink r:id="rId19" w:history="1">
        <w:r w:rsidRPr="0022143D">
          <w:rPr>
            <w:rFonts w:ascii="FrankRuehl" w:hAnsi="FrankRuehl" w:cs="FrankRuehl"/>
            <w:color w:val="0000FF"/>
            <w:u w:val="single"/>
            <w:rtl/>
          </w:rPr>
          <w:t>40יא</w:t>
        </w:r>
      </w:hyperlink>
    </w:p>
    <w:p w14:paraId="6A316BE4" w14:textId="77777777" w:rsidR="0022143D" w:rsidRPr="0022143D" w:rsidRDefault="0022143D" w:rsidP="0022143D">
      <w:pPr>
        <w:spacing w:before="240" w:after="120" w:line="240" w:lineRule="exact"/>
        <w:ind w:left="283" w:hanging="283"/>
        <w:jc w:val="both"/>
        <w:rPr>
          <w:rFonts w:ascii="FrankRuehl" w:hAnsi="FrankRuehl" w:cs="FrankRuehl"/>
          <w:rtl/>
        </w:rPr>
      </w:pPr>
      <w:hyperlink r:id="rId20" w:history="1">
        <w:r w:rsidRPr="0022143D">
          <w:rPr>
            <w:rFonts w:ascii="FrankRuehl" w:hAnsi="FrankRuehl" w:cs="FrankRuehl"/>
            <w:color w:val="0000FF"/>
            <w:u w:val="single"/>
            <w:rtl/>
          </w:rPr>
          <w:t>פקודת המבחן [נוסח חדש], תשכ"ט-1969</w:t>
        </w:r>
      </w:hyperlink>
      <w:r w:rsidRPr="0022143D">
        <w:rPr>
          <w:rFonts w:ascii="FrankRuehl" w:hAnsi="FrankRuehl" w:cs="FrankRuehl"/>
          <w:rtl/>
        </w:rPr>
        <w:t xml:space="preserve">: סע'  </w:t>
      </w:r>
      <w:hyperlink r:id="rId21" w:history="1">
        <w:r w:rsidRPr="0022143D">
          <w:rPr>
            <w:rFonts w:ascii="FrankRuehl" w:hAnsi="FrankRuehl" w:cs="FrankRuehl"/>
            <w:color w:val="0000FF"/>
            <w:u w:val="single"/>
            <w:rtl/>
          </w:rPr>
          <w:t>3</w:t>
        </w:r>
      </w:hyperlink>
    </w:p>
    <w:p w14:paraId="0504E851" w14:textId="77777777" w:rsidR="0022143D" w:rsidRPr="0022143D" w:rsidRDefault="0022143D" w:rsidP="0022143D">
      <w:pPr>
        <w:spacing w:before="240"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648E" w14:paraId="378FB283" w14:textId="77777777" w:rsidTr="009E648E">
        <w:trPr>
          <w:trHeight w:val="355"/>
          <w:jc w:val="center"/>
        </w:trPr>
        <w:tc>
          <w:tcPr>
            <w:tcW w:w="8820" w:type="dxa"/>
            <w:tcBorders>
              <w:top w:val="nil"/>
              <w:left w:val="nil"/>
              <w:bottom w:val="nil"/>
              <w:right w:val="nil"/>
            </w:tcBorders>
            <w:shd w:val="clear" w:color="auto" w:fill="auto"/>
          </w:tcPr>
          <w:p w14:paraId="285120C7" w14:textId="77777777" w:rsidR="002D24DA" w:rsidRPr="002D24DA" w:rsidRDefault="002D24DA" w:rsidP="002D24DA">
            <w:pPr>
              <w:jc w:val="center"/>
              <w:rPr>
                <w:rFonts w:ascii="Arial" w:hAnsi="Arial"/>
                <w:b/>
                <w:bCs/>
                <w:sz w:val="28"/>
                <w:szCs w:val="28"/>
                <w:u w:val="single"/>
                <w:rtl/>
              </w:rPr>
            </w:pPr>
            <w:bookmarkStart w:id="4" w:name="LawTable_End"/>
            <w:bookmarkStart w:id="5" w:name="PsakDin" w:colFirst="0" w:colLast="0"/>
            <w:bookmarkEnd w:id="0"/>
            <w:bookmarkEnd w:id="4"/>
            <w:r w:rsidRPr="002D24DA">
              <w:rPr>
                <w:rFonts w:ascii="Arial" w:hAnsi="Arial"/>
                <w:b/>
                <w:bCs/>
                <w:sz w:val="28"/>
                <w:szCs w:val="28"/>
                <w:u w:val="single"/>
                <w:rtl/>
              </w:rPr>
              <w:t>גזר - דין</w:t>
            </w:r>
          </w:p>
          <w:p w14:paraId="4B63325B" w14:textId="77777777" w:rsidR="009E648E" w:rsidRPr="002D24DA" w:rsidRDefault="009E648E" w:rsidP="002D24DA">
            <w:pPr>
              <w:jc w:val="center"/>
              <w:rPr>
                <w:rFonts w:ascii="Arial" w:hAnsi="Arial"/>
                <w:bCs/>
                <w:sz w:val="28"/>
                <w:szCs w:val="28"/>
                <w:u w:val="single"/>
                <w:rtl/>
              </w:rPr>
            </w:pPr>
          </w:p>
        </w:tc>
      </w:tr>
    </w:tbl>
    <w:bookmarkEnd w:id="5"/>
    <w:p w14:paraId="1EC0232F" w14:textId="77777777" w:rsidR="009E648E" w:rsidRDefault="009E648E" w:rsidP="009E648E">
      <w:pPr>
        <w:spacing w:before="240"/>
        <w:ind w:left="74" w:firstLine="16"/>
        <w:rPr>
          <w:rFonts w:ascii="David" w:hAnsi="David"/>
          <w:b/>
          <w:bCs/>
          <w:u w:val="single"/>
        </w:rPr>
      </w:pPr>
      <w:r>
        <w:rPr>
          <w:rFonts w:ascii="David" w:hAnsi="David"/>
          <w:b/>
          <w:bCs/>
          <w:u w:val="single"/>
          <w:rtl/>
        </w:rPr>
        <w:t>פתח דבר</w:t>
      </w:r>
    </w:p>
    <w:p w14:paraId="4C128283" w14:textId="77777777" w:rsidR="009E648E" w:rsidRDefault="009E648E" w:rsidP="009E648E">
      <w:pPr>
        <w:pStyle w:val="15"/>
        <w:numPr>
          <w:ilvl w:val="0"/>
          <w:numId w:val="1"/>
        </w:numPr>
        <w:ind w:left="509" w:right="0" w:hanging="425"/>
        <w:rPr>
          <w:rFonts w:cs="David"/>
          <w:sz w:val="24"/>
          <w:szCs w:val="24"/>
          <w:rtl/>
        </w:rPr>
      </w:pPr>
      <w:bookmarkStart w:id="6" w:name="ABSTRACT_START"/>
      <w:bookmarkEnd w:id="6"/>
      <w:r>
        <w:rPr>
          <w:rFonts w:cs="David"/>
          <w:sz w:val="24"/>
          <w:szCs w:val="24"/>
          <w:rtl/>
        </w:rPr>
        <w:t xml:space="preserve">הנאשם הורשע, על פי הודאתו בעובדות כתב האישום המתוקן, במסגרת הסדר טיעון, בעבירה של </w:t>
      </w:r>
      <w:r>
        <w:rPr>
          <w:rFonts w:cs="David"/>
          <w:b/>
          <w:bCs/>
          <w:sz w:val="24"/>
          <w:szCs w:val="24"/>
          <w:rtl/>
        </w:rPr>
        <w:t>החזקת סם שלא לצריכה עצמית</w:t>
      </w:r>
      <w:r>
        <w:rPr>
          <w:rFonts w:cs="David"/>
          <w:sz w:val="24"/>
          <w:szCs w:val="24"/>
          <w:rtl/>
        </w:rPr>
        <w:t xml:space="preserve">, לפי </w:t>
      </w:r>
      <w:hyperlink r:id="rId22" w:history="1">
        <w:r w:rsidR="0022143D" w:rsidRPr="0022143D">
          <w:rPr>
            <w:rFonts w:cs="David" w:hint="eastAsia"/>
            <w:color w:val="0000FF"/>
            <w:sz w:val="24"/>
            <w:szCs w:val="24"/>
            <w:u w:val="single"/>
            <w:rtl/>
          </w:rPr>
          <w:t>סעיף</w:t>
        </w:r>
        <w:r w:rsidR="0022143D" w:rsidRPr="0022143D">
          <w:rPr>
            <w:rFonts w:cs="David"/>
            <w:color w:val="0000FF"/>
            <w:sz w:val="24"/>
            <w:szCs w:val="24"/>
            <w:u w:val="single"/>
            <w:rtl/>
          </w:rPr>
          <w:t xml:space="preserve"> 7(</w:t>
        </w:r>
        <w:r w:rsidR="0022143D" w:rsidRPr="0022143D">
          <w:rPr>
            <w:rFonts w:cs="David" w:hint="eastAsia"/>
            <w:color w:val="0000FF"/>
            <w:sz w:val="24"/>
            <w:szCs w:val="24"/>
            <w:u w:val="single"/>
            <w:rtl/>
          </w:rPr>
          <w:t>א</w:t>
        </w:r>
        <w:r w:rsidR="0022143D" w:rsidRPr="0022143D">
          <w:rPr>
            <w:rFonts w:cs="David"/>
            <w:color w:val="0000FF"/>
            <w:sz w:val="24"/>
            <w:szCs w:val="24"/>
            <w:u w:val="single"/>
            <w:rtl/>
          </w:rPr>
          <w:t>)+(</w:t>
        </w:r>
        <w:r w:rsidR="0022143D" w:rsidRPr="0022143D">
          <w:rPr>
            <w:rFonts w:cs="David" w:hint="eastAsia"/>
            <w:color w:val="0000FF"/>
            <w:sz w:val="24"/>
            <w:szCs w:val="24"/>
            <w:u w:val="single"/>
            <w:rtl/>
          </w:rPr>
          <w:t>ג</w:t>
        </w:r>
        <w:r w:rsidR="0022143D" w:rsidRPr="0022143D">
          <w:rPr>
            <w:rFonts w:cs="David"/>
            <w:color w:val="0000FF"/>
            <w:sz w:val="24"/>
            <w:szCs w:val="24"/>
            <w:u w:val="single"/>
            <w:rtl/>
          </w:rPr>
          <w:t>)</w:t>
        </w:r>
      </w:hyperlink>
      <w:r>
        <w:rPr>
          <w:rFonts w:cs="David"/>
          <w:sz w:val="24"/>
          <w:szCs w:val="24"/>
          <w:rtl/>
        </w:rPr>
        <w:t xml:space="preserve"> רישא ל</w:t>
      </w:r>
      <w:hyperlink r:id="rId23" w:history="1">
        <w:r w:rsidR="002D24DA" w:rsidRPr="002D24DA">
          <w:rPr>
            <w:rFonts w:cs="David" w:hint="eastAsia"/>
            <w:color w:val="0000FF"/>
            <w:sz w:val="24"/>
            <w:szCs w:val="24"/>
            <w:u w:val="single"/>
            <w:rtl/>
          </w:rPr>
          <w:t>פקודת</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הסמים</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המסוכנים</w:t>
        </w:r>
      </w:hyperlink>
      <w:r>
        <w:rPr>
          <w:rFonts w:cs="David"/>
          <w:sz w:val="24"/>
          <w:szCs w:val="24"/>
          <w:rtl/>
        </w:rPr>
        <w:t xml:space="preserve"> [נוסח חדש], התשל"ג-1973.</w:t>
      </w:r>
    </w:p>
    <w:p w14:paraId="7D25BD85" w14:textId="77777777" w:rsidR="009E648E" w:rsidRDefault="009E648E" w:rsidP="009E648E">
      <w:pPr>
        <w:pStyle w:val="15"/>
        <w:ind w:left="509" w:firstLine="0"/>
        <w:rPr>
          <w:rFonts w:cs="David"/>
          <w:sz w:val="24"/>
          <w:szCs w:val="24"/>
        </w:rPr>
      </w:pPr>
      <w:bookmarkStart w:id="7" w:name="ABSTRACT_END"/>
      <w:bookmarkEnd w:id="7"/>
      <w:r>
        <w:rPr>
          <w:rFonts w:cs="David"/>
          <w:sz w:val="24"/>
          <w:szCs w:val="24"/>
          <w:rtl/>
        </w:rPr>
        <w:t xml:space="preserve">הודאת הנאשם ניתנה, כאמור, בעקבות הסדר טיעון, שהתייחס לתיקון כתב האישום ולא התייחס כלל לעניין העונש. כמו כן, בהסכמת הצדדים הופנה הנאשם אל שירות המבחן לקבלת תסקיר. </w:t>
      </w:r>
    </w:p>
    <w:p w14:paraId="2BE480AB" w14:textId="77777777" w:rsidR="009E648E" w:rsidRDefault="009E648E" w:rsidP="009E648E">
      <w:pPr>
        <w:pStyle w:val="15"/>
        <w:ind w:left="509" w:firstLine="0"/>
        <w:rPr>
          <w:rFonts w:cs="David"/>
          <w:sz w:val="24"/>
          <w:szCs w:val="24"/>
        </w:rPr>
      </w:pPr>
      <w:r>
        <w:rPr>
          <w:rFonts w:cs="David"/>
          <w:sz w:val="24"/>
          <w:szCs w:val="24"/>
          <w:rtl/>
        </w:rPr>
        <w:t>כאן המקום לציין כי בדיון שנערך ביום 14.10.18, מיד לאחר הצגת הסדר הטיעון והודאת הנאשם, התגלעה בין הצדדים מחלוקת בשאלת ההכרזה על הנאשם כסוחר סמים (להלן גם: "</w:t>
      </w:r>
      <w:r>
        <w:rPr>
          <w:rFonts w:cs="David"/>
          <w:b/>
          <w:bCs/>
          <w:sz w:val="24"/>
          <w:szCs w:val="24"/>
          <w:rtl/>
        </w:rPr>
        <w:t>ההכרזה</w:t>
      </w:r>
      <w:r>
        <w:rPr>
          <w:rFonts w:cs="David"/>
          <w:sz w:val="24"/>
          <w:szCs w:val="24"/>
          <w:rtl/>
        </w:rPr>
        <w:t xml:space="preserve">"). ב"כ המאשימה, עו"ד צחי יונגר, טען כי ההכרזה אינהרנטית להודאה ולכתב האישום וביקש "שההכרזה תהיה היום"; ואילו ב"כ הנאשם, עו"ד בועז קניג, התנגד להכרזה על הנאשם כסוחר סמים וביקש שבית המשפט יכריע בשאלה זו בשלב שלאחר הכרעת הדין. </w:t>
      </w:r>
    </w:p>
    <w:p w14:paraId="7828E294" w14:textId="77777777" w:rsidR="009E648E" w:rsidRDefault="009E648E" w:rsidP="009E648E">
      <w:pPr>
        <w:pStyle w:val="15"/>
        <w:ind w:left="509" w:firstLine="0"/>
        <w:rPr>
          <w:rFonts w:cs="David"/>
          <w:sz w:val="24"/>
          <w:szCs w:val="24"/>
          <w:rtl/>
        </w:rPr>
      </w:pPr>
      <w:r>
        <w:rPr>
          <w:rFonts w:cs="David"/>
          <w:sz w:val="24"/>
          <w:szCs w:val="24"/>
          <w:rtl/>
        </w:rPr>
        <w:lastRenderedPageBreak/>
        <w:t xml:space="preserve">באותו דיון ניתנה הכרעת דין והנאשם הורשע על פי הודאתו, כאמור; כמו כן, הוריתי לצדדים להגיש טיעונים בכתב ביחס לשאלת ההכרזה, והצדדים אכן הגישו את טיעוניהם במועדים שנקבעו. </w:t>
      </w:r>
    </w:p>
    <w:p w14:paraId="53894C63" w14:textId="77777777" w:rsidR="009E648E" w:rsidRDefault="009E648E" w:rsidP="009E648E">
      <w:pPr>
        <w:pStyle w:val="15"/>
        <w:ind w:left="509" w:firstLine="0"/>
        <w:rPr>
          <w:rFonts w:cs="David"/>
          <w:sz w:val="24"/>
          <w:szCs w:val="24"/>
          <w:rtl/>
        </w:rPr>
      </w:pPr>
      <w:r>
        <w:rPr>
          <w:rFonts w:cs="David"/>
          <w:sz w:val="24"/>
          <w:szCs w:val="24"/>
          <w:rtl/>
        </w:rPr>
        <w:t xml:space="preserve">לאחר דין ודברים בין הצדדים שנמשך מספר חודשים ולאחר בקשות דחיה אחדות שהוגשו בהסכמה, הושגה </w:t>
      </w:r>
      <w:r>
        <w:rPr>
          <w:rFonts w:cs="David"/>
          <w:b/>
          <w:bCs/>
          <w:sz w:val="24"/>
          <w:szCs w:val="24"/>
          <w:rtl/>
        </w:rPr>
        <w:t>הסכמה</w:t>
      </w:r>
      <w:r>
        <w:rPr>
          <w:rFonts w:cs="David"/>
          <w:sz w:val="24"/>
          <w:szCs w:val="24"/>
          <w:rtl/>
        </w:rPr>
        <w:t xml:space="preserve"> בין הצדדים "על אי הכרזת הנאשם כסוחר סמים, בהתאם לתנאים הבאים: א. מתוך סך של 55,650 ₪ אשר הועבר ביום 24.4.18 לחשבון קרן החילוט (סמים), יחולט סך של 45,000 ₪... ב. יתר הסכום, דהיינו סך של 10,650 ₪ יועברו לחשבונו של הח"מ [ב"כ הנאשם] כפי שמופיע במערכת 'נט המשפט'. ג. כמו כן, יחולט רכבו של הנאשם, מסוג אופל, אשר נתפס ע"י המאשימה. ד. נייד מסוג </w:t>
      </w:r>
      <w:r>
        <w:rPr>
          <w:rFonts w:cs="David"/>
          <w:sz w:val="24"/>
          <w:szCs w:val="24"/>
        </w:rPr>
        <w:t>I-PHONE</w:t>
      </w:r>
      <w:r>
        <w:rPr>
          <w:rFonts w:cs="David"/>
          <w:sz w:val="24"/>
          <w:szCs w:val="24"/>
          <w:rtl/>
        </w:rPr>
        <w:t xml:space="preserve"> אשר נתפס ע"י המאשימה יוחזר לנאשם" (ראו ההודעה המוסכמת של ב"כ הצדדים מיום 8.5.19). </w:t>
      </w:r>
    </w:p>
    <w:p w14:paraId="55445F49" w14:textId="77777777" w:rsidR="009E648E" w:rsidRDefault="009E648E" w:rsidP="009E648E">
      <w:pPr>
        <w:pStyle w:val="15"/>
        <w:ind w:left="509" w:firstLine="0"/>
        <w:rPr>
          <w:rFonts w:cs="David"/>
          <w:sz w:val="24"/>
          <w:szCs w:val="24"/>
          <w:rtl/>
        </w:rPr>
      </w:pPr>
      <w:r>
        <w:rPr>
          <w:rFonts w:cs="David"/>
          <w:sz w:val="24"/>
          <w:szCs w:val="24"/>
          <w:rtl/>
        </w:rPr>
        <w:t xml:space="preserve">בדיון שנערך ביום 12.5.19 ניתן תוקף של החלטה להסכמות דלעיל שאליהן הגיעו באי כוח הצדדים, בדבר אי ההכרזה על הנאשם כסוחר סמים ובעניין החילוט החלקי. </w:t>
      </w:r>
    </w:p>
    <w:p w14:paraId="3B084DE2" w14:textId="77777777" w:rsidR="009E648E" w:rsidRDefault="009E648E" w:rsidP="009E648E">
      <w:pPr>
        <w:spacing w:before="240"/>
        <w:ind w:left="74" w:firstLine="16"/>
        <w:rPr>
          <w:rFonts w:ascii="David" w:hAnsi="David"/>
          <w:b/>
          <w:bCs/>
          <w:u w:val="single"/>
          <w:rtl/>
        </w:rPr>
      </w:pPr>
      <w:r>
        <w:rPr>
          <w:rFonts w:ascii="David" w:hAnsi="David"/>
          <w:b/>
          <w:bCs/>
          <w:u w:val="single"/>
          <w:rtl/>
        </w:rPr>
        <w:t>עובדות כתב האישום המתוקן</w:t>
      </w:r>
    </w:p>
    <w:p w14:paraId="48A0B330" w14:textId="77777777" w:rsidR="009E648E" w:rsidRDefault="009E648E" w:rsidP="009E648E">
      <w:pPr>
        <w:pStyle w:val="15"/>
        <w:numPr>
          <w:ilvl w:val="0"/>
          <w:numId w:val="1"/>
        </w:numPr>
        <w:ind w:left="509" w:right="0" w:hanging="425"/>
        <w:rPr>
          <w:rFonts w:cs="David"/>
          <w:sz w:val="24"/>
          <w:szCs w:val="24"/>
          <w:rtl/>
        </w:rPr>
      </w:pPr>
      <w:r>
        <w:rPr>
          <w:rFonts w:cs="David"/>
          <w:sz w:val="24"/>
          <w:szCs w:val="24"/>
          <w:rtl/>
        </w:rPr>
        <w:t xml:space="preserve">על פי עובדות כתב האישום המתוקן, בתאריך 28.1.18 בשעה 11:17 או בסמוך לכך, החזיק הנאשם ברכבו, אשר היה אותה עת ברח' אבא אבן בהרצליה, סם מסוכן מסוג קוקאין, במשקל כולל של 3.8477 גרם נטו, המחולק למספר רב של מנות. נוסף על כך נתפס ברכבו של הנאשם סם מסוכן מסוג </w:t>
      </w:r>
      <w:r>
        <w:rPr>
          <w:rFonts w:cs="David"/>
          <w:sz w:val="24"/>
          <w:szCs w:val="24"/>
        </w:rPr>
        <w:t>MDMA</w:t>
      </w:r>
      <w:r>
        <w:rPr>
          <w:rFonts w:cs="David"/>
          <w:sz w:val="24"/>
          <w:szCs w:val="24"/>
          <w:rtl/>
        </w:rPr>
        <w:t xml:space="preserve"> במשקל של 18.2392 גרם נטו, המחולק למנות. </w:t>
      </w:r>
    </w:p>
    <w:p w14:paraId="58071B57" w14:textId="77777777" w:rsidR="009E648E" w:rsidRDefault="009E648E" w:rsidP="009E648E">
      <w:pPr>
        <w:pStyle w:val="15"/>
        <w:ind w:left="509" w:firstLine="0"/>
        <w:rPr>
          <w:rFonts w:cs="David"/>
          <w:sz w:val="24"/>
          <w:szCs w:val="24"/>
        </w:rPr>
      </w:pPr>
      <w:r>
        <w:rPr>
          <w:rFonts w:cs="David"/>
          <w:sz w:val="24"/>
          <w:szCs w:val="24"/>
          <w:rtl/>
        </w:rPr>
        <w:t>באותו יום, בשעה 12:15 או סמוך לכך, בדירה שבה התגורר הנאשם, ברח' חיים לסקוב בהרצליה (להלן: "</w:t>
      </w:r>
      <w:r>
        <w:rPr>
          <w:rFonts w:cs="David"/>
          <w:b/>
          <w:bCs/>
          <w:sz w:val="24"/>
          <w:szCs w:val="24"/>
          <w:rtl/>
        </w:rPr>
        <w:t>הדירה</w:t>
      </w:r>
      <w:r>
        <w:rPr>
          <w:rFonts w:cs="David"/>
          <w:sz w:val="24"/>
          <w:szCs w:val="24"/>
          <w:rtl/>
        </w:rPr>
        <w:t xml:space="preserve">"), החזיק הנאשם סם מסוכן מסוג קוקאין במשקל כולל של 61.7841 גרם נטו. בנוסף נתפס בדירה סם מסוכן מסוג </w:t>
      </w:r>
      <w:r>
        <w:rPr>
          <w:rFonts w:cs="David"/>
          <w:sz w:val="24"/>
          <w:szCs w:val="24"/>
        </w:rPr>
        <w:t>MDMA</w:t>
      </w:r>
      <w:r>
        <w:rPr>
          <w:rFonts w:cs="David"/>
          <w:sz w:val="24"/>
          <w:szCs w:val="24"/>
          <w:rtl/>
        </w:rPr>
        <w:t xml:space="preserve"> במשקל של 125.945 גרם נטו, המחולק למנות, כשעל חמש מהשקיות נמצא רישום של שמות אנשים ותאריכים. כמו כן, נתפס בדירה משקל דיגיטלי בתוך כספת, צמוד למספר שקיות המכילות בנפרד סם מסוכן מסוג קוקאין וסם מסוכן מסוג </w:t>
      </w:r>
      <w:r>
        <w:rPr>
          <w:rFonts w:cs="David"/>
          <w:sz w:val="24"/>
          <w:szCs w:val="24"/>
        </w:rPr>
        <w:t>MDMA</w:t>
      </w:r>
      <w:r>
        <w:rPr>
          <w:rFonts w:cs="David"/>
          <w:sz w:val="24"/>
          <w:szCs w:val="24"/>
          <w:rtl/>
        </w:rPr>
        <w:t xml:space="preserve">. משקל דיגיטלי נוסף נתפס באחד מחדרי הדירה, בתוך תיק העבודה של הנאשם, לצד שקית המכילה גם היא סם מסוכן מסוג </w:t>
      </w:r>
      <w:r>
        <w:rPr>
          <w:rFonts w:cs="David"/>
          <w:sz w:val="24"/>
          <w:szCs w:val="24"/>
        </w:rPr>
        <w:t>MDMA</w:t>
      </w:r>
      <w:r>
        <w:rPr>
          <w:rFonts w:cs="David"/>
          <w:sz w:val="24"/>
          <w:szCs w:val="24"/>
          <w:rtl/>
        </w:rPr>
        <w:t>.</w:t>
      </w:r>
    </w:p>
    <w:p w14:paraId="23B0CFD2" w14:textId="77777777" w:rsidR="009E648E" w:rsidRDefault="009E648E" w:rsidP="009E648E">
      <w:pPr>
        <w:spacing w:before="240"/>
        <w:ind w:left="74" w:firstLine="16"/>
        <w:rPr>
          <w:rFonts w:ascii="David" w:hAnsi="David"/>
          <w:b/>
          <w:bCs/>
          <w:u w:val="single"/>
          <w:rtl/>
        </w:rPr>
      </w:pPr>
      <w:r>
        <w:rPr>
          <w:rFonts w:ascii="David" w:hAnsi="David"/>
          <w:b/>
          <w:bCs/>
          <w:u w:val="single"/>
          <w:rtl/>
        </w:rPr>
        <w:t>תסקיר שירות המבחן</w:t>
      </w:r>
    </w:p>
    <w:p w14:paraId="51215E64" w14:textId="77777777" w:rsidR="009E648E" w:rsidRDefault="009E648E" w:rsidP="009E648E">
      <w:pPr>
        <w:pStyle w:val="1"/>
        <w:numPr>
          <w:ilvl w:val="0"/>
          <w:numId w:val="1"/>
        </w:numPr>
        <w:ind w:left="509" w:right="0" w:hanging="425"/>
        <w:rPr>
          <w:rFonts w:cs="David"/>
          <w:sz w:val="24"/>
          <w:szCs w:val="24"/>
          <w:rtl/>
        </w:rPr>
      </w:pPr>
      <w:r>
        <w:rPr>
          <w:rFonts w:cs="David"/>
          <w:sz w:val="24"/>
          <w:szCs w:val="24"/>
          <w:rtl/>
        </w:rPr>
        <w:t xml:space="preserve">על-פי </w:t>
      </w:r>
      <w:r>
        <w:rPr>
          <w:rFonts w:cs="David"/>
          <w:b/>
          <w:bCs/>
          <w:sz w:val="24"/>
          <w:szCs w:val="24"/>
          <w:rtl/>
        </w:rPr>
        <w:t>תסקיר שירות המבחן מיום 28.2.19</w:t>
      </w:r>
      <w:r>
        <w:rPr>
          <w:rFonts w:cs="David"/>
          <w:sz w:val="24"/>
          <w:szCs w:val="24"/>
          <w:rtl/>
        </w:rPr>
        <w:t xml:space="preserve">, הנאשם הוא כבן 53, אב לשלושה ילדים, נשוי בשנית ומצוי בהליכי גירושים. מזה כ-25 שנים הוא עובד במכירות בתחום הדפוס הדיגיטלי ומזה כשש שנים הוא משמש כסמנכ"ל מכירות של חברת דפוס. הנאשם מסר לשירות המבחן כי הוא סיים 12 שנות לימוד והינו בעל תואר ראשון באומנות ובמוזיקה וכן כי הוא שירת שרות צבאי מלא כקצין בחיל המודיעין. </w:t>
      </w:r>
    </w:p>
    <w:p w14:paraId="082EF786" w14:textId="77777777" w:rsidR="009E648E" w:rsidRDefault="009E648E" w:rsidP="009E648E">
      <w:pPr>
        <w:pStyle w:val="1"/>
        <w:ind w:left="509" w:firstLine="0"/>
        <w:rPr>
          <w:rFonts w:cs="David"/>
          <w:sz w:val="24"/>
          <w:szCs w:val="24"/>
        </w:rPr>
      </w:pPr>
      <w:r>
        <w:rPr>
          <w:rFonts w:cs="David"/>
          <w:sz w:val="24"/>
          <w:szCs w:val="24"/>
          <w:rtl/>
        </w:rPr>
        <w:lastRenderedPageBreak/>
        <w:t xml:space="preserve">צוין שהנאשם סובל מקרע בגיד הגורם לו כאבים בכתף ומקשה על תפקודו וכי הוא עתיד לעבור ניתוח בעוד מספר חודשים. הנאשם מסר לשירות המבחן כי על רקע מצב זה הוא חש חרדה ודכאון והחל מחודש יולי 2018 הוא נמצא במעקב ונוטל טיפול פסיכיאטרי. </w:t>
      </w:r>
    </w:p>
    <w:p w14:paraId="0CDA9751" w14:textId="77777777" w:rsidR="009E648E" w:rsidRDefault="009E648E" w:rsidP="009E648E">
      <w:pPr>
        <w:pStyle w:val="1"/>
        <w:ind w:left="509" w:firstLine="0"/>
        <w:rPr>
          <w:rFonts w:cs="David"/>
          <w:sz w:val="24"/>
          <w:szCs w:val="24"/>
          <w:rtl/>
        </w:rPr>
      </w:pPr>
      <w:r>
        <w:rPr>
          <w:rFonts w:cs="David"/>
          <w:sz w:val="24"/>
          <w:szCs w:val="24"/>
          <w:rtl/>
        </w:rPr>
        <w:t xml:space="preserve">עוד צוין כי הנאשם נעדר עבר פלילי וכי מדובר במעורבות הראשונה והיחידה של הנאשם בפלילים. </w:t>
      </w:r>
    </w:p>
    <w:p w14:paraId="38EBA46A" w14:textId="77777777" w:rsidR="009E648E" w:rsidRDefault="009E648E" w:rsidP="009E648E">
      <w:pPr>
        <w:pStyle w:val="1"/>
        <w:ind w:left="509" w:firstLine="0"/>
        <w:rPr>
          <w:rFonts w:cs="David"/>
          <w:sz w:val="24"/>
          <w:szCs w:val="24"/>
          <w:rtl/>
        </w:rPr>
      </w:pPr>
      <w:r>
        <w:rPr>
          <w:rFonts w:cs="David"/>
          <w:sz w:val="24"/>
          <w:szCs w:val="24"/>
          <w:rtl/>
        </w:rPr>
        <w:t xml:space="preserve">שירות המבחן הדגיש כי הנאשם מוכר לו מ"חקירת המעצר" שבמהלכה התרשם השירות כי בעקבות המעצר הבין הנאשם את עומק התמכרותו והכיר במחירים האישיים והמשפחתיים שגבה השימוש בסמים. במסגרת צו פיקוח מעצר אשר הוטל על הנאשם בחודש מרץ 2018 והסתיים בחודש נובמבר 2018, הוא שולב ביחידה לטיפול בהתמכרויות בהרצליה. מדיווח של הגורמים הטיפוליים עולה כי בשל אילוצים ועומס במסגרת, נקלט הנאשם לטיפול באוגוסט 2018, ומאז ועד עתה מגיע הנאשם באופן עקבי אחת לשבוע לפגישות פרטניות וכן מוסר בדיקות שתן פעמיים שבוע, הנמצאות נקיות משרידי סמים. </w:t>
      </w:r>
    </w:p>
    <w:p w14:paraId="430F53DE" w14:textId="77777777" w:rsidR="009E648E" w:rsidRDefault="009E648E" w:rsidP="009E648E">
      <w:pPr>
        <w:pStyle w:val="1"/>
        <w:ind w:left="509" w:firstLine="0"/>
        <w:rPr>
          <w:rFonts w:cs="David"/>
          <w:sz w:val="24"/>
          <w:szCs w:val="24"/>
          <w:rtl/>
        </w:rPr>
      </w:pPr>
      <w:r>
        <w:rPr>
          <w:rFonts w:cs="David"/>
          <w:sz w:val="24"/>
          <w:szCs w:val="24"/>
          <w:rtl/>
        </w:rPr>
        <w:t>בפגישות של הנאשם עם שירות המבחן הוא נטל אחריות על התנהגותו ותיאר כי בעת ביצוע העבירה הוא היה נתון בתחושות לחץ ודחק, לנוכח התפרקות מערכת הנישואים הראשונה, לנוכח מצבה הרפואי של בתו וכן לנוכח חוסר יציבות תעסוקתית. לכן עשה הנאשם שימוש בחומרים פסיכו-אקטיביים אשר לתפיסתו הקלו על קשייו הרגשיים וסייעו לו לתפיסתו לקיים איכות חיים טובה יותר. צוין כי "</w:t>
      </w:r>
      <w:r>
        <w:rPr>
          <w:rFonts w:cs="David"/>
          <w:b/>
          <w:bCs/>
          <w:sz w:val="24"/>
          <w:szCs w:val="24"/>
          <w:rtl/>
        </w:rPr>
        <w:t>לדבריו, נוכח דפוס שימושו בסמים המתואר, לצורך שימושו העצמי בלבד, חבר לגורמים שוליים ונהג כמתואר בכתב האישום</w:t>
      </w:r>
      <w:r>
        <w:rPr>
          <w:rFonts w:cs="David"/>
          <w:sz w:val="24"/>
          <w:szCs w:val="24"/>
          <w:rtl/>
        </w:rPr>
        <w:t xml:space="preserve">". </w:t>
      </w:r>
    </w:p>
    <w:p w14:paraId="3E1151ED" w14:textId="77777777" w:rsidR="009E648E" w:rsidRDefault="009E648E" w:rsidP="009E648E">
      <w:pPr>
        <w:pStyle w:val="1"/>
        <w:ind w:left="509" w:firstLine="0"/>
        <w:rPr>
          <w:rFonts w:cs="David"/>
          <w:sz w:val="24"/>
          <w:szCs w:val="24"/>
          <w:rtl/>
        </w:rPr>
      </w:pPr>
      <w:r>
        <w:rPr>
          <w:rFonts w:cs="David"/>
          <w:sz w:val="24"/>
          <w:szCs w:val="24"/>
          <w:rtl/>
        </w:rPr>
        <w:t>כ</w:t>
      </w:r>
      <w:r>
        <w:rPr>
          <w:rFonts w:cs="David"/>
          <w:b/>
          <w:bCs/>
          <w:sz w:val="24"/>
          <w:szCs w:val="24"/>
          <w:rtl/>
        </w:rPr>
        <w:t>גורמי סיכון</w:t>
      </w:r>
      <w:r>
        <w:rPr>
          <w:rFonts w:cs="David"/>
          <w:sz w:val="24"/>
          <w:szCs w:val="24"/>
          <w:rtl/>
        </w:rPr>
        <w:t xml:space="preserve"> ציין שירות המבחן את חומרת התנהגותו של הנאשם בעת ביצוע העבירה, את השימוש שעשה בסמים ואת חוסר היציבות הרגשית, אשר הובילו לדפוס של שימוש בחומרים ממכרים ולהתנהגות המתוארת בכתב האישום. </w:t>
      </w:r>
    </w:p>
    <w:p w14:paraId="3980C89D" w14:textId="77777777" w:rsidR="009E648E" w:rsidRDefault="009E648E" w:rsidP="009E648E">
      <w:pPr>
        <w:pStyle w:val="1"/>
        <w:ind w:left="509" w:firstLine="0"/>
        <w:rPr>
          <w:rFonts w:cs="David"/>
          <w:sz w:val="24"/>
          <w:szCs w:val="24"/>
          <w:rtl/>
        </w:rPr>
      </w:pPr>
      <w:r>
        <w:rPr>
          <w:rFonts w:cs="David"/>
          <w:sz w:val="24"/>
          <w:szCs w:val="24"/>
          <w:rtl/>
        </w:rPr>
        <w:t>כ</w:t>
      </w:r>
      <w:r>
        <w:rPr>
          <w:rFonts w:cs="David"/>
          <w:b/>
          <w:bCs/>
          <w:sz w:val="24"/>
          <w:szCs w:val="24"/>
          <w:rtl/>
        </w:rPr>
        <w:t xml:space="preserve">גורמי סיכוי </w:t>
      </w:r>
      <w:r>
        <w:rPr>
          <w:rFonts w:cs="David"/>
          <w:sz w:val="24"/>
          <w:szCs w:val="24"/>
          <w:rtl/>
        </w:rPr>
        <w:t xml:space="preserve">ציין שירות המבחן את נטילת האחריות מצד הנאשם וכן את העובדה כי בעיתוי זה בחייו מביע הנאשם מוטיבציה ורצון לבצע שינוי בדפוסיו הבעייתיים, להיעזר בגורמים הטיפוליים ולהימנע ממעורבות חוזרת בפלילים ומשימוש בחומרים ממכרים. </w:t>
      </w:r>
    </w:p>
    <w:p w14:paraId="1C9D0EDF" w14:textId="77777777" w:rsidR="009E648E" w:rsidRDefault="009E648E" w:rsidP="009E648E">
      <w:pPr>
        <w:pStyle w:val="1"/>
        <w:ind w:left="509" w:firstLine="0"/>
        <w:rPr>
          <w:rFonts w:cs="David"/>
          <w:sz w:val="24"/>
          <w:szCs w:val="24"/>
          <w:rtl/>
        </w:rPr>
      </w:pPr>
      <w:r>
        <w:rPr>
          <w:rFonts w:cs="David"/>
          <w:sz w:val="24"/>
          <w:szCs w:val="24"/>
          <w:rtl/>
        </w:rPr>
        <w:t>שירות המבחן העריך כי "</w:t>
      </w:r>
      <w:r>
        <w:rPr>
          <w:rFonts w:cs="David"/>
          <w:b/>
          <w:bCs/>
          <w:sz w:val="24"/>
          <w:szCs w:val="24"/>
          <w:rtl/>
        </w:rPr>
        <w:t>במכלול הפרמטרים שנבחנו, אנו מתרשמים כי יש בהשתלבותו בטיפול בתחום ההתמכרויות, כדי להפחית הסיכון להישנות התנהגות דומה</w:t>
      </w:r>
      <w:r>
        <w:rPr>
          <w:rFonts w:cs="David"/>
          <w:sz w:val="24"/>
          <w:szCs w:val="24"/>
          <w:rtl/>
        </w:rPr>
        <w:t xml:space="preserve">". </w:t>
      </w:r>
    </w:p>
    <w:p w14:paraId="505040B3" w14:textId="77777777" w:rsidR="009E648E" w:rsidRDefault="009E648E" w:rsidP="009E648E">
      <w:pPr>
        <w:pStyle w:val="1"/>
        <w:ind w:left="509" w:firstLine="0"/>
        <w:rPr>
          <w:rFonts w:cs="David"/>
          <w:sz w:val="24"/>
          <w:szCs w:val="24"/>
          <w:rtl/>
        </w:rPr>
      </w:pPr>
      <w:r>
        <w:rPr>
          <w:rFonts w:cs="David"/>
          <w:b/>
          <w:bCs/>
          <w:sz w:val="24"/>
          <w:szCs w:val="24"/>
          <w:rtl/>
        </w:rPr>
        <w:t>לסיכום</w:t>
      </w:r>
      <w:r>
        <w:rPr>
          <w:rFonts w:cs="David"/>
          <w:sz w:val="24"/>
          <w:szCs w:val="24"/>
          <w:rtl/>
        </w:rPr>
        <w:t>, שירות המבחן המליץ כדלהלן: "</w:t>
      </w:r>
      <w:r>
        <w:rPr>
          <w:rFonts w:cs="David"/>
          <w:b/>
          <w:bCs/>
          <w:sz w:val="24"/>
          <w:szCs w:val="24"/>
          <w:rtl/>
        </w:rPr>
        <w:t>אנו ערים לחומרת העבירה המיוחסת לאליאב, יחד עם זאת, העובדה כי מדובר במעורבות ראשונה ויחידה עם החוק וכן לאור היכרותנו עמו והתרשמותנו מהיענותו וממחויבותו לקשר עם שירותנו, כמו גם התרשמותם של גורמי הטיפול ב'יחידה לטיפול בהתמכרויות' בהרצליה, אנו רואים חשיבות לאפשר לו להמשיך בהליך הטיפולי, אשר מסייע לו לרכוש כלים לזיהוי מצבי סיכון וכן להימנע מפעילות שולית נוספת, כאשר מעורבות שירותנו כגורם סמכותי-טיפולי מציב גבול מהווה עבורו גורם מדרבן לכך. נוכח הערכתנו, כי טיפול ייעודי בתחום ההתמכרויות כמתואר, עשוי לסייע לו ולהפחית הסיכון במצבו, אנו ממליצים להעדיף במקרה זה את הפן השיקומי טיפולי ולהטיל עליו צו מבחן למשך שנה. בנוסף ולאור חומרת המיוחס לו, אנו ממליצים להטיל עליו ענישה קונקרטית ומוחשית בדרך של מאסר שירוצה בעבודות שירות, שכן מדובר בענישה אשר מחד תבהיר ותחדד לו חומרת מעשיו והשלכותיהם ומאידך תאפשר לו המשך ההליך השיקומי בו מצוי מזה למעלה מחצי שנה</w:t>
      </w:r>
      <w:r>
        <w:rPr>
          <w:rFonts w:cs="David"/>
          <w:sz w:val="24"/>
          <w:szCs w:val="24"/>
          <w:rtl/>
        </w:rPr>
        <w:t>".</w:t>
      </w:r>
    </w:p>
    <w:p w14:paraId="31CEFC01" w14:textId="77777777" w:rsidR="009E648E" w:rsidRDefault="009E648E" w:rsidP="009E648E">
      <w:pPr>
        <w:pStyle w:val="1"/>
        <w:numPr>
          <w:ilvl w:val="0"/>
          <w:numId w:val="1"/>
        </w:numPr>
        <w:ind w:left="509" w:right="0" w:hanging="425"/>
        <w:rPr>
          <w:rFonts w:cs="David"/>
          <w:sz w:val="24"/>
          <w:szCs w:val="24"/>
          <w:rtl/>
        </w:rPr>
      </w:pPr>
      <w:r>
        <w:rPr>
          <w:rFonts w:cs="David"/>
          <w:sz w:val="24"/>
          <w:szCs w:val="24"/>
          <w:rtl/>
        </w:rPr>
        <w:t xml:space="preserve">בקשר לאמירתו של הנאשם לשירות המבחן כי הסמים נועדו לצריכה עצמית בלבד – אמירה אשר (לפחות על פני הדברים) עומדת בסתירה להודאתו בביצוע העבירה של החזקת סמים שלא לצריכה עצמית – ציין עו"ד כהן ממשרדו של עו"ד קניג, בדיון שנערך ביום 12.5.19, כי: "בעקבות הערות ביהמ"ש, ולאחר ששוחחתי טלפונית עם עו"ד בועז קניג, אני מבקש להשיב לביהמ"ש כי אנו חוזרים בנו מהטענה שעלתה אצל שרות המבחן שהסמים נועדו לצריכה עצמית. הנאשם עבר דרך ועובר דרך". נוסף על האמור, התבקש שירות המבחן, לבקשת ב"כ הנאשם ובהסכמת ב"כ המאשימה, לערוך תסקיר משלים. אלא שבדיון התזכורת שהתקיים ביום 28.5.19 חזר בו ב"כ הנאשם מבקשתו לקבל תסקיר משלים משירות המבחן. </w:t>
      </w:r>
    </w:p>
    <w:p w14:paraId="6CA67832" w14:textId="77777777" w:rsidR="009E648E" w:rsidRDefault="009E648E" w:rsidP="009E648E">
      <w:pPr>
        <w:spacing w:before="240"/>
        <w:ind w:left="74" w:firstLine="16"/>
        <w:rPr>
          <w:rFonts w:ascii="David" w:hAnsi="David"/>
          <w:b/>
          <w:bCs/>
          <w:u w:val="single"/>
          <w:rtl/>
        </w:rPr>
      </w:pPr>
      <w:r>
        <w:rPr>
          <w:rFonts w:ascii="David" w:hAnsi="David"/>
          <w:b/>
          <w:bCs/>
          <w:u w:val="single"/>
          <w:rtl/>
        </w:rPr>
        <w:t xml:space="preserve">חוות דעת הממונה על עבודות </w:t>
      </w:r>
      <w:r>
        <w:rPr>
          <w:rFonts w:ascii="David" w:hAnsi="David" w:hint="cs"/>
          <w:b/>
          <w:bCs/>
          <w:u w:val="single"/>
          <w:rtl/>
        </w:rPr>
        <w:t>ה</w:t>
      </w:r>
      <w:r>
        <w:rPr>
          <w:rFonts w:ascii="David" w:hAnsi="David"/>
          <w:b/>
          <w:bCs/>
          <w:u w:val="single"/>
          <w:rtl/>
        </w:rPr>
        <w:t>שירות</w:t>
      </w:r>
    </w:p>
    <w:p w14:paraId="495DFB18" w14:textId="77777777" w:rsidR="009E648E" w:rsidRDefault="009E648E" w:rsidP="009E648E">
      <w:pPr>
        <w:pStyle w:val="1"/>
        <w:numPr>
          <w:ilvl w:val="0"/>
          <w:numId w:val="1"/>
        </w:numPr>
        <w:ind w:left="509" w:right="0" w:hanging="425"/>
        <w:rPr>
          <w:rFonts w:cs="David"/>
          <w:sz w:val="24"/>
          <w:szCs w:val="24"/>
          <w:rtl/>
        </w:rPr>
      </w:pPr>
      <w:r>
        <w:rPr>
          <w:rFonts w:cs="David"/>
          <w:sz w:val="24"/>
          <w:szCs w:val="24"/>
          <w:rtl/>
        </w:rPr>
        <w:t xml:space="preserve">לאחר שמיעת טיעוני הצדדים לעונש ביום 16.7.19, ולנוכח עתירתו של ב"כ הנאשם, התבקש הממונה על עבודות השירות ליתן חוות דעתו בעניינו של הנאשם, וזאת "בטרם גיבשתי את עמדתי ומבלי לפתח ציפיות בנאשם, כדי לנצל את זמן הפגרה". </w:t>
      </w:r>
    </w:p>
    <w:p w14:paraId="357694F9" w14:textId="77777777" w:rsidR="009E648E" w:rsidRDefault="009E648E" w:rsidP="009E648E">
      <w:pPr>
        <w:pStyle w:val="1"/>
        <w:ind w:left="509" w:firstLine="0"/>
        <w:rPr>
          <w:rFonts w:cs="David"/>
          <w:sz w:val="24"/>
          <w:szCs w:val="24"/>
        </w:rPr>
      </w:pPr>
      <w:r>
        <w:rPr>
          <w:rFonts w:cs="David"/>
          <w:sz w:val="24"/>
          <w:szCs w:val="24"/>
          <w:rtl/>
        </w:rPr>
        <w:t xml:space="preserve">חוות הדעת של הממונה על עבודות שירות שהוגשה לבית המשפט ביום 20.8.19 היא חיובית. </w:t>
      </w:r>
    </w:p>
    <w:p w14:paraId="213DD25A" w14:textId="77777777" w:rsidR="009E648E" w:rsidRDefault="009E648E" w:rsidP="009E648E">
      <w:pPr>
        <w:spacing w:before="240"/>
        <w:ind w:left="74" w:firstLine="16"/>
        <w:rPr>
          <w:rFonts w:ascii="David" w:hAnsi="David"/>
          <w:b/>
          <w:bCs/>
          <w:u w:val="single"/>
        </w:rPr>
      </w:pPr>
      <w:r>
        <w:rPr>
          <w:rFonts w:ascii="David" w:hAnsi="David"/>
          <w:b/>
          <w:bCs/>
          <w:u w:val="single"/>
          <w:rtl/>
        </w:rPr>
        <w:t>ראיות הצדדים לעונש</w:t>
      </w:r>
    </w:p>
    <w:p w14:paraId="5BBB7B85" w14:textId="77777777" w:rsidR="009E648E" w:rsidRDefault="009E648E" w:rsidP="009E648E">
      <w:pPr>
        <w:pStyle w:val="1"/>
        <w:numPr>
          <w:ilvl w:val="0"/>
          <w:numId w:val="1"/>
        </w:numPr>
        <w:ind w:left="509" w:right="0" w:hanging="425"/>
        <w:rPr>
          <w:rFonts w:cs="David"/>
          <w:sz w:val="24"/>
          <w:szCs w:val="24"/>
        </w:rPr>
      </w:pPr>
      <w:r>
        <w:rPr>
          <w:rFonts w:cs="David"/>
          <w:sz w:val="24"/>
          <w:szCs w:val="24"/>
          <w:rtl/>
        </w:rPr>
        <w:t xml:space="preserve">מטעם ההגנה העידו ארבעה עדים: מעסיק של הנאשם, אחיו של הנאשם, מפקדו בצבא, ואחותו של הנאשם. </w:t>
      </w:r>
    </w:p>
    <w:p w14:paraId="427E7954" w14:textId="77777777" w:rsidR="009E648E" w:rsidRDefault="009E648E" w:rsidP="009E648E">
      <w:pPr>
        <w:pStyle w:val="1"/>
        <w:ind w:left="509" w:firstLine="0"/>
        <w:rPr>
          <w:rFonts w:cs="David"/>
          <w:sz w:val="24"/>
          <w:szCs w:val="24"/>
        </w:rPr>
      </w:pPr>
      <w:r>
        <w:rPr>
          <w:rFonts w:cs="David"/>
          <w:sz w:val="24"/>
          <w:szCs w:val="24"/>
          <w:rtl/>
        </w:rPr>
        <w:t xml:space="preserve">מעסיקו של הנאשם, מר משה נור, מסר כי הוא מכיר את הנאשם במשך כ-25 שנים וכי הנאשם נחשב בעיניו כאדם אמין, נאמן וכשרוני מאד. הוא תיאר את פועלו של הנאשם בארץ ובחו"ל ואת תרומתו לחברות שעבורן הוא עובד. בחקירתו הנגדית, הבהיר העד שמתוך העניין המקצועי נוצר גם קשר חברי עם הנאשם, אולם הוא אינו נוהג לצאת לבלות עם הנאשם. </w:t>
      </w:r>
    </w:p>
    <w:p w14:paraId="09016775" w14:textId="77777777" w:rsidR="009E648E" w:rsidRDefault="009E648E" w:rsidP="009E648E">
      <w:pPr>
        <w:pStyle w:val="1"/>
        <w:ind w:left="509" w:firstLine="0"/>
        <w:rPr>
          <w:rFonts w:cs="David"/>
          <w:sz w:val="24"/>
          <w:szCs w:val="24"/>
          <w:rtl/>
        </w:rPr>
      </w:pPr>
      <w:r>
        <w:rPr>
          <w:rFonts w:cs="David"/>
          <w:sz w:val="24"/>
          <w:szCs w:val="24"/>
          <w:rtl/>
        </w:rPr>
        <w:t xml:space="preserve">אחיו של הנאשם, מר איתן רוס פריאל, מסר כי הוא מנהל מקצועי של מחלקת העיניים במכון מור. הוא ציין כי הנאשם טיפל בעניינים שקשורים ללוגיסטיקה ולבריאותה של אמם. לדברי העד, כשמונה חודשים לפני מעצרו של הנאשם, החלו בני המשפחה לשים לב לשינויים קיצוניים באורחות חייו, ומעצרו של הנאשם היה מכה משפחתית ואישית קשה. העד הוסיף כי: "בשנה מאז שהוא השתחרר, אנחנו כמשפחה תומכים, עוזרים ועוברים איתו את תהליך השיקום... וכשהיה במעצר בית ראיתי אותו כל יום... אנחנו כולנו כאבנו את האירוע ומקווים שאנחנו מקבלים חזרה אחרי הטראומה הזאת אח בריא וחזק וחיובי. אנחנו בתהליך חיובי מאד. אני עומד פה קצת נבוך אבל הבקשה הגדולה שלי היא לאפשר לאליאב להמשיך את תהליך השיקום בחזרה לחיים אזרחיים למופת... אני מקווה ומאמין שאנחנו בחיים לא נחזור לכאן ואני מבקש את עזרת ביהמ"ש להגשים את זה". </w:t>
      </w:r>
    </w:p>
    <w:p w14:paraId="15EAA21D" w14:textId="77777777" w:rsidR="009E648E" w:rsidRDefault="009E648E" w:rsidP="009E648E">
      <w:pPr>
        <w:pStyle w:val="1"/>
        <w:ind w:left="509" w:firstLine="0"/>
        <w:rPr>
          <w:rFonts w:cs="David"/>
          <w:sz w:val="24"/>
          <w:szCs w:val="24"/>
          <w:rtl/>
        </w:rPr>
      </w:pPr>
      <w:r>
        <w:rPr>
          <w:rFonts w:cs="David"/>
          <w:sz w:val="24"/>
          <w:szCs w:val="24"/>
          <w:rtl/>
        </w:rPr>
        <w:t xml:space="preserve">מר גבריאל לפלר, שהיה מפקדו של הנאשם, סיפר, בין היתר, על מסירותו של הנאשם בשירותו הסדיר, כמו גם על תפקידו של הנאשם בשירות מילואים כמודיע נפגעים ועל הרצינות ותעצומות הנפש שנדרשו ממנו. בחקירה הנגדית הבהיר העד כי הוא פרש לפני כתשע שנים מהשירות ומטבע הדברים בשנים האחרונות הקשר עם הנאשם התרופף. </w:t>
      </w:r>
    </w:p>
    <w:p w14:paraId="6559E542" w14:textId="77777777" w:rsidR="009E648E" w:rsidRDefault="009E648E" w:rsidP="009E648E">
      <w:pPr>
        <w:pStyle w:val="1"/>
        <w:ind w:left="509" w:firstLine="0"/>
        <w:rPr>
          <w:rFonts w:cs="David"/>
          <w:sz w:val="24"/>
          <w:szCs w:val="24"/>
        </w:rPr>
      </w:pPr>
      <w:r>
        <w:rPr>
          <w:rFonts w:cs="David"/>
          <w:sz w:val="24"/>
          <w:szCs w:val="24"/>
          <w:rtl/>
        </w:rPr>
        <w:t xml:space="preserve">אחותו של הנאשם, גב' שרון פרידמן, הדגישה את הקשר המשפחתי החזק בין האחים ואת העובדה שכל המשפחה התגייסה לסייע לנאשם. היא ציינה כי הנאשם השתקם, וילדיו חזרו לשגרה והתאוששו. בחקירה הנגדית היא הוסיפה כי "בן אדם נופל וקם". </w:t>
      </w:r>
    </w:p>
    <w:p w14:paraId="44BD140E" w14:textId="77777777" w:rsidR="009E648E" w:rsidRDefault="009E648E" w:rsidP="009E648E">
      <w:pPr>
        <w:spacing w:before="240"/>
        <w:ind w:left="74" w:firstLine="16"/>
        <w:rPr>
          <w:rFonts w:ascii="David" w:hAnsi="David"/>
          <w:b/>
          <w:bCs/>
          <w:u w:val="single"/>
          <w:rtl/>
        </w:rPr>
      </w:pPr>
      <w:r>
        <w:rPr>
          <w:rFonts w:ascii="David" w:hAnsi="David"/>
          <w:b/>
          <w:bCs/>
          <w:u w:val="single"/>
          <w:rtl/>
        </w:rPr>
        <w:t>עיקרי טיעוני הצדדים</w:t>
      </w:r>
    </w:p>
    <w:p w14:paraId="24B73953" w14:textId="77777777" w:rsidR="009E648E" w:rsidRDefault="009E648E" w:rsidP="009E648E">
      <w:pPr>
        <w:pStyle w:val="1"/>
        <w:numPr>
          <w:ilvl w:val="0"/>
          <w:numId w:val="1"/>
        </w:numPr>
        <w:ind w:left="509" w:right="0" w:hanging="425"/>
        <w:rPr>
          <w:rFonts w:cs="David"/>
          <w:sz w:val="24"/>
          <w:szCs w:val="24"/>
          <w:rtl/>
        </w:rPr>
      </w:pPr>
      <w:r>
        <w:rPr>
          <w:rFonts w:cs="David"/>
          <w:sz w:val="24"/>
          <w:szCs w:val="24"/>
          <w:rtl/>
        </w:rPr>
        <w:t xml:space="preserve">שני הצדדים השמיעו טיעונים בעל-פה וגם הגישו טיעונים בכתב. </w:t>
      </w:r>
    </w:p>
    <w:p w14:paraId="241EEFA2" w14:textId="77777777" w:rsidR="009E648E" w:rsidRDefault="009E648E" w:rsidP="009E648E">
      <w:pPr>
        <w:pStyle w:val="1"/>
        <w:numPr>
          <w:ilvl w:val="0"/>
          <w:numId w:val="1"/>
        </w:numPr>
        <w:ind w:left="509" w:right="0" w:hanging="425"/>
        <w:rPr>
          <w:rFonts w:cs="David"/>
          <w:sz w:val="24"/>
          <w:szCs w:val="24"/>
        </w:rPr>
      </w:pPr>
      <w:r>
        <w:rPr>
          <w:rFonts w:cs="David"/>
          <w:b/>
          <w:bCs/>
          <w:sz w:val="24"/>
          <w:szCs w:val="24"/>
          <w:rtl/>
        </w:rPr>
        <w:t>ב"כ המאשימה</w:t>
      </w:r>
      <w:r>
        <w:rPr>
          <w:rFonts w:cs="David"/>
          <w:sz w:val="24"/>
          <w:szCs w:val="24"/>
          <w:rtl/>
        </w:rPr>
        <w:t xml:space="preserve"> עמד בטיעוניו על השיקולים התומכים לדעתו בהחמרה בעונשו של הנאשם. </w:t>
      </w:r>
    </w:p>
    <w:p w14:paraId="51DBE275" w14:textId="77777777" w:rsidR="009E648E" w:rsidRDefault="009E648E" w:rsidP="009E648E">
      <w:pPr>
        <w:pStyle w:val="1"/>
        <w:ind w:left="509" w:firstLine="0"/>
        <w:rPr>
          <w:rFonts w:cs="David"/>
          <w:sz w:val="24"/>
          <w:szCs w:val="24"/>
        </w:rPr>
      </w:pPr>
      <w:r>
        <w:rPr>
          <w:rFonts w:cs="David"/>
          <w:sz w:val="24"/>
          <w:szCs w:val="24"/>
          <w:rtl/>
        </w:rPr>
        <w:t xml:space="preserve">ב"כ המאשימה הפנה לעובדות כתב האישום המתוקן וטען כי מעשיו של הנאשם פגעו בערכים המוגנים של הגנה על הציבור, בריאותו, שלומו, וחשיפתו למזיקים באופן ישיר ועקיף, אגב התעסקות בעולם הסמים. </w:t>
      </w:r>
    </w:p>
    <w:p w14:paraId="7B8B7CB7" w14:textId="77777777" w:rsidR="009E648E" w:rsidRDefault="009E648E" w:rsidP="009E648E">
      <w:pPr>
        <w:pStyle w:val="1"/>
        <w:ind w:left="509" w:firstLine="0"/>
        <w:rPr>
          <w:rFonts w:cs="David"/>
          <w:sz w:val="24"/>
          <w:szCs w:val="24"/>
          <w:rtl/>
        </w:rPr>
      </w:pPr>
      <w:r>
        <w:rPr>
          <w:rFonts w:cs="David"/>
          <w:sz w:val="24"/>
          <w:szCs w:val="24"/>
          <w:rtl/>
        </w:rPr>
        <w:t>ב"כ המאשימה הדגיש כי נסיבות ביצוע העבירה – אופן החזקת הסמים, תפיסתם בשני מקומות שונים, סמוך לשקיות שחלקן מסומנות שמית וסמוך למשקלים, כשהם מחולקים למנות – מלמדות על כך "שעבירת החזקת הסם שלא לצריכה עצמית שביצע הנאשם קרובה עד למאד לאחותה עבירת הסחר בסם". בעניין זה הפנה ב"כ המאשימה ל</w:t>
      </w:r>
      <w:hyperlink r:id="rId24"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6277/14</w:t>
        </w:r>
      </w:hyperlink>
      <w:r>
        <w:rPr>
          <w:rFonts w:cs="David"/>
          <w:sz w:val="24"/>
          <w:szCs w:val="24"/>
          <w:rtl/>
        </w:rPr>
        <w:t xml:space="preserve"> </w:t>
      </w:r>
      <w:r>
        <w:rPr>
          <w:rFonts w:cs="David"/>
          <w:b/>
          <w:bCs/>
          <w:sz w:val="24"/>
          <w:szCs w:val="24"/>
          <w:rtl/>
        </w:rPr>
        <w:t xml:space="preserve">משלטי נ' מדינת ישראל </w:t>
      </w:r>
      <w:r>
        <w:rPr>
          <w:rFonts w:cs="David"/>
          <w:sz w:val="24"/>
          <w:szCs w:val="24"/>
          <w:rtl/>
        </w:rPr>
        <w:t>(2.2.2015) (להלן: "</w:t>
      </w:r>
      <w:r>
        <w:rPr>
          <w:rFonts w:cs="David"/>
          <w:b/>
          <w:bCs/>
          <w:sz w:val="24"/>
          <w:szCs w:val="24"/>
          <w:rtl/>
        </w:rPr>
        <w:t>עניין משלטי</w:t>
      </w:r>
      <w:r>
        <w:rPr>
          <w:rFonts w:cs="David"/>
          <w:sz w:val="24"/>
          <w:szCs w:val="24"/>
          <w:rtl/>
        </w:rPr>
        <w:t>") וכן ל</w:t>
      </w:r>
      <w:hyperlink r:id="rId25" w:history="1">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מחוזי</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א</w:t>
        </w:r>
        <w:r w:rsidR="002D24DA" w:rsidRPr="002D24DA">
          <w:rPr>
            <w:rFonts w:cs="David"/>
            <w:color w:val="0000FF"/>
            <w:sz w:val="24"/>
            <w:szCs w:val="24"/>
            <w:u w:val="single"/>
            <w:rtl/>
          </w:rPr>
          <w:t>) 58488-08-18</w:t>
        </w:r>
      </w:hyperlink>
      <w:r>
        <w:rPr>
          <w:rFonts w:cs="David"/>
          <w:sz w:val="24"/>
          <w:szCs w:val="24"/>
          <w:rtl/>
        </w:rPr>
        <w:t xml:space="preserve"> </w:t>
      </w:r>
      <w:r>
        <w:rPr>
          <w:rFonts w:cs="David"/>
          <w:b/>
          <w:bCs/>
          <w:sz w:val="24"/>
          <w:szCs w:val="24"/>
          <w:rtl/>
        </w:rPr>
        <w:t>מדינת ישראל נ' ז'בניה</w:t>
      </w:r>
      <w:r>
        <w:rPr>
          <w:rFonts w:cs="David"/>
          <w:sz w:val="24"/>
          <w:szCs w:val="24"/>
          <w:rtl/>
        </w:rPr>
        <w:t xml:space="preserve"> (16.4.2019) (להלן: "</w:t>
      </w:r>
      <w:r>
        <w:rPr>
          <w:rFonts w:cs="David"/>
          <w:b/>
          <w:bCs/>
          <w:sz w:val="24"/>
          <w:szCs w:val="24"/>
          <w:rtl/>
        </w:rPr>
        <w:t>עניין ז'בניה</w:t>
      </w:r>
      <w:r>
        <w:rPr>
          <w:rFonts w:cs="David"/>
          <w:sz w:val="24"/>
          <w:szCs w:val="24"/>
          <w:rtl/>
        </w:rPr>
        <w:t xml:space="preserve">"). </w:t>
      </w:r>
    </w:p>
    <w:p w14:paraId="313C6CFF" w14:textId="77777777" w:rsidR="009E648E" w:rsidRDefault="009E648E" w:rsidP="009E648E">
      <w:pPr>
        <w:pStyle w:val="1"/>
        <w:ind w:left="509" w:firstLine="0"/>
        <w:rPr>
          <w:rFonts w:cs="David"/>
          <w:sz w:val="24"/>
          <w:szCs w:val="24"/>
          <w:rtl/>
        </w:rPr>
      </w:pPr>
      <w:r>
        <w:rPr>
          <w:rFonts w:cs="David"/>
          <w:sz w:val="24"/>
          <w:szCs w:val="24"/>
          <w:rtl/>
        </w:rPr>
        <w:t xml:space="preserve">לטענת ב"כ המאשימה, </w:t>
      </w:r>
      <w:r>
        <w:rPr>
          <w:rFonts w:cs="David"/>
          <w:b/>
          <w:bCs/>
          <w:sz w:val="24"/>
          <w:szCs w:val="24"/>
          <w:rtl/>
        </w:rPr>
        <w:t>מתחם העונש ההולם בגין העבירה שבה הורשע הנאשם הוא בין</w:t>
      </w:r>
      <w:r>
        <w:rPr>
          <w:rFonts w:cs="David" w:hint="cs"/>
          <w:b/>
          <w:bCs/>
          <w:sz w:val="24"/>
          <w:szCs w:val="24"/>
          <w:rtl/>
        </w:rPr>
        <w:t xml:space="preserve">     </w:t>
      </w:r>
      <w:r>
        <w:rPr>
          <w:rFonts w:cs="David"/>
          <w:b/>
          <w:bCs/>
          <w:sz w:val="24"/>
          <w:szCs w:val="24"/>
          <w:rtl/>
        </w:rPr>
        <w:t xml:space="preserve"> 5.5-3.5 שנות מאסר, </w:t>
      </w:r>
      <w:r>
        <w:rPr>
          <w:rFonts w:cs="David"/>
          <w:sz w:val="24"/>
          <w:szCs w:val="24"/>
          <w:rtl/>
        </w:rPr>
        <w:t xml:space="preserve">בשים לב לכך שהנאשם החזיק גם בסם מסוג קוקאין וגם בסם מסוג </w:t>
      </w:r>
      <w:r>
        <w:rPr>
          <w:rFonts w:cs="David"/>
          <w:sz w:val="24"/>
          <w:szCs w:val="24"/>
        </w:rPr>
        <w:t>MDMA</w:t>
      </w:r>
      <w:r>
        <w:rPr>
          <w:rFonts w:cs="David"/>
          <w:sz w:val="24"/>
          <w:szCs w:val="24"/>
          <w:rtl/>
        </w:rPr>
        <w:t xml:space="preserve">. ב"כ המאשימה הטעים שהפסיקה שאליה הוא הפנה מתייחסת למתחם של 5-3 שנות מאסר בגין החזקה של קוקאין או הרואין בלבד. יצוין כבר כאן כי הפסיקה שאליה הפנה בנקודה זו ב"כ המאשימה בטיעוניו בכתב הינה: </w:t>
      </w:r>
      <w:r>
        <w:rPr>
          <w:rFonts w:cs="David"/>
          <w:b/>
          <w:bCs/>
          <w:sz w:val="24"/>
          <w:szCs w:val="24"/>
          <w:rtl/>
        </w:rPr>
        <w:t>עניין משלטי</w:t>
      </w:r>
      <w:r>
        <w:rPr>
          <w:rFonts w:cs="David"/>
          <w:sz w:val="24"/>
          <w:szCs w:val="24"/>
          <w:rtl/>
        </w:rPr>
        <w:t xml:space="preserve"> ו</w:t>
      </w:r>
      <w:hyperlink r:id="rId26"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8820/14</w:t>
        </w:r>
      </w:hyperlink>
      <w:r>
        <w:rPr>
          <w:rFonts w:cs="David"/>
          <w:sz w:val="24"/>
          <w:szCs w:val="24"/>
          <w:rtl/>
        </w:rPr>
        <w:t xml:space="preserve"> </w:t>
      </w:r>
      <w:r>
        <w:rPr>
          <w:rFonts w:cs="David"/>
          <w:b/>
          <w:bCs/>
          <w:sz w:val="24"/>
          <w:szCs w:val="24"/>
          <w:rtl/>
        </w:rPr>
        <w:t xml:space="preserve">שחר נ' מדינת ישראל </w:t>
      </w:r>
      <w:r>
        <w:rPr>
          <w:rFonts w:cs="David"/>
          <w:sz w:val="24"/>
          <w:szCs w:val="24"/>
          <w:rtl/>
        </w:rPr>
        <w:t>(17.5.2015) (להלן: "</w:t>
      </w:r>
      <w:r>
        <w:rPr>
          <w:rFonts w:cs="David"/>
          <w:b/>
          <w:bCs/>
          <w:sz w:val="24"/>
          <w:szCs w:val="24"/>
          <w:rtl/>
        </w:rPr>
        <w:t>עניין שחר</w:t>
      </w:r>
      <w:r>
        <w:rPr>
          <w:rFonts w:cs="David"/>
          <w:sz w:val="24"/>
          <w:szCs w:val="24"/>
          <w:rtl/>
        </w:rPr>
        <w:t xml:space="preserve">"). </w:t>
      </w:r>
    </w:p>
    <w:p w14:paraId="762E377E" w14:textId="77777777" w:rsidR="009E648E" w:rsidRDefault="009E648E" w:rsidP="009E648E">
      <w:pPr>
        <w:pStyle w:val="1"/>
        <w:ind w:left="509" w:firstLine="0"/>
        <w:rPr>
          <w:rFonts w:cs="David"/>
          <w:sz w:val="24"/>
          <w:szCs w:val="24"/>
          <w:rtl/>
        </w:rPr>
      </w:pPr>
      <w:r>
        <w:rPr>
          <w:rFonts w:cs="David"/>
          <w:sz w:val="24"/>
          <w:szCs w:val="24"/>
          <w:rtl/>
        </w:rPr>
        <w:t>לעמדת המאשימה</w:t>
      </w:r>
      <w:r>
        <w:rPr>
          <w:rFonts w:cs="David"/>
          <w:b/>
          <w:bCs/>
          <w:sz w:val="24"/>
          <w:szCs w:val="24"/>
          <w:rtl/>
        </w:rPr>
        <w:t>,</w:t>
      </w:r>
      <w:r>
        <w:rPr>
          <w:rFonts w:cs="David"/>
          <w:sz w:val="24"/>
          <w:szCs w:val="24"/>
          <w:rtl/>
        </w:rPr>
        <w:t xml:space="preserve"> </w:t>
      </w:r>
      <w:r>
        <w:rPr>
          <w:rFonts w:cs="David"/>
          <w:b/>
          <w:bCs/>
          <w:sz w:val="24"/>
          <w:szCs w:val="24"/>
          <w:rtl/>
        </w:rPr>
        <w:t>יש למקם את עונשו של הנאשם בשליש התחתון של המתחם</w:t>
      </w:r>
      <w:r>
        <w:rPr>
          <w:rFonts w:cs="David"/>
          <w:sz w:val="24"/>
          <w:szCs w:val="24"/>
          <w:rtl/>
        </w:rPr>
        <w:t>, וזאת בשל הודאתו של הנאשם ונטילת האחריות מצדו.</w:t>
      </w:r>
    </w:p>
    <w:p w14:paraId="6613DA34" w14:textId="77777777" w:rsidR="009E648E" w:rsidRDefault="009E648E" w:rsidP="009E648E">
      <w:pPr>
        <w:pStyle w:val="1"/>
        <w:ind w:left="509" w:firstLine="0"/>
        <w:rPr>
          <w:rFonts w:cs="David"/>
          <w:sz w:val="24"/>
          <w:szCs w:val="24"/>
          <w:rtl/>
        </w:rPr>
      </w:pPr>
      <w:r>
        <w:rPr>
          <w:rFonts w:cs="David"/>
          <w:sz w:val="24"/>
          <w:szCs w:val="24"/>
          <w:rtl/>
        </w:rPr>
        <w:t xml:space="preserve">בנוגע לתסקיר שירות המבחן, ציין ב"כ המאשימה כי הנאשם טען טענה עובדתית הסותרת באופן חזיתי את הודאתו (ראו פסקה 4 לעיל), ולפיכך מדובר בנאשם אשר לא הפנים עד תום את המעשים שעליהם הוא נותן את הדין. עוד טען ב"כ המאשימה כי התקלה שאותה יצר הנאשם בפני שירות המבחן השפיעה רבות על המלצת שירות המבחן, וכי לא היתה אפשרות לברר את הסוגיה הזו עד תום מאחר שההגנה חזרה בה מבקשתה לתסקיר משלים. </w:t>
      </w:r>
    </w:p>
    <w:p w14:paraId="22A6D96E" w14:textId="77777777" w:rsidR="009E648E" w:rsidRDefault="009E648E" w:rsidP="009E648E">
      <w:pPr>
        <w:pStyle w:val="1"/>
        <w:ind w:left="509" w:firstLine="0"/>
        <w:rPr>
          <w:rFonts w:cs="David"/>
          <w:sz w:val="24"/>
          <w:szCs w:val="24"/>
          <w:rtl/>
        </w:rPr>
      </w:pPr>
      <w:r>
        <w:rPr>
          <w:rFonts w:cs="David"/>
          <w:sz w:val="24"/>
          <w:szCs w:val="24"/>
          <w:rtl/>
        </w:rPr>
        <w:t>באשר ליחס בין הליך שיקומי לבין חומרת העבירה של החזקת סם מסוכן שלא לצריכה עצמית, הפנה ב"כ המאשימה ל</w:t>
      </w:r>
      <w:hyperlink r:id="rId27"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810/11</w:t>
        </w:r>
      </w:hyperlink>
      <w:r>
        <w:rPr>
          <w:rFonts w:cs="David"/>
          <w:sz w:val="24"/>
          <w:szCs w:val="24"/>
          <w:rtl/>
        </w:rPr>
        <w:t xml:space="preserve"> </w:t>
      </w:r>
      <w:r>
        <w:rPr>
          <w:rFonts w:cs="David"/>
          <w:b/>
          <w:bCs/>
          <w:sz w:val="24"/>
          <w:szCs w:val="24"/>
          <w:rtl/>
        </w:rPr>
        <w:t xml:space="preserve">בורגרקר נ' מדינת ישראל </w:t>
      </w:r>
      <w:r>
        <w:rPr>
          <w:rFonts w:cs="David"/>
          <w:sz w:val="24"/>
          <w:szCs w:val="24"/>
          <w:rtl/>
        </w:rPr>
        <w:t>(30.5.2011) (להלן: "</w:t>
      </w:r>
      <w:r>
        <w:rPr>
          <w:rFonts w:cs="David"/>
          <w:b/>
          <w:bCs/>
          <w:sz w:val="24"/>
          <w:szCs w:val="24"/>
          <w:rtl/>
        </w:rPr>
        <w:t>עניין בורגרקר</w:t>
      </w:r>
      <w:r>
        <w:rPr>
          <w:rFonts w:cs="David"/>
          <w:sz w:val="24"/>
          <w:szCs w:val="24"/>
          <w:rtl/>
        </w:rPr>
        <w:t>"), ל</w:t>
      </w:r>
      <w:hyperlink r:id="rId28" w:history="1">
        <w:r w:rsidR="002D24DA" w:rsidRPr="002D24DA">
          <w:rPr>
            <w:rFonts w:cs="David" w:hint="eastAsia"/>
            <w:color w:val="0000FF"/>
            <w:sz w:val="24"/>
            <w:szCs w:val="24"/>
            <w:u w:val="single"/>
            <w:rtl/>
          </w:rPr>
          <w:t>רע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3841/16</w:t>
        </w:r>
      </w:hyperlink>
      <w:r>
        <w:rPr>
          <w:rFonts w:cs="David"/>
          <w:sz w:val="24"/>
          <w:szCs w:val="24"/>
          <w:rtl/>
        </w:rPr>
        <w:t xml:space="preserve"> </w:t>
      </w:r>
      <w:r>
        <w:rPr>
          <w:rFonts w:cs="David"/>
          <w:b/>
          <w:bCs/>
          <w:sz w:val="24"/>
          <w:szCs w:val="24"/>
          <w:rtl/>
        </w:rPr>
        <w:t xml:space="preserve">מזרחי נ' מדינת ישראל </w:t>
      </w:r>
      <w:r>
        <w:rPr>
          <w:rFonts w:cs="David"/>
          <w:sz w:val="24"/>
          <w:szCs w:val="24"/>
          <w:rtl/>
        </w:rPr>
        <w:t>(16.5.2016), וכן ל</w:t>
      </w:r>
      <w:hyperlink r:id="rId29"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(6.10.2016)</w:t>
      </w:r>
      <w:r>
        <w:rPr>
          <w:rFonts w:cs="David"/>
          <w:b/>
          <w:bCs/>
          <w:sz w:val="24"/>
          <w:szCs w:val="24"/>
          <w:rtl/>
        </w:rPr>
        <w:t xml:space="preserve"> </w:t>
      </w:r>
      <w:r>
        <w:rPr>
          <w:rFonts w:cs="David"/>
          <w:sz w:val="24"/>
          <w:szCs w:val="24"/>
          <w:rtl/>
        </w:rPr>
        <w:t>(להלן: "</w:t>
      </w:r>
      <w:r>
        <w:rPr>
          <w:rFonts w:cs="David"/>
          <w:b/>
          <w:bCs/>
          <w:sz w:val="24"/>
          <w:szCs w:val="24"/>
          <w:rtl/>
        </w:rPr>
        <w:t>עניין עווד</w:t>
      </w:r>
      <w:r>
        <w:rPr>
          <w:rFonts w:cs="David"/>
          <w:sz w:val="24"/>
          <w:szCs w:val="24"/>
          <w:rtl/>
        </w:rPr>
        <w:t>").</w:t>
      </w:r>
    </w:p>
    <w:p w14:paraId="75F010F2" w14:textId="77777777" w:rsidR="009E648E" w:rsidRDefault="009E648E" w:rsidP="009E648E">
      <w:pPr>
        <w:pStyle w:val="1"/>
        <w:ind w:left="509" w:firstLine="0"/>
        <w:rPr>
          <w:rFonts w:cs="David"/>
          <w:sz w:val="24"/>
          <w:szCs w:val="24"/>
          <w:rtl/>
        </w:rPr>
      </w:pPr>
      <w:r>
        <w:rPr>
          <w:rFonts w:cs="David"/>
          <w:sz w:val="24"/>
          <w:szCs w:val="24"/>
          <w:rtl/>
        </w:rPr>
        <w:t>בטיעוניו בכתב</w:t>
      </w:r>
      <w:r>
        <w:rPr>
          <w:rFonts w:cs="David"/>
          <w:b/>
          <w:bCs/>
          <w:sz w:val="24"/>
          <w:szCs w:val="24"/>
          <w:rtl/>
        </w:rPr>
        <w:t xml:space="preserve"> </w:t>
      </w:r>
      <w:r>
        <w:rPr>
          <w:rFonts w:cs="David"/>
          <w:sz w:val="24"/>
          <w:szCs w:val="24"/>
          <w:rtl/>
        </w:rPr>
        <w:t xml:space="preserve">הדגיש ב"כ המאשימה את הנזקים הישירים והעקיפים הנגרמים מסמים מסוכנים, הן לציבור משתמשי הסמים ולסביבתם הקרובה, הסובלת מתפקודו הלקוי של המשתמש, והן לחברה – בשל עבירות המתבצעות על ידי עבריינים על רקע של שימוש בסמים. </w:t>
      </w:r>
    </w:p>
    <w:p w14:paraId="15C718C4" w14:textId="77777777" w:rsidR="009E648E" w:rsidRDefault="009E648E" w:rsidP="009E648E">
      <w:pPr>
        <w:pStyle w:val="1"/>
        <w:ind w:left="509" w:firstLine="0"/>
        <w:rPr>
          <w:rFonts w:cs="David"/>
          <w:sz w:val="24"/>
          <w:szCs w:val="24"/>
          <w:rtl/>
        </w:rPr>
      </w:pPr>
      <w:r>
        <w:rPr>
          <w:rFonts w:cs="David"/>
          <w:sz w:val="24"/>
          <w:szCs w:val="24"/>
          <w:rtl/>
        </w:rPr>
        <w:t>ב"כ המאשימה ניתח בהרחבה את הנסיבות הקשורות בביצוע העבירה והפנה לפסיקה שלפיה קיימת חזקה שבעובדה כי החזקת הסם נעשתה לצורך הפקת רווח [</w:t>
      </w:r>
      <w:hyperlink r:id="rId30" w:history="1">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מחוזי</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חי</w:t>
        </w:r>
        <w:r w:rsidR="002D24DA" w:rsidRPr="002D24DA">
          <w:rPr>
            <w:rFonts w:cs="David"/>
            <w:color w:val="0000FF"/>
            <w:sz w:val="24"/>
            <w:szCs w:val="24"/>
            <w:u w:val="single"/>
            <w:rtl/>
          </w:rPr>
          <w:t>') 472/02</w:t>
        </w:r>
      </w:hyperlink>
      <w:r>
        <w:rPr>
          <w:rFonts w:cs="David"/>
          <w:sz w:val="24"/>
          <w:szCs w:val="24"/>
          <w:rtl/>
        </w:rPr>
        <w:t xml:space="preserve"> </w:t>
      </w:r>
      <w:r>
        <w:rPr>
          <w:rFonts w:cs="David"/>
          <w:b/>
          <w:bCs/>
          <w:sz w:val="24"/>
          <w:szCs w:val="24"/>
          <w:rtl/>
        </w:rPr>
        <w:t xml:space="preserve">מדינת ישראל נ' אל רחמן תאפל </w:t>
      </w:r>
      <w:r>
        <w:rPr>
          <w:rFonts w:cs="David"/>
          <w:sz w:val="24"/>
          <w:szCs w:val="24"/>
          <w:rtl/>
        </w:rPr>
        <w:t xml:space="preserve">(16.5.2005); </w:t>
      </w:r>
      <w:hyperlink r:id="rId31"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170/07</w:t>
        </w:r>
      </w:hyperlink>
      <w:r>
        <w:rPr>
          <w:rFonts w:cs="David"/>
          <w:sz w:val="24"/>
          <w:szCs w:val="24"/>
          <w:rtl/>
        </w:rPr>
        <w:t xml:space="preserve"> </w:t>
      </w:r>
      <w:r>
        <w:rPr>
          <w:rFonts w:cs="David"/>
          <w:b/>
          <w:bCs/>
          <w:sz w:val="24"/>
          <w:szCs w:val="24"/>
          <w:rtl/>
        </w:rPr>
        <w:t xml:space="preserve">מטיס נ' מדינת ישראל </w:t>
      </w:r>
      <w:r>
        <w:rPr>
          <w:rFonts w:cs="David"/>
          <w:sz w:val="24"/>
          <w:szCs w:val="24"/>
          <w:rtl/>
        </w:rPr>
        <w:t xml:space="preserve">(19.11.2007)]. </w:t>
      </w:r>
    </w:p>
    <w:p w14:paraId="120DCCA1" w14:textId="77777777" w:rsidR="009E648E" w:rsidRDefault="009E648E" w:rsidP="009E648E">
      <w:pPr>
        <w:pStyle w:val="1"/>
        <w:ind w:left="509" w:firstLine="0"/>
        <w:rPr>
          <w:rFonts w:cs="David"/>
          <w:sz w:val="24"/>
          <w:szCs w:val="24"/>
        </w:rPr>
      </w:pPr>
      <w:r>
        <w:rPr>
          <w:rFonts w:cs="David"/>
          <w:b/>
          <w:bCs/>
          <w:sz w:val="24"/>
          <w:szCs w:val="24"/>
          <w:rtl/>
        </w:rPr>
        <w:t>באשר למדיניות הענישה</w:t>
      </w:r>
      <w:r>
        <w:rPr>
          <w:rFonts w:cs="David"/>
          <w:sz w:val="24"/>
          <w:szCs w:val="24"/>
          <w:rtl/>
        </w:rPr>
        <w:t xml:space="preserve"> הנהוגה הפנה ב"כ המאשימה לפסיקה דלהלן: </w:t>
      </w:r>
    </w:p>
    <w:p w14:paraId="36700385" w14:textId="77777777" w:rsidR="009E648E" w:rsidRDefault="009E648E" w:rsidP="009E648E">
      <w:pPr>
        <w:pStyle w:val="1"/>
        <w:ind w:left="509" w:firstLine="0"/>
        <w:rPr>
          <w:rFonts w:cs="David"/>
          <w:sz w:val="24"/>
          <w:szCs w:val="24"/>
          <w:rtl/>
        </w:rPr>
      </w:pPr>
      <w:r>
        <w:rPr>
          <w:rFonts w:cs="David"/>
          <w:sz w:val="24"/>
          <w:szCs w:val="24"/>
          <w:rtl/>
        </w:rPr>
        <w:t xml:space="preserve">ביחס לסם מסוג </w:t>
      </w:r>
      <w:r>
        <w:rPr>
          <w:rFonts w:cs="David"/>
          <w:b/>
          <w:bCs/>
          <w:sz w:val="24"/>
          <w:szCs w:val="24"/>
          <w:rtl/>
        </w:rPr>
        <w:t>הרואין או קוקאין</w:t>
      </w:r>
      <w:r>
        <w:rPr>
          <w:rFonts w:cs="David"/>
          <w:sz w:val="24"/>
          <w:szCs w:val="24"/>
          <w:rtl/>
        </w:rPr>
        <w:t xml:space="preserve">: </w:t>
      </w:r>
      <w:hyperlink r:id="rId32"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4381/05</w:t>
        </w:r>
      </w:hyperlink>
      <w:r>
        <w:rPr>
          <w:rFonts w:cs="David"/>
          <w:sz w:val="24"/>
          <w:szCs w:val="24"/>
          <w:rtl/>
        </w:rPr>
        <w:t xml:space="preserve"> </w:t>
      </w:r>
      <w:r>
        <w:rPr>
          <w:rFonts w:cs="David"/>
          <w:b/>
          <w:bCs/>
          <w:sz w:val="24"/>
          <w:szCs w:val="24"/>
          <w:rtl/>
        </w:rPr>
        <w:t xml:space="preserve">אבו זקיקה נ' מדינת ישראל </w:t>
      </w:r>
      <w:r>
        <w:rPr>
          <w:rFonts w:cs="David"/>
          <w:sz w:val="24"/>
          <w:szCs w:val="24"/>
          <w:rtl/>
        </w:rPr>
        <w:t xml:space="preserve">(12.7.2006); </w:t>
      </w:r>
      <w:r>
        <w:rPr>
          <w:rFonts w:cs="David"/>
          <w:b/>
          <w:bCs/>
          <w:sz w:val="24"/>
          <w:szCs w:val="24"/>
          <w:rtl/>
        </w:rPr>
        <w:t>עניין בורגרקר</w:t>
      </w:r>
      <w:r>
        <w:rPr>
          <w:rFonts w:cs="David"/>
          <w:sz w:val="24"/>
          <w:szCs w:val="24"/>
          <w:rtl/>
        </w:rPr>
        <w:t xml:space="preserve">; </w:t>
      </w:r>
      <w:hyperlink r:id="rId33"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5377/11</w:t>
        </w:r>
      </w:hyperlink>
      <w:r>
        <w:rPr>
          <w:rFonts w:cs="David"/>
          <w:sz w:val="24"/>
          <w:szCs w:val="24"/>
          <w:rtl/>
        </w:rPr>
        <w:t xml:space="preserve"> </w:t>
      </w:r>
      <w:r>
        <w:rPr>
          <w:rFonts w:cs="David"/>
          <w:b/>
          <w:bCs/>
          <w:sz w:val="24"/>
          <w:szCs w:val="24"/>
          <w:rtl/>
        </w:rPr>
        <w:t xml:space="preserve">סויסה נ' מדינת ישראל </w:t>
      </w:r>
      <w:r>
        <w:rPr>
          <w:rFonts w:cs="David"/>
          <w:sz w:val="24"/>
          <w:szCs w:val="24"/>
          <w:rtl/>
        </w:rPr>
        <w:t xml:space="preserve">(3.7.2012); </w:t>
      </w:r>
      <w:r>
        <w:rPr>
          <w:rFonts w:cs="David"/>
          <w:b/>
          <w:bCs/>
          <w:sz w:val="24"/>
          <w:szCs w:val="24"/>
          <w:rtl/>
        </w:rPr>
        <w:t>עניין משלטי</w:t>
      </w:r>
      <w:r>
        <w:rPr>
          <w:rFonts w:cs="David"/>
          <w:sz w:val="24"/>
          <w:szCs w:val="24"/>
          <w:rtl/>
        </w:rPr>
        <w:t xml:space="preserve">; </w:t>
      </w:r>
      <w:hyperlink r:id="rId34"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2371/16</w:t>
        </w:r>
      </w:hyperlink>
      <w:r>
        <w:rPr>
          <w:rFonts w:cs="David"/>
          <w:sz w:val="24"/>
          <w:szCs w:val="24"/>
          <w:rtl/>
        </w:rPr>
        <w:t xml:space="preserve"> </w:t>
      </w:r>
      <w:r>
        <w:rPr>
          <w:rFonts w:cs="David"/>
          <w:b/>
          <w:bCs/>
          <w:sz w:val="24"/>
          <w:szCs w:val="24"/>
          <w:rtl/>
        </w:rPr>
        <w:t xml:space="preserve">פיטוסי נ' מדינת ישראל </w:t>
      </w:r>
      <w:r>
        <w:rPr>
          <w:rFonts w:cs="David"/>
          <w:sz w:val="24"/>
          <w:szCs w:val="24"/>
          <w:rtl/>
        </w:rPr>
        <w:t xml:space="preserve">(5.10.2016); </w:t>
      </w:r>
      <w:r>
        <w:rPr>
          <w:rFonts w:cs="David"/>
          <w:b/>
          <w:bCs/>
          <w:sz w:val="24"/>
          <w:szCs w:val="24"/>
          <w:rtl/>
        </w:rPr>
        <w:t>עניין ז'בניה</w:t>
      </w:r>
      <w:r>
        <w:rPr>
          <w:rFonts w:cs="David"/>
          <w:sz w:val="24"/>
          <w:szCs w:val="24"/>
          <w:rtl/>
        </w:rPr>
        <w:t>.</w:t>
      </w:r>
    </w:p>
    <w:p w14:paraId="0243E6A7" w14:textId="77777777" w:rsidR="009E648E" w:rsidRDefault="009E648E" w:rsidP="009E648E">
      <w:pPr>
        <w:pStyle w:val="1"/>
        <w:ind w:left="509" w:firstLine="0"/>
        <w:rPr>
          <w:rFonts w:cs="David"/>
          <w:sz w:val="24"/>
          <w:szCs w:val="24"/>
          <w:rtl/>
        </w:rPr>
      </w:pPr>
      <w:r>
        <w:rPr>
          <w:rFonts w:cs="David"/>
          <w:sz w:val="24"/>
          <w:szCs w:val="24"/>
          <w:rtl/>
        </w:rPr>
        <w:t xml:space="preserve">ביחס לסם מסוג </w:t>
      </w:r>
      <w:r>
        <w:rPr>
          <w:rFonts w:cs="David"/>
          <w:b/>
          <w:bCs/>
          <w:sz w:val="24"/>
          <w:szCs w:val="24"/>
        </w:rPr>
        <w:t>MDMA</w:t>
      </w:r>
      <w:r>
        <w:rPr>
          <w:rFonts w:cs="David"/>
          <w:b/>
          <w:bCs/>
          <w:sz w:val="24"/>
          <w:szCs w:val="24"/>
          <w:rtl/>
        </w:rPr>
        <w:t xml:space="preserve"> </w:t>
      </w:r>
      <w:r>
        <w:rPr>
          <w:rFonts w:cs="David"/>
          <w:sz w:val="24"/>
          <w:szCs w:val="24"/>
          <w:rtl/>
        </w:rPr>
        <w:t>הפנה ב"כ המאשימה ל</w:t>
      </w:r>
      <w:hyperlink r:id="rId35" w:history="1">
        <w:r w:rsidR="002D24DA" w:rsidRPr="002D24DA">
          <w:rPr>
            <w:rFonts w:cs="David" w:hint="eastAsia"/>
            <w:color w:val="0000FF"/>
            <w:sz w:val="24"/>
            <w:szCs w:val="24"/>
            <w:u w:val="single"/>
            <w:rtl/>
          </w:rPr>
          <w:t>רע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3443/07</w:t>
        </w:r>
      </w:hyperlink>
      <w:r>
        <w:rPr>
          <w:rFonts w:cs="David"/>
          <w:sz w:val="24"/>
          <w:szCs w:val="24"/>
          <w:rtl/>
        </w:rPr>
        <w:t xml:space="preserve"> </w:t>
      </w:r>
      <w:r>
        <w:rPr>
          <w:rFonts w:cs="David"/>
          <w:b/>
          <w:bCs/>
          <w:sz w:val="24"/>
          <w:szCs w:val="24"/>
          <w:rtl/>
        </w:rPr>
        <w:t xml:space="preserve">מכאווי נ' מדינת ישראל </w:t>
      </w:r>
      <w:r>
        <w:rPr>
          <w:rFonts w:cs="David"/>
          <w:sz w:val="24"/>
          <w:szCs w:val="24"/>
          <w:rtl/>
        </w:rPr>
        <w:t>(26.7.2007), ל</w:t>
      </w:r>
      <w:hyperlink r:id="rId36" w:history="1">
        <w:r w:rsidR="002D24DA" w:rsidRPr="002D24DA">
          <w:rPr>
            <w:rFonts w:cs="David" w:hint="eastAsia"/>
            <w:color w:val="0000FF"/>
            <w:sz w:val="24"/>
            <w:szCs w:val="24"/>
            <w:u w:val="single"/>
            <w:rtl/>
          </w:rPr>
          <w:t>רע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5170/09</w:t>
        </w:r>
      </w:hyperlink>
      <w:r>
        <w:rPr>
          <w:rFonts w:cs="David"/>
          <w:sz w:val="24"/>
          <w:szCs w:val="24"/>
          <w:rtl/>
        </w:rPr>
        <w:t xml:space="preserve"> </w:t>
      </w:r>
      <w:r>
        <w:rPr>
          <w:rFonts w:cs="David"/>
          <w:b/>
          <w:bCs/>
          <w:sz w:val="24"/>
          <w:szCs w:val="24"/>
          <w:rtl/>
        </w:rPr>
        <w:t xml:space="preserve">אבוטבול נ' מדינת ישראל </w:t>
      </w:r>
      <w:r>
        <w:rPr>
          <w:rFonts w:cs="David"/>
          <w:sz w:val="24"/>
          <w:szCs w:val="24"/>
          <w:rtl/>
        </w:rPr>
        <w:t xml:space="preserve">(6.9.2009), ולת"פ (מחוזי ת"א) </w:t>
      </w:r>
      <w:r>
        <w:rPr>
          <w:rFonts w:cs="David"/>
          <w:b/>
          <w:bCs/>
          <w:sz w:val="24"/>
          <w:szCs w:val="24"/>
          <w:rtl/>
        </w:rPr>
        <w:t xml:space="preserve">מדינת ישראל נ' ששון </w:t>
      </w:r>
      <w:r>
        <w:rPr>
          <w:rFonts w:cs="David"/>
          <w:sz w:val="24"/>
          <w:szCs w:val="24"/>
          <w:rtl/>
        </w:rPr>
        <w:t xml:space="preserve">(11.1.2018). </w:t>
      </w:r>
    </w:p>
    <w:p w14:paraId="01F44646" w14:textId="77777777" w:rsidR="009E648E" w:rsidRDefault="009E648E" w:rsidP="009E648E">
      <w:pPr>
        <w:pStyle w:val="1"/>
        <w:ind w:left="509" w:firstLine="0"/>
        <w:rPr>
          <w:rFonts w:cs="David"/>
          <w:sz w:val="24"/>
          <w:szCs w:val="24"/>
          <w:rtl/>
        </w:rPr>
      </w:pPr>
      <w:r>
        <w:rPr>
          <w:rFonts w:cs="David"/>
          <w:sz w:val="24"/>
          <w:szCs w:val="24"/>
          <w:rtl/>
        </w:rPr>
        <w:t>כמו כן, ב"כ המאשימה הפנה גם ל</w:t>
      </w:r>
      <w:hyperlink r:id="rId37"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211/09</w:t>
        </w:r>
      </w:hyperlink>
      <w:r>
        <w:rPr>
          <w:rFonts w:cs="David"/>
          <w:sz w:val="24"/>
          <w:szCs w:val="24"/>
          <w:rtl/>
        </w:rPr>
        <w:t xml:space="preserve"> </w:t>
      </w:r>
      <w:r>
        <w:rPr>
          <w:rFonts w:cs="David"/>
          <w:b/>
          <w:bCs/>
          <w:sz w:val="24"/>
          <w:szCs w:val="24"/>
          <w:rtl/>
        </w:rPr>
        <w:t xml:space="preserve">אזולאי נ' מדינת ישראל </w:t>
      </w:r>
      <w:r>
        <w:rPr>
          <w:rFonts w:cs="David"/>
          <w:sz w:val="24"/>
          <w:szCs w:val="24"/>
          <w:rtl/>
        </w:rPr>
        <w:t>(22.6.2010) (להלן: "</w:t>
      </w:r>
      <w:r>
        <w:rPr>
          <w:rFonts w:cs="David"/>
          <w:b/>
          <w:bCs/>
          <w:sz w:val="24"/>
          <w:szCs w:val="24"/>
          <w:rtl/>
        </w:rPr>
        <w:t>עניין אזולאי</w:t>
      </w:r>
      <w:r>
        <w:rPr>
          <w:rFonts w:cs="David"/>
          <w:sz w:val="24"/>
          <w:szCs w:val="24"/>
          <w:rtl/>
        </w:rPr>
        <w:t>") ול</w:t>
      </w:r>
      <w:hyperlink r:id="rId38"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9910/17</w:t>
        </w:r>
      </w:hyperlink>
      <w:r>
        <w:rPr>
          <w:rFonts w:cs="David"/>
          <w:sz w:val="24"/>
          <w:szCs w:val="24"/>
          <w:rtl/>
        </w:rPr>
        <w:t xml:space="preserve"> </w:t>
      </w:r>
      <w:r>
        <w:rPr>
          <w:rFonts w:cs="David"/>
          <w:b/>
          <w:bCs/>
          <w:sz w:val="24"/>
          <w:szCs w:val="24"/>
          <w:rtl/>
        </w:rPr>
        <w:t xml:space="preserve">גריפולינה נ' מדינת ישראל </w:t>
      </w:r>
      <w:r>
        <w:rPr>
          <w:rFonts w:cs="David"/>
          <w:sz w:val="24"/>
          <w:szCs w:val="24"/>
          <w:rtl/>
        </w:rPr>
        <w:t>(3.5.2018).</w:t>
      </w:r>
    </w:p>
    <w:p w14:paraId="1338A85A" w14:textId="77777777" w:rsidR="009E648E" w:rsidRDefault="009E648E" w:rsidP="009E648E">
      <w:pPr>
        <w:pStyle w:val="1"/>
        <w:ind w:left="509" w:firstLine="0"/>
        <w:rPr>
          <w:rFonts w:cs="David"/>
          <w:sz w:val="24"/>
          <w:szCs w:val="24"/>
          <w:rtl/>
        </w:rPr>
      </w:pPr>
      <w:r>
        <w:rPr>
          <w:rFonts w:cs="David"/>
          <w:sz w:val="24"/>
          <w:szCs w:val="24"/>
          <w:rtl/>
        </w:rPr>
        <w:t xml:space="preserve">ב"כ המאשימה ביקש שלא לאמץ את המלצת שירות המבחן, בשל הדברים המוטעים שאותם מסר הנאשם לשירות המבחן, כאמור לעיל, וכן בשל הקו הפסיקתי הנוקשה בכל הנוגע לעונשים המוטלים על נאשמים במקרים דומים. </w:t>
      </w:r>
    </w:p>
    <w:p w14:paraId="7F9F42A7" w14:textId="77777777" w:rsidR="009E648E" w:rsidRDefault="009E648E" w:rsidP="009E648E">
      <w:pPr>
        <w:pStyle w:val="1"/>
        <w:ind w:left="509" w:firstLine="0"/>
        <w:rPr>
          <w:rFonts w:cs="David"/>
          <w:sz w:val="24"/>
          <w:szCs w:val="24"/>
          <w:rtl/>
        </w:rPr>
      </w:pPr>
      <w:r>
        <w:rPr>
          <w:rFonts w:cs="David"/>
          <w:sz w:val="24"/>
          <w:szCs w:val="24"/>
          <w:rtl/>
        </w:rPr>
        <w:t xml:space="preserve">לצד הטלת עונש מאסר בפועל, עתר ב"כ המאשימה, בטיעוניו בכתב, להשית על הנאשם </w:t>
      </w:r>
      <w:r>
        <w:rPr>
          <w:rFonts w:cs="David"/>
          <w:b/>
          <w:bCs/>
          <w:sz w:val="24"/>
          <w:szCs w:val="24"/>
          <w:rtl/>
        </w:rPr>
        <w:t>גם</w:t>
      </w:r>
      <w:r>
        <w:rPr>
          <w:rFonts w:cs="David"/>
          <w:sz w:val="24"/>
          <w:szCs w:val="24"/>
          <w:rtl/>
        </w:rPr>
        <w:t xml:space="preserve"> </w:t>
      </w:r>
      <w:r>
        <w:rPr>
          <w:rFonts w:cs="David"/>
          <w:b/>
          <w:bCs/>
          <w:sz w:val="24"/>
          <w:szCs w:val="24"/>
          <w:rtl/>
        </w:rPr>
        <w:t>מאסר מותנה, קנס ופסילת רישיון נהיגה</w:t>
      </w:r>
      <w:r>
        <w:rPr>
          <w:rFonts w:cs="David"/>
          <w:sz w:val="24"/>
          <w:szCs w:val="24"/>
          <w:rtl/>
        </w:rPr>
        <w:t xml:space="preserve">. </w:t>
      </w:r>
    </w:p>
    <w:p w14:paraId="1BCD0191" w14:textId="77777777" w:rsidR="009E648E" w:rsidRDefault="009E648E" w:rsidP="009E648E">
      <w:pPr>
        <w:pStyle w:val="1"/>
        <w:numPr>
          <w:ilvl w:val="0"/>
          <w:numId w:val="1"/>
        </w:numPr>
        <w:ind w:left="509" w:right="0" w:hanging="425"/>
        <w:rPr>
          <w:rFonts w:cs="David"/>
          <w:sz w:val="24"/>
          <w:szCs w:val="24"/>
          <w:rtl/>
        </w:rPr>
      </w:pPr>
      <w:r>
        <w:rPr>
          <w:rFonts w:cs="David"/>
          <w:b/>
          <w:bCs/>
          <w:sz w:val="24"/>
          <w:szCs w:val="24"/>
          <w:rtl/>
        </w:rPr>
        <w:t>מנגד, ב"כ הנאשם</w:t>
      </w:r>
      <w:r>
        <w:rPr>
          <w:rFonts w:cs="David"/>
          <w:sz w:val="24"/>
          <w:szCs w:val="24"/>
          <w:rtl/>
        </w:rPr>
        <w:t xml:space="preserve"> עמד על השיקולים התומכים לדעתו בהקלה בעונשו של הנאשם. </w:t>
      </w:r>
    </w:p>
    <w:p w14:paraId="22C1D38C" w14:textId="77777777" w:rsidR="009E648E" w:rsidRDefault="009E648E" w:rsidP="009E648E">
      <w:pPr>
        <w:pStyle w:val="1"/>
        <w:ind w:left="509" w:firstLine="0"/>
        <w:rPr>
          <w:rFonts w:cs="David"/>
          <w:sz w:val="24"/>
          <w:szCs w:val="24"/>
          <w:rtl/>
        </w:rPr>
      </w:pPr>
      <w:r>
        <w:rPr>
          <w:rFonts w:cs="David"/>
          <w:sz w:val="24"/>
          <w:szCs w:val="24"/>
          <w:rtl/>
        </w:rPr>
        <w:t xml:space="preserve">ב"כ הנאשם התייחס בפתח דבריו לפסיקה שאליה הפנה ב"כ המאשימה וטען כי בכל המקרים מדובר בנאשמים שהיו בעלי "עבר פלילי רב". </w:t>
      </w:r>
    </w:p>
    <w:p w14:paraId="00DD5A5C" w14:textId="77777777" w:rsidR="009E648E" w:rsidRDefault="009E648E" w:rsidP="009E648E">
      <w:pPr>
        <w:pStyle w:val="1"/>
        <w:ind w:left="509" w:firstLine="0"/>
        <w:rPr>
          <w:rFonts w:cs="David"/>
          <w:sz w:val="24"/>
          <w:szCs w:val="24"/>
          <w:rtl/>
        </w:rPr>
      </w:pPr>
      <w:r>
        <w:rPr>
          <w:rFonts w:cs="David"/>
          <w:sz w:val="24"/>
          <w:szCs w:val="24"/>
          <w:rtl/>
        </w:rPr>
        <w:t xml:space="preserve">ב"כ הנאשם הפנה לטיעונים שהגיש בכתב והוסיף כי בטיעוניו בעל-פה הוא יתמקד בנאשם ובנסיבותיו האישיות. </w:t>
      </w:r>
    </w:p>
    <w:p w14:paraId="46E02D40" w14:textId="77777777" w:rsidR="009E648E" w:rsidRDefault="009E648E" w:rsidP="009E648E">
      <w:pPr>
        <w:pStyle w:val="1"/>
        <w:ind w:left="509" w:firstLine="0"/>
        <w:rPr>
          <w:rFonts w:cs="David"/>
          <w:sz w:val="24"/>
          <w:szCs w:val="24"/>
          <w:rtl/>
        </w:rPr>
      </w:pPr>
      <w:r>
        <w:rPr>
          <w:rFonts w:cs="David"/>
          <w:sz w:val="24"/>
          <w:szCs w:val="24"/>
          <w:rtl/>
        </w:rPr>
        <w:t xml:space="preserve">ב"כ הנאשם ציין שבתיק זה הנאשם היה נתון במעצר במשך 46 ימים, וזאת לראשונה בחייו, ורק לאחר מכן הוא שוחרר למעצר בית. </w:t>
      </w:r>
    </w:p>
    <w:p w14:paraId="2134C213" w14:textId="77777777" w:rsidR="009E648E" w:rsidRDefault="009E648E" w:rsidP="009E648E">
      <w:pPr>
        <w:pStyle w:val="1"/>
        <w:ind w:left="509" w:firstLine="0"/>
        <w:rPr>
          <w:rFonts w:cs="David"/>
          <w:sz w:val="24"/>
          <w:szCs w:val="24"/>
          <w:rtl/>
        </w:rPr>
      </w:pPr>
      <w:r>
        <w:rPr>
          <w:rFonts w:cs="David"/>
          <w:sz w:val="24"/>
          <w:szCs w:val="24"/>
          <w:rtl/>
        </w:rPr>
        <w:t xml:space="preserve">ב"כ הנאשם הדגיש את הודאתו המידית של הנאשם, כבר ברכב שבו הוא נתפס, וטען כי הנאשם נשאל אם יש לו סמים נוספים והשיב כי יש סמים בביתו. עוד צוין כי הנאשם שילם לאוצר המדינה סך של 55,000 ₪ והסכים לחילוט רכבו, כדי שהמדינה תחזור בה מהבקשה להכריז עליו כסוחר סמים. </w:t>
      </w:r>
    </w:p>
    <w:p w14:paraId="00061F55" w14:textId="77777777" w:rsidR="009E648E" w:rsidRDefault="009E648E" w:rsidP="009E648E">
      <w:pPr>
        <w:pStyle w:val="1"/>
        <w:ind w:left="509" w:firstLine="0"/>
        <w:rPr>
          <w:rFonts w:cs="David"/>
          <w:sz w:val="24"/>
          <w:szCs w:val="24"/>
          <w:rtl/>
        </w:rPr>
      </w:pPr>
      <w:r>
        <w:rPr>
          <w:rFonts w:cs="David"/>
          <w:sz w:val="24"/>
          <w:szCs w:val="24"/>
          <w:rtl/>
        </w:rPr>
        <w:t xml:space="preserve">ביחס לטענות ב"כ המאשימה כי הנאשם לא הפנים עד תום את חומרת מעשיו, ציין הסניגור כי ההגנה לא תתנגד לשליחת הנאשם לתסקיר משלים. </w:t>
      </w:r>
    </w:p>
    <w:p w14:paraId="05ECBDD9" w14:textId="77777777" w:rsidR="009E648E" w:rsidRDefault="009E648E" w:rsidP="009E648E">
      <w:pPr>
        <w:pStyle w:val="1"/>
        <w:ind w:left="509" w:firstLine="0"/>
        <w:rPr>
          <w:rFonts w:cs="David"/>
          <w:sz w:val="24"/>
          <w:szCs w:val="24"/>
          <w:rtl/>
        </w:rPr>
      </w:pPr>
      <w:r>
        <w:rPr>
          <w:rFonts w:cs="David"/>
          <w:sz w:val="24"/>
          <w:szCs w:val="24"/>
          <w:rtl/>
        </w:rPr>
        <w:t xml:space="preserve">לטענת ההגנה, </w:t>
      </w:r>
      <w:r>
        <w:rPr>
          <w:rFonts w:cs="David"/>
          <w:b/>
          <w:bCs/>
          <w:sz w:val="24"/>
          <w:szCs w:val="24"/>
          <w:rtl/>
        </w:rPr>
        <w:t xml:space="preserve">מתחם העונש ההולם הוא "עונש שיכול וירוצה בדרך של עבודות שירות ועד התקופה המקסימלית לריצוי בפועל בדרך של עבודות שירות, קרי 9 חודשים"; ולחלופין, </w:t>
      </w:r>
      <w:r>
        <w:rPr>
          <w:rFonts w:cs="David"/>
          <w:sz w:val="24"/>
          <w:szCs w:val="24"/>
          <w:rtl/>
        </w:rPr>
        <w:t>אם בית המשפט יחליט על מתחם אחר –</w:t>
      </w:r>
      <w:r>
        <w:rPr>
          <w:rFonts w:cs="David"/>
          <w:b/>
          <w:bCs/>
          <w:sz w:val="24"/>
          <w:szCs w:val="24"/>
          <w:rtl/>
        </w:rPr>
        <w:t xml:space="preserve"> עתר הסניגור לסטות מהמתחם משיקולי שיקום ולהטיל על הנאשם עונש מאסר שירוצה בעבודות שירות</w:t>
      </w:r>
      <w:r>
        <w:rPr>
          <w:rFonts w:cs="David"/>
          <w:sz w:val="24"/>
          <w:szCs w:val="24"/>
          <w:rtl/>
        </w:rPr>
        <w:t xml:space="preserve">. </w:t>
      </w:r>
    </w:p>
    <w:p w14:paraId="663BE9A0" w14:textId="77777777" w:rsidR="009E648E" w:rsidRDefault="009E648E" w:rsidP="009E648E">
      <w:pPr>
        <w:pStyle w:val="1"/>
        <w:ind w:left="509" w:firstLine="0"/>
        <w:rPr>
          <w:rFonts w:cs="David"/>
          <w:sz w:val="24"/>
          <w:szCs w:val="24"/>
          <w:rtl/>
        </w:rPr>
      </w:pPr>
      <w:r>
        <w:rPr>
          <w:rFonts w:cs="David"/>
          <w:sz w:val="24"/>
          <w:szCs w:val="24"/>
          <w:rtl/>
        </w:rPr>
        <w:t xml:space="preserve">ב"כ הנאשם אבחן את הפסיקה שאליה הפנה ב"כ המאשימה, והגיש גם פסיקה מטעם ההגנה: </w:t>
      </w:r>
      <w:hyperlink r:id="rId39"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7196/11</w:t>
        </w:r>
      </w:hyperlink>
      <w:r>
        <w:rPr>
          <w:rFonts w:cs="David"/>
          <w:sz w:val="24"/>
          <w:szCs w:val="24"/>
          <w:rtl/>
        </w:rPr>
        <w:t xml:space="preserve"> </w:t>
      </w:r>
      <w:r>
        <w:rPr>
          <w:rFonts w:cs="David"/>
          <w:b/>
          <w:bCs/>
          <w:sz w:val="24"/>
          <w:szCs w:val="24"/>
          <w:rtl/>
        </w:rPr>
        <w:t xml:space="preserve">מדינת ישראל נ' ביזאוי </w:t>
      </w:r>
      <w:r>
        <w:rPr>
          <w:rFonts w:cs="David"/>
          <w:sz w:val="24"/>
          <w:szCs w:val="24"/>
          <w:rtl/>
        </w:rPr>
        <w:t xml:space="preserve">(19.6.2012); </w:t>
      </w:r>
      <w:hyperlink r:id="rId40"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2595/17</w:t>
        </w:r>
      </w:hyperlink>
      <w:r>
        <w:rPr>
          <w:rFonts w:cs="David"/>
          <w:sz w:val="24"/>
          <w:szCs w:val="24"/>
          <w:rtl/>
        </w:rPr>
        <w:t xml:space="preserve"> </w:t>
      </w:r>
      <w:r>
        <w:rPr>
          <w:rFonts w:cs="David"/>
          <w:b/>
          <w:bCs/>
          <w:sz w:val="24"/>
          <w:szCs w:val="24"/>
          <w:rtl/>
        </w:rPr>
        <w:t xml:space="preserve">וקנין נ' מדינת ישראל </w:t>
      </w:r>
      <w:r>
        <w:rPr>
          <w:rFonts w:cs="David"/>
          <w:sz w:val="24"/>
          <w:szCs w:val="24"/>
          <w:rtl/>
        </w:rPr>
        <w:t xml:space="preserve">(12.6.2018); </w:t>
      </w:r>
      <w:hyperlink r:id="rId41" w:history="1">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מחוזי</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חי</w:t>
        </w:r>
        <w:r w:rsidR="002D24DA" w:rsidRPr="002D24DA">
          <w:rPr>
            <w:rFonts w:cs="David"/>
            <w:color w:val="0000FF"/>
            <w:sz w:val="24"/>
            <w:szCs w:val="24"/>
            <w:u w:val="single"/>
            <w:rtl/>
          </w:rPr>
          <w:t>') 22858-10-09</w:t>
        </w:r>
      </w:hyperlink>
      <w:r>
        <w:rPr>
          <w:rFonts w:cs="David"/>
          <w:sz w:val="24"/>
          <w:szCs w:val="24"/>
          <w:rtl/>
        </w:rPr>
        <w:t xml:space="preserve"> </w:t>
      </w:r>
      <w:r>
        <w:rPr>
          <w:rFonts w:cs="David"/>
          <w:b/>
          <w:bCs/>
          <w:sz w:val="24"/>
          <w:szCs w:val="24"/>
          <w:rtl/>
        </w:rPr>
        <w:t xml:space="preserve">מדינת ישראל נ' ג'שי </w:t>
      </w:r>
      <w:r>
        <w:rPr>
          <w:rFonts w:cs="David"/>
          <w:sz w:val="24"/>
          <w:szCs w:val="24"/>
          <w:rtl/>
        </w:rPr>
        <w:t xml:space="preserve">(12.4.2011); </w:t>
      </w:r>
      <w:hyperlink r:id="rId42" w:history="1">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מחוזי</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א</w:t>
        </w:r>
        <w:r w:rsidR="002D24DA" w:rsidRPr="002D24DA">
          <w:rPr>
            <w:rFonts w:cs="David"/>
            <w:color w:val="0000FF"/>
            <w:sz w:val="24"/>
            <w:szCs w:val="24"/>
            <w:u w:val="single"/>
            <w:rtl/>
          </w:rPr>
          <w:t>) 24514-09-15</w:t>
        </w:r>
      </w:hyperlink>
      <w:r>
        <w:rPr>
          <w:rFonts w:cs="David"/>
          <w:sz w:val="24"/>
          <w:szCs w:val="24"/>
          <w:rtl/>
        </w:rPr>
        <w:t xml:space="preserve"> </w:t>
      </w:r>
      <w:r>
        <w:rPr>
          <w:rFonts w:cs="David"/>
          <w:b/>
          <w:bCs/>
          <w:sz w:val="24"/>
          <w:szCs w:val="24"/>
          <w:rtl/>
        </w:rPr>
        <w:t xml:space="preserve">מדינת ישראל נ' פורת </w:t>
      </w:r>
      <w:r>
        <w:rPr>
          <w:rFonts w:cs="David"/>
          <w:sz w:val="24"/>
          <w:szCs w:val="24"/>
          <w:rtl/>
        </w:rPr>
        <w:t xml:space="preserve">(2.1.2017); </w:t>
      </w:r>
      <w:hyperlink r:id="rId43" w:history="1">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מחוזי</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א</w:t>
        </w:r>
        <w:r w:rsidR="002D24DA" w:rsidRPr="002D24DA">
          <w:rPr>
            <w:rFonts w:cs="David"/>
            <w:color w:val="0000FF"/>
            <w:sz w:val="24"/>
            <w:szCs w:val="24"/>
            <w:u w:val="single"/>
            <w:rtl/>
          </w:rPr>
          <w:t>) 16273-02-16</w:t>
        </w:r>
      </w:hyperlink>
      <w:r>
        <w:rPr>
          <w:rFonts w:cs="David"/>
          <w:sz w:val="24"/>
          <w:szCs w:val="24"/>
          <w:rtl/>
        </w:rPr>
        <w:t xml:space="preserve"> </w:t>
      </w:r>
      <w:r>
        <w:rPr>
          <w:rFonts w:cs="David"/>
          <w:b/>
          <w:bCs/>
          <w:sz w:val="24"/>
          <w:szCs w:val="24"/>
          <w:rtl/>
        </w:rPr>
        <w:t xml:space="preserve">מדינת ישראל נ' מנוס </w:t>
      </w:r>
      <w:r>
        <w:rPr>
          <w:rFonts w:cs="David"/>
          <w:sz w:val="24"/>
          <w:szCs w:val="24"/>
          <w:rtl/>
        </w:rPr>
        <w:t xml:space="preserve">(27.9.2017); </w:t>
      </w:r>
      <w:hyperlink r:id="rId44" w:history="1">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ראשל</w:t>
        </w:r>
        <w:r w:rsidR="002D24DA" w:rsidRPr="002D24DA">
          <w:rPr>
            <w:rFonts w:cs="David"/>
            <w:color w:val="0000FF"/>
            <w:sz w:val="24"/>
            <w:szCs w:val="24"/>
            <w:u w:val="single"/>
            <w:rtl/>
          </w:rPr>
          <w:t>"</w:t>
        </w:r>
        <w:r w:rsidR="002D24DA" w:rsidRPr="002D24DA">
          <w:rPr>
            <w:rFonts w:cs="David" w:hint="eastAsia"/>
            <w:color w:val="0000FF"/>
            <w:sz w:val="24"/>
            <w:szCs w:val="24"/>
            <w:u w:val="single"/>
            <w:rtl/>
          </w:rPr>
          <w:t>צ</w:t>
        </w:r>
        <w:r w:rsidR="002D24DA" w:rsidRPr="002D24DA">
          <w:rPr>
            <w:rFonts w:cs="David"/>
            <w:color w:val="0000FF"/>
            <w:sz w:val="24"/>
            <w:szCs w:val="24"/>
            <w:u w:val="single"/>
            <w:rtl/>
          </w:rPr>
          <w:t>) 13306-12-16</w:t>
        </w:r>
      </w:hyperlink>
      <w:r>
        <w:rPr>
          <w:rFonts w:cs="David"/>
          <w:sz w:val="24"/>
          <w:szCs w:val="24"/>
          <w:rtl/>
        </w:rPr>
        <w:t xml:space="preserve"> </w:t>
      </w:r>
      <w:r>
        <w:rPr>
          <w:rFonts w:cs="David"/>
          <w:b/>
          <w:bCs/>
          <w:sz w:val="24"/>
          <w:szCs w:val="24"/>
          <w:rtl/>
        </w:rPr>
        <w:t xml:space="preserve">מדינת ישראל נ' פלוני </w:t>
      </w:r>
      <w:r>
        <w:rPr>
          <w:rFonts w:cs="David"/>
          <w:sz w:val="24"/>
          <w:szCs w:val="24"/>
          <w:rtl/>
        </w:rPr>
        <w:t xml:space="preserve">(12.9.2018). </w:t>
      </w:r>
    </w:p>
    <w:p w14:paraId="237E84AC" w14:textId="77777777" w:rsidR="009E648E" w:rsidRDefault="009E648E" w:rsidP="009E648E">
      <w:pPr>
        <w:pStyle w:val="1"/>
        <w:ind w:left="509" w:firstLine="0"/>
        <w:rPr>
          <w:rFonts w:cs="David"/>
          <w:sz w:val="24"/>
          <w:szCs w:val="24"/>
          <w:rtl/>
        </w:rPr>
      </w:pPr>
      <w:r>
        <w:rPr>
          <w:rFonts w:cs="David"/>
          <w:sz w:val="24"/>
          <w:szCs w:val="24"/>
          <w:rtl/>
        </w:rPr>
        <w:t xml:space="preserve">ב"כ הנאשם הזכיר את עדויותיהם של עדי האופי מטעם ההגנה, אשר סיפרו על אורחות חייו החיוביים של הנאשם. </w:t>
      </w:r>
    </w:p>
    <w:p w14:paraId="47B4912D" w14:textId="77777777" w:rsidR="009E648E" w:rsidRDefault="009E648E" w:rsidP="009E648E">
      <w:pPr>
        <w:pStyle w:val="1"/>
        <w:ind w:left="509" w:firstLine="0"/>
        <w:rPr>
          <w:rFonts w:cs="David"/>
          <w:sz w:val="24"/>
          <w:szCs w:val="24"/>
          <w:rtl/>
        </w:rPr>
      </w:pPr>
      <w:r>
        <w:rPr>
          <w:rFonts w:cs="David"/>
          <w:sz w:val="24"/>
          <w:szCs w:val="24"/>
          <w:rtl/>
        </w:rPr>
        <w:t xml:space="preserve">הסניגור הוסיף שקיימת הסכמה מצד הנאשם לעתירה חלופית למאסר בעבודות שירות ברף העליון, דהיינו לתקופה של 9 חודשים, לצד צו מבחן. </w:t>
      </w:r>
    </w:p>
    <w:p w14:paraId="75324B41" w14:textId="77777777" w:rsidR="009E648E" w:rsidRDefault="009E648E" w:rsidP="009E648E">
      <w:pPr>
        <w:pStyle w:val="1"/>
        <w:ind w:left="509" w:firstLine="0"/>
        <w:rPr>
          <w:rFonts w:cs="David"/>
          <w:sz w:val="24"/>
          <w:szCs w:val="24"/>
          <w:rtl/>
        </w:rPr>
      </w:pPr>
      <w:r>
        <w:rPr>
          <w:rFonts w:cs="David"/>
          <w:b/>
          <w:bCs/>
          <w:sz w:val="24"/>
          <w:szCs w:val="24"/>
          <w:rtl/>
        </w:rPr>
        <w:t>בטיעוניו בכתב</w:t>
      </w:r>
      <w:r>
        <w:rPr>
          <w:rFonts w:cs="David"/>
          <w:sz w:val="24"/>
          <w:szCs w:val="24"/>
          <w:rtl/>
        </w:rPr>
        <w:t xml:space="preserve"> ציין ב"כ הנאשם, בין היתר, כי במקרים אחרים בית המשפט לא נרתע מהטלת של"צ בגין העבירה דנן, ואף בגין עבירות חמורות יותר, והפנה ל</w:t>
      </w:r>
      <w:hyperlink r:id="rId45" w:history="1">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מחוזי</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ת</w:t>
        </w:r>
        <w:r w:rsidR="002D24DA" w:rsidRPr="002D24DA">
          <w:rPr>
            <w:rFonts w:cs="David"/>
            <w:color w:val="0000FF"/>
            <w:sz w:val="24"/>
            <w:szCs w:val="24"/>
            <w:u w:val="single"/>
            <w:rtl/>
          </w:rPr>
          <w:t>"</w:t>
        </w:r>
        <w:r w:rsidR="002D24DA" w:rsidRPr="002D24DA">
          <w:rPr>
            <w:rFonts w:cs="David" w:hint="eastAsia"/>
            <w:color w:val="0000FF"/>
            <w:sz w:val="24"/>
            <w:szCs w:val="24"/>
            <w:u w:val="single"/>
            <w:rtl/>
          </w:rPr>
          <w:t>א</w:t>
        </w:r>
        <w:r w:rsidR="002D24DA" w:rsidRPr="002D24DA">
          <w:rPr>
            <w:rFonts w:cs="David"/>
            <w:color w:val="0000FF"/>
            <w:sz w:val="24"/>
            <w:szCs w:val="24"/>
            <w:u w:val="single"/>
            <w:rtl/>
          </w:rPr>
          <w:t>) 63255-11-16</w:t>
        </w:r>
      </w:hyperlink>
      <w:r>
        <w:rPr>
          <w:rFonts w:cs="David"/>
          <w:sz w:val="24"/>
          <w:szCs w:val="24"/>
          <w:rtl/>
        </w:rPr>
        <w:t xml:space="preserve"> </w:t>
      </w:r>
      <w:r>
        <w:rPr>
          <w:rFonts w:cs="David"/>
          <w:b/>
          <w:bCs/>
          <w:sz w:val="24"/>
          <w:szCs w:val="24"/>
          <w:rtl/>
        </w:rPr>
        <w:t>מדינת ישראל נ' א.ט.</w:t>
      </w:r>
      <w:r>
        <w:rPr>
          <w:rFonts w:cs="David"/>
          <w:sz w:val="24"/>
          <w:szCs w:val="24"/>
          <w:rtl/>
        </w:rPr>
        <w:t xml:space="preserve"> (7.2.2018). </w:t>
      </w:r>
    </w:p>
    <w:p w14:paraId="257DE9A3" w14:textId="77777777" w:rsidR="009E648E" w:rsidRDefault="009E648E" w:rsidP="009E648E">
      <w:pPr>
        <w:pStyle w:val="1"/>
        <w:ind w:left="509" w:firstLine="0"/>
        <w:rPr>
          <w:rFonts w:cs="David"/>
          <w:sz w:val="24"/>
          <w:szCs w:val="24"/>
          <w:rtl/>
        </w:rPr>
      </w:pPr>
      <w:r>
        <w:rPr>
          <w:rFonts w:cs="David"/>
          <w:sz w:val="24"/>
          <w:szCs w:val="24"/>
          <w:rtl/>
        </w:rPr>
        <w:t>עוד צוין כי "</w:t>
      </w:r>
      <w:r>
        <w:rPr>
          <w:rFonts w:cs="David"/>
          <w:b/>
          <w:bCs/>
          <w:sz w:val="24"/>
          <w:szCs w:val="24"/>
          <w:u w:val="single"/>
          <w:rtl/>
        </w:rPr>
        <w:t>מתחם העונש ההולם את מעשי הנאשם נע בין מס' חודשי עבודות שירות ברף התחתון לבין תשעה חודשים ברף העליון</w:t>
      </w:r>
      <w:r>
        <w:rPr>
          <w:rFonts w:cs="David"/>
          <w:sz w:val="24"/>
          <w:szCs w:val="24"/>
          <w:rtl/>
        </w:rPr>
        <w:t>" [ההדגשה היא במקור].</w:t>
      </w:r>
    </w:p>
    <w:p w14:paraId="6A78D0C7" w14:textId="77777777" w:rsidR="009E648E" w:rsidRDefault="009E648E" w:rsidP="009E648E">
      <w:pPr>
        <w:pStyle w:val="1"/>
        <w:ind w:left="509" w:firstLine="0"/>
        <w:rPr>
          <w:rFonts w:cs="David"/>
          <w:sz w:val="24"/>
          <w:szCs w:val="24"/>
          <w:rtl/>
        </w:rPr>
      </w:pPr>
      <w:r>
        <w:rPr>
          <w:rFonts w:cs="David"/>
          <w:sz w:val="24"/>
          <w:szCs w:val="24"/>
          <w:rtl/>
        </w:rPr>
        <w:t xml:space="preserve">ב"כ הנאשם הטעים כי הנאשם מועסק כיום כסמנכ"ל שיווק ופיתוח עסקי בחברה המפתחת דיו חדשני להדפסה דיגיטלית, ובמידה שעונשו יהא ברף העליון של עבודות השירות הוא יאבד ככל הנראה את עבודתו בחברה, בשל העובדה כי החברה לא תוכל להישאר ללא סמנכ"ל שיווק במשך תקופה ארוכה. </w:t>
      </w:r>
    </w:p>
    <w:p w14:paraId="37EE55D5" w14:textId="77777777" w:rsidR="009E648E" w:rsidRDefault="009E648E" w:rsidP="009E648E">
      <w:pPr>
        <w:pStyle w:val="1"/>
        <w:ind w:left="509" w:firstLine="0"/>
        <w:rPr>
          <w:rFonts w:cs="David"/>
          <w:sz w:val="24"/>
          <w:szCs w:val="24"/>
          <w:rtl/>
        </w:rPr>
      </w:pPr>
      <w:r>
        <w:rPr>
          <w:rFonts w:cs="David"/>
          <w:sz w:val="24"/>
          <w:szCs w:val="24"/>
          <w:rtl/>
        </w:rPr>
        <w:t xml:space="preserve">עוד הדגיש ב"כ הנאשם את נטילת האחריות של הנאשם על מעשיו, את חזרתו למוטב, את שיתוף הפעולה של הנאשם עם רשויות אכיפת החוק, את הודאתו של הנאשם, את נסיבות חייו הקשות וכן את עברו הנקי. </w:t>
      </w:r>
    </w:p>
    <w:p w14:paraId="4D5FA9AA" w14:textId="77777777" w:rsidR="009E648E" w:rsidRDefault="009E648E" w:rsidP="009E648E">
      <w:pPr>
        <w:pStyle w:val="1"/>
        <w:ind w:left="509" w:firstLine="0"/>
        <w:rPr>
          <w:rFonts w:cs="David"/>
          <w:sz w:val="24"/>
          <w:szCs w:val="24"/>
          <w:rtl/>
        </w:rPr>
      </w:pPr>
      <w:r>
        <w:rPr>
          <w:rFonts w:cs="David"/>
          <w:sz w:val="24"/>
          <w:szCs w:val="24"/>
          <w:rtl/>
        </w:rPr>
        <w:t xml:space="preserve">לבסוף ביקש הסניגור מבית המשפט לסטות לקולה ממתחם העונש ההולם, וזאת משיקולי שיקום. לטענת הסניגור: "הטלת ענישה מחמירה מדי במקרה זה, עלולה בהחלט לשלול מניה וביה כל המשך הליך שיקומי וכן לגרום לנסיגה מבחינת ההליך אותו עבר הנאשם". הסניגור ביקש "להושיט יד לנאשם ולתת לו הזדמנות חד פעמית ובהחלט אחרונה, הכל תוך שהנאשם נותן דברתו כי ישכיל לאחוז ביד המושטת לעברו וישכיל להמשיך לשקם את עצמו ולא להסתבך בכל מעורבות פלילית בעתיד". </w:t>
      </w:r>
    </w:p>
    <w:p w14:paraId="69FCBE10" w14:textId="77777777" w:rsidR="009E648E" w:rsidRDefault="009E648E" w:rsidP="009E648E">
      <w:pPr>
        <w:pStyle w:val="1"/>
        <w:numPr>
          <w:ilvl w:val="0"/>
          <w:numId w:val="1"/>
        </w:numPr>
        <w:ind w:left="509" w:right="0" w:hanging="425"/>
        <w:rPr>
          <w:rFonts w:ascii="David" w:hAnsi="David" w:cs="David"/>
          <w:sz w:val="24"/>
          <w:szCs w:val="24"/>
          <w:rtl/>
        </w:rPr>
      </w:pPr>
      <w:r>
        <w:rPr>
          <w:rFonts w:ascii="David" w:hAnsi="David" w:cs="David"/>
          <w:b/>
          <w:bCs/>
          <w:sz w:val="24"/>
          <w:szCs w:val="24"/>
          <w:rtl/>
        </w:rPr>
        <w:t>הנאשם מסר</w:t>
      </w:r>
      <w:r>
        <w:rPr>
          <w:rFonts w:ascii="David" w:hAnsi="David" w:cs="David"/>
          <w:sz w:val="24"/>
          <w:szCs w:val="24"/>
          <w:rtl/>
        </w:rPr>
        <w:t xml:space="preserve"> בדבריו בפני בית המשפט, בין היתר, כי: "אני נפלתי להתמכרות לקוקאין בשנת 2016 עקב כמה משברים... הייתי מובטל 3 שנים עד לפני 3 חודשים. בתי האמצעית חלתה במחלת קרוהן ואני הייתי המטפל והדואג העיקרי לה וגם לאמא שלי, טיפול שהיה מתיש ודורש הרבה מאד משאבים. ספגתי מכה כלכלית מאד קשה כשאיבדתי כספים רבים לידיד. מקום העבודה שאיבדתי זו חברה שנמצאת בפירוק היום וחייבת לי 350,000 ש"ח. אני במשבר כלכלי מאד קשה. האור בקצה המנהרה שהוא כחבל הצלה שניתן לי על ידי משפחת נור, זה דבר שמחזיק אותי מעל המים, מעבר לעזרה שקיבלתי מאחי ואחותי".</w:t>
      </w:r>
    </w:p>
    <w:p w14:paraId="20146DD1" w14:textId="77777777" w:rsidR="009E648E" w:rsidRDefault="009E648E" w:rsidP="009E648E">
      <w:pPr>
        <w:pStyle w:val="David"/>
        <w:ind w:left="509"/>
        <w:rPr>
          <w:rFonts w:ascii="David" w:hAnsi="David"/>
          <w:rtl/>
        </w:rPr>
      </w:pPr>
      <w:r>
        <w:rPr>
          <w:rFonts w:ascii="David" w:hAnsi="David"/>
          <w:rtl/>
        </w:rPr>
        <w:t xml:space="preserve">באשר להליך המשפטי ולהליך השיקומי במסגרת התיק דנן הוסיף הנאשם כי: "יום המעצר שלי הפך להיות יום ההולדת השני שלי. אני קיבלתי את החיים שלי חזרה באותו יום. הייתי במעצר בית כשנה וחצי בבית של אחי ואחותי. מיד ביציאתי ממעצר הבית קיבלתי טיפול פסיכולוגי ופסיכיאטרי, שאני מקבל עד היום. אני נמצא פעמיים בשבוע ביחידה לטיפול בהתמכרויות והולך באופן קבוע. אני מקבל על עצמי פעם נוספת אחריות מלאה על מה שעשיתי. אני מפנים לחלוטין את חומרת וגודל המעשים שעשיתי ואת חומרת העבירה שביצעתי. הדבר היחיד שאני יכול זה לבקש את רחמי ביהמ"ש ומתחנן לעונש שלא יקטע את חזרתי לחיים הנורמליים, כמעט נורמליים, שאליהם אני חוזר היום". </w:t>
      </w:r>
    </w:p>
    <w:p w14:paraId="4AC5A405" w14:textId="77777777" w:rsidR="009E648E" w:rsidRDefault="009E648E" w:rsidP="009E648E">
      <w:pPr>
        <w:spacing w:before="240"/>
        <w:ind w:left="74" w:firstLine="16"/>
        <w:rPr>
          <w:rFonts w:ascii="David" w:hAnsi="David"/>
          <w:b/>
          <w:bCs/>
          <w:u w:val="single"/>
          <w:rtl/>
        </w:rPr>
      </w:pPr>
      <w:r>
        <w:rPr>
          <w:rFonts w:ascii="David" w:hAnsi="David"/>
          <w:b/>
          <w:bCs/>
          <w:u w:val="single"/>
          <w:rtl/>
        </w:rPr>
        <w:t>דיון והכרעה</w:t>
      </w:r>
    </w:p>
    <w:p w14:paraId="1B323D65" w14:textId="77777777" w:rsidR="009E648E" w:rsidRDefault="009E648E" w:rsidP="009E648E">
      <w:pPr>
        <w:pStyle w:val="1"/>
        <w:spacing w:before="240"/>
        <w:ind w:left="515" w:firstLine="0"/>
        <w:rPr>
          <w:rFonts w:cs="David"/>
          <w:b/>
          <w:bCs/>
          <w:sz w:val="24"/>
          <w:szCs w:val="24"/>
        </w:rPr>
      </w:pPr>
      <w:r>
        <w:rPr>
          <w:rFonts w:cs="David"/>
          <w:b/>
          <w:bCs/>
          <w:sz w:val="24"/>
          <w:szCs w:val="24"/>
          <w:rtl/>
        </w:rPr>
        <w:t>כללי</w:t>
      </w:r>
    </w:p>
    <w:p w14:paraId="7169FC8B" w14:textId="77777777" w:rsidR="009E648E" w:rsidRDefault="009E648E" w:rsidP="009E648E">
      <w:pPr>
        <w:pStyle w:val="1"/>
        <w:numPr>
          <w:ilvl w:val="0"/>
          <w:numId w:val="1"/>
        </w:numPr>
        <w:ind w:left="509" w:right="0" w:hanging="425"/>
        <w:rPr>
          <w:rFonts w:cs="David"/>
          <w:sz w:val="24"/>
          <w:szCs w:val="24"/>
          <w:rtl/>
        </w:rPr>
      </w:pPr>
      <w:r>
        <w:rPr>
          <w:rFonts w:cs="David"/>
          <w:sz w:val="24"/>
          <w:szCs w:val="24"/>
          <w:rtl/>
        </w:rPr>
        <w:t xml:space="preserve">בהתאם </w:t>
      </w:r>
      <w:hyperlink r:id="rId46" w:history="1">
        <w:r w:rsidR="0022143D" w:rsidRPr="0022143D">
          <w:rPr>
            <w:rFonts w:cs="David" w:hint="eastAsia"/>
            <w:color w:val="0000FF"/>
            <w:sz w:val="24"/>
            <w:szCs w:val="24"/>
            <w:u w:val="single"/>
            <w:rtl/>
          </w:rPr>
          <w:t>לסעיף</w:t>
        </w:r>
        <w:r w:rsidR="0022143D" w:rsidRPr="0022143D">
          <w:rPr>
            <w:rFonts w:cs="David"/>
            <w:color w:val="0000FF"/>
            <w:sz w:val="24"/>
            <w:szCs w:val="24"/>
            <w:u w:val="single"/>
            <w:rtl/>
          </w:rPr>
          <w:t xml:space="preserve"> 40</w:t>
        </w:r>
        <w:r w:rsidR="0022143D" w:rsidRPr="0022143D">
          <w:rPr>
            <w:rFonts w:cs="David" w:hint="eastAsia"/>
            <w:color w:val="0000FF"/>
            <w:sz w:val="24"/>
            <w:szCs w:val="24"/>
            <w:u w:val="single"/>
            <w:rtl/>
          </w:rPr>
          <w:t>ב</w:t>
        </w:r>
      </w:hyperlink>
      <w:r>
        <w:rPr>
          <w:rFonts w:cs="David"/>
          <w:sz w:val="24"/>
          <w:szCs w:val="24"/>
          <w:rtl/>
        </w:rPr>
        <w:t xml:space="preserve"> ל</w:t>
      </w:r>
      <w:hyperlink r:id="rId47" w:history="1">
        <w:r w:rsidR="002D24DA" w:rsidRPr="002D24DA">
          <w:rPr>
            <w:rFonts w:cs="David" w:hint="eastAsia"/>
            <w:color w:val="0000FF"/>
            <w:sz w:val="24"/>
            <w:szCs w:val="24"/>
            <w:u w:val="single"/>
            <w:rtl/>
          </w:rPr>
          <w:t>חוק</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העונשין</w:t>
        </w:r>
      </w:hyperlink>
      <w:r>
        <w:rPr>
          <w:rFonts w:cs="David"/>
          <w:sz w:val="24"/>
          <w:szCs w:val="24"/>
          <w:rtl/>
        </w:rPr>
        <w:t>, התשל"ז-1977 (להלן: "</w:t>
      </w:r>
      <w:r>
        <w:rPr>
          <w:rFonts w:cs="David"/>
          <w:b/>
          <w:bCs/>
          <w:sz w:val="24"/>
          <w:szCs w:val="24"/>
          <w:rtl/>
        </w:rPr>
        <w:t>חוק העונשין</w:t>
      </w:r>
      <w:r>
        <w:rPr>
          <w:rFonts w:cs="David"/>
          <w:sz w:val="24"/>
          <w:szCs w:val="24"/>
          <w:rtl/>
        </w:rPr>
        <w:t>" או "</w:t>
      </w:r>
      <w:r>
        <w:rPr>
          <w:rFonts w:cs="David"/>
          <w:b/>
          <w:bCs/>
          <w:sz w:val="24"/>
          <w:szCs w:val="24"/>
          <w:rtl/>
        </w:rPr>
        <w:t>החוק</w:t>
      </w:r>
      <w:r>
        <w:rPr>
          <w:rFonts w:cs="David"/>
          <w:sz w:val="24"/>
          <w:szCs w:val="24"/>
          <w:rtl/>
        </w:rPr>
        <w:t xml:space="preserve">"), </w:t>
      </w:r>
      <w:r>
        <w:rPr>
          <w:rFonts w:cs="David"/>
          <w:b/>
          <w:bCs/>
          <w:sz w:val="24"/>
          <w:szCs w:val="24"/>
          <w:rtl/>
        </w:rPr>
        <w:t>העיקרון המנחה</w:t>
      </w:r>
      <w:r>
        <w:rPr>
          <w:rFonts w:cs="David"/>
          <w:sz w:val="24"/>
          <w:szCs w:val="24"/>
          <w:rtl/>
        </w:rPr>
        <w:t xml:space="preserve"> בענישה הוא </w:t>
      </w:r>
      <w:r>
        <w:rPr>
          <w:rFonts w:cs="David"/>
          <w:b/>
          <w:bCs/>
          <w:sz w:val="24"/>
          <w:szCs w:val="24"/>
          <w:rtl/>
        </w:rPr>
        <w:t>עקרון ההלימה</w:t>
      </w:r>
      <w:r>
        <w:rPr>
          <w:rFonts w:cs="David"/>
          <w:sz w:val="24"/>
          <w:szCs w:val="24"/>
          <w:rtl/>
        </w:rPr>
        <w:t xml:space="preserve">, דהיינו קיומו של יחס הולם בין חומרת מעשה העבירה בנסיבותיו ומידת אשמו של הנאשם ובין סוג ומידת העונש המוטל עליו. </w:t>
      </w:r>
    </w:p>
    <w:p w14:paraId="0A0A4AD3" w14:textId="77777777" w:rsidR="009E648E" w:rsidRDefault="009E648E" w:rsidP="009E648E">
      <w:pPr>
        <w:pStyle w:val="1"/>
        <w:numPr>
          <w:ilvl w:val="0"/>
          <w:numId w:val="1"/>
        </w:numPr>
        <w:spacing w:after="0"/>
        <w:ind w:left="509" w:right="0" w:hanging="425"/>
        <w:rPr>
          <w:rFonts w:cs="David"/>
          <w:sz w:val="24"/>
          <w:szCs w:val="24"/>
        </w:rPr>
      </w:pPr>
      <w:r>
        <w:rPr>
          <w:rFonts w:cs="David"/>
          <w:sz w:val="24"/>
          <w:szCs w:val="24"/>
          <w:rtl/>
        </w:rPr>
        <w:t xml:space="preserve">בהתאם </w:t>
      </w:r>
      <w:hyperlink r:id="rId48" w:history="1">
        <w:r w:rsidR="0022143D" w:rsidRPr="0022143D">
          <w:rPr>
            <w:rFonts w:cs="David" w:hint="eastAsia"/>
            <w:color w:val="0000FF"/>
            <w:sz w:val="24"/>
            <w:szCs w:val="24"/>
            <w:u w:val="single"/>
            <w:rtl/>
          </w:rPr>
          <w:t>לסעיף</w:t>
        </w:r>
        <w:r w:rsidR="0022143D" w:rsidRPr="0022143D">
          <w:rPr>
            <w:rFonts w:cs="David"/>
            <w:color w:val="0000FF"/>
            <w:sz w:val="24"/>
            <w:szCs w:val="24"/>
            <w:u w:val="single"/>
            <w:rtl/>
          </w:rPr>
          <w:t xml:space="preserve"> 40</w:t>
        </w:r>
        <w:r w:rsidR="0022143D" w:rsidRPr="0022143D">
          <w:rPr>
            <w:rFonts w:cs="David" w:hint="eastAsia"/>
            <w:color w:val="0000FF"/>
            <w:sz w:val="24"/>
            <w:szCs w:val="24"/>
            <w:u w:val="single"/>
            <w:rtl/>
          </w:rPr>
          <w:t>ג</w:t>
        </w:r>
        <w:r w:rsidR="0022143D" w:rsidRPr="0022143D">
          <w:rPr>
            <w:rFonts w:cs="David"/>
            <w:color w:val="0000FF"/>
            <w:sz w:val="24"/>
            <w:szCs w:val="24"/>
            <w:u w:val="single"/>
            <w:rtl/>
          </w:rPr>
          <w:t>(</w:t>
        </w:r>
        <w:r w:rsidR="0022143D" w:rsidRPr="0022143D">
          <w:rPr>
            <w:rFonts w:cs="David" w:hint="eastAsia"/>
            <w:color w:val="0000FF"/>
            <w:sz w:val="24"/>
            <w:szCs w:val="24"/>
            <w:u w:val="single"/>
            <w:rtl/>
          </w:rPr>
          <w:t>א</w:t>
        </w:r>
        <w:r w:rsidR="0022143D" w:rsidRPr="0022143D">
          <w:rPr>
            <w:rFonts w:cs="David"/>
            <w:color w:val="0000FF"/>
            <w:sz w:val="24"/>
            <w:szCs w:val="24"/>
            <w:u w:val="single"/>
            <w:rtl/>
          </w:rPr>
          <w:t>)</w:t>
        </w:r>
      </w:hyperlink>
      <w:r>
        <w:rPr>
          <w:rFonts w:cs="David"/>
          <w:sz w:val="24"/>
          <w:szCs w:val="24"/>
          <w:rtl/>
        </w:rPr>
        <w:t xml:space="preserve"> לחוק, בקביעת </w:t>
      </w:r>
      <w:r>
        <w:rPr>
          <w:rFonts w:cs="David"/>
          <w:b/>
          <w:bCs/>
          <w:sz w:val="24"/>
          <w:szCs w:val="24"/>
          <w:rtl/>
        </w:rPr>
        <w:t>מתחם העונש ההולם</w:t>
      </w:r>
      <w:r>
        <w:rPr>
          <w:rFonts w:cs="David"/>
          <w:sz w:val="24"/>
          <w:szCs w:val="24"/>
          <w:rtl/>
        </w:rPr>
        <w:t xml:space="preserve"> על בית המשפט להתחשב בעיקרון המנחה, הוא כאמור </w:t>
      </w:r>
      <w:r>
        <w:rPr>
          <w:rFonts w:cs="David"/>
          <w:b/>
          <w:bCs/>
          <w:sz w:val="24"/>
          <w:szCs w:val="24"/>
          <w:rtl/>
        </w:rPr>
        <w:t>עקרון ההלימה</w:t>
      </w:r>
      <w:r>
        <w:rPr>
          <w:rFonts w:cs="David"/>
          <w:sz w:val="24"/>
          <w:szCs w:val="24"/>
          <w:rtl/>
        </w:rPr>
        <w:t xml:space="preserve">, ולשם כך יתחשב בית המשפט בפרמטרים הבאים: </w:t>
      </w:r>
      <w:r>
        <w:rPr>
          <w:rFonts w:cs="David"/>
          <w:b/>
          <w:bCs/>
          <w:sz w:val="24"/>
          <w:szCs w:val="24"/>
          <w:rtl/>
        </w:rPr>
        <w:t xml:space="preserve">הערך החברתי שנפגע </w:t>
      </w:r>
      <w:r>
        <w:rPr>
          <w:rFonts w:cs="David"/>
          <w:sz w:val="24"/>
          <w:szCs w:val="24"/>
          <w:rtl/>
        </w:rPr>
        <w:t xml:space="preserve">מביצוע העבירה </w:t>
      </w:r>
      <w:r>
        <w:rPr>
          <w:rFonts w:cs="David"/>
          <w:b/>
          <w:bCs/>
          <w:sz w:val="24"/>
          <w:szCs w:val="24"/>
          <w:rtl/>
        </w:rPr>
        <w:t>ומידת הפגיעה</w:t>
      </w:r>
      <w:r>
        <w:rPr>
          <w:rFonts w:cs="David"/>
          <w:sz w:val="24"/>
          <w:szCs w:val="24"/>
          <w:rtl/>
        </w:rPr>
        <w:t xml:space="preserve"> בו, </w:t>
      </w:r>
      <w:r>
        <w:rPr>
          <w:rFonts w:cs="David"/>
          <w:b/>
          <w:bCs/>
          <w:sz w:val="24"/>
          <w:szCs w:val="24"/>
          <w:rtl/>
        </w:rPr>
        <w:t>נסיבות הקשורות בביצוע העבירה</w:t>
      </w:r>
      <w:r>
        <w:rPr>
          <w:rFonts w:cs="David"/>
          <w:sz w:val="24"/>
          <w:szCs w:val="24"/>
          <w:rtl/>
        </w:rPr>
        <w:t xml:space="preserve">, כמפורט </w:t>
      </w:r>
      <w:hyperlink r:id="rId49" w:history="1">
        <w:r w:rsidR="0022143D" w:rsidRPr="0022143D">
          <w:rPr>
            <w:rFonts w:cs="David" w:hint="eastAsia"/>
            <w:color w:val="0000FF"/>
            <w:sz w:val="24"/>
            <w:szCs w:val="24"/>
            <w:u w:val="single"/>
            <w:rtl/>
          </w:rPr>
          <w:t>בסעיף</w:t>
        </w:r>
        <w:r w:rsidR="0022143D" w:rsidRPr="0022143D">
          <w:rPr>
            <w:rFonts w:cs="David"/>
            <w:color w:val="0000FF"/>
            <w:sz w:val="24"/>
            <w:szCs w:val="24"/>
            <w:u w:val="single"/>
            <w:rtl/>
          </w:rPr>
          <w:t xml:space="preserve"> 40</w:t>
        </w:r>
        <w:r w:rsidR="0022143D" w:rsidRPr="0022143D">
          <w:rPr>
            <w:rFonts w:cs="David" w:hint="eastAsia"/>
            <w:color w:val="0000FF"/>
            <w:sz w:val="24"/>
            <w:szCs w:val="24"/>
            <w:u w:val="single"/>
            <w:rtl/>
          </w:rPr>
          <w:t>ט</w:t>
        </w:r>
      </w:hyperlink>
      <w:r>
        <w:rPr>
          <w:rFonts w:cs="David"/>
          <w:sz w:val="24"/>
          <w:szCs w:val="24"/>
          <w:rtl/>
        </w:rPr>
        <w:t xml:space="preserve"> ל</w:t>
      </w:r>
      <w:hyperlink r:id="rId50" w:history="1">
        <w:r w:rsidR="002D24DA" w:rsidRPr="002D24DA">
          <w:rPr>
            <w:rFonts w:cs="David" w:hint="eastAsia"/>
            <w:color w:val="0000FF"/>
            <w:sz w:val="24"/>
            <w:szCs w:val="24"/>
            <w:u w:val="single"/>
            <w:rtl/>
          </w:rPr>
          <w:t>חוק</w:t>
        </w:r>
        <w:r w:rsidR="002D24DA" w:rsidRPr="002D24DA">
          <w:rPr>
            <w:rFonts w:cs="David"/>
            <w:color w:val="0000FF"/>
            <w:sz w:val="24"/>
            <w:szCs w:val="24"/>
            <w:u w:val="single"/>
            <w:rtl/>
          </w:rPr>
          <w:t xml:space="preserve"> </w:t>
        </w:r>
        <w:r w:rsidR="002D24DA" w:rsidRPr="002D24DA">
          <w:rPr>
            <w:rFonts w:cs="David" w:hint="eastAsia"/>
            <w:color w:val="0000FF"/>
            <w:sz w:val="24"/>
            <w:szCs w:val="24"/>
            <w:u w:val="single"/>
            <w:rtl/>
          </w:rPr>
          <w:t>העונשין</w:t>
        </w:r>
      </w:hyperlink>
      <w:r>
        <w:rPr>
          <w:rFonts w:cs="David"/>
          <w:sz w:val="24"/>
          <w:szCs w:val="24"/>
          <w:rtl/>
        </w:rPr>
        <w:t xml:space="preserve">, </w:t>
      </w:r>
      <w:r>
        <w:rPr>
          <w:rFonts w:cs="David"/>
          <w:b/>
          <w:bCs/>
          <w:sz w:val="24"/>
          <w:szCs w:val="24"/>
          <w:rtl/>
        </w:rPr>
        <w:t>ומדיניות הענישה</w:t>
      </w:r>
      <w:r>
        <w:rPr>
          <w:rFonts w:cs="David"/>
          <w:sz w:val="24"/>
          <w:szCs w:val="24"/>
          <w:rtl/>
        </w:rPr>
        <w:t xml:space="preserve"> </w:t>
      </w:r>
      <w:r>
        <w:rPr>
          <w:rFonts w:cs="David"/>
          <w:b/>
          <w:bCs/>
          <w:sz w:val="24"/>
          <w:szCs w:val="24"/>
          <w:rtl/>
        </w:rPr>
        <w:t>הנהוגה</w:t>
      </w:r>
      <w:r>
        <w:rPr>
          <w:rFonts w:cs="David"/>
          <w:sz w:val="24"/>
          <w:szCs w:val="24"/>
          <w:rtl/>
        </w:rPr>
        <w:t xml:space="preserve"> [ראו, למשל, </w:t>
      </w:r>
      <w:hyperlink r:id="rId51"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2918/13</w:t>
        </w:r>
      </w:hyperlink>
      <w:r>
        <w:rPr>
          <w:rFonts w:cs="David"/>
          <w:sz w:val="24"/>
          <w:szCs w:val="24"/>
          <w:rtl/>
        </w:rPr>
        <w:t xml:space="preserve"> </w:t>
      </w:r>
      <w:r>
        <w:rPr>
          <w:rFonts w:cs="David"/>
          <w:b/>
          <w:bCs/>
          <w:sz w:val="24"/>
          <w:szCs w:val="24"/>
          <w:rtl/>
        </w:rPr>
        <w:t>דבס נ' מדינת ישראל,</w:t>
      </w:r>
      <w:r>
        <w:rPr>
          <w:rFonts w:cs="David"/>
          <w:sz w:val="24"/>
          <w:szCs w:val="24"/>
          <w:rtl/>
        </w:rPr>
        <w:t xml:space="preserve"> בפסקה 6 (18.7.2013); </w:t>
      </w:r>
      <w:hyperlink r:id="rId52"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8641/12</w:t>
        </w:r>
      </w:hyperlink>
      <w:r>
        <w:rPr>
          <w:rFonts w:cs="David"/>
          <w:sz w:val="24"/>
          <w:szCs w:val="24"/>
          <w:rtl/>
        </w:rPr>
        <w:t xml:space="preserve"> </w:t>
      </w:r>
      <w:r>
        <w:rPr>
          <w:rFonts w:cs="David"/>
          <w:b/>
          <w:bCs/>
          <w:sz w:val="24"/>
          <w:szCs w:val="24"/>
          <w:rtl/>
        </w:rPr>
        <w:t>סעד נ' מדינת ישראל</w:t>
      </w:r>
      <w:r>
        <w:rPr>
          <w:rFonts w:cs="David"/>
          <w:sz w:val="24"/>
          <w:szCs w:val="24"/>
          <w:rtl/>
        </w:rPr>
        <w:t xml:space="preserve">, בפסקאות 29-18 לחוות דעתו של כב' השופט נ' סולברג (5.8.2013); </w:t>
      </w:r>
      <w:hyperlink r:id="rId53"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4741/13</w:t>
        </w:r>
      </w:hyperlink>
      <w:r>
        <w:rPr>
          <w:rFonts w:cs="David"/>
          <w:sz w:val="24"/>
          <w:szCs w:val="24"/>
          <w:rtl/>
        </w:rPr>
        <w:t xml:space="preserve"> </w:t>
      </w:r>
      <w:r>
        <w:rPr>
          <w:rFonts w:cs="David"/>
          <w:b/>
          <w:bCs/>
          <w:sz w:val="24"/>
          <w:szCs w:val="24"/>
          <w:rtl/>
        </w:rPr>
        <w:t>מדינת ישראל נ'</w:t>
      </w:r>
      <w:r>
        <w:rPr>
          <w:rFonts w:cs="David"/>
          <w:sz w:val="24"/>
          <w:szCs w:val="24"/>
          <w:rtl/>
        </w:rPr>
        <w:t xml:space="preserve"> </w:t>
      </w:r>
      <w:r>
        <w:rPr>
          <w:rFonts w:cs="David"/>
          <w:b/>
          <w:bCs/>
          <w:sz w:val="24"/>
          <w:szCs w:val="24"/>
          <w:rtl/>
        </w:rPr>
        <w:t>נעאמנה</w:t>
      </w:r>
      <w:r>
        <w:rPr>
          <w:rFonts w:cs="David"/>
          <w:sz w:val="24"/>
          <w:szCs w:val="24"/>
          <w:rtl/>
        </w:rPr>
        <w:t>, בפסקה 13 (10.6.2014)].</w:t>
      </w:r>
    </w:p>
    <w:p w14:paraId="47E52A89" w14:textId="77777777" w:rsidR="009E648E" w:rsidRDefault="009E648E" w:rsidP="009E648E">
      <w:pPr>
        <w:pStyle w:val="1"/>
        <w:numPr>
          <w:ilvl w:val="0"/>
          <w:numId w:val="1"/>
        </w:numPr>
        <w:spacing w:before="240"/>
        <w:ind w:left="509" w:right="0" w:hanging="425"/>
        <w:rPr>
          <w:rFonts w:ascii="Times" w:hAnsi="Times" w:cs="David"/>
          <w:sz w:val="24"/>
          <w:szCs w:val="24"/>
          <w:lang w:eastAsia="he-IL"/>
        </w:rPr>
      </w:pPr>
      <w:r>
        <w:rPr>
          <w:rFonts w:ascii="Times" w:hAnsi="Times" w:cs="David"/>
          <w:b/>
          <w:bCs/>
          <w:sz w:val="24"/>
          <w:szCs w:val="24"/>
          <w:rtl/>
          <w:lang w:eastAsia="he-IL"/>
        </w:rPr>
        <w:t>גזירת העונש המתאים</w:t>
      </w:r>
      <w:r>
        <w:rPr>
          <w:rFonts w:ascii="Times" w:hAnsi="Times" w:cs="David"/>
          <w:sz w:val="24"/>
          <w:szCs w:val="24"/>
          <w:rtl/>
          <w:lang w:eastAsia="he-IL"/>
        </w:rPr>
        <w:t xml:space="preserve"> – בהתאם </w:t>
      </w:r>
      <w:hyperlink r:id="rId54" w:history="1">
        <w:r w:rsidR="0022143D" w:rsidRPr="0022143D">
          <w:rPr>
            <w:rFonts w:ascii="Times" w:hAnsi="Times" w:cs="David"/>
            <w:color w:val="0000FF"/>
            <w:sz w:val="24"/>
            <w:szCs w:val="24"/>
            <w:u w:val="single"/>
            <w:rtl/>
            <w:lang w:eastAsia="he-IL"/>
          </w:rPr>
          <w:t>לסעיף 40ג(ב)</w:t>
        </w:r>
      </w:hyperlink>
      <w:r>
        <w:rPr>
          <w:rFonts w:ascii="Times" w:hAnsi="Times" w:cs="David"/>
          <w:sz w:val="24"/>
          <w:szCs w:val="24"/>
          <w:rtl/>
          <w:lang w:eastAsia="he-IL"/>
        </w:rPr>
        <w:t xml:space="preserve"> לחוק, בגזירת העונש המתאים לנאשם, רשאי בית המשפט להתחשב בהתקיימות </w:t>
      </w:r>
      <w:r>
        <w:rPr>
          <w:rFonts w:ascii="Times" w:hAnsi="Times" w:cs="David"/>
          <w:b/>
          <w:bCs/>
          <w:sz w:val="24"/>
          <w:szCs w:val="24"/>
          <w:rtl/>
          <w:lang w:eastAsia="he-IL"/>
        </w:rPr>
        <w:t>נסיבות שאינן קשורות בביצוע העבירה,</w:t>
      </w:r>
      <w:r>
        <w:rPr>
          <w:rFonts w:ascii="Times" w:hAnsi="Times" w:cs="David"/>
          <w:sz w:val="24"/>
          <w:szCs w:val="24"/>
          <w:rtl/>
          <w:lang w:eastAsia="he-IL"/>
        </w:rPr>
        <w:t xml:space="preserve"> כמפורט </w:t>
      </w:r>
      <w:hyperlink r:id="rId55" w:history="1">
        <w:r w:rsidR="0022143D" w:rsidRPr="0022143D">
          <w:rPr>
            <w:rFonts w:ascii="Times" w:hAnsi="Times" w:cs="David"/>
            <w:color w:val="0000FF"/>
            <w:sz w:val="24"/>
            <w:szCs w:val="24"/>
            <w:u w:val="single"/>
            <w:rtl/>
            <w:lang w:eastAsia="he-IL"/>
          </w:rPr>
          <w:t>בסעיף 40יא</w:t>
        </w:r>
      </w:hyperlink>
      <w:r>
        <w:rPr>
          <w:rFonts w:ascii="Times" w:hAnsi="Times" w:cs="David"/>
          <w:sz w:val="24"/>
          <w:szCs w:val="24"/>
          <w:rtl/>
          <w:lang w:eastAsia="he-IL"/>
        </w:rPr>
        <w:t xml:space="preserve"> לחוק. </w:t>
      </w:r>
    </w:p>
    <w:p w14:paraId="3D9DB837" w14:textId="77777777" w:rsidR="009E648E" w:rsidRDefault="009E648E" w:rsidP="009E648E">
      <w:pPr>
        <w:pStyle w:val="1"/>
        <w:spacing w:before="240"/>
        <w:ind w:left="509" w:firstLine="0"/>
        <w:rPr>
          <w:rFonts w:cs="David"/>
          <w:sz w:val="24"/>
          <w:szCs w:val="24"/>
        </w:rPr>
      </w:pPr>
      <w:r>
        <w:rPr>
          <w:rFonts w:cs="David"/>
          <w:sz w:val="24"/>
          <w:szCs w:val="24"/>
          <w:rtl/>
        </w:rPr>
        <w:t xml:space="preserve">כמו כן, רשאי בית המשפט להתחשב בשיקולי </w:t>
      </w:r>
      <w:r>
        <w:rPr>
          <w:rFonts w:cs="David"/>
          <w:b/>
          <w:bCs/>
          <w:sz w:val="24"/>
          <w:szCs w:val="24"/>
          <w:rtl/>
        </w:rPr>
        <w:t xml:space="preserve">הרתעה אישית </w:t>
      </w:r>
      <w:r>
        <w:rPr>
          <w:rFonts w:cs="David"/>
          <w:sz w:val="24"/>
          <w:szCs w:val="24"/>
          <w:rtl/>
        </w:rPr>
        <w:t>(</w:t>
      </w:r>
      <w:hyperlink r:id="rId56" w:history="1">
        <w:r w:rsidR="0022143D" w:rsidRPr="0022143D">
          <w:rPr>
            <w:rFonts w:cs="David" w:hint="eastAsia"/>
            <w:color w:val="0000FF"/>
            <w:sz w:val="24"/>
            <w:szCs w:val="24"/>
            <w:u w:val="single"/>
            <w:rtl/>
          </w:rPr>
          <w:t>סעיף</w:t>
        </w:r>
        <w:r w:rsidR="0022143D" w:rsidRPr="0022143D">
          <w:rPr>
            <w:rFonts w:cs="David"/>
            <w:color w:val="0000FF"/>
            <w:sz w:val="24"/>
            <w:szCs w:val="24"/>
            <w:u w:val="single"/>
            <w:rtl/>
          </w:rPr>
          <w:t xml:space="preserve"> 40</w:t>
        </w:r>
        <w:r w:rsidR="0022143D" w:rsidRPr="0022143D">
          <w:rPr>
            <w:rFonts w:cs="David" w:hint="eastAsia"/>
            <w:color w:val="0000FF"/>
            <w:sz w:val="24"/>
            <w:szCs w:val="24"/>
            <w:u w:val="single"/>
            <w:rtl/>
          </w:rPr>
          <w:t>ו</w:t>
        </w:r>
      </w:hyperlink>
      <w:r>
        <w:rPr>
          <w:rFonts w:cs="David"/>
          <w:sz w:val="24"/>
          <w:szCs w:val="24"/>
          <w:rtl/>
        </w:rPr>
        <w:t xml:space="preserve"> לחוק) </w:t>
      </w:r>
      <w:r>
        <w:rPr>
          <w:rFonts w:cs="David"/>
          <w:b/>
          <w:bCs/>
          <w:sz w:val="24"/>
          <w:szCs w:val="24"/>
          <w:rtl/>
        </w:rPr>
        <w:t xml:space="preserve">והרתעת הרבים </w:t>
      </w:r>
      <w:r>
        <w:rPr>
          <w:rFonts w:cs="David"/>
          <w:sz w:val="24"/>
          <w:szCs w:val="24"/>
          <w:rtl/>
        </w:rPr>
        <w:t>(</w:t>
      </w:r>
      <w:hyperlink r:id="rId57" w:history="1">
        <w:r w:rsidR="0022143D" w:rsidRPr="0022143D">
          <w:rPr>
            <w:rFonts w:cs="David" w:hint="eastAsia"/>
            <w:color w:val="0000FF"/>
            <w:sz w:val="24"/>
            <w:szCs w:val="24"/>
            <w:u w:val="single"/>
            <w:rtl/>
          </w:rPr>
          <w:t>סעיף</w:t>
        </w:r>
        <w:r w:rsidR="0022143D" w:rsidRPr="0022143D">
          <w:rPr>
            <w:rFonts w:cs="David"/>
            <w:color w:val="0000FF"/>
            <w:sz w:val="24"/>
            <w:szCs w:val="24"/>
            <w:u w:val="single"/>
            <w:rtl/>
          </w:rPr>
          <w:t xml:space="preserve"> 40</w:t>
        </w:r>
        <w:r w:rsidR="0022143D" w:rsidRPr="0022143D">
          <w:rPr>
            <w:rFonts w:cs="David" w:hint="eastAsia"/>
            <w:color w:val="0000FF"/>
            <w:sz w:val="24"/>
            <w:szCs w:val="24"/>
            <w:u w:val="single"/>
            <w:rtl/>
          </w:rPr>
          <w:t>ז</w:t>
        </w:r>
      </w:hyperlink>
      <w:r>
        <w:rPr>
          <w:rFonts w:cs="David"/>
          <w:sz w:val="24"/>
          <w:szCs w:val="24"/>
          <w:rtl/>
        </w:rPr>
        <w:t xml:space="preserve"> לחוק), </w:t>
      </w:r>
      <w:r>
        <w:rPr>
          <w:rFonts w:cs="David"/>
          <w:b/>
          <w:bCs/>
          <w:sz w:val="24"/>
          <w:szCs w:val="24"/>
          <w:rtl/>
        </w:rPr>
        <w:t xml:space="preserve">ובלבד </w:t>
      </w:r>
      <w:r>
        <w:rPr>
          <w:rFonts w:cs="David"/>
          <w:sz w:val="24"/>
          <w:szCs w:val="24"/>
          <w:rtl/>
        </w:rPr>
        <w:t>שהעונש לא יחרוג ממתחם העונש ההולם.</w:t>
      </w:r>
    </w:p>
    <w:p w14:paraId="66B0E5C7" w14:textId="77777777" w:rsidR="009E648E" w:rsidRDefault="009E648E" w:rsidP="009E648E">
      <w:pPr>
        <w:pStyle w:val="1"/>
        <w:numPr>
          <w:ilvl w:val="0"/>
          <w:numId w:val="1"/>
        </w:numPr>
        <w:spacing w:before="240"/>
        <w:ind w:left="509" w:right="0" w:hanging="425"/>
        <w:rPr>
          <w:rFonts w:ascii="Times" w:hAnsi="Times" w:cs="David"/>
          <w:sz w:val="24"/>
          <w:szCs w:val="24"/>
          <w:lang w:eastAsia="he-IL"/>
        </w:rPr>
      </w:pPr>
      <w:r>
        <w:rPr>
          <w:rFonts w:ascii="Times" w:hAnsi="Times" w:cs="David"/>
          <w:b/>
          <w:bCs/>
          <w:sz w:val="24"/>
          <w:szCs w:val="24"/>
          <w:rtl/>
          <w:lang w:eastAsia="he-IL"/>
        </w:rPr>
        <w:t>חריגה ממתחם העונש ההולם</w:t>
      </w:r>
      <w:r>
        <w:rPr>
          <w:rFonts w:ascii="Times" w:hAnsi="Times" w:cs="David"/>
          <w:sz w:val="24"/>
          <w:szCs w:val="24"/>
          <w:rtl/>
          <w:lang w:eastAsia="he-IL"/>
        </w:rPr>
        <w:t xml:space="preserve"> – בהתאם </w:t>
      </w:r>
      <w:hyperlink r:id="rId58" w:history="1">
        <w:r w:rsidR="0022143D" w:rsidRPr="0022143D">
          <w:rPr>
            <w:rFonts w:ascii="Times" w:hAnsi="Times" w:cs="David"/>
            <w:color w:val="0000FF"/>
            <w:sz w:val="24"/>
            <w:szCs w:val="24"/>
            <w:u w:val="single"/>
            <w:rtl/>
            <w:lang w:eastAsia="he-IL"/>
          </w:rPr>
          <w:t>לסעיפים 40ד-ה</w:t>
        </w:r>
      </w:hyperlink>
      <w:r>
        <w:rPr>
          <w:rFonts w:ascii="Times" w:hAnsi="Times" w:cs="David"/>
          <w:sz w:val="24"/>
          <w:szCs w:val="24"/>
          <w:rtl/>
          <w:lang w:eastAsia="he-IL"/>
        </w:rPr>
        <w:t xml:space="preserve"> לחוק, ניתן לחרוג ממתחם העונש ההולם, בין אם </w:t>
      </w:r>
      <w:r w:rsidRPr="00C8029C">
        <w:rPr>
          <w:rFonts w:ascii="Times" w:hAnsi="Times" w:cs="David"/>
          <w:b/>
          <w:bCs/>
          <w:sz w:val="24"/>
          <w:szCs w:val="24"/>
          <w:rtl/>
          <w:lang w:eastAsia="he-IL"/>
        </w:rPr>
        <w:t>לקולה משיקולי שיקום</w:t>
      </w:r>
      <w:r>
        <w:rPr>
          <w:rFonts w:ascii="Times" w:hAnsi="Times" w:cs="David"/>
          <w:sz w:val="24"/>
          <w:szCs w:val="24"/>
          <w:rtl/>
          <w:lang w:eastAsia="he-IL"/>
        </w:rPr>
        <w:t xml:space="preserve">, ובין אם </w:t>
      </w:r>
      <w:r w:rsidRPr="00C8029C">
        <w:rPr>
          <w:rFonts w:ascii="Times" w:hAnsi="Times" w:cs="David"/>
          <w:b/>
          <w:bCs/>
          <w:sz w:val="24"/>
          <w:szCs w:val="24"/>
          <w:rtl/>
          <w:lang w:eastAsia="he-IL"/>
        </w:rPr>
        <w:t>לחומרה</w:t>
      </w:r>
      <w:r>
        <w:rPr>
          <w:rFonts w:ascii="Times" w:hAnsi="Times" w:cs="David"/>
          <w:sz w:val="24"/>
          <w:szCs w:val="24"/>
          <w:rtl/>
          <w:lang w:eastAsia="he-IL"/>
        </w:rPr>
        <w:t xml:space="preserve"> משיקולים של </w:t>
      </w:r>
      <w:r w:rsidRPr="00C8029C">
        <w:rPr>
          <w:rFonts w:ascii="Times" w:hAnsi="Times" w:cs="David"/>
          <w:b/>
          <w:bCs/>
          <w:sz w:val="24"/>
          <w:szCs w:val="24"/>
          <w:rtl/>
          <w:lang w:eastAsia="he-IL"/>
        </w:rPr>
        <w:t>הגנה על שלום הציבור</w:t>
      </w:r>
      <w:r>
        <w:rPr>
          <w:rFonts w:ascii="Times" w:hAnsi="Times" w:cs="David"/>
          <w:sz w:val="24"/>
          <w:szCs w:val="24"/>
          <w:rtl/>
          <w:lang w:eastAsia="he-IL"/>
        </w:rPr>
        <w:t xml:space="preserve">. </w:t>
      </w:r>
    </w:p>
    <w:p w14:paraId="2B6BEE4B" w14:textId="77777777" w:rsidR="009E648E" w:rsidRDefault="009E648E" w:rsidP="009E648E">
      <w:pPr>
        <w:pStyle w:val="1"/>
        <w:spacing w:before="240"/>
        <w:ind w:left="515" w:firstLine="0"/>
        <w:rPr>
          <w:rFonts w:cs="David"/>
          <w:b/>
          <w:bCs/>
          <w:sz w:val="24"/>
          <w:szCs w:val="24"/>
          <w:rtl/>
        </w:rPr>
      </w:pPr>
      <w:r>
        <w:rPr>
          <w:rFonts w:cs="David"/>
          <w:b/>
          <w:bCs/>
          <w:sz w:val="24"/>
          <w:szCs w:val="24"/>
          <w:rtl/>
        </w:rPr>
        <w:t>מן הכלל אל הפרט</w:t>
      </w:r>
    </w:p>
    <w:p w14:paraId="66A17568" w14:textId="77777777" w:rsidR="009E648E" w:rsidRDefault="009E648E" w:rsidP="009E648E">
      <w:pPr>
        <w:pStyle w:val="1"/>
        <w:spacing w:before="240"/>
        <w:ind w:left="509" w:firstLine="0"/>
        <w:rPr>
          <w:rFonts w:ascii="Times" w:hAnsi="Times" w:cs="David"/>
          <w:sz w:val="24"/>
          <w:szCs w:val="24"/>
          <w:u w:val="single"/>
          <w:rtl/>
          <w:lang w:eastAsia="he-IL"/>
        </w:rPr>
      </w:pPr>
      <w:r>
        <w:rPr>
          <w:rFonts w:ascii="Times" w:hAnsi="Times" w:cs="David"/>
          <w:sz w:val="24"/>
          <w:szCs w:val="24"/>
          <w:u w:val="single"/>
          <w:rtl/>
          <w:lang w:eastAsia="he-IL"/>
        </w:rPr>
        <w:t>מתחם העונש ההולם</w:t>
      </w:r>
    </w:p>
    <w:p w14:paraId="5B21FF88" w14:textId="77777777" w:rsidR="009E648E" w:rsidRDefault="009E648E" w:rsidP="009E648E">
      <w:pPr>
        <w:pStyle w:val="1"/>
        <w:numPr>
          <w:ilvl w:val="0"/>
          <w:numId w:val="1"/>
        </w:numPr>
        <w:spacing w:before="240"/>
        <w:ind w:left="509" w:right="0" w:hanging="425"/>
        <w:rPr>
          <w:rFonts w:cs="David"/>
          <w:sz w:val="24"/>
          <w:szCs w:val="24"/>
          <w:rtl/>
        </w:rPr>
      </w:pPr>
      <w:r>
        <w:rPr>
          <w:rFonts w:cs="David"/>
          <w:sz w:val="24"/>
          <w:szCs w:val="24"/>
          <w:rtl/>
        </w:rPr>
        <w:t xml:space="preserve">במעשיו </w:t>
      </w:r>
      <w:r>
        <w:rPr>
          <w:rFonts w:cs="David"/>
          <w:b/>
          <w:bCs/>
          <w:sz w:val="24"/>
          <w:szCs w:val="24"/>
          <w:rtl/>
        </w:rPr>
        <w:t>פגע הנאשם פגיעה ממשית במספר ערכים מוגנים</w:t>
      </w:r>
      <w:r>
        <w:rPr>
          <w:rFonts w:cs="David"/>
          <w:sz w:val="24"/>
          <w:szCs w:val="24"/>
          <w:rtl/>
        </w:rPr>
        <w:t xml:space="preserve"> </w:t>
      </w:r>
      <w:r w:rsidRPr="00742DF4">
        <w:rPr>
          <w:rFonts w:cs="David"/>
          <w:b/>
          <w:bCs/>
          <w:sz w:val="24"/>
          <w:szCs w:val="24"/>
          <w:rtl/>
        </w:rPr>
        <w:t>וביניהם ההגנה על שלום הציבור ובריאותו</w:t>
      </w:r>
      <w:r>
        <w:rPr>
          <w:rFonts w:cs="David"/>
          <w:sz w:val="24"/>
          <w:szCs w:val="24"/>
          <w:rtl/>
        </w:rPr>
        <w:t xml:space="preserve">, בעיקר לנוכח פוטנציאל הנזק לפגיעה בציבור הטמון בהחזקת כמות גדולה של סמים מסוכנים שלא לצריכה עצמית. </w:t>
      </w:r>
    </w:p>
    <w:p w14:paraId="4254DBB3" w14:textId="77777777" w:rsidR="009E648E" w:rsidRDefault="009E648E" w:rsidP="009E648E">
      <w:pPr>
        <w:pStyle w:val="1"/>
        <w:numPr>
          <w:ilvl w:val="0"/>
          <w:numId w:val="1"/>
        </w:numPr>
        <w:spacing w:before="240"/>
        <w:ind w:left="509" w:right="0" w:hanging="425"/>
        <w:rPr>
          <w:rFonts w:cs="David"/>
          <w:sz w:val="24"/>
          <w:szCs w:val="24"/>
        </w:rPr>
      </w:pPr>
      <w:r>
        <w:rPr>
          <w:rFonts w:cs="David"/>
          <w:sz w:val="24"/>
          <w:szCs w:val="24"/>
          <w:rtl/>
        </w:rPr>
        <w:t>בית המשפט העליון הדגיש פעמים רבות את חומרתן של עבירות הסמים שלא לצריכה עצמית וחזר לא אחת על הצורך, ככלל, בהטלת ענישה חמורה בגין עבירות אלה.</w:t>
      </w:r>
    </w:p>
    <w:p w14:paraId="4C7D2CF5" w14:textId="77777777" w:rsidR="009E648E" w:rsidRDefault="009E648E" w:rsidP="009E648E">
      <w:pPr>
        <w:pStyle w:val="a9"/>
        <w:ind w:left="509" w:firstLine="0"/>
        <w:rPr>
          <w:rFonts w:cs="David"/>
          <w:sz w:val="24"/>
          <w:szCs w:val="24"/>
        </w:rPr>
      </w:pPr>
      <w:r>
        <w:rPr>
          <w:rFonts w:cs="David"/>
          <w:sz w:val="24"/>
          <w:szCs w:val="24"/>
          <w:rtl/>
        </w:rPr>
        <w:t xml:space="preserve">כך, למשל, </w:t>
      </w:r>
      <w:r>
        <w:rPr>
          <w:rFonts w:cs="David"/>
          <w:b/>
          <w:bCs/>
          <w:sz w:val="24"/>
          <w:szCs w:val="24"/>
          <w:rtl/>
        </w:rPr>
        <w:t>בעניין אזולאי</w:t>
      </w:r>
      <w:r>
        <w:rPr>
          <w:rFonts w:cs="David"/>
          <w:sz w:val="24"/>
          <w:szCs w:val="24"/>
          <w:rtl/>
        </w:rPr>
        <w:t>, שאליו גם הפנה ב"כ המאשימה, הוטעם כי:</w:t>
      </w:r>
    </w:p>
    <w:p w14:paraId="79327F0E" w14:textId="77777777" w:rsidR="009E648E" w:rsidRDefault="009E648E" w:rsidP="009E648E">
      <w:pPr>
        <w:pStyle w:val="Ruller4"/>
        <w:ind w:left="1076" w:right="851"/>
        <w:rPr>
          <w:rFonts w:ascii="Calibri" w:hAnsi="Calibri" w:cs="David"/>
          <w:b/>
          <w:bCs/>
          <w:spacing w:val="0"/>
          <w:sz w:val="24"/>
          <w:szCs w:val="24"/>
          <w:rtl/>
        </w:rPr>
      </w:pPr>
      <w:r>
        <w:rPr>
          <w:rFonts w:ascii="Calibri" w:hAnsi="Calibri" w:cs="David"/>
          <w:b/>
          <w:bCs/>
          <w:spacing w:val="0"/>
          <w:sz w:val="24"/>
          <w:szCs w:val="24"/>
          <w:rtl/>
        </w:rPr>
        <w:t>"על חומרתה המופלגת של עבירת החזקת סמים מסוכנים שלא לצריכה עצמית אין צורך להכביר מילים ...</w:t>
      </w:r>
      <w:r>
        <w:rPr>
          <w:rFonts w:ascii="Calibri" w:hAnsi="Calibri" w:cs="David"/>
          <w:b/>
          <w:bCs/>
          <w:sz w:val="24"/>
          <w:szCs w:val="24"/>
          <w:rtl/>
        </w:rPr>
        <w:t xml:space="preserve"> </w:t>
      </w:r>
      <w:r>
        <w:rPr>
          <w:rFonts w:ascii="Calibri" w:hAnsi="Calibri" w:cs="David"/>
          <w:b/>
          <w:bCs/>
          <w:spacing w:val="0"/>
          <w:sz w:val="24"/>
          <w:szCs w:val="24"/>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r>
        <w:rPr>
          <w:rFonts w:ascii="Calibri" w:hAnsi="Calibri" w:cs="David"/>
          <w:spacing w:val="0"/>
          <w:sz w:val="24"/>
          <w:szCs w:val="24"/>
          <w:rtl/>
        </w:rPr>
        <w:t xml:space="preserve">(בפסקה 10 לפסק-דינה של כב' השופטת א' פרוקצ'יה). </w:t>
      </w:r>
    </w:p>
    <w:p w14:paraId="214123F0" w14:textId="77777777" w:rsidR="009E648E" w:rsidRDefault="009E648E" w:rsidP="009E648E">
      <w:pPr>
        <w:pStyle w:val="a9"/>
        <w:rPr>
          <w:rFonts w:cs="David"/>
          <w:sz w:val="24"/>
          <w:szCs w:val="24"/>
          <w:highlight w:val="green"/>
          <w:rtl/>
        </w:rPr>
      </w:pPr>
    </w:p>
    <w:p w14:paraId="5B0C7EBC" w14:textId="77777777" w:rsidR="009E648E" w:rsidRDefault="009E648E" w:rsidP="009E648E">
      <w:pPr>
        <w:pStyle w:val="a9"/>
        <w:ind w:left="509" w:firstLine="0"/>
        <w:rPr>
          <w:rFonts w:cs="David"/>
          <w:sz w:val="24"/>
          <w:szCs w:val="24"/>
          <w:rtl/>
        </w:rPr>
      </w:pPr>
      <w:r>
        <w:rPr>
          <w:rFonts w:cs="David"/>
          <w:sz w:val="24"/>
          <w:szCs w:val="24"/>
          <w:rtl/>
        </w:rPr>
        <w:t xml:space="preserve">כפי שנקבע בפסיקה, בעבירות אלו, </w:t>
      </w:r>
      <w:r>
        <w:rPr>
          <w:rFonts w:cs="David"/>
          <w:b/>
          <w:bCs/>
          <w:sz w:val="24"/>
          <w:szCs w:val="24"/>
          <w:rtl/>
        </w:rPr>
        <w:t>ככלל</w:t>
      </w:r>
      <w:r>
        <w:rPr>
          <w:rFonts w:cs="David"/>
          <w:sz w:val="24"/>
          <w:szCs w:val="24"/>
          <w:rtl/>
        </w:rPr>
        <w:t>, יש להטיל עונשי מאסר ממשיים לתקופות ארוכות ומרתיעות, ואין להסתפק במאסר שירוצה בעבודות שירות או בשל"</w:t>
      </w:r>
      <w:r>
        <w:rPr>
          <w:rFonts w:cs="David" w:hint="cs"/>
          <w:sz w:val="24"/>
          <w:szCs w:val="24"/>
          <w:rtl/>
        </w:rPr>
        <w:t>צ</w:t>
      </w:r>
      <w:r>
        <w:rPr>
          <w:rFonts w:cs="David"/>
          <w:sz w:val="24"/>
          <w:szCs w:val="24"/>
          <w:rtl/>
        </w:rPr>
        <w:t xml:space="preserve"> ובצו מבחן [ראו, למשל, והשוו: </w:t>
      </w:r>
      <w:hyperlink r:id="rId59"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5953/13</w:t>
        </w:r>
      </w:hyperlink>
      <w:r>
        <w:rPr>
          <w:rFonts w:cs="David"/>
          <w:sz w:val="24"/>
          <w:szCs w:val="24"/>
          <w:rtl/>
        </w:rPr>
        <w:t xml:space="preserve"> </w:t>
      </w:r>
      <w:r>
        <w:rPr>
          <w:rFonts w:cs="David"/>
          <w:b/>
          <w:bCs/>
          <w:sz w:val="24"/>
          <w:szCs w:val="24"/>
          <w:rtl/>
        </w:rPr>
        <w:t>מדינת ישראל נ' אהרון</w:t>
      </w:r>
      <w:r>
        <w:rPr>
          <w:rFonts w:cs="David"/>
          <w:sz w:val="24"/>
          <w:szCs w:val="24"/>
          <w:rtl/>
        </w:rPr>
        <w:t xml:space="preserve">, בפסקה 17 (6.7.2014); </w:t>
      </w:r>
      <w:hyperlink r:id="rId60"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5842/14</w:t>
        </w:r>
      </w:hyperlink>
      <w:r>
        <w:rPr>
          <w:rFonts w:cs="David"/>
          <w:sz w:val="24"/>
          <w:szCs w:val="24"/>
          <w:rtl/>
        </w:rPr>
        <w:t xml:space="preserve"> </w:t>
      </w:r>
      <w:r>
        <w:rPr>
          <w:rFonts w:cs="David"/>
          <w:b/>
          <w:bCs/>
          <w:sz w:val="24"/>
          <w:szCs w:val="24"/>
          <w:rtl/>
        </w:rPr>
        <w:t>דהן נ' מדינת ישראל</w:t>
      </w:r>
      <w:r>
        <w:rPr>
          <w:rFonts w:cs="David"/>
          <w:sz w:val="24"/>
          <w:szCs w:val="24"/>
          <w:rtl/>
        </w:rPr>
        <w:t xml:space="preserve">, בפסקה 20 (29.7.2015); </w:t>
      </w:r>
      <w:r>
        <w:rPr>
          <w:rFonts w:cs="David"/>
          <w:b/>
          <w:bCs/>
          <w:sz w:val="24"/>
          <w:szCs w:val="24"/>
          <w:rtl/>
        </w:rPr>
        <w:t>עניין עווד</w:t>
      </w:r>
      <w:r>
        <w:rPr>
          <w:rFonts w:cs="David"/>
          <w:sz w:val="24"/>
          <w:szCs w:val="24"/>
          <w:rtl/>
        </w:rPr>
        <w:t>].</w:t>
      </w:r>
    </w:p>
    <w:p w14:paraId="0966D641" w14:textId="77777777" w:rsidR="009E648E" w:rsidRDefault="009E648E" w:rsidP="009E648E">
      <w:pPr>
        <w:pStyle w:val="1"/>
        <w:numPr>
          <w:ilvl w:val="0"/>
          <w:numId w:val="1"/>
        </w:numPr>
        <w:spacing w:before="240"/>
        <w:ind w:left="509" w:right="0" w:hanging="425"/>
        <w:rPr>
          <w:rFonts w:cs="David"/>
          <w:sz w:val="24"/>
          <w:szCs w:val="24"/>
          <w:rtl/>
        </w:rPr>
      </w:pPr>
      <w:r>
        <w:rPr>
          <w:rFonts w:cs="David"/>
          <w:sz w:val="24"/>
          <w:szCs w:val="24"/>
          <w:rtl/>
        </w:rPr>
        <w:t>באשר ל</w:t>
      </w:r>
      <w:r>
        <w:rPr>
          <w:rFonts w:cs="David"/>
          <w:b/>
          <w:bCs/>
          <w:sz w:val="24"/>
          <w:szCs w:val="24"/>
          <w:rtl/>
        </w:rPr>
        <w:t xml:space="preserve">נסיבות הקשורות </w:t>
      </w:r>
      <w:r w:rsidRPr="004C148D">
        <w:rPr>
          <w:rFonts w:cs="David"/>
          <w:b/>
          <w:bCs/>
          <w:sz w:val="24"/>
          <w:szCs w:val="24"/>
          <w:rtl/>
        </w:rPr>
        <w:t>בביצוע העבירה</w:t>
      </w:r>
      <w:r>
        <w:rPr>
          <w:rFonts w:cs="David"/>
          <w:sz w:val="24"/>
          <w:szCs w:val="24"/>
          <w:rtl/>
        </w:rPr>
        <w:t xml:space="preserve">, במקרה דנן קיימות מספר </w:t>
      </w:r>
      <w:r>
        <w:rPr>
          <w:rFonts w:cs="David"/>
          <w:b/>
          <w:bCs/>
          <w:sz w:val="24"/>
          <w:szCs w:val="24"/>
          <w:rtl/>
        </w:rPr>
        <w:t>נסיבות לחומרה</w:t>
      </w:r>
      <w:r>
        <w:rPr>
          <w:rFonts w:cs="David"/>
          <w:sz w:val="24"/>
          <w:szCs w:val="24"/>
          <w:rtl/>
        </w:rPr>
        <w:t>: כמות הסם הגדולה שהחזיק הנאשם (במשקל כולל של כ-210 גרם); סוגי הסם שאותם החזיק – קוקאין ו-</w:t>
      </w:r>
      <w:r>
        <w:rPr>
          <w:rFonts w:cs="David"/>
          <w:sz w:val="24"/>
          <w:szCs w:val="24"/>
        </w:rPr>
        <w:t>MDMA</w:t>
      </w:r>
      <w:r>
        <w:rPr>
          <w:rFonts w:cs="David"/>
          <w:sz w:val="24"/>
          <w:szCs w:val="24"/>
          <w:rtl/>
        </w:rPr>
        <w:t>; העובדה שהסם היה ארוז למנות, שעל חמש מהן נרשמו שמות של אנשים ותאריכים; והעובדה שהנאשם החזיק משקלים דיגיטליים, לצד חלק מהסמים.</w:t>
      </w:r>
    </w:p>
    <w:p w14:paraId="49363AED" w14:textId="77777777" w:rsidR="009E648E" w:rsidRDefault="009E648E" w:rsidP="009E648E">
      <w:pPr>
        <w:pStyle w:val="1"/>
        <w:numPr>
          <w:ilvl w:val="0"/>
          <w:numId w:val="1"/>
        </w:numPr>
        <w:spacing w:before="240"/>
        <w:ind w:left="509" w:right="0" w:hanging="425"/>
        <w:rPr>
          <w:rFonts w:cs="David"/>
          <w:b/>
          <w:bCs/>
          <w:sz w:val="24"/>
          <w:szCs w:val="24"/>
        </w:rPr>
      </w:pPr>
      <w:r>
        <w:rPr>
          <w:rFonts w:cs="David"/>
          <w:sz w:val="24"/>
          <w:szCs w:val="24"/>
          <w:rtl/>
        </w:rPr>
        <w:t xml:space="preserve">קיימת </w:t>
      </w:r>
      <w:r>
        <w:rPr>
          <w:rFonts w:cs="David"/>
          <w:b/>
          <w:bCs/>
          <w:sz w:val="24"/>
          <w:szCs w:val="24"/>
          <w:rtl/>
        </w:rPr>
        <w:t>פסיקה ענפה</w:t>
      </w:r>
      <w:r>
        <w:rPr>
          <w:rFonts w:cs="David"/>
          <w:sz w:val="24"/>
          <w:szCs w:val="24"/>
          <w:rtl/>
        </w:rPr>
        <w:t xml:space="preserve"> בעניין הענישה הראויה בגין העבירה של החזקת סמים שלא לצריכה עצמית; ובפסיקה קיים </w:t>
      </w:r>
      <w:r>
        <w:rPr>
          <w:rFonts w:cs="David"/>
          <w:b/>
          <w:bCs/>
          <w:sz w:val="24"/>
          <w:szCs w:val="24"/>
          <w:rtl/>
        </w:rPr>
        <w:t>מנעד רחב של עונשים</w:t>
      </w:r>
      <w:r>
        <w:rPr>
          <w:rFonts w:cs="David"/>
          <w:sz w:val="24"/>
          <w:szCs w:val="24"/>
          <w:rtl/>
        </w:rPr>
        <w:t xml:space="preserve">, כשברי כי כל מקרה שונה ממשנהו וכי </w:t>
      </w:r>
      <w:r>
        <w:rPr>
          <w:rFonts w:cs="David"/>
          <w:b/>
          <w:bCs/>
          <w:sz w:val="24"/>
          <w:szCs w:val="24"/>
          <w:rtl/>
        </w:rPr>
        <w:t>כל מקרה נבחן לגופו, על פי נסיבותיו הקונקרטיות</w:t>
      </w:r>
      <w:r>
        <w:rPr>
          <w:rFonts w:cs="David"/>
          <w:sz w:val="24"/>
          <w:szCs w:val="24"/>
          <w:rtl/>
        </w:rPr>
        <w:t>.</w:t>
      </w:r>
    </w:p>
    <w:p w14:paraId="407F8298" w14:textId="77777777" w:rsidR="009E648E" w:rsidRDefault="009E648E" w:rsidP="009E648E">
      <w:pPr>
        <w:pStyle w:val="1"/>
        <w:ind w:left="509" w:firstLine="0"/>
        <w:rPr>
          <w:rFonts w:cs="David"/>
          <w:sz w:val="24"/>
          <w:szCs w:val="24"/>
        </w:rPr>
      </w:pPr>
      <w:r w:rsidRPr="00C00360">
        <w:rPr>
          <w:rFonts w:cs="David"/>
          <w:b/>
          <w:bCs/>
          <w:sz w:val="24"/>
          <w:szCs w:val="24"/>
          <w:rtl/>
        </w:rPr>
        <w:t>הפסיקה שאליה הפנה ב"כ המאשימה</w:t>
      </w:r>
      <w:r>
        <w:rPr>
          <w:rFonts w:cs="David"/>
          <w:sz w:val="24"/>
          <w:szCs w:val="24"/>
          <w:rtl/>
        </w:rPr>
        <w:t xml:space="preserve"> (ראו פסקה 8 לעיל) מתייחסת, בין היתר, לקביעת מתחם העונש ההולם בעבירות של החזקת סמים שלא לצריכה עצמית; כך, למשל, כפי שצוין ב</w:t>
      </w:r>
      <w:r>
        <w:rPr>
          <w:rFonts w:cs="David"/>
          <w:b/>
          <w:bCs/>
          <w:sz w:val="24"/>
          <w:szCs w:val="24"/>
          <w:rtl/>
        </w:rPr>
        <w:t>עניין שחר</w:t>
      </w:r>
      <w:r>
        <w:rPr>
          <w:rFonts w:cs="David"/>
          <w:sz w:val="24"/>
          <w:szCs w:val="24"/>
          <w:rtl/>
        </w:rPr>
        <w:t>, שאליו הפנה ב"כ המאשימה: "</w:t>
      </w:r>
      <w:r>
        <w:rPr>
          <w:rFonts w:cs="David"/>
          <w:b/>
          <w:bCs/>
          <w:sz w:val="24"/>
          <w:szCs w:val="24"/>
          <w:rtl/>
        </w:rPr>
        <w:t>רמת הענישה שנקבעה בפסקי הדין... כשמדובר בהחזקת סם מסוג הרואין או קוקאין, שלא לצריכה עצמית, בכמות של עשרות גרמים, נעה בין 3 ל-5 שנות מאסר</w:t>
      </w:r>
      <w:r>
        <w:rPr>
          <w:rFonts w:cs="David"/>
          <w:sz w:val="24"/>
          <w:szCs w:val="24"/>
          <w:rtl/>
        </w:rPr>
        <w:t xml:space="preserve">...". </w:t>
      </w:r>
    </w:p>
    <w:p w14:paraId="76C1DBA7" w14:textId="77777777" w:rsidR="009E648E" w:rsidRDefault="009E648E" w:rsidP="009E648E">
      <w:pPr>
        <w:pStyle w:val="1"/>
        <w:spacing w:before="240"/>
        <w:ind w:left="515" w:firstLine="0"/>
        <w:rPr>
          <w:rFonts w:cs="David"/>
          <w:sz w:val="24"/>
          <w:szCs w:val="24"/>
          <w:rtl/>
        </w:rPr>
      </w:pPr>
      <w:r>
        <w:rPr>
          <w:rFonts w:cs="David"/>
          <w:b/>
          <w:bCs/>
          <w:sz w:val="24"/>
          <w:szCs w:val="24"/>
          <w:rtl/>
        </w:rPr>
        <w:t>מנגד</w:t>
      </w:r>
      <w:r>
        <w:rPr>
          <w:rFonts w:cs="David"/>
          <w:sz w:val="24"/>
          <w:szCs w:val="24"/>
          <w:rtl/>
        </w:rPr>
        <w:t xml:space="preserve">, </w:t>
      </w:r>
      <w:r w:rsidRPr="00C00360">
        <w:rPr>
          <w:rFonts w:cs="David"/>
          <w:b/>
          <w:bCs/>
          <w:sz w:val="24"/>
          <w:szCs w:val="24"/>
          <w:rtl/>
        </w:rPr>
        <w:t xml:space="preserve">הפסיקה שאליה הפנה ב"כ הנאשם </w:t>
      </w:r>
      <w:r>
        <w:rPr>
          <w:rFonts w:cs="David"/>
          <w:sz w:val="24"/>
          <w:szCs w:val="24"/>
          <w:rtl/>
        </w:rPr>
        <w:t xml:space="preserve">(ראו לעיל בפסקה 9) לא קבעה מתחם עונש הולם </w:t>
      </w:r>
      <w:r>
        <w:rPr>
          <w:rFonts w:cs="David" w:hint="cs"/>
          <w:sz w:val="24"/>
          <w:szCs w:val="24"/>
          <w:rtl/>
        </w:rPr>
        <w:t xml:space="preserve">מקל </w:t>
      </w:r>
      <w:r>
        <w:rPr>
          <w:rFonts w:cs="David"/>
          <w:sz w:val="24"/>
          <w:szCs w:val="24"/>
          <w:rtl/>
        </w:rPr>
        <w:t xml:space="preserve">כפי שעתר הסניגור, אלא התייחסה בעיקרה לעונשים שהושתו במקרים של החזקת סמים שלא לצריכה עצמית בנסיבות הדומות לנסיבות של המקרה דנן מבחינת סוג הסם וכמותו, </w:t>
      </w:r>
      <w:r w:rsidRPr="00C00360">
        <w:rPr>
          <w:rFonts w:cs="David"/>
          <w:b/>
          <w:bCs/>
          <w:sz w:val="24"/>
          <w:szCs w:val="24"/>
          <w:rtl/>
        </w:rPr>
        <w:t>שבה</w:t>
      </w:r>
      <w:r>
        <w:rPr>
          <w:rFonts w:cs="David"/>
          <w:sz w:val="24"/>
          <w:szCs w:val="24"/>
          <w:rtl/>
        </w:rPr>
        <w:t xml:space="preserve"> הסתפקו בתי המשפט בעונשי מאסר בפועל בדרך של עבודות שירות </w:t>
      </w:r>
      <w:r>
        <w:rPr>
          <w:rFonts w:cs="David"/>
          <w:b/>
          <w:bCs/>
          <w:sz w:val="24"/>
          <w:szCs w:val="24"/>
          <w:rtl/>
        </w:rPr>
        <w:t>בשל</w:t>
      </w:r>
      <w:r>
        <w:rPr>
          <w:rFonts w:cs="David"/>
          <w:sz w:val="24"/>
          <w:szCs w:val="24"/>
          <w:rtl/>
        </w:rPr>
        <w:t xml:space="preserve"> </w:t>
      </w:r>
      <w:r w:rsidRPr="00C00360">
        <w:rPr>
          <w:rFonts w:cs="David"/>
          <w:b/>
          <w:bCs/>
          <w:sz w:val="24"/>
          <w:szCs w:val="24"/>
          <w:rtl/>
        </w:rPr>
        <w:t>שיקולי שיקום</w:t>
      </w:r>
      <w:r>
        <w:rPr>
          <w:rFonts w:cs="David"/>
          <w:sz w:val="24"/>
          <w:szCs w:val="24"/>
          <w:rtl/>
        </w:rPr>
        <w:t xml:space="preserve">; ולשיקולי השיקום אתייחס </w:t>
      </w:r>
      <w:r>
        <w:rPr>
          <w:rFonts w:cs="David" w:hint="cs"/>
          <w:sz w:val="24"/>
          <w:szCs w:val="24"/>
          <w:rtl/>
        </w:rPr>
        <w:t xml:space="preserve">בנפרד </w:t>
      </w:r>
      <w:r>
        <w:rPr>
          <w:rFonts w:cs="David"/>
          <w:sz w:val="24"/>
          <w:szCs w:val="24"/>
          <w:rtl/>
        </w:rPr>
        <w:t>להלן.</w:t>
      </w:r>
    </w:p>
    <w:p w14:paraId="06149F17" w14:textId="77777777" w:rsidR="009E648E" w:rsidRDefault="009E648E" w:rsidP="009E648E">
      <w:pPr>
        <w:pStyle w:val="17"/>
        <w:numPr>
          <w:ilvl w:val="0"/>
          <w:numId w:val="1"/>
        </w:numPr>
        <w:spacing w:before="240"/>
        <w:ind w:left="509" w:right="0" w:hanging="425"/>
        <w:rPr>
          <w:rFonts w:cs="David"/>
          <w:sz w:val="24"/>
          <w:szCs w:val="24"/>
          <w:rtl/>
        </w:rPr>
      </w:pPr>
      <w:r>
        <w:rPr>
          <w:rFonts w:cs="David"/>
          <w:b/>
          <w:bCs/>
          <w:sz w:val="24"/>
          <w:szCs w:val="24"/>
          <w:rtl/>
        </w:rPr>
        <w:t>לסיכום</w:t>
      </w:r>
      <w:r>
        <w:rPr>
          <w:rFonts w:cs="David"/>
          <w:sz w:val="24"/>
          <w:szCs w:val="24"/>
          <w:rtl/>
        </w:rPr>
        <w:t xml:space="preserve">, לאחר ששקלתי את הפגיעה בערכים המוגנים, את הנסיבות הקשורות בביצוע העבירה ואת מדיניות הענישה הנהוגה, באתי לכלל מסקנה כי </w:t>
      </w:r>
      <w:r>
        <w:rPr>
          <w:rFonts w:cs="David"/>
          <w:b/>
          <w:bCs/>
          <w:sz w:val="24"/>
          <w:szCs w:val="24"/>
          <w:rtl/>
        </w:rPr>
        <w:t xml:space="preserve">מתחם העונש ההולם </w:t>
      </w:r>
      <w:r>
        <w:rPr>
          <w:rFonts w:cs="David"/>
          <w:sz w:val="24"/>
          <w:szCs w:val="24"/>
          <w:rtl/>
        </w:rPr>
        <w:t xml:space="preserve">בגין העבירה שביצע הנאשם, </w:t>
      </w:r>
      <w:r>
        <w:rPr>
          <w:rFonts w:cs="David"/>
          <w:b/>
          <w:bCs/>
          <w:sz w:val="24"/>
          <w:szCs w:val="24"/>
          <w:rtl/>
        </w:rPr>
        <w:t xml:space="preserve">נע בין 2.5 שנות מאסר בפועל לבין 5 שנים. </w:t>
      </w:r>
    </w:p>
    <w:p w14:paraId="6027EDED" w14:textId="77777777" w:rsidR="009E648E" w:rsidRDefault="009E648E" w:rsidP="009E648E">
      <w:pPr>
        <w:pStyle w:val="1"/>
        <w:spacing w:before="240" w:after="0"/>
        <w:ind w:left="509" w:firstLine="0"/>
        <w:rPr>
          <w:rFonts w:ascii="Times" w:hAnsi="Times" w:cs="David"/>
          <w:sz w:val="24"/>
          <w:szCs w:val="24"/>
          <w:u w:val="single"/>
          <w:lang w:eastAsia="he-IL"/>
        </w:rPr>
      </w:pPr>
      <w:r>
        <w:rPr>
          <w:rFonts w:ascii="Times" w:hAnsi="Times" w:cs="David"/>
          <w:sz w:val="24"/>
          <w:szCs w:val="24"/>
          <w:u w:val="single"/>
          <w:rtl/>
          <w:lang w:eastAsia="he-IL"/>
        </w:rPr>
        <w:t>גזירת העונש וחריגה מהמתחם משיקולי שיקום</w:t>
      </w:r>
    </w:p>
    <w:p w14:paraId="76DF7C41" w14:textId="77777777" w:rsidR="009E648E" w:rsidRDefault="009E648E" w:rsidP="009E648E">
      <w:pPr>
        <w:pStyle w:val="17"/>
        <w:numPr>
          <w:ilvl w:val="0"/>
          <w:numId w:val="1"/>
        </w:numPr>
        <w:ind w:left="509" w:right="0" w:hanging="425"/>
        <w:rPr>
          <w:rFonts w:cs="David"/>
          <w:b/>
          <w:bCs/>
          <w:sz w:val="24"/>
          <w:szCs w:val="24"/>
          <w:rtl/>
        </w:rPr>
      </w:pPr>
      <w:r>
        <w:rPr>
          <w:rFonts w:cs="David"/>
          <w:sz w:val="24"/>
          <w:szCs w:val="24"/>
          <w:rtl/>
        </w:rPr>
        <w:t>אשר לעונש הראוי, תחילה יצוין כי בעניינו של הנאשם</w:t>
      </w:r>
      <w:r>
        <w:rPr>
          <w:rFonts w:cs="David"/>
          <w:b/>
          <w:bCs/>
          <w:sz w:val="24"/>
          <w:szCs w:val="24"/>
          <w:rtl/>
        </w:rPr>
        <w:t xml:space="preserve"> </w:t>
      </w:r>
      <w:r>
        <w:rPr>
          <w:rFonts w:cs="David"/>
          <w:sz w:val="24"/>
          <w:szCs w:val="24"/>
          <w:rtl/>
        </w:rPr>
        <w:t xml:space="preserve">יש מספר </w:t>
      </w:r>
      <w:r>
        <w:rPr>
          <w:rFonts w:cs="David"/>
          <w:b/>
          <w:bCs/>
          <w:sz w:val="24"/>
          <w:szCs w:val="24"/>
          <w:rtl/>
        </w:rPr>
        <w:t xml:space="preserve">נסיבות מקלות ממשיות. </w:t>
      </w:r>
    </w:p>
    <w:p w14:paraId="76AEBDAD" w14:textId="77777777" w:rsidR="009E648E" w:rsidRDefault="009E648E" w:rsidP="009E648E">
      <w:pPr>
        <w:pStyle w:val="1"/>
        <w:spacing w:before="240"/>
        <w:ind w:left="515" w:firstLine="0"/>
        <w:rPr>
          <w:rFonts w:cs="David"/>
          <w:sz w:val="24"/>
          <w:szCs w:val="24"/>
          <w:rtl/>
        </w:rPr>
      </w:pPr>
      <w:r>
        <w:rPr>
          <w:rFonts w:cs="David"/>
          <w:sz w:val="24"/>
          <w:szCs w:val="24"/>
          <w:rtl/>
        </w:rPr>
        <w:t xml:space="preserve">לזכות הנאשם אקח בחשבון את העובדה שהוא אדם </w:t>
      </w:r>
      <w:r>
        <w:rPr>
          <w:rFonts w:cs="David"/>
          <w:b/>
          <w:bCs/>
          <w:sz w:val="24"/>
          <w:szCs w:val="24"/>
          <w:rtl/>
        </w:rPr>
        <w:t>נורמטיבי לחלוטין, נעדר כל עבר פלילי</w:t>
      </w:r>
      <w:r>
        <w:rPr>
          <w:rFonts w:cs="David"/>
          <w:sz w:val="24"/>
          <w:szCs w:val="24"/>
          <w:rtl/>
        </w:rPr>
        <w:t xml:space="preserve">. </w:t>
      </w:r>
    </w:p>
    <w:p w14:paraId="28AF7DA0" w14:textId="77777777" w:rsidR="009E648E" w:rsidRDefault="009E648E" w:rsidP="009E648E">
      <w:pPr>
        <w:pStyle w:val="1"/>
        <w:spacing w:before="240"/>
        <w:ind w:left="515" w:firstLine="0"/>
        <w:rPr>
          <w:rFonts w:cs="David"/>
          <w:sz w:val="24"/>
          <w:szCs w:val="24"/>
          <w:rtl/>
        </w:rPr>
      </w:pPr>
      <w:r>
        <w:rPr>
          <w:rFonts w:cs="David"/>
          <w:sz w:val="24"/>
          <w:szCs w:val="24"/>
          <w:rtl/>
        </w:rPr>
        <w:t xml:space="preserve">התרשמתי כי האירוע דנן הוא בבחינת </w:t>
      </w:r>
      <w:r>
        <w:rPr>
          <w:rFonts w:cs="David"/>
          <w:b/>
          <w:bCs/>
          <w:sz w:val="24"/>
          <w:szCs w:val="24"/>
          <w:rtl/>
        </w:rPr>
        <w:t>מעידה חד פעמית</w:t>
      </w:r>
      <w:r>
        <w:rPr>
          <w:rFonts w:cs="David"/>
          <w:sz w:val="24"/>
          <w:szCs w:val="24"/>
          <w:rtl/>
        </w:rPr>
        <w:t xml:space="preserve">, אשר נבעה ממצוקה, על רקע משבר אישי בחייו של הנאשם, שנלוותה לו התמודדות עם קושי כלכלי ועם בעיות בריאותיות של בתו של הנאשם. </w:t>
      </w:r>
    </w:p>
    <w:p w14:paraId="6F732CA1" w14:textId="77777777" w:rsidR="009E648E" w:rsidRDefault="009E648E" w:rsidP="009E648E">
      <w:pPr>
        <w:pStyle w:val="1"/>
        <w:spacing w:before="240"/>
        <w:ind w:left="515" w:firstLine="0"/>
        <w:rPr>
          <w:rFonts w:cs="David"/>
          <w:sz w:val="24"/>
          <w:szCs w:val="24"/>
          <w:rtl/>
        </w:rPr>
      </w:pPr>
      <w:r>
        <w:rPr>
          <w:rFonts w:cs="David"/>
          <w:sz w:val="24"/>
          <w:szCs w:val="24"/>
          <w:rtl/>
        </w:rPr>
        <w:t xml:space="preserve">כמו כן, </w:t>
      </w:r>
      <w:r w:rsidRPr="00343DD6">
        <w:rPr>
          <w:rFonts w:cs="David"/>
          <w:b/>
          <w:bCs/>
          <w:sz w:val="24"/>
          <w:szCs w:val="24"/>
          <w:rtl/>
        </w:rPr>
        <w:t>הנאשם הודה בביצוע מעשה העבירה</w:t>
      </w:r>
      <w:r w:rsidRPr="00343DD6">
        <w:rPr>
          <w:rFonts w:cs="David"/>
          <w:sz w:val="24"/>
          <w:szCs w:val="24"/>
          <w:rtl/>
        </w:rPr>
        <w:t xml:space="preserve"> </w:t>
      </w:r>
      <w:r w:rsidRPr="00A23540">
        <w:rPr>
          <w:rFonts w:cs="David"/>
          <w:b/>
          <w:bCs/>
          <w:sz w:val="24"/>
          <w:szCs w:val="24"/>
          <w:rtl/>
        </w:rPr>
        <w:t>מיד</w:t>
      </w:r>
      <w:r>
        <w:rPr>
          <w:rFonts w:cs="David"/>
          <w:sz w:val="24"/>
          <w:szCs w:val="24"/>
          <w:rtl/>
        </w:rPr>
        <w:t xml:space="preserve"> בעת שנתפסו הסמים ברכבו ו</w:t>
      </w:r>
      <w:r>
        <w:rPr>
          <w:rFonts w:cs="David" w:hint="cs"/>
          <w:sz w:val="24"/>
          <w:szCs w:val="24"/>
          <w:rtl/>
        </w:rPr>
        <w:t xml:space="preserve">אף </w:t>
      </w:r>
      <w:r>
        <w:rPr>
          <w:rFonts w:cs="David"/>
          <w:sz w:val="24"/>
          <w:szCs w:val="24"/>
          <w:rtl/>
        </w:rPr>
        <w:t xml:space="preserve">מסר כי ברשותו סמים נוספים בביתו. הודאתו המידית של הנאשם מבטאת </w:t>
      </w:r>
      <w:r w:rsidRPr="00A23540">
        <w:rPr>
          <w:rFonts w:cs="David"/>
          <w:b/>
          <w:bCs/>
          <w:sz w:val="24"/>
          <w:szCs w:val="24"/>
          <w:rtl/>
        </w:rPr>
        <w:t>נטילת אחריות אמיתית וכנה</w:t>
      </w:r>
      <w:r>
        <w:rPr>
          <w:rFonts w:cs="David"/>
          <w:sz w:val="24"/>
          <w:szCs w:val="24"/>
          <w:rtl/>
        </w:rPr>
        <w:t xml:space="preserve"> על מעשיו ובהמשך גם הובילה לחיסכון בזמן שיפוטי. </w:t>
      </w:r>
    </w:p>
    <w:p w14:paraId="3083FD99" w14:textId="77777777" w:rsidR="009E648E" w:rsidRDefault="009E648E" w:rsidP="009E648E">
      <w:pPr>
        <w:pStyle w:val="17"/>
        <w:numPr>
          <w:ilvl w:val="0"/>
          <w:numId w:val="1"/>
        </w:numPr>
        <w:spacing w:before="240"/>
        <w:ind w:left="509" w:right="0" w:hanging="425"/>
        <w:rPr>
          <w:rFonts w:cs="David"/>
          <w:sz w:val="24"/>
          <w:szCs w:val="24"/>
          <w:rtl/>
        </w:rPr>
      </w:pPr>
      <w:r>
        <w:rPr>
          <w:rFonts w:cs="David"/>
          <w:sz w:val="24"/>
          <w:szCs w:val="24"/>
          <w:rtl/>
        </w:rPr>
        <w:t xml:space="preserve">בנסיבות העבירה שבה הורשע הנאשם ובשים לב לשיקולי החומרה והקולה דלעיל, </w:t>
      </w:r>
      <w:r>
        <w:rPr>
          <w:rFonts w:cs="David"/>
          <w:b/>
          <w:bCs/>
          <w:sz w:val="24"/>
          <w:szCs w:val="24"/>
          <w:rtl/>
        </w:rPr>
        <w:t>אלמלא שיקול השיקום</w:t>
      </w:r>
      <w:r>
        <w:rPr>
          <w:rFonts w:cs="David"/>
          <w:sz w:val="24"/>
          <w:szCs w:val="24"/>
          <w:rtl/>
        </w:rPr>
        <w:t xml:space="preserve"> שעליו אעמוד להלן, היה מקום להטיל על הנאשם מאסר בפועל לתקופה המצויה </w:t>
      </w:r>
      <w:r>
        <w:rPr>
          <w:rFonts w:cs="David"/>
          <w:b/>
          <w:bCs/>
          <w:sz w:val="24"/>
          <w:szCs w:val="24"/>
          <w:rtl/>
        </w:rPr>
        <w:t>בחלק התחתון של מתחם העונש ההולם</w:t>
      </w:r>
      <w:r>
        <w:rPr>
          <w:rFonts w:cs="David"/>
          <w:sz w:val="24"/>
          <w:szCs w:val="24"/>
          <w:rtl/>
        </w:rPr>
        <w:t xml:space="preserve"> דלעיל. </w:t>
      </w:r>
    </w:p>
    <w:p w14:paraId="52A499A4" w14:textId="77777777" w:rsidR="009E648E" w:rsidRDefault="009E648E" w:rsidP="009E648E">
      <w:pPr>
        <w:pStyle w:val="17"/>
        <w:numPr>
          <w:ilvl w:val="0"/>
          <w:numId w:val="1"/>
        </w:numPr>
        <w:spacing w:before="240"/>
        <w:ind w:left="509" w:right="0" w:hanging="425"/>
        <w:rPr>
          <w:rFonts w:cs="David"/>
          <w:b/>
          <w:bCs/>
          <w:sz w:val="24"/>
          <w:szCs w:val="24"/>
          <w:rtl/>
        </w:rPr>
      </w:pPr>
      <w:r>
        <w:rPr>
          <w:rFonts w:cs="David"/>
          <w:sz w:val="24"/>
          <w:szCs w:val="24"/>
          <w:rtl/>
        </w:rPr>
        <w:t xml:space="preserve">אלא שבמקרה זה </w:t>
      </w:r>
      <w:r>
        <w:rPr>
          <w:rFonts w:cs="David"/>
          <w:b/>
          <w:bCs/>
          <w:sz w:val="24"/>
          <w:szCs w:val="24"/>
          <w:rtl/>
        </w:rPr>
        <w:t>מצדיק שיקול השיקום חריגה לקולה מהרף התחתון של מתחם העונש ההולם.</w:t>
      </w:r>
    </w:p>
    <w:p w14:paraId="0FA71839" w14:textId="77777777" w:rsidR="009E648E" w:rsidRDefault="009E648E" w:rsidP="009E648E">
      <w:pPr>
        <w:pStyle w:val="1"/>
        <w:spacing w:before="240"/>
        <w:ind w:left="515" w:firstLine="0"/>
        <w:rPr>
          <w:rFonts w:cs="David"/>
          <w:sz w:val="24"/>
          <w:szCs w:val="24"/>
          <w:highlight w:val="yellow"/>
        </w:rPr>
      </w:pPr>
      <w:r>
        <w:rPr>
          <w:rFonts w:cs="David"/>
          <w:sz w:val="24"/>
          <w:szCs w:val="24"/>
          <w:rtl/>
        </w:rPr>
        <w:t xml:space="preserve">כפי שהובהר בפסיקה, </w:t>
      </w:r>
      <w:r>
        <w:rPr>
          <w:rFonts w:cs="David"/>
          <w:b/>
          <w:bCs/>
          <w:sz w:val="24"/>
          <w:szCs w:val="24"/>
          <w:rtl/>
        </w:rPr>
        <w:t>שיקומו המוצלח של נאשם ייטיב לא רק עמו, אלא עם החברה בכללותה, והוא מהווה אינטרס ציבורי חשוב,</w:t>
      </w:r>
      <w:r>
        <w:rPr>
          <w:rFonts w:cs="David"/>
          <w:sz w:val="24"/>
          <w:szCs w:val="24"/>
          <w:rtl/>
        </w:rPr>
        <w:t xml:space="preserve"> </w:t>
      </w:r>
      <w:r>
        <w:rPr>
          <w:rFonts w:cs="David"/>
          <w:b/>
          <w:bCs/>
          <w:sz w:val="24"/>
          <w:szCs w:val="24"/>
          <w:rtl/>
        </w:rPr>
        <w:t xml:space="preserve">מקום שבו קיימים סיכויי שיקום טובים ופוטנציאל שיקומי גבוה – </w:t>
      </w:r>
      <w:r>
        <w:rPr>
          <w:rFonts w:cs="David"/>
          <w:sz w:val="24"/>
          <w:szCs w:val="24"/>
          <w:rtl/>
        </w:rPr>
        <w:t xml:space="preserve">כמו במקרה דנן, לנוכח התוכן החיובי של תסקיר שירות המבחן ולנוכח התרשמות בית המשפט [ראו למשל והשוו: </w:t>
      </w:r>
      <w:hyperlink r:id="rId61"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7187/05</w:t>
        </w:r>
      </w:hyperlink>
      <w:r>
        <w:rPr>
          <w:rFonts w:cs="David"/>
          <w:sz w:val="24"/>
          <w:szCs w:val="24"/>
          <w:rtl/>
        </w:rPr>
        <w:t xml:space="preserve"> </w:t>
      </w:r>
      <w:r>
        <w:rPr>
          <w:rFonts w:cs="David"/>
          <w:b/>
          <w:bCs/>
          <w:sz w:val="24"/>
          <w:szCs w:val="24"/>
          <w:rtl/>
        </w:rPr>
        <w:t>גולדמן נ' מדינת ישראל</w:t>
      </w:r>
      <w:r>
        <w:rPr>
          <w:rFonts w:cs="David"/>
          <w:sz w:val="24"/>
          <w:szCs w:val="24"/>
          <w:rtl/>
        </w:rPr>
        <w:t xml:space="preserve">, בפסקה ד (7.11.2005); </w:t>
      </w:r>
      <w:hyperlink r:id="rId62"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8092/04</w:t>
        </w:r>
      </w:hyperlink>
      <w:r>
        <w:rPr>
          <w:rFonts w:cs="David"/>
          <w:sz w:val="24"/>
          <w:szCs w:val="24"/>
          <w:rtl/>
        </w:rPr>
        <w:t xml:space="preserve"> </w:t>
      </w:r>
      <w:r>
        <w:rPr>
          <w:rFonts w:cs="David"/>
          <w:b/>
          <w:bCs/>
          <w:sz w:val="24"/>
          <w:szCs w:val="24"/>
          <w:rtl/>
        </w:rPr>
        <w:t>חביב נ' מדינת ישראל</w:t>
      </w:r>
      <w:r>
        <w:rPr>
          <w:rFonts w:cs="David"/>
          <w:sz w:val="24"/>
          <w:szCs w:val="24"/>
          <w:rtl/>
        </w:rPr>
        <w:t xml:space="preserve"> (10.9.2006); </w:t>
      </w:r>
      <w:hyperlink r:id="rId63"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4041/06</w:t>
        </w:r>
      </w:hyperlink>
      <w:r>
        <w:rPr>
          <w:rFonts w:cs="David"/>
          <w:sz w:val="24"/>
          <w:szCs w:val="24"/>
          <w:rtl/>
        </w:rPr>
        <w:t xml:space="preserve"> </w:t>
      </w:r>
      <w:r>
        <w:rPr>
          <w:rFonts w:cs="David"/>
          <w:b/>
          <w:bCs/>
          <w:sz w:val="24"/>
          <w:szCs w:val="24"/>
          <w:rtl/>
        </w:rPr>
        <w:t xml:space="preserve">אשורוב נ' מדינת ישראל </w:t>
      </w:r>
      <w:r>
        <w:rPr>
          <w:rFonts w:cs="David"/>
          <w:sz w:val="24"/>
          <w:szCs w:val="24"/>
          <w:rtl/>
        </w:rPr>
        <w:t xml:space="preserve">(16.11.2006); </w:t>
      </w:r>
      <w:hyperlink r:id="rId64"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2287/09</w:t>
        </w:r>
      </w:hyperlink>
      <w:r>
        <w:rPr>
          <w:rFonts w:cs="David"/>
          <w:sz w:val="24"/>
          <w:szCs w:val="24"/>
          <w:rtl/>
        </w:rPr>
        <w:t xml:space="preserve"> </w:t>
      </w:r>
      <w:r>
        <w:rPr>
          <w:rFonts w:cs="David"/>
          <w:b/>
          <w:bCs/>
          <w:sz w:val="24"/>
          <w:szCs w:val="24"/>
          <w:rtl/>
        </w:rPr>
        <w:t>והבה נ' מדינת ישראל</w:t>
      </w:r>
      <w:r>
        <w:rPr>
          <w:rFonts w:cs="David"/>
          <w:sz w:val="24"/>
          <w:szCs w:val="24"/>
          <w:rtl/>
        </w:rPr>
        <w:t xml:space="preserve">, בפסקה 13 (25.1.2010); </w:t>
      </w:r>
      <w:hyperlink r:id="rId65"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7196/11</w:t>
        </w:r>
      </w:hyperlink>
      <w:r>
        <w:rPr>
          <w:rFonts w:cs="David"/>
          <w:sz w:val="24"/>
          <w:szCs w:val="24"/>
          <w:rtl/>
        </w:rPr>
        <w:t xml:space="preserve"> </w:t>
      </w:r>
      <w:r>
        <w:rPr>
          <w:rFonts w:cs="David"/>
          <w:b/>
          <w:bCs/>
          <w:sz w:val="24"/>
          <w:szCs w:val="24"/>
          <w:rtl/>
        </w:rPr>
        <w:t>מדינת ישראל נ' ביזאוי</w:t>
      </w:r>
      <w:r>
        <w:rPr>
          <w:rFonts w:cs="David"/>
          <w:sz w:val="24"/>
          <w:szCs w:val="24"/>
          <w:rtl/>
        </w:rPr>
        <w:t xml:space="preserve"> (19.6.2012); </w:t>
      </w:r>
      <w:hyperlink r:id="rId66"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911/14</w:t>
        </w:r>
      </w:hyperlink>
      <w:r>
        <w:rPr>
          <w:rFonts w:cs="David"/>
          <w:sz w:val="24"/>
          <w:szCs w:val="24"/>
          <w:rtl/>
        </w:rPr>
        <w:t xml:space="preserve"> </w:t>
      </w:r>
      <w:r>
        <w:rPr>
          <w:rFonts w:cs="David"/>
          <w:b/>
          <w:bCs/>
          <w:sz w:val="24"/>
          <w:szCs w:val="24"/>
          <w:rtl/>
        </w:rPr>
        <w:t>פלונית נ' מדינת ישראל</w:t>
      </w:r>
      <w:r>
        <w:rPr>
          <w:rFonts w:cs="David"/>
          <w:sz w:val="24"/>
          <w:szCs w:val="24"/>
          <w:rtl/>
        </w:rPr>
        <w:t xml:space="preserve">, בפסקאות 17-16 (4.11.2014); </w:t>
      </w:r>
      <w:hyperlink r:id="rId67"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4944/15</w:t>
        </w:r>
      </w:hyperlink>
      <w:r>
        <w:rPr>
          <w:rFonts w:cs="David"/>
          <w:sz w:val="24"/>
          <w:szCs w:val="24"/>
          <w:rtl/>
        </w:rPr>
        <w:t xml:space="preserve"> </w:t>
      </w:r>
      <w:r>
        <w:rPr>
          <w:rFonts w:cs="David"/>
          <w:b/>
          <w:bCs/>
          <w:sz w:val="24"/>
          <w:szCs w:val="24"/>
          <w:rtl/>
        </w:rPr>
        <w:t>שרעבי נ' מדינת ישראל</w:t>
      </w:r>
      <w:r>
        <w:rPr>
          <w:rFonts w:cs="David"/>
          <w:sz w:val="24"/>
          <w:szCs w:val="24"/>
          <w:rtl/>
        </w:rPr>
        <w:t>, בפסקה 11</w:t>
      </w:r>
      <w:r>
        <w:rPr>
          <w:rFonts w:cs="David"/>
          <w:b/>
          <w:bCs/>
          <w:sz w:val="24"/>
          <w:szCs w:val="24"/>
          <w:rtl/>
        </w:rPr>
        <w:t xml:space="preserve"> </w:t>
      </w:r>
      <w:r>
        <w:rPr>
          <w:rFonts w:cs="David"/>
          <w:sz w:val="24"/>
          <w:szCs w:val="24"/>
          <w:rtl/>
        </w:rPr>
        <w:t xml:space="preserve">(4.2.2016); </w:t>
      </w:r>
      <w:hyperlink r:id="rId68"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6161/16</w:t>
        </w:r>
      </w:hyperlink>
      <w:r>
        <w:rPr>
          <w:rFonts w:cs="David"/>
          <w:sz w:val="24"/>
          <w:szCs w:val="24"/>
          <w:rtl/>
        </w:rPr>
        <w:t xml:space="preserve"> </w:t>
      </w:r>
      <w:r>
        <w:rPr>
          <w:rFonts w:cs="David"/>
          <w:b/>
          <w:bCs/>
          <w:sz w:val="24"/>
          <w:szCs w:val="24"/>
          <w:rtl/>
        </w:rPr>
        <w:t xml:space="preserve">יזרעאלוב נ' מדינת ישראל </w:t>
      </w:r>
      <w:r>
        <w:rPr>
          <w:rFonts w:cs="David"/>
          <w:sz w:val="24"/>
          <w:szCs w:val="24"/>
          <w:rtl/>
        </w:rPr>
        <w:t xml:space="preserve">(20.2.2017); </w:t>
      </w:r>
      <w:hyperlink r:id="rId69"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1964/16</w:t>
        </w:r>
      </w:hyperlink>
      <w:r>
        <w:rPr>
          <w:rFonts w:cs="David"/>
          <w:sz w:val="24"/>
          <w:szCs w:val="24"/>
          <w:rtl/>
        </w:rPr>
        <w:t xml:space="preserve"> </w:t>
      </w:r>
      <w:r>
        <w:rPr>
          <w:rFonts w:cs="David"/>
          <w:b/>
          <w:bCs/>
          <w:sz w:val="24"/>
          <w:szCs w:val="24"/>
          <w:rtl/>
        </w:rPr>
        <w:t>בושנאק נ' מדינת ישראל</w:t>
      </w:r>
      <w:r>
        <w:rPr>
          <w:rFonts w:cs="David"/>
          <w:sz w:val="24"/>
          <w:szCs w:val="24"/>
          <w:rtl/>
        </w:rPr>
        <w:t xml:space="preserve">, בפסקה 9 (25.5.2017); </w:t>
      </w:r>
      <w:hyperlink r:id="rId70"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6637/17</w:t>
        </w:r>
      </w:hyperlink>
      <w:r>
        <w:rPr>
          <w:rFonts w:cs="David"/>
          <w:sz w:val="24"/>
          <w:szCs w:val="24"/>
          <w:rtl/>
        </w:rPr>
        <w:t xml:space="preserve"> </w:t>
      </w:r>
      <w:r>
        <w:rPr>
          <w:rFonts w:cs="David"/>
          <w:b/>
          <w:bCs/>
          <w:sz w:val="24"/>
          <w:szCs w:val="24"/>
          <w:rtl/>
        </w:rPr>
        <w:t xml:space="preserve">קרנדל נ' מדינת ישראל </w:t>
      </w:r>
      <w:r>
        <w:rPr>
          <w:rFonts w:cs="David"/>
          <w:sz w:val="24"/>
          <w:szCs w:val="24"/>
          <w:rtl/>
        </w:rPr>
        <w:t>(18.4.2018) (להלן: "</w:t>
      </w:r>
      <w:r>
        <w:rPr>
          <w:rFonts w:cs="David"/>
          <w:b/>
          <w:bCs/>
          <w:sz w:val="24"/>
          <w:szCs w:val="24"/>
          <w:rtl/>
        </w:rPr>
        <w:t>עניין קרנדל</w:t>
      </w:r>
      <w:r>
        <w:rPr>
          <w:rFonts w:cs="David"/>
          <w:sz w:val="24"/>
          <w:szCs w:val="24"/>
          <w:rtl/>
        </w:rPr>
        <w:t>")].</w:t>
      </w:r>
    </w:p>
    <w:p w14:paraId="18590EE9" w14:textId="77777777" w:rsidR="009E648E" w:rsidRDefault="009E648E" w:rsidP="009E648E">
      <w:pPr>
        <w:pStyle w:val="1"/>
        <w:spacing w:before="240"/>
        <w:ind w:left="515" w:firstLine="0"/>
        <w:rPr>
          <w:rFonts w:cs="David"/>
          <w:sz w:val="24"/>
          <w:szCs w:val="24"/>
          <w:rtl/>
        </w:rPr>
      </w:pPr>
      <w:r>
        <w:rPr>
          <w:rFonts w:cs="David"/>
          <w:b/>
          <w:bCs/>
          <w:sz w:val="24"/>
          <w:szCs w:val="24"/>
          <w:rtl/>
        </w:rPr>
        <w:t>אמנם</w:t>
      </w:r>
      <w:r>
        <w:rPr>
          <w:rFonts w:cs="David"/>
          <w:sz w:val="24"/>
          <w:szCs w:val="24"/>
          <w:rtl/>
        </w:rPr>
        <w:t>, בפסיקה נקבע כי "</w:t>
      </w:r>
      <w:r>
        <w:rPr>
          <w:rFonts w:cs="David"/>
          <w:b/>
          <w:bCs/>
          <w:sz w:val="24"/>
          <w:szCs w:val="24"/>
          <w:rtl/>
        </w:rPr>
        <w:t>יש לנקוט בזהירות בכל הנוגע לסטייה ממתחם הענישה בשל שיקולי שיקום, ולבחון כל מקרה על נסיבותיו</w:t>
      </w:r>
      <w:r>
        <w:rPr>
          <w:rFonts w:cs="David"/>
          <w:sz w:val="24"/>
          <w:szCs w:val="24"/>
          <w:rtl/>
        </w:rPr>
        <w:t>" [</w:t>
      </w:r>
      <w:hyperlink r:id="rId71"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1229/19</w:t>
        </w:r>
      </w:hyperlink>
      <w:r>
        <w:rPr>
          <w:rFonts w:cs="David"/>
          <w:sz w:val="24"/>
          <w:szCs w:val="24"/>
          <w:rtl/>
        </w:rPr>
        <w:t xml:space="preserve"> </w:t>
      </w:r>
      <w:r>
        <w:rPr>
          <w:rFonts w:cs="David"/>
          <w:b/>
          <w:bCs/>
          <w:sz w:val="24"/>
          <w:szCs w:val="24"/>
          <w:rtl/>
        </w:rPr>
        <w:t xml:space="preserve">סלומינסקי נ' מדינת ישראל, </w:t>
      </w:r>
      <w:r>
        <w:rPr>
          <w:rFonts w:cs="David"/>
          <w:sz w:val="24"/>
          <w:szCs w:val="24"/>
          <w:rtl/>
        </w:rPr>
        <w:t xml:space="preserve">בפסקה 13 לפסק דינה של כב' השופטת י' וילנר (1.7.2019)]. </w:t>
      </w:r>
    </w:p>
    <w:p w14:paraId="2B9DD012" w14:textId="77777777" w:rsidR="009E648E" w:rsidRDefault="009E648E" w:rsidP="009E648E">
      <w:pPr>
        <w:pStyle w:val="1"/>
        <w:spacing w:before="240"/>
        <w:ind w:left="515" w:firstLine="0"/>
        <w:rPr>
          <w:rFonts w:cs="David"/>
          <w:sz w:val="24"/>
          <w:szCs w:val="24"/>
          <w:rtl/>
        </w:rPr>
      </w:pPr>
      <w:r>
        <w:rPr>
          <w:rFonts w:cs="David"/>
          <w:b/>
          <w:bCs/>
          <w:sz w:val="24"/>
          <w:szCs w:val="24"/>
          <w:rtl/>
        </w:rPr>
        <w:t>אולם</w:t>
      </w:r>
      <w:r>
        <w:rPr>
          <w:rFonts w:cs="David"/>
          <w:sz w:val="24"/>
          <w:szCs w:val="24"/>
          <w:rtl/>
        </w:rPr>
        <w:t>, כפי שהובהר ב</w:t>
      </w:r>
      <w:r>
        <w:rPr>
          <w:rFonts w:cs="David"/>
          <w:b/>
          <w:bCs/>
          <w:sz w:val="24"/>
          <w:szCs w:val="24"/>
          <w:rtl/>
        </w:rPr>
        <w:t>עניין קרנדל</w:t>
      </w:r>
      <w:r>
        <w:rPr>
          <w:rFonts w:cs="David"/>
          <w:sz w:val="24"/>
          <w:szCs w:val="24"/>
          <w:rtl/>
        </w:rPr>
        <w:t>: "</w:t>
      </w:r>
      <w:r>
        <w:rPr>
          <w:rFonts w:cs="David"/>
          <w:b/>
          <w:bCs/>
          <w:sz w:val="24"/>
          <w:szCs w:val="24"/>
          <w:rtl/>
        </w:rPr>
        <w:t>אכן, את סעיף 40ד(א) ל</w:t>
      </w:r>
      <w:hyperlink r:id="rId72" w:history="1">
        <w:r w:rsidR="002D24DA" w:rsidRPr="002D24DA">
          <w:rPr>
            <w:rFonts w:cs="David" w:hint="eastAsia"/>
            <w:b/>
            <w:bCs/>
            <w:color w:val="0000FF"/>
            <w:sz w:val="24"/>
            <w:szCs w:val="24"/>
            <w:u w:val="single"/>
            <w:rtl/>
          </w:rPr>
          <w:t>חוק</w:t>
        </w:r>
        <w:r w:rsidR="002D24DA" w:rsidRPr="002D24DA">
          <w:rPr>
            <w:rFonts w:cs="David"/>
            <w:b/>
            <w:bCs/>
            <w:color w:val="0000FF"/>
            <w:sz w:val="24"/>
            <w:szCs w:val="24"/>
            <w:u w:val="single"/>
            <w:rtl/>
          </w:rPr>
          <w:t xml:space="preserve"> </w:t>
        </w:r>
        <w:r w:rsidR="002D24DA" w:rsidRPr="002D24DA">
          <w:rPr>
            <w:rFonts w:cs="David" w:hint="eastAsia"/>
            <w:b/>
            <w:bCs/>
            <w:color w:val="0000FF"/>
            <w:sz w:val="24"/>
            <w:szCs w:val="24"/>
            <w:u w:val="single"/>
            <w:rtl/>
          </w:rPr>
          <w:t>העונשין</w:t>
        </w:r>
      </w:hyperlink>
      <w:r>
        <w:rPr>
          <w:rFonts w:cs="David"/>
          <w:b/>
          <w:bCs/>
          <w:sz w:val="24"/>
          <w:szCs w:val="24"/>
          <w:rtl/>
        </w:rPr>
        <w:t xml:space="preserve"> יש ליישם בזהירות. עם זאת, יש לתת לו משמעות מעשית. חשוב לשים לב כי המחוקק הקנה שיקול דעת רחב לבית המשפט ביישומו של הסעיף וכי נקודת המוצא בהפעלתו היא העדפתם של שיקולי השיקום... אכן, לא מתפוגגים מאליהם שיקולי ההלימה גם כאשר חלים שיקולי השיקום. אולם, יש להקפיד על כך שהבחירה בעונש לא תפגע באופן ממשי בסיכויי השיקום</w:t>
      </w:r>
      <w:r>
        <w:rPr>
          <w:rFonts w:cs="David"/>
          <w:sz w:val="24"/>
          <w:szCs w:val="24"/>
          <w:rtl/>
        </w:rPr>
        <w:t xml:space="preserve">" (פסקה 22 לפסק דינה של כב' השופטת ברק-ארז). </w:t>
      </w:r>
    </w:p>
    <w:p w14:paraId="60440AB2" w14:textId="77777777" w:rsidR="009E648E" w:rsidRDefault="009E648E" w:rsidP="009E648E">
      <w:pPr>
        <w:pStyle w:val="1"/>
        <w:spacing w:before="240"/>
        <w:ind w:left="515" w:firstLine="0"/>
        <w:rPr>
          <w:rFonts w:cs="David"/>
          <w:sz w:val="24"/>
          <w:szCs w:val="24"/>
          <w:rtl/>
        </w:rPr>
      </w:pPr>
      <w:r>
        <w:rPr>
          <w:rFonts w:cs="David"/>
          <w:sz w:val="24"/>
          <w:szCs w:val="24"/>
          <w:rtl/>
        </w:rPr>
        <w:t xml:space="preserve">כמו כן, כפי שהוטעם בפסיקה, </w:t>
      </w:r>
      <w:r>
        <w:rPr>
          <w:rFonts w:cs="David"/>
          <w:b/>
          <w:bCs/>
          <w:sz w:val="24"/>
          <w:szCs w:val="24"/>
          <w:rtl/>
        </w:rPr>
        <w:t>השיקולים שניתן לשקול</w:t>
      </w:r>
      <w:r>
        <w:rPr>
          <w:rFonts w:cs="David"/>
          <w:sz w:val="24"/>
          <w:szCs w:val="24"/>
          <w:rtl/>
        </w:rPr>
        <w:t xml:space="preserve"> </w:t>
      </w:r>
      <w:r>
        <w:rPr>
          <w:rFonts w:cs="David"/>
          <w:b/>
          <w:bCs/>
          <w:sz w:val="24"/>
          <w:szCs w:val="24"/>
          <w:rtl/>
        </w:rPr>
        <w:t>בעניין האפשרות לסטות ממתחם העונש משיקולי שיקום הם,</w:t>
      </w:r>
      <w:r>
        <w:rPr>
          <w:rFonts w:cs="David"/>
          <w:sz w:val="24"/>
          <w:szCs w:val="24"/>
          <w:rtl/>
        </w:rPr>
        <w:t xml:space="preserve"> כאמור, האם הנאשם השתקם או האם יש סיכוי של ממש שישתקם וכן: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[ראו, למשל, והשוו: </w:t>
      </w:r>
      <w:r>
        <w:rPr>
          <w:rFonts w:cs="David"/>
          <w:b/>
          <w:bCs/>
          <w:sz w:val="24"/>
          <w:szCs w:val="24"/>
          <w:rtl/>
        </w:rPr>
        <w:t>עניין קרנדל</w:t>
      </w:r>
      <w:r>
        <w:rPr>
          <w:rFonts w:cs="David"/>
          <w:sz w:val="24"/>
          <w:szCs w:val="24"/>
          <w:rtl/>
        </w:rPr>
        <w:t xml:space="preserve">, בפסקאות 24-23 לפסק דינה של כב' השופטת ד' ברק-ארז; </w:t>
      </w:r>
      <w:hyperlink r:id="rId73" w:history="1">
        <w:r w:rsidR="002D24DA" w:rsidRPr="002D24DA">
          <w:rPr>
            <w:rFonts w:cs="David" w:hint="eastAsia"/>
            <w:color w:val="0000FF"/>
            <w:sz w:val="24"/>
            <w:szCs w:val="24"/>
            <w:u w:val="single"/>
            <w:rtl/>
          </w:rPr>
          <w:t>ע</w:t>
        </w:r>
        <w:r w:rsidR="002D24DA" w:rsidRPr="002D24DA">
          <w:rPr>
            <w:rFonts w:cs="David"/>
            <w:color w:val="0000FF"/>
            <w:sz w:val="24"/>
            <w:szCs w:val="24"/>
            <w:u w:val="single"/>
            <w:rtl/>
          </w:rPr>
          <w:t>"</w:t>
        </w:r>
        <w:r w:rsidR="002D24DA" w:rsidRPr="002D24DA">
          <w:rPr>
            <w:rFonts w:cs="David" w:hint="eastAsia"/>
            <w:color w:val="0000FF"/>
            <w:sz w:val="24"/>
            <w:szCs w:val="24"/>
            <w:u w:val="single"/>
            <w:rtl/>
          </w:rPr>
          <w:t>פ</w:t>
        </w:r>
        <w:r w:rsidR="002D24DA" w:rsidRPr="002D24DA">
          <w:rPr>
            <w:rFonts w:cs="David"/>
            <w:color w:val="0000FF"/>
            <w:sz w:val="24"/>
            <w:szCs w:val="24"/>
            <w:u w:val="single"/>
            <w:rtl/>
          </w:rPr>
          <w:t xml:space="preserve"> 3613/17</w:t>
        </w:r>
      </w:hyperlink>
      <w:r>
        <w:rPr>
          <w:rFonts w:cs="David"/>
          <w:sz w:val="24"/>
          <w:szCs w:val="24"/>
          <w:rtl/>
        </w:rPr>
        <w:t xml:space="preserve"> </w:t>
      </w:r>
      <w:r>
        <w:rPr>
          <w:rFonts w:cs="David"/>
          <w:b/>
          <w:bCs/>
          <w:sz w:val="24"/>
          <w:szCs w:val="24"/>
          <w:rtl/>
        </w:rPr>
        <w:t>זייבלד נ' מדינת ישראל</w:t>
      </w:r>
      <w:r>
        <w:rPr>
          <w:rFonts w:cs="David"/>
          <w:sz w:val="24"/>
          <w:szCs w:val="24"/>
          <w:rtl/>
        </w:rPr>
        <w:t>, בפסקה 10 לפסק דינו של כב' המשנה לנשיאה ח' מלצר</w:t>
      </w:r>
      <w:r>
        <w:rPr>
          <w:rFonts w:cs="David"/>
          <w:b/>
          <w:bCs/>
          <w:sz w:val="24"/>
          <w:szCs w:val="24"/>
          <w:rtl/>
        </w:rPr>
        <w:t xml:space="preserve"> </w:t>
      </w:r>
      <w:r>
        <w:rPr>
          <w:rFonts w:cs="David"/>
          <w:sz w:val="24"/>
          <w:szCs w:val="24"/>
          <w:rtl/>
        </w:rPr>
        <w:t>(17.1.2019)].</w:t>
      </w:r>
    </w:p>
    <w:p w14:paraId="2D5B256F" w14:textId="77777777" w:rsidR="009E648E" w:rsidRDefault="009E648E" w:rsidP="009E648E">
      <w:pPr>
        <w:pStyle w:val="1"/>
        <w:spacing w:before="240"/>
        <w:ind w:left="515" w:firstLine="0"/>
        <w:rPr>
          <w:rFonts w:cs="David"/>
          <w:sz w:val="24"/>
          <w:szCs w:val="24"/>
        </w:rPr>
      </w:pPr>
      <w:r>
        <w:rPr>
          <w:rFonts w:cs="David"/>
          <w:b/>
          <w:bCs/>
          <w:sz w:val="24"/>
          <w:szCs w:val="24"/>
          <w:rtl/>
        </w:rPr>
        <w:t xml:space="preserve">במקרה דנן, </w:t>
      </w:r>
      <w:r>
        <w:rPr>
          <w:rFonts w:cs="David"/>
          <w:sz w:val="24"/>
          <w:szCs w:val="24"/>
          <w:rtl/>
        </w:rPr>
        <w:t xml:space="preserve">בפועל הנאשם לא הסתבך מעולם בעבירה אחרת כלשהי, מלבד העבירה שבה הורשע במסגרת תיק זה. מדובר בנאשם שאינו צעיר, אשר הביע חרטה שהתרשמתי שהיא כנה, ואשר נוטל אחריות מלאה על העבירה שביצע. הנאשם לא הסתפק באמירות כלליות הנאמרות מן השפה אל החוץ, אלא הוא גיבה את הצהרותיו במעשים, כמפורט בהרחבה בתסקיר שירות המבחן. כזכור, בין היתר, ציין שירות המבחן את המוטיבציה והרצון של הנאשם לבצע שינוי בדפוסיו הבעייתיים, להיעזר בגורמים טיפוליים ולהימנע ממעורבות חוזרת בפלילים ובשימוש בחומרים ממכרים. עוד צוין, כאמור, כי החל מחודש אוגוסט 2018 מגיע הנאשם מדי שבוע לפגישות הנערכות ביחידה לטיפול בהתמכרויות וכי הוא מוסר בדיקות שתן פעמיים בשבוע, הנמצאות נקיות מסמים. </w:t>
      </w:r>
    </w:p>
    <w:p w14:paraId="1CB7D3D7" w14:textId="77777777" w:rsidR="009E648E" w:rsidRDefault="009E648E" w:rsidP="009E648E">
      <w:pPr>
        <w:pStyle w:val="1"/>
        <w:spacing w:before="240"/>
        <w:ind w:left="515" w:firstLine="0"/>
        <w:rPr>
          <w:rFonts w:cs="David"/>
          <w:sz w:val="24"/>
          <w:szCs w:val="24"/>
          <w:rtl/>
        </w:rPr>
      </w:pPr>
      <w:r>
        <w:rPr>
          <w:rFonts w:cs="David"/>
          <w:sz w:val="24"/>
          <w:szCs w:val="24"/>
          <w:rtl/>
        </w:rPr>
        <w:t xml:space="preserve">לא נעלמה מעיניי אמירתו של הנאשם לשירות המבחן כי הסמים שהחזיק נועדו לשימושו העצמי. על אף הבעייתיות של אמירה זו, לנוכח מהות העבירה שבה הודה הנאשם, של החזקת סמים שלא לצריכה עצמית – לא מצאתי לנכון לדחות את מתן גזר הדין לצורך קבלת תסקיר משלים, לאחר שב"כ הנאשם חזר בו מהבקשה לתסקיר משלים, כמפורט בפסקה 4 דלעיל. </w:t>
      </w:r>
    </w:p>
    <w:p w14:paraId="5346A1A4" w14:textId="77777777" w:rsidR="009E648E" w:rsidRDefault="009E648E" w:rsidP="009E648E">
      <w:pPr>
        <w:pStyle w:val="1"/>
        <w:spacing w:before="240"/>
        <w:ind w:left="515" w:firstLine="0"/>
        <w:rPr>
          <w:rFonts w:cs="David"/>
          <w:sz w:val="24"/>
          <w:szCs w:val="24"/>
          <w:rtl/>
        </w:rPr>
      </w:pPr>
      <w:r>
        <w:rPr>
          <w:rFonts w:cs="David"/>
          <w:sz w:val="24"/>
          <w:szCs w:val="24"/>
          <w:rtl/>
        </w:rPr>
        <w:t xml:space="preserve">הודאתו של הנאשם בבית המשפט, החרטה שהביע, המוטיבציה שהוא מגלה לשקם את חייו, שיתוף הפעולה המלא שלו עם הגורמים הטיפוליים, ומאמציו של הנאשם </w:t>
      </w:r>
      <w:r>
        <w:rPr>
          <w:rFonts w:cs="David"/>
          <w:b/>
          <w:bCs/>
          <w:sz w:val="24"/>
          <w:szCs w:val="24"/>
          <w:rtl/>
        </w:rPr>
        <w:t xml:space="preserve">בפועל </w:t>
      </w:r>
      <w:r>
        <w:rPr>
          <w:rFonts w:cs="David"/>
          <w:sz w:val="24"/>
          <w:szCs w:val="24"/>
          <w:rtl/>
        </w:rPr>
        <w:t xml:space="preserve">לשנות את אורחות חייו – דוברים בעדם. </w:t>
      </w:r>
    </w:p>
    <w:p w14:paraId="57B3F5CE" w14:textId="77777777" w:rsidR="009E648E" w:rsidRDefault="009E648E" w:rsidP="009E648E">
      <w:pPr>
        <w:pStyle w:val="1"/>
        <w:spacing w:before="240"/>
        <w:ind w:left="515" w:firstLine="0"/>
        <w:rPr>
          <w:rFonts w:cs="David"/>
          <w:b/>
          <w:bCs/>
          <w:sz w:val="24"/>
          <w:szCs w:val="24"/>
          <w:rtl/>
        </w:rPr>
      </w:pPr>
      <w:r>
        <w:rPr>
          <w:rFonts w:cs="David"/>
          <w:sz w:val="24"/>
          <w:szCs w:val="24"/>
          <w:rtl/>
        </w:rPr>
        <w:t xml:space="preserve">עוד </w:t>
      </w:r>
      <w:r>
        <w:rPr>
          <w:rFonts w:cs="David"/>
          <w:b/>
          <w:bCs/>
          <w:sz w:val="24"/>
          <w:szCs w:val="24"/>
          <w:rtl/>
        </w:rPr>
        <w:t>לקחתי בחשבון</w:t>
      </w:r>
      <w:r>
        <w:rPr>
          <w:rFonts w:cs="David"/>
          <w:sz w:val="24"/>
          <w:szCs w:val="24"/>
          <w:rtl/>
        </w:rPr>
        <w:t xml:space="preserve"> את </w:t>
      </w:r>
      <w:r>
        <w:rPr>
          <w:rFonts w:cs="David"/>
          <w:b/>
          <w:bCs/>
          <w:sz w:val="24"/>
          <w:szCs w:val="24"/>
          <w:rtl/>
        </w:rPr>
        <w:t>התקופה הלא מבוטלת שבה שהה הנאשם במעצר – 46 ימים.</w:t>
      </w:r>
    </w:p>
    <w:p w14:paraId="2DE9C8E3" w14:textId="77777777" w:rsidR="009E648E" w:rsidRDefault="009E648E" w:rsidP="009E648E">
      <w:pPr>
        <w:pStyle w:val="1"/>
        <w:spacing w:before="240"/>
        <w:ind w:left="515" w:firstLine="0"/>
        <w:rPr>
          <w:rFonts w:cs="David"/>
          <w:sz w:val="24"/>
          <w:szCs w:val="24"/>
          <w:rtl/>
        </w:rPr>
      </w:pPr>
      <w:r>
        <w:rPr>
          <w:rFonts w:cs="David"/>
          <w:b/>
          <w:bCs/>
          <w:sz w:val="24"/>
          <w:szCs w:val="24"/>
          <w:rtl/>
        </w:rPr>
        <w:t>אכן</w:t>
      </w:r>
      <w:r>
        <w:rPr>
          <w:rFonts w:cs="David"/>
          <w:sz w:val="24"/>
          <w:szCs w:val="24"/>
          <w:rtl/>
        </w:rPr>
        <w:t xml:space="preserve">, ב"כ המאשימה הפנה לפסיקה שבה נסוגו שיקולי השיקום מפני הצורך בענישה מחמירה בעבירה של החזקת סמים שלא לצריכה עצמית. </w:t>
      </w:r>
    </w:p>
    <w:p w14:paraId="7CCC7943" w14:textId="77777777" w:rsidR="009E648E" w:rsidRDefault="009E648E" w:rsidP="009E648E">
      <w:pPr>
        <w:pStyle w:val="1"/>
        <w:spacing w:before="240"/>
        <w:ind w:left="515" w:firstLine="0"/>
        <w:rPr>
          <w:rFonts w:cs="David"/>
          <w:sz w:val="24"/>
          <w:szCs w:val="24"/>
          <w:rtl/>
        </w:rPr>
      </w:pPr>
      <w:r>
        <w:rPr>
          <w:rFonts w:cs="David"/>
          <w:b/>
          <w:bCs/>
          <w:sz w:val="24"/>
          <w:szCs w:val="24"/>
          <w:rtl/>
        </w:rPr>
        <w:t>מנגד</w:t>
      </w:r>
      <w:r>
        <w:rPr>
          <w:rFonts w:cs="David"/>
          <w:sz w:val="24"/>
          <w:szCs w:val="24"/>
          <w:rtl/>
        </w:rPr>
        <w:t>, כאמור, הפסיקה שאליה הפנה ב"כ הנאשם (ראו לעיל בפסקה 9) התייחסה בעיקרה לעונשים שהושתו במקרים של החזקת סמים שלא לצריכה עצמית בנסיבות הדומות לנסיבות של המקרה דנן (מבחינת סוג הסם וכמותו), ושבה הושתו עונשי מאסר בדרך של עבודות שירות, בשל שיקולי שיקום.</w:t>
      </w:r>
    </w:p>
    <w:p w14:paraId="4B550683" w14:textId="77777777" w:rsidR="009E648E" w:rsidRDefault="009E648E" w:rsidP="009E648E">
      <w:pPr>
        <w:spacing w:line="360" w:lineRule="auto"/>
        <w:ind w:left="509"/>
        <w:jc w:val="both"/>
        <w:rPr>
          <w:rtl/>
        </w:rPr>
      </w:pPr>
      <w:r>
        <w:rPr>
          <w:b/>
          <w:bCs/>
          <w:rtl/>
        </w:rPr>
        <w:t>סיכומו של דבר</w:t>
      </w:r>
      <w:r>
        <w:rPr>
          <w:rtl/>
        </w:rPr>
        <w:t xml:space="preserve">, </w:t>
      </w:r>
      <w:r>
        <w:rPr>
          <w:b/>
          <w:bCs/>
          <w:rtl/>
        </w:rPr>
        <w:t>הנאשם נמצא בעיצומו של הליך שיקומי מוצלח</w:t>
      </w:r>
      <w:r>
        <w:rPr>
          <w:rtl/>
        </w:rPr>
        <w:t xml:space="preserve">, הוא נעזר בגורמי הטיפול ובמשפחתו על מנת להעלות את חייו על דרך המלך; וקיים </w:t>
      </w:r>
      <w:r>
        <w:rPr>
          <w:b/>
          <w:bCs/>
          <w:rtl/>
        </w:rPr>
        <w:t>חשש ממשי שמאסר מאחורי סורג ובריח יסכל את הליך השיקום</w:t>
      </w:r>
      <w:r>
        <w:rPr>
          <w:rtl/>
        </w:rPr>
        <w:t xml:space="preserve"> </w:t>
      </w:r>
      <w:r>
        <w:rPr>
          <w:b/>
          <w:bCs/>
          <w:rtl/>
        </w:rPr>
        <w:t>וידרדר את מצבו של הנאשם.</w:t>
      </w:r>
      <w:r>
        <w:rPr>
          <w:rtl/>
        </w:rPr>
        <w:t xml:space="preserve"> </w:t>
      </w:r>
    </w:p>
    <w:p w14:paraId="17E79D25" w14:textId="77777777" w:rsidR="009E648E" w:rsidRDefault="009E648E" w:rsidP="009E648E">
      <w:pPr>
        <w:pStyle w:val="1"/>
        <w:spacing w:before="240"/>
        <w:ind w:left="515" w:firstLine="0"/>
        <w:rPr>
          <w:rFonts w:cs="David"/>
          <w:sz w:val="24"/>
          <w:szCs w:val="24"/>
          <w:rtl/>
        </w:rPr>
      </w:pPr>
      <w:r>
        <w:rPr>
          <w:rFonts w:cs="David"/>
          <w:sz w:val="24"/>
          <w:szCs w:val="24"/>
          <w:rtl/>
        </w:rPr>
        <w:t xml:space="preserve">לנוכח כל האמור לעיל </w:t>
      </w:r>
      <w:r>
        <w:rPr>
          <w:rFonts w:cs="David"/>
          <w:b/>
          <w:bCs/>
          <w:sz w:val="24"/>
          <w:szCs w:val="24"/>
          <w:rtl/>
        </w:rPr>
        <w:t>החלטתי, לאחר התלבטות, לקבל את המלצת שירות המבחן</w:t>
      </w:r>
      <w:r>
        <w:rPr>
          <w:rFonts w:cs="David"/>
          <w:sz w:val="24"/>
          <w:szCs w:val="24"/>
          <w:rtl/>
        </w:rPr>
        <w:t xml:space="preserve">, </w:t>
      </w:r>
      <w:r>
        <w:rPr>
          <w:rFonts w:cs="David"/>
          <w:b/>
          <w:bCs/>
          <w:sz w:val="24"/>
          <w:szCs w:val="24"/>
          <w:rtl/>
        </w:rPr>
        <w:t>להימנע משיקולי שיקום מהטלת עונש מאסר בפועל</w:t>
      </w:r>
      <w:r>
        <w:rPr>
          <w:rFonts w:cs="David"/>
          <w:sz w:val="24"/>
          <w:szCs w:val="24"/>
          <w:rtl/>
        </w:rPr>
        <w:t xml:space="preserve"> </w:t>
      </w:r>
      <w:r>
        <w:rPr>
          <w:rFonts w:cs="David"/>
          <w:b/>
          <w:bCs/>
          <w:sz w:val="24"/>
          <w:szCs w:val="24"/>
          <w:rtl/>
        </w:rPr>
        <w:t>שירוצה מאחורי סורג ובריח</w:t>
      </w:r>
      <w:r>
        <w:rPr>
          <w:rFonts w:cs="David"/>
          <w:sz w:val="24"/>
          <w:szCs w:val="24"/>
          <w:rtl/>
        </w:rPr>
        <w:t>, ולהטיל על הנאשם מאסר שירוצה בעבודות שירות, וזאת למשך התקופה המרבית וללא ניכוי תקופת המעצר – לצד צו מבחן, קנס כספי, פסילת רישיון נהיגה וכן מאסר מותנה ארוך ומרתיע, ובכך לאפשר לנאשם להמשיך במסלול השיקומי שאותו החל ולחזור לחיים נורמטיביים.</w:t>
      </w:r>
    </w:p>
    <w:p w14:paraId="2B8447D8" w14:textId="77777777" w:rsidR="009E648E" w:rsidRDefault="009E648E" w:rsidP="009E648E">
      <w:pPr>
        <w:pStyle w:val="1"/>
        <w:spacing w:before="240"/>
        <w:ind w:left="515" w:firstLine="0"/>
        <w:rPr>
          <w:rFonts w:cs="David"/>
          <w:sz w:val="24"/>
          <w:szCs w:val="24"/>
          <w:rtl/>
        </w:rPr>
      </w:pPr>
      <w:r>
        <w:rPr>
          <w:rFonts w:cs="David"/>
          <w:sz w:val="24"/>
          <w:szCs w:val="24"/>
          <w:rtl/>
        </w:rPr>
        <w:t xml:space="preserve">יש להניח ולקוות כי הנאשם אכן ינצל את ההזדמנות שניתנת לו על מנת להתמיד בהליך השיקום שבו הוא החל, כי ימשיך להיעזר בגורמי הטיפול ובמשפחתו הקרובה שמלווה אותו ותומכת בו, וכי ישכיל לחזור לחיים נורמטיביים וחיוביים, ובכך </w:t>
      </w:r>
      <w:r>
        <w:rPr>
          <w:rFonts w:cs="David"/>
          <w:b/>
          <w:bCs/>
          <w:sz w:val="24"/>
          <w:szCs w:val="24"/>
          <w:rtl/>
        </w:rPr>
        <w:t>ייצא גם האינטרס הציבורי נשכר</w:t>
      </w:r>
      <w:r>
        <w:rPr>
          <w:rFonts w:cs="David"/>
          <w:sz w:val="24"/>
          <w:szCs w:val="24"/>
          <w:rtl/>
        </w:rPr>
        <w:t xml:space="preserve">. </w:t>
      </w:r>
    </w:p>
    <w:p w14:paraId="0CC4F42D" w14:textId="77777777" w:rsidR="009E648E" w:rsidRDefault="009E648E" w:rsidP="009E648E">
      <w:pPr>
        <w:rPr>
          <w:rFonts w:ascii="David" w:hAnsi="David"/>
          <w:b/>
          <w:bCs/>
          <w:u w:val="single"/>
          <w:rtl/>
        </w:rPr>
      </w:pPr>
      <w:r>
        <w:rPr>
          <w:rFonts w:ascii="David" w:hAnsi="David"/>
          <w:b/>
          <w:bCs/>
          <w:u w:val="single"/>
          <w:rtl/>
        </w:rPr>
        <w:t>סוף דבר</w:t>
      </w:r>
    </w:p>
    <w:p w14:paraId="7AD8197E" w14:textId="77777777" w:rsidR="009E648E" w:rsidRDefault="009E648E" w:rsidP="009E648E">
      <w:pPr>
        <w:pStyle w:val="17"/>
        <w:numPr>
          <w:ilvl w:val="0"/>
          <w:numId w:val="1"/>
        </w:numPr>
        <w:spacing w:before="240"/>
        <w:ind w:left="509" w:right="0" w:hanging="425"/>
        <w:rPr>
          <w:rFonts w:ascii="David" w:hAnsi="David" w:cs="David"/>
          <w:sz w:val="24"/>
          <w:szCs w:val="24"/>
          <w:rtl/>
        </w:rPr>
      </w:pPr>
      <w:r>
        <w:rPr>
          <w:rFonts w:ascii="David" w:hAnsi="David" w:cs="David"/>
          <w:sz w:val="24"/>
          <w:szCs w:val="24"/>
          <w:rtl/>
        </w:rPr>
        <w:t xml:space="preserve">סוף דבר, החלטתי להטיל על הנאשם את </w:t>
      </w:r>
      <w:r>
        <w:rPr>
          <w:rFonts w:ascii="David" w:hAnsi="David" w:cs="David"/>
          <w:b/>
          <w:bCs/>
          <w:sz w:val="24"/>
          <w:szCs w:val="24"/>
          <w:rtl/>
        </w:rPr>
        <w:t>העונשים הבאים</w:t>
      </w:r>
      <w:r>
        <w:rPr>
          <w:rFonts w:ascii="David" w:hAnsi="David" w:cs="David"/>
          <w:sz w:val="24"/>
          <w:szCs w:val="24"/>
          <w:rtl/>
        </w:rPr>
        <w:t>:</w:t>
      </w:r>
    </w:p>
    <w:p w14:paraId="4F56EAFD" w14:textId="77777777" w:rsidR="009E648E" w:rsidRDefault="009E648E" w:rsidP="009E648E">
      <w:pPr>
        <w:spacing w:line="360" w:lineRule="auto"/>
        <w:ind w:left="1440" w:hanging="720"/>
        <w:jc w:val="both"/>
        <w:rPr>
          <w:rFonts w:ascii="David" w:hAnsi="David"/>
          <w:rtl/>
        </w:rPr>
      </w:pPr>
      <w:r>
        <w:rPr>
          <w:rFonts w:ascii="David" w:hAnsi="David"/>
          <w:rtl/>
        </w:rPr>
        <w:t>א.</w:t>
      </w:r>
      <w:r>
        <w:rPr>
          <w:rFonts w:ascii="David" w:hAnsi="David"/>
          <w:rtl/>
        </w:rPr>
        <w:tab/>
      </w:r>
      <w:r>
        <w:rPr>
          <w:rFonts w:ascii="David" w:hAnsi="David"/>
          <w:b/>
          <w:bCs/>
          <w:rtl/>
        </w:rPr>
        <w:t>9 חודשי מאסר בפועל, שירוצו בעבודות שירות, ללא ניכוי של תקופת המעצר</w:t>
      </w:r>
      <w:r>
        <w:rPr>
          <w:rFonts w:ascii="David" w:hAnsi="David"/>
          <w:rtl/>
        </w:rPr>
        <w:t>; וזאת, בתנאים ובמקום אשר בחוות הדעת של הממונה על עבודות השירות מיום 20.8.19;</w:t>
      </w:r>
    </w:p>
    <w:p w14:paraId="5481BB42" w14:textId="77777777" w:rsidR="009E648E" w:rsidRDefault="009E648E" w:rsidP="009E648E">
      <w:pPr>
        <w:spacing w:line="360" w:lineRule="auto"/>
        <w:ind w:left="1440" w:hanging="720"/>
        <w:jc w:val="both"/>
        <w:rPr>
          <w:rFonts w:ascii="David" w:hAnsi="David"/>
          <w:rtl/>
        </w:rPr>
      </w:pPr>
    </w:p>
    <w:p w14:paraId="0FF9BA88" w14:textId="77777777" w:rsidR="009E648E" w:rsidRDefault="009E648E" w:rsidP="009E648E">
      <w:pPr>
        <w:spacing w:line="360" w:lineRule="auto"/>
        <w:ind w:left="1440" w:hanging="720"/>
        <w:jc w:val="both"/>
        <w:rPr>
          <w:rFonts w:ascii="David" w:hAnsi="David"/>
          <w:rtl/>
        </w:rPr>
      </w:pPr>
      <w:r>
        <w:rPr>
          <w:rFonts w:ascii="David" w:hAnsi="David"/>
          <w:rtl/>
        </w:rPr>
        <w:t>ב.</w:t>
      </w:r>
      <w:r>
        <w:rPr>
          <w:rFonts w:ascii="David" w:hAnsi="David"/>
          <w:rtl/>
        </w:rPr>
        <w:tab/>
      </w:r>
      <w:r>
        <w:rPr>
          <w:rFonts w:ascii="David" w:hAnsi="David"/>
          <w:b/>
          <w:bCs/>
          <w:rtl/>
        </w:rPr>
        <w:t>צו מבחן למשך 12 חודשים מהיום</w:t>
      </w:r>
      <w:r>
        <w:rPr>
          <w:rFonts w:ascii="David" w:hAnsi="David"/>
          <w:rtl/>
        </w:rPr>
        <w:t>.</w:t>
      </w:r>
      <w:r>
        <w:rPr>
          <w:rFonts w:ascii="David" w:hAnsi="David"/>
          <w:b/>
          <w:bCs/>
          <w:rtl/>
        </w:rPr>
        <w:t xml:space="preserve"> מובהר בזה לנאשם תוכן </w:t>
      </w:r>
      <w:hyperlink r:id="rId74" w:history="1">
        <w:r w:rsidR="0022143D" w:rsidRPr="0022143D">
          <w:rPr>
            <w:rFonts w:ascii="David" w:hAnsi="David"/>
            <w:b/>
            <w:bCs/>
            <w:color w:val="0000FF"/>
            <w:u w:val="single"/>
            <w:rtl/>
          </w:rPr>
          <w:t>סעיף 3</w:t>
        </w:r>
      </w:hyperlink>
      <w:r>
        <w:rPr>
          <w:rFonts w:ascii="David" w:hAnsi="David"/>
          <w:b/>
          <w:bCs/>
          <w:rtl/>
        </w:rPr>
        <w:t xml:space="preserve"> ל</w:t>
      </w:r>
      <w:hyperlink r:id="rId75" w:history="1">
        <w:r w:rsidR="002D24DA" w:rsidRPr="002D24DA">
          <w:rPr>
            <w:rFonts w:ascii="David" w:hAnsi="David"/>
            <w:b/>
            <w:bCs/>
            <w:color w:val="0000FF"/>
            <w:u w:val="single"/>
            <w:rtl/>
          </w:rPr>
          <w:t>פקודת המבחן</w:t>
        </w:r>
      </w:hyperlink>
      <w:r>
        <w:rPr>
          <w:rFonts w:ascii="David" w:hAnsi="David"/>
          <w:rtl/>
        </w:rPr>
        <w:t xml:space="preserve"> [נוסח חדש], תשכ"ט-1969, </w:t>
      </w:r>
      <w:r>
        <w:rPr>
          <w:rFonts w:ascii="David" w:hAnsi="David"/>
          <w:b/>
          <w:bCs/>
          <w:rtl/>
        </w:rPr>
        <w:t>שלפיו</w:t>
      </w:r>
      <w:r>
        <w:rPr>
          <w:rFonts w:ascii="David" w:hAnsi="David"/>
          <w:rtl/>
        </w:rPr>
        <w:t>: "לפני מתן צו מבחן יסביר בית המשפט לעבריין בלשון פשוטה את משמעות הצו ויזהירו שאם לא ימלא אחרי הצו מכל בחינה שהיא או יעבור עבירה נוספת יהיה צפוי לעונש, או להרשעה ועונש, על העבירה שבגללה ניתן הצו (בחוק זה – העבירה המקורית), ולא יתן בית המשפט צו מבחן אלא אם הביע העבריין את נכונותו למלא אחר הוראות הצו";</w:t>
      </w:r>
    </w:p>
    <w:p w14:paraId="7A75A7EE" w14:textId="77777777" w:rsidR="009E648E" w:rsidRDefault="009E648E" w:rsidP="009E648E">
      <w:pPr>
        <w:spacing w:line="360" w:lineRule="auto"/>
        <w:ind w:left="1440" w:hanging="720"/>
        <w:jc w:val="both"/>
        <w:rPr>
          <w:rFonts w:ascii="David" w:hAnsi="David"/>
          <w:rtl/>
        </w:rPr>
      </w:pPr>
    </w:p>
    <w:p w14:paraId="0EB83BF7" w14:textId="77777777" w:rsidR="009E648E" w:rsidRDefault="009E648E" w:rsidP="009E648E">
      <w:pPr>
        <w:spacing w:line="360" w:lineRule="auto"/>
        <w:ind w:left="1440" w:hanging="720"/>
        <w:jc w:val="both"/>
        <w:rPr>
          <w:rFonts w:ascii="David" w:hAnsi="David"/>
          <w:rtl/>
        </w:rPr>
      </w:pPr>
      <w:r>
        <w:rPr>
          <w:rFonts w:ascii="David" w:hAnsi="David"/>
          <w:rtl/>
        </w:rPr>
        <w:t>ג.</w:t>
      </w:r>
      <w:r>
        <w:rPr>
          <w:rFonts w:ascii="David" w:hAnsi="David"/>
          <w:rtl/>
        </w:rPr>
        <w:tab/>
        <w:t xml:space="preserve">18 חודשי מאסר על תנאי למשך 3 שנים מהיום, והתנאי הוא כי הנאשם לא יעבור בתקופת התנאי עבירת סמים מלבד החזקה לצריכה עצמית או שימוש עצמי; </w:t>
      </w:r>
    </w:p>
    <w:p w14:paraId="4CE138CA" w14:textId="77777777" w:rsidR="009E648E" w:rsidRDefault="009E648E" w:rsidP="009E648E">
      <w:pPr>
        <w:spacing w:line="360" w:lineRule="auto"/>
        <w:ind w:left="1440" w:hanging="720"/>
        <w:jc w:val="both"/>
        <w:rPr>
          <w:rFonts w:ascii="David" w:hAnsi="David"/>
          <w:rtl/>
        </w:rPr>
      </w:pPr>
    </w:p>
    <w:p w14:paraId="774C70DA" w14:textId="77777777" w:rsidR="009E648E" w:rsidRDefault="009E648E" w:rsidP="009E648E">
      <w:pPr>
        <w:spacing w:line="360" w:lineRule="auto"/>
        <w:ind w:left="1440" w:hanging="720"/>
        <w:jc w:val="both"/>
        <w:rPr>
          <w:rFonts w:ascii="David" w:hAnsi="David"/>
          <w:rtl/>
        </w:rPr>
      </w:pPr>
      <w:r>
        <w:rPr>
          <w:rFonts w:ascii="David" w:hAnsi="David"/>
          <w:rtl/>
        </w:rPr>
        <w:t>ד.</w:t>
      </w:r>
      <w:r>
        <w:rPr>
          <w:rFonts w:ascii="David" w:hAnsi="David"/>
          <w:rtl/>
        </w:rPr>
        <w:tab/>
        <w:t>קנס כספי בסך 10,000 ש"ח שישולם תוך 90 יום, או 60 ימי מאסר תחתיו;</w:t>
      </w:r>
    </w:p>
    <w:p w14:paraId="4A92425F" w14:textId="77777777" w:rsidR="009E648E" w:rsidRDefault="009E648E" w:rsidP="009E648E">
      <w:pPr>
        <w:spacing w:line="360" w:lineRule="auto"/>
        <w:ind w:left="1440" w:hanging="720"/>
        <w:jc w:val="both"/>
        <w:rPr>
          <w:rFonts w:ascii="David" w:hAnsi="David"/>
          <w:rtl/>
        </w:rPr>
      </w:pPr>
    </w:p>
    <w:p w14:paraId="680914FF" w14:textId="77777777" w:rsidR="009E648E" w:rsidRDefault="009E648E" w:rsidP="009E648E">
      <w:pPr>
        <w:spacing w:line="360" w:lineRule="auto"/>
        <w:ind w:left="1440" w:hanging="720"/>
        <w:jc w:val="both"/>
        <w:rPr>
          <w:rFonts w:ascii="David" w:hAnsi="David"/>
          <w:rtl/>
        </w:rPr>
      </w:pPr>
      <w:r>
        <w:rPr>
          <w:rFonts w:ascii="David" w:hAnsi="David"/>
          <w:rtl/>
        </w:rPr>
        <w:t>ה.</w:t>
      </w:r>
      <w:r>
        <w:rPr>
          <w:rFonts w:ascii="David" w:hAnsi="David"/>
          <w:rtl/>
        </w:rPr>
        <w:tab/>
        <w:t>פסילת רישיון נהיגה למשך שנה מהיום.</w:t>
      </w:r>
    </w:p>
    <w:p w14:paraId="3F775659" w14:textId="77777777" w:rsidR="009E648E" w:rsidRDefault="009E648E" w:rsidP="009E648E">
      <w:pPr>
        <w:pStyle w:val="17"/>
        <w:spacing w:before="240"/>
        <w:ind w:left="509" w:firstLine="0"/>
        <w:rPr>
          <w:rFonts w:ascii="David" w:hAnsi="David" w:cs="David"/>
          <w:sz w:val="24"/>
          <w:szCs w:val="24"/>
          <w:rtl/>
        </w:rPr>
      </w:pPr>
    </w:p>
    <w:p w14:paraId="60387AC2" w14:textId="77777777" w:rsidR="009E648E" w:rsidRDefault="009E648E" w:rsidP="009E648E">
      <w:pPr>
        <w:pStyle w:val="17"/>
        <w:spacing w:before="240"/>
        <w:ind w:left="509" w:firstLine="0"/>
        <w:rPr>
          <w:rFonts w:ascii="David" w:hAnsi="David" w:cs="David"/>
          <w:sz w:val="24"/>
          <w:szCs w:val="24"/>
          <w:rtl/>
        </w:rPr>
      </w:pPr>
      <w:r>
        <w:rPr>
          <w:rFonts w:ascii="David" w:hAnsi="David" w:cs="David"/>
          <w:sz w:val="24"/>
          <w:szCs w:val="24"/>
          <w:rtl/>
        </w:rPr>
        <w:t xml:space="preserve">הנאשם יחל לרצות את עבודות השירות במועד שנקבע בחוות הדעת של הממונה על עבודות השירות (מיום 20.8.19), ולשם כך </w:t>
      </w:r>
      <w:r>
        <w:rPr>
          <w:rFonts w:ascii="David" w:hAnsi="David" w:cs="David"/>
          <w:b/>
          <w:bCs/>
          <w:sz w:val="24"/>
          <w:szCs w:val="24"/>
          <w:rtl/>
        </w:rPr>
        <w:t>עליו להתייצב ביום 5.11.19 עד השעה 08.00</w:t>
      </w:r>
      <w:r>
        <w:rPr>
          <w:rFonts w:ascii="David" w:hAnsi="David" w:cs="David"/>
          <w:sz w:val="24"/>
          <w:szCs w:val="24"/>
          <w:rtl/>
        </w:rPr>
        <w:t xml:space="preserve"> במשרדי הממונה על עבודות השירות ברמלה.</w:t>
      </w:r>
    </w:p>
    <w:p w14:paraId="71CA49ED" w14:textId="77777777" w:rsidR="009E648E" w:rsidRDefault="009E648E" w:rsidP="009E648E">
      <w:pPr>
        <w:spacing w:line="360" w:lineRule="auto"/>
        <w:rPr>
          <w:rFonts w:ascii="David" w:hAnsi="David"/>
          <w:b/>
          <w:bCs/>
          <w:rtl/>
        </w:rPr>
      </w:pPr>
    </w:p>
    <w:p w14:paraId="7883070D" w14:textId="77777777" w:rsidR="009E648E" w:rsidRDefault="009E648E" w:rsidP="009E648E">
      <w:pPr>
        <w:spacing w:line="360" w:lineRule="auto"/>
        <w:rPr>
          <w:rFonts w:ascii="David" w:hAnsi="David"/>
          <w:rtl/>
        </w:rPr>
      </w:pPr>
      <w:r>
        <w:rPr>
          <w:rFonts w:ascii="David" w:hAnsi="David"/>
          <w:b/>
          <w:bCs/>
          <w:rtl/>
        </w:rPr>
        <w:t>עותקי גזר הדין יועברו לממונה על עבודות השירות ולשירות המבחן</w:t>
      </w:r>
      <w:r>
        <w:rPr>
          <w:rFonts w:ascii="David" w:hAnsi="David"/>
          <w:rtl/>
        </w:rPr>
        <w:t>.</w:t>
      </w:r>
    </w:p>
    <w:p w14:paraId="55B26499" w14:textId="77777777" w:rsidR="009E648E" w:rsidRDefault="009E648E" w:rsidP="009E648E">
      <w:pPr>
        <w:spacing w:line="360" w:lineRule="auto"/>
        <w:rPr>
          <w:rFonts w:ascii="David" w:hAnsi="David"/>
          <w:rtl/>
        </w:rPr>
      </w:pPr>
    </w:p>
    <w:p w14:paraId="37CA2A8F" w14:textId="77777777" w:rsidR="009E648E" w:rsidRDefault="009E648E" w:rsidP="009E648E">
      <w:pPr>
        <w:spacing w:line="360" w:lineRule="auto"/>
        <w:rPr>
          <w:rFonts w:ascii="David" w:hAnsi="David"/>
          <w:b/>
          <w:bCs/>
          <w:rtl/>
        </w:rPr>
      </w:pPr>
      <w:r>
        <w:rPr>
          <w:rFonts w:ascii="David" w:hAnsi="David"/>
          <w:b/>
          <w:bCs/>
          <w:rtl/>
        </w:rPr>
        <w:t xml:space="preserve">זכות ערעור תוך 45 ימים מהיום. </w:t>
      </w:r>
    </w:p>
    <w:p w14:paraId="61CF75C8" w14:textId="77777777" w:rsidR="009E648E" w:rsidRDefault="009E648E" w:rsidP="009E648E">
      <w:pPr>
        <w:spacing w:line="360" w:lineRule="auto"/>
        <w:rPr>
          <w:rFonts w:ascii="David" w:hAnsi="David"/>
          <w:b/>
          <w:bCs/>
          <w:rtl/>
        </w:rPr>
      </w:pPr>
    </w:p>
    <w:p w14:paraId="6EE65E95" w14:textId="77777777" w:rsidR="009E648E" w:rsidRPr="002D24DA" w:rsidRDefault="002D24DA" w:rsidP="009E648E">
      <w:pPr>
        <w:spacing w:line="360" w:lineRule="auto"/>
        <w:rPr>
          <w:color w:val="FFFFFF"/>
          <w:sz w:val="2"/>
          <w:szCs w:val="2"/>
          <w:rtl/>
        </w:rPr>
      </w:pPr>
      <w:r w:rsidRPr="002D24DA">
        <w:rPr>
          <w:color w:val="FFFFFF"/>
          <w:sz w:val="2"/>
          <w:szCs w:val="2"/>
          <w:rtl/>
        </w:rPr>
        <w:t>5129371</w:t>
      </w:r>
    </w:p>
    <w:tbl>
      <w:tblPr>
        <w:tblpPr w:leftFromText="180" w:rightFromText="180" w:vertAnchor="text" w:horzAnchor="page" w:tblpX="2404" w:tblpY="157"/>
        <w:bidiVisual/>
        <w:tblW w:w="0" w:type="auto"/>
        <w:tblLook w:val="01E0" w:firstRow="1" w:lastRow="1" w:firstColumn="1" w:lastColumn="1" w:noHBand="0" w:noVBand="0"/>
      </w:tblPr>
      <w:tblGrid>
        <w:gridCol w:w="2919"/>
      </w:tblGrid>
      <w:tr w:rsidR="009E648E" w:rsidRPr="0058005A" w14:paraId="7BC7168E" w14:textId="77777777" w:rsidTr="009E648E">
        <w:tc>
          <w:tcPr>
            <w:tcW w:w="2919" w:type="dxa"/>
            <w:tcBorders>
              <w:top w:val="nil"/>
              <w:left w:val="nil"/>
              <w:bottom w:val="single" w:sz="4" w:space="0" w:color="auto"/>
              <w:right w:val="nil"/>
            </w:tcBorders>
            <w:shd w:val="clear" w:color="auto" w:fill="auto"/>
            <w:vAlign w:val="center"/>
          </w:tcPr>
          <w:p w14:paraId="16C76DAC" w14:textId="77777777" w:rsidR="009E648E" w:rsidRPr="009E648E" w:rsidRDefault="002D24DA" w:rsidP="002D24DA">
            <w:pPr>
              <w:spacing w:line="360" w:lineRule="auto"/>
              <w:jc w:val="center"/>
              <w:rPr>
                <w:rFonts w:ascii="Courier New" w:hAnsi="Courier New"/>
                <w:b/>
                <w:bCs/>
              </w:rPr>
            </w:pPr>
            <w:bookmarkStart w:id="8" w:name="Nitan"/>
            <w:r w:rsidRPr="002D24DA">
              <w:rPr>
                <w:rFonts w:ascii="Arial" w:hAnsi="Arial"/>
                <w:b/>
                <w:bCs/>
                <w:color w:val="FFFFFF"/>
                <w:sz w:val="2"/>
                <w:szCs w:val="2"/>
                <w:rtl/>
              </w:rPr>
              <w:t>54678313</w:t>
            </w:r>
            <w:r>
              <w:rPr>
                <w:rFonts w:ascii="Arial" w:hAnsi="Arial"/>
                <w:b/>
                <w:bCs/>
                <w:rtl/>
              </w:rPr>
              <w:t xml:space="preserve">ניתן היום, י"א תשרי תש"פ, 10 אוקטובר 2019, במעמד הצדדים. </w:t>
            </w:r>
            <w:bookmarkEnd w:id="8"/>
          </w:p>
        </w:tc>
      </w:tr>
      <w:tr w:rsidR="009E648E" w:rsidRPr="0058005A" w14:paraId="1EDFE8ED" w14:textId="77777777" w:rsidTr="009E648E">
        <w:tc>
          <w:tcPr>
            <w:tcW w:w="2919" w:type="dxa"/>
            <w:tcBorders>
              <w:top w:val="single" w:sz="4" w:space="0" w:color="auto"/>
              <w:left w:val="nil"/>
              <w:bottom w:val="nil"/>
              <w:right w:val="nil"/>
            </w:tcBorders>
            <w:shd w:val="clear" w:color="auto" w:fill="auto"/>
            <w:vAlign w:val="bottom"/>
          </w:tcPr>
          <w:p w14:paraId="1FB932D5" w14:textId="77777777" w:rsidR="009E648E" w:rsidRPr="009E648E" w:rsidRDefault="009E648E" w:rsidP="009E648E">
            <w:pPr>
              <w:spacing w:line="360" w:lineRule="auto"/>
              <w:jc w:val="center"/>
              <w:rPr>
                <w:rFonts w:ascii="Courier New" w:hAnsi="Courier New"/>
                <w:b/>
                <w:bCs/>
              </w:rPr>
            </w:pPr>
            <w:r w:rsidRPr="009E648E">
              <w:rPr>
                <w:rFonts w:ascii="Courier New" w:hAnsi="Courier New" w:hint="cs"/>
                <w:b/>
                <w:bCs/>
                <w:rtl/>
              </w:rPr>
              <w:t>מר</w:t>
            </w:r>
            <w:r w:rsidRPr="009E648E">
              <w:rPr>
                <w:rFonts w:ascii="Courier New" w:hAnsi="Courier New"/>
                <w:b/>
                <w:bCs/>
                <w:rtl/>
              </w:rPr>
              <w:t>דכי לוי, שופט</w:t>
            </w:r>
          </w:p>
        </w:tc>
      </w:tr>
    </w:tbl>
    <w:p w14:paraId="0EF793E2" w14:textId="77777777" w:rsidR="009E648E" w:rsidRDefault="009E648E" w:rsidP="009E648E">
      <w:pPr>
        <w:spacing w:line="360" w:lineRule="auto"/>
        <w:jc w:val="both"/>
        <w:rPr>
          <w:rFonts w:ascii="Arial" w:hAnsi="Arial"/>
          <w:rtl/>
        </w:rPr>
      </w:pPr>
    </w:p>
    <w:p w14:paraId="4AF0F907" w14:textId="77777777" w:rsidR="009E648E" w:rsidRPr="0058005A" w:rsidRDefault="009E648E" w:rsidP="009E648E">
      <w:pPr>
        <w:spacing w:line="360" w:lineRule="auto"/>
      </w:pPr>
    </w:p>
    <w:p w14:paraId="198E56AA" w14:textId="77777777" w:rsidR="009E648E" w:rsidRPr="009E648E" w:rsidRDefault="009E648E" w:rsidP="009E648E">
      <w:pPr>
        <w:spacing w:after="160" w:line="360" w:lineRule="auto"/>
        <w:rPr>
          <w:rFonts w:ascii="Calibri" w:hAnsi="Calibri" w:cs="Arial"/>
          <w:sz w:val="22"/>
          <w:szCs w:val="22"/>
        </w:rPr>
      </w:pPr>
    </w:p>
    <w:p w14:paraId="049F786D" w14:textId="77777777" w:rsidR="009E648E" w:rsidRPr="0022143D" w:rsidRDefault="0022143D" w:rsidP="009E648E">
      <w:pPr>
        <w:spacing w:line="360" w:lineRule="auto"/>
        <w:rPr>
          <w:color w:val="FFFFFF"/>
          <w:sz w:val="2"/>
          <w:szCs w:val="2"/>
        </w:rPr>
      </w:pPr>
      <w:r w:rsidRPr="0022143D">
        <w:rPr>
          <w:color w:val="FFFFFF"/>
          <w:sz w:val="2"/>
          <w:szCs w:val="2"/>
          <w:rtl/>
        </w:rPr>
        <w:t>5129371</w:t>
      </w:r>
    </w:p>
    <w:p w14:paraId="74DB97B4" w14:textId="77777777" w:rsidR="0036310D" w:rsidRPr="0022143D" w:rsidRDefault="0022143D" w:rsidP="002D24DA">
      <w:pPr>
        <w:keepNext/>
        <w:rPr>
          <w:rFonts w:ascii="David" w:hAnsi="David"/>
          <w:color w:val="FFFFFF"/>
          <w:sz w:val="2"/>
          <w:szCs w:val="2"/>
          <w:rtl/>
        </w:rPr>
      </w:pPr>
      <w:r w:rsidRPr="0022143D">
        <w:rPr>
          <w:rFonts w:ascii="David" w:hAnsi="David"/>
          <w:color w:val="FFFFFF"/>
          <w:sz w:val="2"/>
          <w:szCs w:val="2"/>
          <w:rtl/>
        </w:rPr>
        <w:t>54678313</w:t>
      </w:r>
    </w:p>
    <w:p w14:paraId="2757D7BE" w14:textId="77777777" w:rsidR="002D24DA" w:rsidRDefault="002D24DA" w:rsidP="002D24DA">
      <w:pPr>
        <w:rPr>
          <w:rtl/>
        </w:rPr>
      </w:pPr>
    </w:p>
    <w:p w14:paraId="6FFC5788" w14:textId="77777777" w:rsidR="002D24DA" w:rsidRDefault="002D24DA" w:rsidP="002D24DA">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3EB6EF7F" w14:textId="77777777" w:rsidR="0022143D" w:rsidRPr="0022143D" w:rsidRDefault="0022143D" w:rsidP="0022143D">
      <w:pPr>
        <w:keepNext/>
        <w:rPr>
          <w:rFonts w:ascii="David" w:hAnsi="David"/>
          <w:color w:val="000000"/>
          <w:sz w:val="22"/>
          <w:szCs w:val="22"/>
          <w:rtl/>
        </w:rPr>
      </w:pPr>
    </w:p>
    <w:p w14:paraId="0B0EB4FB" w14:textId="77777777" w:rsidR="0022143D" w:rsidRPr="0022143D" w:rsidRDefault="0022143D" w:rsidP="0022143D">
      <w:pPr>
        <w:keepNext/>
        <w:rPr>
          <w:rFonts w:ascii="David" w:hAnsi="David"/>
          <w:color w:val="000000"/>
          <w:sz w:val="22"/>
          <w:szCs w:val="22"/>
          <w:rtl/>
        </w:rPr>
      </w:pPr>
      <w:r w:rsidRPr="0022143D">
        <w:rPr>
          <w:rFonts w:ascii="David" w:hAnsi="David"/>
          <w:color w:val="000000"/>
          <w:sz w:val="22"/>
          <w:szCs w:val="22"/>
          <w:rtl/>
        </w:rPr>
        <w:t>מרדכי לוי 54678313-/</w:t>
      </w:r>
    </w:p>
    <w:p w14:paraId="4E41AC7E" w14:textId="77777777" w:rsidR="002D24DA" w:rsidRPr="002D24DA" w:rsidRDefault="0022143D" w:rsidP="0022143D">
      <w:pPr>
        <w:rPr>
          <w:color w:val="0000FF"/>
          <w:u w:val="single"/>
        </w:rPr>
      </w:pPr>
      <w:r w:rsidRPr="0022143D">
        <w:rPr>
          <w:color w:val="000000"/>
          <w:u w:val="single"/>
          <w:rtl/>
        </w:rPr>
        <w:t>נוסח מסמך זה כפוף לשינויי ניסוח ועריכה</w:t>
      </w:r>
    </w:p>
    <w:sectPr w:rsidR="002D24DA" w:rsidRPr="002D24DA" w:rsidSect="0022143D">
      <w:headerReference w:type="even" r:id="rId77"/>
      <w:headerReference w:type="default" r:id="rId78"/>
      <w:footerReference w:type="even" r:id="rId79"/>
      <w:footerReference w:type="default" r:id="rId8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495CE" w14:textId="77777777" w:rsidR="00386E7D" w:rsidRDefault="00386E7D" w:rsidP="00FC67B0">
      <w:r>
        <w:separator/>
      </w:r>
    </w:p>
  </w:endnote>
  <w:endnote w:type="continuationSeparator" w:id="0">
    <w:p w14:paraId="02A2D9FD" w14:textId="77777777" w:rsidR="00386E7D" w:rsidRDefault="00386E7D" w:rsidP="00FC6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D3D8" w14:textId="77777777" w:rsidR="0022143D" w:rsidRDefault="0022143D" w:rsidP="002214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E38C65A" w14:textId="77777777" w:rsidR="00125FBB" w:rsidRPr="0022143D" w:rsidRDefault="0022143D" w:rsidP="0022143D">
    <w:pPr>
      <w:pStyle w:val="a5"/>
      <w:pBdr>
        <w:top w:val="single" w:sz="4" w:space="1" w:color="auto"/>
        <w:between w:val="single" w:sz="4" w:space="0" w:color="auto"/>
      </w:pBdr>
      <w:spacing w:after="60"/>
      <w:jc w:val="center"/>
      <w:rPr>
        <w:rFonts w:ascii="FrankRuehl" w:hAnsi="FrankRuehl" w:cs="FrankRuehl"/>
        <w:color w:val="000000"/>
      </w:rPr>
    </w:pPr>
    <w:r w:rsidRPr="002214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27763" w14:textId="77777777" w:rsidR="0022143D" w:rsidRDefault="0022143D" w:rsidP="002214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B080A">
      <w:rPr>
        <w:rFonts w:ascii="FrankRuehl" w:hAnsi="FrankRuehl" w:cs="FrankRuehl"/>
        <w:noProof/>
        <w:rtl/>
      </w:rPr>
      <w:t>1</w:t>
    </w:r>
    <w:r>
      <w:rPr>
        <w:rFonts w:ascii="FrankRuehl" w:hAnsi="FrankRuehl" w:cs="FrankRuehl"/>
        <w:rtl/>
      </w:rPr>
      <w:fldChar w:fldCharType="end"/>
    </w:r>
  </w:p>
  <w:p w14:paraId="339ADC7E" w14:textId="77777777" w:rsidR="00125FBB" w:rsidRPr="0022143D" w:rsidRDefault="0022143D" w:rsidP="0022143D">
    <w:pPr>
      <w:pStyle w:val="a5"/>
      <w:pBdr>
        <w:top w:val="single" w:sz="4" w:space="1" w:color="auto"/>
        <w:between w:val="single" w:sz="4" w:space="0" w:color="auto"/>
      </w:pBdr>
      <w:spacing w:after="60"/>
      <w:jc w:val="center"/>
      <w:rPr>
        <w:rFonts w:ascii="FrankRuehl" w:hAnsi="FrankRuehl" w:cs="FrankRuehl"/>
        <w:color w:val="000000"/>
      </w:rPr>
    </w:pPr>
    <w:r w:rsidRPr="0022143D">
      <w:rPr>
        <w:rFonts w:ascii="FrankRuehl" w:hAnsi="FrankRuehl" w:cs="FrankRuehl"/>
        <w:color w:val="000000"/>
      </w:rPr>
      <w:pict w14:anchorId="197EE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8147B" w14:textId="77777777" w:rsidR="00386E7D" w:rsidRDefault="00386E7D" w:rsidP="00FC67B0">
      <w:r>
        <w:separator/>
      </w:r>
    </w:p>
  </w:footnote>
  <w:footnote w:type="continuationSeparator" w:id="0">
    <w:p w14:paraId="62CD1886" w14:textId="77777777" w:rsidR="00386E7D" w:rsidRDefault="00386E7D" w:rsidP="00FC6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EF9D8" w14:textId="77777777" w:rsidR="002D24DA" w:rsidRPr="0022143D" w:rsidRDefault="0022143D" w:rsidP="002214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26019-02-18</w:t>
    </w:r>
    <w:r>
      <w:rPr>
        <w:rFonts w:ascii="David" w:hAnsi="David"/>
        <w:color w:val="000000"/>
        <w:sz w:val="22"/>
        <w:szCs w:val="22"/>
        <w:rtl/>
      </w:rPr>
      <w:tab/>
      <w:t xml:space="preserve"> מדינת ישראל נ' אליאב אלוני פריאל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6ED23" w14:textId="77777777" w:rsidR="002D24DA" w:rsidRPr="0022143D" w:rsidRDefault="0022143D" w:rsidP="002214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26019-02-18</w:t>
    </w:r>
    <w:r>
      <w:rPr>
        <w:rFonts w:ascii="David" w:hAnsi="David"/>
        <w:color w:val="000000"/>
        <w:sz w:val="22"/>
        <w:szCs w:val="22"/>
        <w:rtl/>
      </w:rPr>
      <w:tab/>
      <w:t xml:space="preserve"> מדינת ישראל נ' אליאב אלוני פריאל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9338E6"/>
    <w:multiLevelType w:val="hybridMultilevel"/>
    <w:tmpl w:val="146837BE"/>
    <w:lvl w:ilvl="0" w:tplc="F59A9A12">
      <w:start w:val="1"/>
      <w:numFmt w:val="decimal"/>
      <w:lvlText w:val="%1."/>
      <w:lvlJc w:val="left"/>
      <w:pPr>
        <w:ind w:left="720" w:right="1211" w:hanging="360"/>
      </w:pPr>
      <w:rPr>
        <w:rFonts w:cs="Times New Roman"/>
        <w:b w:val="0"/>
        <w:bCs w:val="0"/>
        <w:sz w:val="24"/>
        <w:szCs w:val="24"/>
      </w:rPr>
    </w:lvl>
    <w:lvl w:ilvl="1" w:tplc="04090019">
      <w:start w:val="1"/>
      <w:numFmt w:val="lowerLetter"/>
      <w:lvlText w:val="%2."/>
      <w:lvlJc w:val="left"/>
      <w:pPr>
        <w:ind w:left="1440" w:right="1882" w:hanging="360"/>
      </w:pPr>
      <w:rPr>
        <w:rFonts w:cs="Times New Roman"/>
      </w:rPr>
    </w:lvl>
    <w:lvl w:ilvl="2" w:tplc="0409001B">
      <w:start w:val="1"/>
      <w:numFmt w:val="lowerRoman"/>
      <w:lvlText w:val="%3."/>
      <w:lvlJc w:val="right"/>
      <w:pPr>
        <w:ind w:left="2160" w:right="2602" w:hanging="180"/>
      </w:pPr>
      <w:rPr>
        <w:rFonts w:cs="Times New Roman"/>
      </w:rPr>
    </w:lvl>
    <w:lvl w:ilvl="3" w:tplc="0409000F">
      <w:start w:val="1"/>
      <w:numFmt w:val="decimal"/>
      <w:lvlText w:val="%4."/>
      <w:lvlJc w:val="left"/>
      <w:pPr>
        <w:ind w:left="2880" w:right="3322" w:hanging="360"/>
      </w:pPr>
      <w:rPr>
        <w:rFonts w:cs="Times New Roman"/>
      </w:rPr>
    </w:lvl>
    <w:lvl w:ilvl="4" w:tplc="04090019">
      <w:start w:val="1"/>
      <w:numFmt w:val="lowerLetter"/>
      <w:lvlText w:val="%5."/>
      <w:lvlJc w:val="left"/>
      <w:pPr>
        <w:ind w:left="3600" w:right="4042" w:hanging="360"/>
      </w:pPr>
      <w:rPr>
        <w:rFonts w:cs="Times New Roman"/>
      </w:rPr>
    </w:lvl>
    <w:lvl w:ilvl="5" w:tplc="0409001B">
      <w:start w:val="1"/>
      <w:numFmt w:val="lowerRoman"/>
      <w:lvlText w:val="%6."/>
      <w:lvlJc w:val="right"/>
      <w:pPr>
        <w:ind w:left="4320" w:right="4762" w:hanging="180"/>
      </w:pPr>
      <w:rPr>
        <w:rFonts w:cs="Times New Roman"/>
      </w:rPr>
    </w:lvl>
    <w:lvl w:ilvl="6" w:tplc="0409000F">
      <w:start w:val="1"/>
      <w:numFmt w:val="decimal"/>
      <w:lvlText w:val="%7."/>
      <w:lvlJc w:val="left"/>
      <w:pPr>
        <w:ind w:left="5040" w:right="5482" w:hanging="360"/>
      </w:pPr>
      <w:rPr>
        <w:rFonts w:cs="Times New Roman"/>
      </w:rPr>
    </w:lvl>
    <w:lvl w:ilvl="7" w:tplc="04090019">
      <w:start w:val="1"/>
      <w:numFmt w:val="lowerLetter"/>
      <w:lvlText w:val="%8."/>
      <w:lvlJc w:val="left"/>
      <w:pPr>
        <w:ind w:left="5760" w:right="6202" w:hanging="360"/>
      </w:pPr>
      <w:rPr>
        <w:rFonts w:cs="Times New Roman"/>
      </w:rPr>
    </w:lvl>
    <w:lvl w:ilvl="8" w:tplc="0409001B">
      <w:start w:val="1"/>
      <w:numFmt w:val="lowerRoman"/>
      <w:lvlText w:val="%9."/>
      <w:lvlJc w:val="right"/>
      <w:pPr>
        <w:ind w:left="6480" w:right="6922" w:hanging="180"/>
      </w:pPr>
      <w:rPr>
        <w:rFonts w:cs="Times New Roman"/>
      </w:rPr>
    </w:lvl>
  </w:abstractNum>
  <w:num w:numId="1" w16cid:durableId="8652925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648E"/>
    <w:rsid w:val="00125FBB"/>
    <w:rsid w:val="0022143D"/>
    <w:rsid w:val="002D24DA"/>
    <w:rsid w:val="0036310D"/>
    <w:rsid w:val="00381020"/>
    <w:rsid w:val="00386E7D"/>
    <w:rsid w:val="00425BB1"/>
    <w:rsid w:val="009E648E"/>
    <w:rsid w:val="00BB080A"/>
    <w:rsid w:val="00C939E6"/>
    <w:rsid w:val="00FC67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EEB296"/>
  <w15:chartTrackingRefBased/>
  <w15:docId w15:val="{A5481954-04E3-4893-956A-B8BD716F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648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648E"/>
    <w:pPr>
      <w:tabs>
        <w:tab w:val="center" w:pos="4153"/>
        <w:tab w:val="right" w:pos="8306"/>
      </w:tabs>
    </w:pPr>
  </w:style>
  <w:style w:type="character" w:customStyle="1" w:styleId="a4">
    <w:name w:val="כותרת עליונה תו"/>
    <w:link w:val="a3"/>
    <w:rsid w:val="009E648E"/>
    <w:rPr>
      <w:rFonts w:ascii="Times New Roman" w:eastAsia="Times New Roman" w:hAnsi="Times New Roman" w:cs="David"/>
      <w:sz w:val="24"/>
      <w:szCs w:val="24"/>
    </w:rPr>
  </w:style>
  <w:style w:type="paragraph" w:styleId="a5">
    <w:name w:val="footer"/>
    <w:basedOn w:val="a"/>
    <w:link w:val="a6"/>
    <w:rsid w:val="009E648E"/>
    <w:pPr>
      <w:tabs>
        <w:tab w:val="center" w:pos="4153"/>
        <w:tab w:val="right" w:pos="8306"/>
      </w:tabs>
    </w:pPr>
  </w:style>
  <w:style w:type="character" w:customStyle="1" w:styleId="a6">
    <w:name w:val="כותרת תחתונה תו"/>
    <w:link w:val="a5"/>
    <w:rsid w:val="009E648E"/>
    <w:rPr>
      <w:rFonts w:ascii="Times New Roman" w:eastAsia="Times New Roman" w:hAnsi="Times New Roman" w:cs="David"/>
      <w:sz w:val="24"/>
      <w:szCs w:val="24"/>
    </w:rPr>
  </w:style>
  <w:style w:type="table" w:styleId="a7">
    <w:name w:val="Table Grid"/>
    <w:basedOn w:val="a1"/>
    <w:rsid w:val="009E64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648E"/>
  </w:style>
  <w:style w:type="character" w:customStyle="1" w:styleId="TimesNewRomanTimesNewRoman">
    <w:name w:val="סגנון (לטיני) Times New Roman (עברית ושפות אחרות) Times New Roman..."/>
    <w:rsid w:val="009E648E"/>
    <w:rPr>
      <w:rFonts w:ascii="Times New Roman" w:hAnsi="Times New Roman" w:cs="David" w:hint="default"/>
      <w:b/>
      <w:bCs/>
      <w:sz w:val="26"/>
      <w:szCs w:val="26"/>
    </w:rPr>
  </w:style>
  <w:style w:type="paragraph" w:styleId="a9">
    <w:name w:val="List Paragraph"/>
    <w:basedOn w:val="a"/>
    <w:qFormat/>
    <w:rsid w:val="009E648E"/>
    <w:pPr>
      <w:spacing w:after="240" w:line="360" w:lineRule="auto"/>
      <w:ind w:left="720" w:hanging="425"/>
      <w:contextualSpacing/>
      <w:jc w:val="both"/>
    </w:pPr>
    <w:rPr>
      <w:rFonts w:ascii="Calibri" w:hAnsi="Calibri" w:cs="Arial"/>
      <w:sz w:val="22"/>
      <w:szCs w:val="22"/>
    </w:rPr>
  </w:style>
  <w:style w:type="paragraph" w:customStyle="1" w:styleId="1">
    <w:name w:val="פיסקת רשימה1"/>
    <w:basedOn w:val="a"/>
    <w:rsid w:val="009E648E"/>
    <w:pPr>
      <w:spacing w:after="240" w:line="360" w:lineRule="auto"/>
      <w:ind w:left="720" w:hanging="425"/>
      <w:jc w:val="both"/>
    </w:pPr>
    <w:rPr>
      <w:rFonts w:ascii="Calibri" w:hAnsi="Calibri" w:cs="Arial"/>
      <w:sz w:val="22"/>
      <w:szCs w:val="22"/>
    </w:rPr>
  </w:style>
  <w:style w:type="paragraph" w:customStyle="1" w:styleId="15">
    <w:name w:val="פיסקת רשימה15"/>
    <w:basedOn w:val="a"/>
    <w:rsid w:val="009E648E"/>
    <w:pPr>
      <w:spacing w:after="240" w:line="360" w:lineRule="auto"/>
      <w:ind w:left="720" w:hanging="425"/>
      <w:jc w:val="both"/>
    </w:pPr>
    <w:rPr>
      <w:rFonts w:ascii="Calibri" w:hAnsi="Calibri" w:cs="Arial"/>
      <w:sz w:val="22"/>
      <w:szCs w:val="22"/>
    </w:rPr>
  </w:style>
  <w:style w:type="paragraph" w:customStyle="1" w:styleId="17">
    <w:name w:val="פיסקת רשימה17"/>
    <w:basedOn w:val="a"/>
    <w:rsid w:val="009E648E"/>
    <w:pPr>
      <w:spacing w:after="240" w:line="360" w:lineRule="auto"/>
      <w:ind w:left="720" w:hanging="425"/>
      <w:jc w:val="both"/>
    </w:pPr>
    <w:rPr>
      <w:rFonts w:ascii="Calibri" w:hAnsi="Calibri" w:cs="Arial"/>
      <w:sz w:val="22"/>
      <w:szCs w:val="22"/>
    </w:rPr>
  </w:style>
  <w:style w:type="paragraph" w:customStyle="1" w:styleId="David">
    <w:name w:val="סגנון (עברית ושפות אחרות) David מיושר לשני הצדדים מרווח בין שורות..."/>
    <w:basedOn w:val="a"/>
    <w:rsid w:val="009E648E"/>
    <w:pPr>
      <w:spacing w:line="360" w:lineRule="auto"/>
      <w:jc w:val="both"/>
    </w:pPr>
  </w:style>
  <w:style w:type="paragraph" w:customStyle="1" w:styleId="Ruller4">
    <w:name w:val="Ruller4"/>
    <w:basedOn w:val="a"/>
    <w:rsid w:val="009E648E"/>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2D24D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8753213" TargetMode="External"/><Relationship Id="rId21" Type="http://schemas.openxmlformats.org/officeDocument/2006/relationships/hyperlink" Target="http://www.nevo.co.il/law/71553/3" TargetMode="External"/><Relationship Id="rId42" Type="http://schemas.openxmlformats.org/officeDocument/2006/relationships/hyperlink" Target="http://www.nevo.co.il/case/20571533"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5933865" TargetMode="External"/><Relationship Id="rId68" Type="http://schemas.openxmlformats.org/officeDocument/2006/relationships/hyperlink" Target="http://www.nevo.co.il/case/21477656" TargetMode="External"/><Relationship Id="rId16" Type="http://schemas.openxmlformats.org/officeDocument/2006/relationships/hyperlink" Target="http://www.nevo.co.il/law/70301/40f" TargetMode="External"/><Relationship Id="rId11" Type="http://schemas.openxmlformats.org/officeDocument/2006/relationships/hyperlink" Target="http://www.nevo.co.il/law/70301/40b" TargetMode="External"/><Relationship Id="rId32" Type="http://schemas.openxmlformats.org/officeDocument/2006/relationships/hyperlink" Target="http://www.nevo.co.il/case/5953822" TargetMode="External"/><Relationship Id="rId37" Type="http://schemas.openxmlformats.org/officeDocument/2006/relationships/hyperlink" Target="http://www.nevo.co.il/case/5698919" TargetMode="External"/><Relationship Id="rId53" Type="http://schemas.openxmlformats.org/officeDocument/2006/relationships/hyperlink" Target="http://www.nevo.co.il/case/7730704" TargetMode="External"/><Relationship Id="rId58" Type="http://schemas.openxmlformats.org/officeDocument/2006/relationships/hyperlink" Target="http://www.nevo.co.il/law/70301/40d;40e" TargetMode="External"/><Relationship Id="rId74" Type="http://schemas.openxmlformats.org/officeDocument/2006/relationships/hyperlink" Target="http://www.nevo.co.il/law/71553/3"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6097754" TargetMode="External"/><Relationship Id="rId82" Type="http://schemas.openxmlformats.org/officeDocument/2006/relationships/theme" Target="theme/theme1.xml"/><Relationship Id="rId19" Type="http://schemas.openxmlformats.org/officeDocument/2006/relationships/hyperlink" Target="http://www.nevo.co.il/law/70301/40j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5727295" TargetMode="External"/><Relationship Id="rId30" Type="http://schemas.openxmlformats.org/officeDocument/2006/relationships/hyperlink" Target="http://www.nevo.co.il/case/244246" TargetMode="External"/><Relationship Id="rId35" Type="http://schemas.openxmlformats.org/officeDocument/2006/relationships/hyperlink" Target="http://www.nevo.co.il/case/5896323" TargetMode="External"/><Relationship Id="rId43" Type="http://schemas.openxmlformats.org/officeDocument/2006/relationships/hyperlink" Target="http://www.nevo.co.il/case/20943830" TargetMode="External"/><Relationship Id="rId48" Type="http://schemas.openxmlformats.org/officeDocument/2006/relationships/hyperlink" Target="http://www.nevo.co.il/law/70301/40c.a" TargetMode="External"/><Relationship Id="rId56" Type="http://schemas.openxmlformats.org/officeDocument/2006/relationships/hyperlink" Target="http://www.nevo.co.il/law/70301/40f" TargetMode="External"/><Relationship Id="rId64" Type="http://schemas.openxmlformats.org/officeDocument/2006/relationships/hyperlink" Target="http://www.nevo.co.il/case/5823754" TargetMode="External"/><Relationship Id="rId69" Type="http://schemas.openxmlformats.org/officeDocument/2006/relationships/hyperlink" Target="http://www.nevo.co.il/case/21021192" TargetMode="External"/><Relationship Id="rId77"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case/6950458" TargetMode="External"/><Relationship Id="rId72" Type="http://schemas.openxmlformats.org/officeDocument/2006/relationships/hyperlink" Target="http://www.nevo.co.il/law/70301"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g" TargetMode="External"/><Relationship Id="rId25" Type="http://schemas.openxmlformats.org/officeDocument/2006/relationships/hyperlink" Target="http://www.nevo.co.il/case/24954904" TargetMode="External"/><Relationship Id="rId33" Type="http://schemas.openxmlformats.org/officeDocument/2006/relationships/hyperlink" Target="http://www.nevo.co.il/case/6008933" TargetMode="External"/><Relationship Id="rId38" Type="http://schemas.openxmlformats.org/officeDocument/2006/relationships/hyperlink" Target="http://www.nevo.co.il/case/23751286" TargetMode="External"/><Relationship Id="rId46" Type="http://schemas.openxmlformats.org/officeDocument/2006/relationships/hyperlink" Target="http://www.nevo.co.il/law/70301/40b" TargetMode="External"/><Relationship Id="rId59" Type="http://schemas.openxmlformats.org/officeDocument/2006/relationships/hyperlink" Target="http://www.nevo.co.il/case/7980171" TargetMode="External"/><Relationship Id="rId67" Type="http://schemas.openxmlformats.org/officeDocument/2006/relationships/hyperlink" Target="http://www.nevo.co.il/case/20450193" TargetMode="External"/><Relationship Id="rId20" Type="http://schemas.openxmlformats.org/officeDocument/2006/relationships/hyperlink" Target="http://www.nevo.co.il/law/71553" TargetMode="External"/><Relationship Id="rId41" Type="http://schemas.openxmlformats.org/officeDocument/2006/relationships/hyperlink" Target="http://www.nevo.co.il/case/5301960" TargetMode="External"/><Relationship Id="rId54" Type="http://schemas.openxmlformats.org/officeDocument/2006/relationships/hyperlink" Target="http://www.nevo.co.il/law/70301/40c.b" TargetMode="External"/><Relationship Id="rId62" Type="http://schemas.openxmlformats.org/officeDocument/2006/relationships/hyperlink" Target="http://www.nevo.co.il/case/6120591" TargetMode="External"/><Relationship Id="rId70" Type="http://schemas.openxmlformats.org/officeDocument/2006/relationships/hyperlink" Target="http://www.nevo.co.il/case/22938500" TargetMode="External"/><Relationship Id="rId75" Type="http://schemas.openxmlformats.org/officeDocument/2006/relationships/hyperlink" Target="http://www.nevo.co.il/law/7155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e"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1474175" TargetMode="External"/><Relationship Id="rId36" Type="http://schemas.openxmlformats.org/officeDocument/2006/relationships/hyperlink" Target="http://www.nevo.co.il/case/5997727" TargetMode="External"/><Relationship Id="rId49" Type="http://schemas.openxmlformats.org/officeDocument/2006/relationships/hyperlink" Target="http://www.nevo.co.il/law/70301/40i" TargetMode="External"/><Relationship Id="rId57" Type="http://schemas.openxmlformats.org/officeDocument/2006/relationships/hyperlink" Target="http://www.nevo.co.il/law/70301/40g"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5681787" TargetMode="External"/><Relationship Id="rId44" Type="http://schemas.openxmlformats.org/officeDocument/2006/relationships/hyperlink" Target="http://www.nevo.co.il/case/21731790" TargetMode="External"/><Relationship Id="rId52" Type="http://schemas.openxmlformats.org/officeDocument/2006/relationships/hyperlink" Target="http://www.nevo.co.il/case/5573417" TargetMode="External"/><Relationship Id="rId60" Type="http://schemas.openxmlformats.org/officeDocument/2006/relationships/hyperlink" Target="http://www.nevo.co.il/case/17948083" TargetMode="External"/><Relationship Id="rId65" Type="http://schemas.openxmlformats.org/officeDocument/2006/relationships/hyperlink" Target="http://www.nevo.co.il/case/5599403" TargetMode="External"/><Relationship Id="rId73" Type="http://schemas.openxmlformats.org/officeDocument/2006/relationships/hyperlink" Target="http://www.nevo.co.il/case/22578451"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40i" TargetMode="External"/><Relationship Id="rId39" Type="http://schemas.openxmlformats.org/officeDocument/2006/relationships/hyperlink" Target="http://www.nevo.co.il/case/5599403" TargetMode="External"/><Relationship Id="rId34" Type="http://schemas.openxmlformats.org/officeDocument/2006/relationships/hyperlink" Target="http://www.nevo.co.il/case/21066819"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40ja"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71" Type="http://schemas.openxmlformats.org/officeDocument/2006/relationships/hyperlink" Target="http://www.nevo.co.il/case/25459244" TargetMode="External"/><Relationship Id="rId2" Type="http://schemas.openxmlformats.org/officeDocument/2006/relationships/styles" Target="styles.xml"/><Relationship Id="rId29" Type="http://schemas.openxmlformats.org/officeDocument/2006/relationships/hyperlink" Target="http://www.nevo.co.il/case/21472796" TargetMode="External"/><Relationship Id="rId24" Type="http://schemas.openxmlformats.org/officeDocument/2006/relationships/hyperlink" Target="http://www.nevo.co.il/case/17947582" TargetMode="External"/><Relationship Id="rId40" Type="http://schemas.openxmlformats.org/officeDocument/2006/relationships/hyperlink" Target="http://www.nevo.co.il/case/22505494" TargetMode="External"/><Relationship Id="rId45" Type="http://schemas.openxmlformats.org/officeDocument/2006/relationships/hyperlink" Target="http://www.nevo.co.il/case/21694329" TargetMode="External"/><Relationship Id="rId66" Type="http://schemas.openxmlformats.org/officeDocument/2006/relationships/hyperlink" Target="http://www.nevo.co.il/case/1130279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5026</Words>
  <Characters>25134</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30100</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8257634</vt:i4>
      </vt:variant>
      <vt:variant>
        <vt:i4>204</vt:i4>
      </vt:variant>
      <vt:variant>
        <vt:i4>0</vt:i4>
      </vt:variant>
      <vt:variant>
        <vt:i4>5</vt:i4>
      </vt:variant>
      <vt:variant>
        <vt:lpwstr>http://www.nevo.co.il/law/71553</vt:lpwstr>
      </vt:variant>
      <vt:variant>
        <vt:lpwstr/>
      </vt:variant>
      <vt:variant>
        <vt:i4>5308497</vt:i4>
      </vt:variant>
      <vt:variant>
        <vt:i4>201</vt:i4>
      </vt:variant>
      <vt:variant>
        <vt:i4>0</vt:i4>
      </vt:variant>
      <vt:variant>
        <vt:i4>5</vt:i4>
      </vt:variant>
      <vt:variant>
        <vt:lpwstr>http://www.nevo.co.il/law/71553/3</vt:lpwstr>
      </vt:variant>
      <vt:variant>
        <vt:lpwstr/>
      </vt:variant>
      <vt:variant>
        <vt:i4>3801205</vt:i4>
      </vt:variant>
      <vt:variant>
        <vt:i4>198</vt:i4>
      </vt:variant>
      <vt:variant>
        <vt:i4>0</vt:i4>
      </vt:variant>
      <vt:variant>
        <vt:i4>5</vt:i4>
      </vt:variant>
      <vt:variant>
        <vt:lpwstr>http://www.nevo.co.il/case/22578451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3866742</vt:i4>
      </vt:variant>
      <vt:variant>
        <vt:i4>192</vt:i4>
      </vt:variant>
      <vt:variant>
        <vt:i4>0</vt:i4>
      </vt:variant>
      <vt:variant>
        <vt:i4>5</vt:i4>
      </vt:variant>
      <vt:variant>
        <vt:lpwstr>http://www.nevo.co.il/case/25459244</vt:lpwstr>
      </vt:variant>
      <vt:variant>
        <vt:lpwstr/>
      </vt:variant>
      <vt:variant>
        <vt:i4>3342448</vt:i4>
      </vt:variant>
      <vt:variant>
        <vt:i4>189</vt:i4>
      </vt:variant>
      <vt:variant>
        <vt:i4>0</vt:i4>
      </vt:variant>
      <vt:variant>
        <vt:i4>5</vt:i4>
      </vt:variant>
      <vt:variant>
        <vt:lpwstr>http://www.nevo.co.il/case/22938500</vt:lpwstr>
      </vt:variant>
      <vt:variant>
        <vt:lpwstr/>
      </vt:variant>
      <vt:variant>
        <vt:i4>3801206</vt:i4>
      </vt:variant>
      <vt:variant>
        <vt:i4>186</vt:i4>
      </vt:variant>
      <vt:variant>
        <vt:i4>0</vt:i4>
      </vt:variant>
      <vt:variant>
        <vt:i4>5</vt:i4>
      </vt:variant>
      <vt:variant>
        <vt:lpwstr>http://www.nevo.co.il/case/21021192</vt:lpwstr>
      </vt:variant>
      <vt:variant>
        <vt:lpwstr/>
      </vt:variant>
      <vt:variant>
        <vt:i4>3407988</vt:i4>
      </vt:variant>
      <vt:variant>
        <vt:i4>183</vt:i4>
      </vt:variant>
      <vt:variant>
        <vt:i4>0</vt:i4>
      </vt:variant>
      <vt:variant>
        <vt:i4>5</vt:i4>
      </vt:variant>
      <vt:variant>
        <vt:lpwstr>http://www.nevo.co.il/case/21477656</vt:lpwstr>
      </vt:variant>
      <vt:variant>
        <vt:lpwstr/>
      </vt:variant>
      <vt:variant>
        <vt:i4>4128880</vt:i4>
      </vt:variant>
      <vt:variant>
        <vt:i4>180</vt:i4>
      </vt:variant>
      <vt:variant>
        <vt:i4>0</vt:i4>
      </vt:variant>
      <vt:variant>
        <vt:i4>5</vt:i4>
      </vt:variant>
      <vt:variant>
        <vt:lpwstr>http://www.nevo.co.il/case/20450193</vt:lpwstr>
      </vt:variant>
      <vt:variant>
        <vt:lpwstr/>
      </vt:variant>
      <vt:variant>
        <vt:i4>3735666</vt:i4>
      </vt:variant>
      <vt:variant>
        <vt:i4>177</vt:i4>
      </vt:variant>
      <vt:variant>
        <vt:i4>0</vt:i4>
      </vt:variant>
      <vt:variant>
        <vt:i4>5</vt:i4>
      </vt:variant>
      <vt:variant>
        <vt:lpwstr>http://www.nevo.co.il/case/11302798</vt:lpwstr>
      </vt:variant>
      <vt:variant>
        <vt:lpwstr/>
      </vt:variant>
      <vt:variant>
        <vt:i4>3866744</vt:i4>
      </vt:variant>
      <vt:variant>
        <vt:i4>174</vt:i4>
      </vt:variant>
      <vt:variant>
        <vt:i4>0</vt:i4>
      </vt:variant>
      <vt:variant>
        <vt:i4>5</vt:i4>
      </vt:variant>
      <vt:variant>
        <vt:lpwstr>http://www.nevo.co.il/case/5599403</vt:lpwstr>
      </vt:variant>
      <vt:variant>
        <vt:lpwstr/>
      </vt:variant>
      <vt:variant>
        <vt:i4>3407994</vt:i4>
      </vt:variant>
      <vt:variant>
        <vt:i4>171</vt:i4>
      </vt:variant>
      <vt:variant>
        <vt:i4>0</vt:i4>
      </vt:variant>
      <vt:variant>
        <vt:i4>5</vt:i4>
      </vt:variant>
      <vt:variant>
        <vt:lpwstr>http://www.nevo.co.il/case/5823754</vt:lpwstr>
      </vt:variant>
      <vt:variant>
        <vt:lpwstr/>
      </vt:variant>
      <vt:variant>
        <vt:i4>3866744</vt:i4>
      </vt:variant>
      <vt:variant>
        <vt:i4>168</vt:i4>
      </vt:variant>
      <vt:variant>
        <vt:i4>0</vt:i4>
      </vt:variant>
      <vt:variant>
        <vt:i4>5</vt:i4>
      </vt:variant>
      <vt:variant>
        <vt:lpwstr>http://www.nevo.co.il/case/5933865</vt:lpwstr>
      </vt:variant>
      <vt:variant>
        <vt:lpwstr/>
      </vt:variant>
      <vt:variant>
        <vt:i4>3145852</vt:i4>
      </vt:variant>
      <vt:variant>
        <vt:i4>165</vt:i4>
      </vt:variant>
      <vt:variant>
        <vt:i4>0</vt:i4>
      </vt:variant>
      <vt:variant>
        <vt:i4>5</vt:i4>
      </vt:variant>
      <vt:variant>
        <vt:lpwstr>http://www.nevo.co.il/case/6120591</vt:lpwstr>
      </vt:variant>
      <vt:variant>
        <vt:lpwstr/>
      </vt:variant>
      <vt:variant>
        <vt:i4>3932278</vt:i4>
      </vt:variant>
      <vt:variant>
        <vt:i4>162</vt:i4>
      </vt:variant>
      <vt:variant>
        <vt:i4>0</vt:i4>
      </vt:variant>
      <vt:variant>
        <vt:i4>5</vt:i4>
      </vt:variant>
      <vt:variant>
        <vt:lpwstr>http://www.nevo.co.il/case/6097754</vt:lpwstr>
      </vt:variant>
      <vt:variant>
        <vt:lpwstr/>
      </vt:variant>
      <vt:variant>
        <vt:i4>3670135</vt:i4>
      </vt:variant>
      <vt:variant>
        <vt:i4>159</vt:i4>
      </vt:variant>
      <vt:variant>
        <vt:i4>0</vt:i4>
      </vt:variant>
      <vt:variant>
        <vt:i4>5</vt:i4>
      </vt:variant>
      <vt:variant>
        <vt:lpwstr>http://www.nevo.co.il/case/17948083</vt:lpwstr>
      </vt:variant>
      <vt:variant>
        <vt:lpwstr/>
      </vt:variant>
      <vt:variant>
        <vt:i4>4128890</vt:i4>
      </vt:variant>
      <vt:variant>
        <vt:i4>156</vt:i4>
      </vt:variant>
      <vt:variant>
        <vt:i4>0</vt:i4>
      </vt:variant>
      <vt:variant>
        <vt:i4>5</vt:i4>
      </vt:variant>
      <vt:variant>
        <vt:lpwstr>http://www.nevo.co.il/case/7980171</vt:lpwstr>
      </vt:variant>
      <vt:variant>
        <vt:lpwstr/>
      </vt:variant>
      <vt:variant>
        <vt:i4>7209009</vt:i4>
      </vt:variant>
      <vt:variant>
        <vt:i4>153</vt:i4>
      </vt:variant>
      <vt:variant>
        <vt:i4>0</vt:i4>
      </vt:variant>
      <vt:variant>
        <vt:i4>5</vt:i4>
      </vt:variant>
      <vt:variant>
        <vt:lpwstr>http://www.nevo.co.il/law/70301/40d;40e</vt:lpwstr>
      </vt:variant>
      <vt:variant>
        <vt:lpwstr/>
      </vt:variant>
      <vt:variant>
        <vt:i4>6619233</vt:i4>
      </vt:variant>
      <vt:variant>
        <vt:i4>150</vt:i4>
      </vt:variant>
      <vt:variant>
        <vt:i4>0</vt:i4>
      </vt:variant>
      <vt:variant>
        <vt:i4>5</vt:i4>
      </vt:variant>
      <vt:variant>
        <vt:lpwstr>http://www.nevo.co.il/law/70301/40g</vt:lpwstr>
      </vt:variant>
      <vt:variant>
        <vt:lpwstr/>
      </vt:variant>
      <vt:variant>
        <vt:i4>6619233</vt:i4>
      </vt:variant>
      <vt:variant>
        <vt:i4>147</vt:i4>
      </vt:variant>
      <vt:variant>
        <vt:i4>0</vt:i4>
      </vt:variant>
      <vt:variant>
        <vt:i4>5</vt:i4>
      </vt:variant>
      <vt:variant>
        <vt:lpwstr>http://www.nevo.co.il/law/70301/40f</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4915202</vt:i4>
      </vt:variant>
      <vt:variant>
        <vt:i4>141</vt:i4>
      </vt:variant>
      <vt:variant>
        <vt:i4>0</vt:i4>
      </vt:variant>
      <vt:variant>
        <vt:i4>5</vt:i4>
      </vt:variant>
      <vt:variant>
        <vt:lpwstr>http://www.nevo.co.il/law/70301/40c.b</vt:lpwstr>
      </vt:variant>
      <vt:variant>
        <vt:lpwstr/>
      </vt:variant>
      <vt:variant>
        <vt:i4>3604595</vt:i4>
      </vt:variant>
      <vt:variant>
        <vt:i4>138</vt:i4>
      </vt:variant>
      <vt:variant>
        <vt:i4>0</vt:i4>
      </vt:variant>
      <vt:variant>
        <vt:i4>5</vt:i4>
      </vt:variant>
      <vt:variant>
        <vt:lpwstr>http://www.nevo.co.il/case/7730704</vt:lpwstr>
      </vt:variant>
      <vt:variant>
        <vt:lpwstr/>
      </vt:variant>
      <vt:variant>
        <vt:i4>3211379</vt:i4>
      </vt:variant>
      <vt:variant>
        <vt:i4>135</vt:i4>
      </vt:variant>
      <vt:variant>
        <vt:i4>0</vt:i4>
      </vt:variant>
      <vt:variant>
        <vt:i4>5</vt:i4>
      </vt:variant>
      <vt:variant>
        <vt:lpwstr>http://www.nevo.co.il/case/5573417</vt:lpwstr>
      </vt:variant>
      <vt:variant>
        <vt:lpwstr/>
      </vt:variant>
      <vt:variant>
        <vt:i4>4128888</vt:i4>
      </vt:variant>
      <vt:variant>
        <vt:i4>132</vt:i4>
      </vt:variant>
      <vt:variant>
        <vt:i4>0</vt:i4>
      </vt:variant>
      <vt:variant>
        <vt:i4>5</vt:i4>
      </vt:variant>
      <vt:variant>
        <vt:lpwstr>http://www.nevo.co.il/case/6950458</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4915202</vt:i4>
      </vt:variant>
      <vt:variant>
        <vt:i4>123</vt:i4>
      </vt:variant>
      <vt:variant>
        <vt:i4>0</vt:i4>
      </vt:variant>
      <vt:variant>
        <vt:i4>5</vt:i4>
      </vt:variant>
      <vt:variant>
        <vt:lpwstr>http://www.nevo.co.il/law/70301/40c.a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http://www.nevo.co.il/law/70301/40b</vt:lpwstr>
      </vt:variant>
      <vt:variant>
        <vt:lpwstr/>
      </vt:variant>
      <vt:variant>
        <vt:i4>3276927</vt:i4>
      </vt:variant>
      <vt:variant>
        <vt:i4>114</vt:i4>
      </vt:variant>
      <vt:variant>
        <vt:i4>0</vt:i4>
      </vt:variant>
      <vt:variant>
        <vt:i4>5</vt:i4>
      </vt:variant>
      <vt:variant>
        <vt:lpwstr>http://www.nevo.co.il/case/21694329</vt:lpwstr>
      </vt:variant>
      <vt:variant>
        <vt:lpwstr/>
      </vt:variant>
      <vt:variant>
        <vt:i4>3997809</vt:i4>
      </vt:variant>
      <vt:variant>
        <vt:i4>111</vt:i4>
      </vt:variant>
      <vt:variant>
        <vt:i4>0</vt:i4>
      </vt:variant>
      <vt:variant>
        <vt:i4>5</vt:i4>
      </vt:variant>
      <vt:variant>
        <vt:lpwstr>http://www.nevo.co.il/case/21731790</vt:lpwstr>
      </vt:variant>
      <vt:variant>
        <vt:lpwstr/>
      </vt:variant>
      <vt:variant>
        <vt:i4>3866744</vt:i4>
      </vt:variant>
      <vt:variant>
        <vt:i4>108</vt:i4>
      </vt:variant>
      <vt:variant>
        <vt:i4>0</vt:i4>
      </vt:variant>
      <vt:variant>
        <vt:i4>5</vt:i4>
      </vt:variant>
      <vt:variant>
        <vt:lpwstr>http://www.nevo.co.il/case/20943830</vt:lpwstr>
      </vt:variant>
      <vt:variant>
        <vt:lpwstr/>
      </vt:variant>
      <vt:variant>
        <vt:i4>3473526</vt:i4>
      </vt:variant>
      <vt:variant>
        <vt:i4>105</vt:i4>
      </vt:variant>
      <vt:variant>
        <vt:i4>0</vt:i4>
      </vt:variant>
      <vt:variant>
        <vt:i4>5</vt:i4>
      </vt:variant>
      <vt:variant>
        <vt:lpwstr>http://www.nevo.co.il/case/20571533</vt:lpwstr>
      </vt:variant>
      <vt:variant>
        <vt:lpwstr/>
      </vt:variant>
      <vt:variant>
        <vt:i4>3932272</vt:i4>
      </vt:variant>
      <vt:variant>
        <vt:i4>102</vt:i4>
      </vt:variant>
      <vt:variant>
        <vt:i4>0</vt:i4>
      </vt:variant>
      <vt:variant>
        <vt:i4>5</vt:i4>
      </vt:variant>
      <vt:variant>
        <vt:lpwstr>http://www.nevo.co.il/case/5301960</vt:lpwstr>
      </vt:variant>
      <vt:variant>
        <vt:lpwstr/>
      </vt:variant>
      <vt:variant>
        <vt:i4>3866738</vt:i4>
      </vt:variant>
      <vt:variant>
        <vt:i4>99</vt:i4>
      </vt:variant>
      <vt:variant>
        <vt:i4>0</vt:i4>
      </vt:variant>
      <vt:variant>
        <vt:i4>5</vt:i4>
      </vt:variant>
      <vt:variant>
        <vt:lpwstr>http://www.nevo.co.il/case/22505494</vt:lpwstr>
      </vt:variant>
      <vt:variant>
        <vt:lpwstr/>
      </vt:variant>
      <vt:variant>
        <vt:i4>3866744</vt:i4>
      </vt:variant>
      <vt:variant>
        <vt:i4>96</vt:i4>
      </vt:variant>
      <vt:variant>
        <vt:i4>0</vt:i4>
      </vt:variant>
      <vt:variant>
        <vt:i4>5</vt:i4>
      </vt:variant>
      <vt:variant>
        <vt:lpwstr>http://www.nevo.co.il/case/5599403</vt:lpwstr>
      </vt:variant>
      <vt:variant>
        <vt:lpwstr/>
      </vt:variant>
      <vt:variant>
        <vt:i4>3932272</vt:i4>
      </vt:variant>
      <vt:variant>
        <vt:i4>93</vt:i4>
      </vt:variant>
      <vt:variant>
        <vt:i4>0</vt:i4>
      </vt:variant>
      <vt:variant>
        <vt:i4>5</vt:i4>
      </vt:variant>
      <vt:variant>
        <vt:lpwstr>http://www.nevo.co.il/case/23751286</vt:lpwstr>
      </vt:variant>
      <vt:variant>
        <vt:lpwstr/>
      </vt:variant>
      <vt:variant>
        <vt:i4>3932283</vt:i4>
      </vt:variant>
      <vt:variant>
        <vt:i4>90</vt:i4>
      </vt:variant>
      <vt:variant>
        <vt:i4>0</vt:i4>
      </vt:variant>
      <vt:variant>
        <vt:i4>5</vt:i4>
      </vt:variant>
      <vt:variant>
        <vt:lpwstr>http://www.nevo.co.il/case/5698919</vt:lpwstr>
      </vt:variant>
      <vt:variant>
        <vt:lpwstr/>
      </vt:variant>
      <vt:variant>
        <vt:i4>3932280</vt:i4>
      </vt:variant>
      <vt:variant>
        <vt:i4>87</vt:i4>
      </vt:variant>
      <vt:variant>
        <vt:i4>0</vt:i4>
      </vt:variant>
      <vt:variant>
        <vt:i4>5</vt:i4>
      </vt:variant>
      <vt:variant>
        <vt:lpwstr>http://www.nevo.co.il/case/5997727</vt:lpwstr>
      </vt:variant>
      <vt:variant>
        <vt:lpwstr/>
      </vt:variant>
      <vt:variant>
        <vt:i4>3932280</vt:i4>
      </vt:variant>
      <vt:variant>
        <vt:i4>84</vt:i4>
      </vt:variant>
      <vt:variant>
        <vt:i4>0</vt:i4>
      </vt:variant>
      <vt:variant>
        <vt:i4>5</vt:i4>
      </vt:variant>
      <vt:variant>
        <vt:lpwstr>http://www.nevo.co.il/case/5896323</vt:lpwstr>
      </vt:variant>
      <vt:variant>
        <vt:lpwstr/>
      </vt:variant>
      <vt:variant>
        <vt:i4>3473531</vt:i4>
      </vt:variant>
      <vt:variant>
        <vt:i4>81</vt:i4>
      </vt:variant>
      <vt:variant>
        <vt:i4>0</vt:i4>
      </vt:variant>
      <vt:variant>
        <vt:i4>5</vt:i4>
      </vt:variant>
      <vt:variant>
        <vt:lpwstr>http://www.nevo.co.il/case/21066819</vt:lpwstr>
      </vt:variant>
      <vt:variant>
        <vt:lpwstr/>
      </vt:variant>
      <vt:variant>
        <vt:i4>3932287</vt:i4>
      </vt:variant>
      <vt:variant>
        <vt:i4>78</vt:i4>
      </vt:variant>
      <vt:variant>
        <vt:i4>0</vt:i4>
      </vt:variant>
      <vt:variant>
        <vt:i4>5</vt:i4>
      </vt:variant>
      <vt:variant>
        <vt:lpwstr>http://www.nevo.co.il/case/6008933</vt:lpwstr>
      </vt:variant>
      <vt:variant>
        <vt:lpwstr/>
      </vt:variant>
      <vt:variant>
        <vt:i4>3801212</vt:i4>
      </vt:variant>
      <vt:variant>
        <vt:i4>75</vt:i4>
      </vt:variant>
      <vt:variant>
        <vt:i4>0</vt:i4>
      </vt:variant>
      <vt:variant>
        <vt:i4>5</vt:i4>
      </vt:variant>
      <vt:variant>
        <vt:lpwstr>http://www.nevo.co.il/case/5953822</vt:lpwstr>
      </vt:variant>
      <vt:variant>
        <vt:lpwstr/>
      </vt:variant>
      <vt:variant>
        <vt:i4>3997819</vt:i4>
      </vt:variant>
      <vt:variant>
        <vt:i4>72</vt:i4>
      </vt:variant>
      <vt:variant>
        <vt:i4>0</vt:i4>
      </vt:variant>
      <vt:variant>
        <vt:i4>5</vt:i4>
      </vt:variant>
      <vt:variant>
        <vt:lpwstr>http://www.nevo.co.il/case/5681787</vt:lpwstr>
      </vt:variant>
      <vt:variant>
        <vt:lpwstr/>
      </vt:variant>
      <vt:variant>
        <vt:i4>131138</vt:i4>
      </vt:variant>
      <vt:variant>
        <vt:i4>69</vt:i4>
      </vt:variant>
      <vt:variant>
        <vt:i4>0</vt:i4>
      </vt:variant>
      <vt:variant>
        <vt:i4>5</vt:i4>
      </vt:variant>
      <vt:variant>
        <vt:lpwstr>http://www.nevo.co.il/case/244246</vt:lpwstr>
      </vt:variant>
      <vt:variant>
        <vt:lpwstr/>
      </vt:variant>
      <vt:variant>
        <vt:i4>3997813</vt:i4>
      </vt:variant>
      <vt:variant>
        <vt:i4>66</vt:i4>
      </vt:variant>
      <vt:variant>
        <vt:i4>0</vt:i4>
      </vt:variant>
      <vt:variant>
        <vt:i4>5</vt:i4>
      </vt:variant>
      <vt:variant>
        <vt:lpwstr>http://www.nevo.co.il/case/21472796</vt:lpwstr>
      </vt:variant>
      <vt:variant>
        <vt:lpwstr/>
      </vt:variant>
      <vt:variant>
        <vt:i4>3473523</vt:i4>
      </vt:variant>
      <vt:variant>
        <vt:i4>63</vt:i4>
      </vt:variant>
      <vt:variant>
        <vt:i4>0</vt:i4>
      </vt:variant>
      <vt:variant>
        <vt:i4>5</vt:i4>
      </vt:variant>
      <vt:variant>
        <vt:lpwstr>http://www.nevo.co.il/case/21474175</vt:lpwstr>
      </vt:variant>
      <vt:variant>
        <vt:lpwstr/>
      </vt:variant>
      <vt:variant>
        <vt:i4>3145853</vt:i4>
      </vt:variant>
      <vt:variant>
        <vt:i4>60</vt:i4>
      </vt:variant>
      <vt:variant>
        <vt:i4>0</vt:i4>
      </vt:variant>
      <vt:variant>
        <vt:i4>5</vt:i4>
      </vt:variant>
      <vt:variant>
        <vt:lpwstr>http://www.nevo.co.il/case/5727295</vt:lpwstr>
      </vt:variant>
      <vt:variant>
        <vt:lpwstr/>
      </vt:variant>
      <vt:variant>
        <vt:i4>3407995</vt:i4>
      </vt:variant>
      <vt:variant>
        <vt:i4>57</vt:i4>
      </vt:variant>
      <vt:variant>
        <vt:i4>0</vt:i4>
      </vt:variant>
      <vt:variant>
        <vt:i4>5</vt:i4>
      </vt:variant>
      <vt:variant>
        <vt:lpwstr>http://www.nevo.co.il/case/18753213</vt:lpwstr>
      </vt:variant>
      <vt:variant>
        <vt:lpwstr/>
      </vt:variant>
      <vt:variant>
        <vt:i4>4128892</vt:i4>
      </vt:variant>
      <vt:variant>
        <vt:i4>54</vt:i4>
      </vt:variant>
      <vt:variant>
        <vt:i4>0</vt:i4>
      </vt:variant>
      <vt:variant>
        <vt:i4>5</vt:i4>
      </vt:variant>
      <vt:variant>
        <vt:lpwstr>http://www.nevo.co.il/case/24954904</vt:lpwstr>
      </vt:variant>
      <vt:variant>
        <vt:lpwstr/>
      </vt:variant>
      <vt:variant>
        <vt:i4>3604594</vt:i4>
      </vt:variant>
      <vt:variant>
        <vt:i4>51</vt:i4>
      </vt:variant>
      <vt:variant>
        <vt:i4>0</vt:i4>
      </vt:variant>
      <vt:variant>
        <vt:i4>5</vt:i4>
      </vt:variant>
      <vt:variant>
        <vt:lpwstr>http://www.nevo.co.il/case/17947582</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5308497</vt:i4>
      </vt:variant>
      <vt:variant>
        <vt:i4>42</vt:i4>
      </vt:variant>
      <vt:variant>
        <vt:i4>0</vt:i4>
      </vt:variant>
      <vt:variant>
        <vt:i4>5</vt:i4>
      </vt:variant>
      <vt:variant>
        <vt:lpwstr>http://www.nevo.co.il/law/71553/3</vt:lpwstr>
      </vt:variant>
      <vt:variant>
        <vt:lpwstr/>
      </vt:variant>
      <vt:variant>
        <vt:i4>8257634</vt:i4>
      </vt:variant>
      <vt:variant>
        <vt:i4>39</vt:i4>
      </vt:variant>
      <vt:variant>
        <vt:i4>0</vt:i4>
      </vt:variant>
      <vt:variant>
        <vt:i4>5</vt:i4>
      </vt:variant>
      <vt:variant>
        <vt:lpwstr>http://www.nevo.co.il/law/71553</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6619233</vt:i4>
      </vt:variant>
      <vt:variant>
        <vt:i4>24</vt:i4>
      </vt:variant>
      <vt:variant>
        <vt:i4>0</vt:i4>
      </vt:variant>
      <vt:variant>
        <vt:i4>5</vt:i4>
      </vt:variant>
      <vt:variant>
        <vt:lpwstr>http://www.nevo.co.il/law/70301/40e</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2025-04-22T20:53:00Z</dcterms:created>
  <dcterms:modified xsi:type="dcterms:W3CDTF">2025-04-22T20:53:00Z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26019</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אליאב אלוני פריאל</vt:lpwstr>
  </property>
  <property fmtid="{D5CDD505-2E9C-101B-9397-08002B2CF9AE}" pid="10" name="LAWYER">
    <vt:lpwstr>צחי יונגר;בועז קניג</vt:lpwstr>
  </property>
  <property fmtid="{D5CDD505-2E9C-101B-9397-08002B2CF9AE}" pid="11" name="JUDGE">
    <vt:lpwstr>מרדכי לוי</vt:lpwstr>
  </property>
  <property fmtid="{D5CDD505-2E9C-101B-9397-08002B2CF9AE}" pid="12" name="CITY">
    <vt:lpwstr>ת"א</vt:lpwstr>
  </property>
  <property fmtid="{D5CDD505-2E9C-101B-9397-08002B2CF9AE}" pid="13" name="DATE">
    <vt:lpwstr>20191010</vt:lpwstr>
  </property>
  <property fmtid="{D5CDD505-2E9C-101B-9397-08002B2CF9AE}" pid="14" name="TYPE_N_DATE">
    <vt:lpwstr>39020191010</vt:lpwstr>
  </property>
  <property fmtid="{D5CDD505-2E9C-101B-9397-08002B2CF9AE}" pid="15" name="CASESLISTTMP1">
    <vt:lpwstr>17947582;24954904;18753213;5727295;21474175;21472796;244246;5681787;5953822;6008933;21066819;5896323;5997727;5698919;23751286;5599403:2;22505494;5301960;20571533;20943830;21731790;21694329;6950458;5573417;7730704;7980171;17948083;6097754;6120591;5933865</vt:lpwstr>
  </property>
  <property fmtid="{D5CDD505-2E9C-101B-9397-08002B2CF9AE}" pid="16" name="CASESLISTTMP2">
    <vt:lpwstr>5823754;11302798;20450193;21477656;21021192;22938500;25459244;22578451</vt:lpwstr>
  </property>
  <property fmtid="{D5CDD505-2E9C-101B-9397-08002B2CF9AE}" pid="17" name="CASENOTES1">
    <vt:lpwstr>ProcID=213&amp;PartA=29&amp;PartC=18</vt:lpwstr>
  </property>
  <property fmtid="{D5CDD505-2E9C-101B-9397-08002B2CF9AE}" pid="18" name="CASENOTES2">
    <vt:lpwstr>ProcID=213&amp;PartA=24&amp;PartC=23</vt:lpwstr>
  </property>
  <property fmtid="{D5CDD505-2E9C-101B-9397-08002B2CF9AE}" pid="19" name="WORDNUMPAGES">
    <vt:lpwstr>15</vt:lpwstr>
  </property>
  <property fmtid="{D5CDD505-2E9C-101B-9397-08002B2CF9AE}" pid="20" name="TYPE_ABS_DATE">
    <vt:lpwstr>390020191010</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4216/007.a;007.c</vt:lpwstr>
  </property>
  <property fmtid="{D5CDD505-2E9C-101B-9397-08002B2CF9AE}" pid="40" name="LAWLISTTMP2">
    <vt:lpwstr>70301/040b;040c.a;040i;040c.b;40ja;040f;040g;040d;040e</vt:lpwstr>
  </property>
  <property fmtid="{D5CDD505-2E9C-101B-9397-08002B2CF9AE}" pid="41" name="LAWLISTTMP3">
    <vt:lpwstr>71553/003</vt:lpwstr>
  </property>
</Properties>
</file>