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E84F49" w:rsidRPr="0098242D" w14:paraId="06546C85" w14:textId="77777777" w:rsidTr="007B03EC">
        <w:trPr>
          <w:trHeight w:hRule="exact" w:val="418"/>
          <w:jc w:val="center"/>
        </w:trPr>
        <w:tc>
          <w:tcPr>
            <w:tcW w:w="8721" w:type="dxa"/>
            <w:gridSpan w:val="2"/>
          </w:tcPr>
          <w:p w14:paraId="083F7ABD" w14:textId="77777777" w:rsidR="00E84F49" w:rsidRPr="0098242D" w:rsidRDefault="00E84F49" w:rsidP="005A6979">
            <w:pPr>
              <w:pStyle w:val="a3"/>
              <w:jc w:val="center"/>
              <w:rPr>
                <w:rFonts w:ascii="Tahoma" w:hAnsi="Tahoma" w:cs="Tahoma"/>
                <w:color w:val="000080"/>
                <w:rtl/>
              </w:rPr>
            </w:pPr>
            <w:bookmarkStart w:id="0" w:name="LastJudge"/>
            <w:r w:rsidRPr="0098242D">
              <w:rPr>
                <w:rFonts w:ascii="Tahoma" w:hAnsi="Tahoma" w:cs="Tahoma"/>
                <w:b/>
                <w:bCs/>
                <w:color w:val="000080"/>
                <w:rtl/>
              </w:rPr>
              <w:t>בית המשפט המחוזי בחיפה</w:t>
            </w:r>
          </w:p>
        </w:tc>
      </w:tr>
      <w:tr w:rsidR="00E84F49" w:rsidRPr="0098242D" w14:paraId="236E0C83" w14:textId="77777777" w:rsidTr="007B03EC">
        <w:trPr>
          <w:trHeight w:val="337"/>
          <w:jc w:val="center"/>
        </w:trPr>
        <w:tc>
          <w:tcPr>
            <w:tcW w:w="5058" w:type="dxa"/>
          </w:tcPr>
          <w:p w14:paraId="6FD3E535" w14:textId="77777777" w:rsidR="00E84F49" w:rsidRPr="0098242D" w:rsidRDefault="00E84F49" w:rsidP="005A6979">
            <w:pPr>
              <w:rPr>
                <w:rFonts w:cs="FrankRuehl"/>
                <w:sz w:val="28"/>
                <w:szCs w:val="28"/>
                <w:rtl/>
              </w:rPr>
            </w:pPr>
            <w:r w:rsidRPr="0098242D">
              <w:rPr>
                <w:rFonts w:cs="FrankRuehl"/>
                <w:sz w:val="28"/>
                <w:szCs w:val="28"/>
                <w:rtl/>
              </w:rPr>
              <w:t>ת"פ</w:t>
            </w:r>
            <w:r w:rsidRPr="0098242D">
              <w:rPr>
                <w:rFonts w:cs="FrankRuehl" w:hint="cs"/>
                <w:sz w:val="28"/>
                <w:szCs w:val="28"/>
                <w:rtl/>
              </w:rPr>
              <w:t xml:space="preserve"> </w:t>
            </w:r>
            <w:r w:rsidRPr="0098242D">
              <w:rPr>
                <w:rFonts w:cs="FrankRuehl"/>
                <w:sz w:val="28"/>
                <w:szCs w:val="28"/>
                <w:rtl/>
              </w:rPr>
              <w:t>47757-02-18</w:t>
            </w:r>
            <w:r w:rsidRPr="0098242D">
              <w:rPr>
                <w:rFonts w:cs="FrankRuehl" w:hint="cs"/>
                <w:sz w:val="28"/>
                <w:szCs w:val="28"/>
                <w:rtl/>
              </w:rPr>
              <w:t xml:space="preserve"> </w:t>
            </w:r>
            <w:r w:rsidRPr="0098242D">
              <w:rPr>
                <w:rFonts w:cs="FrankRuehl"/>
                <w:sz w:val="28"/>
                <w:szCs w:val="28"/>
                <w:rtl/>
              </w:rPr>
              <w:t>מדינת ישראל נ' עמאש(עציר)</w:t>
            </w:r>
          </w:p>
          <w:p w14:paraId="2F0D199E" w14:textId="77777777" w:rsidR="00E84F49" w:rsidRPr="0098242D" w:rsidRDefault="00E84F49" w:rsidP="005A6979">
            <w:pPr>
              <w:pStyle w:val="a3"/>
              <w:rPr>
                <w:rFonts w:cs="FrankRuehl"/>
                <w:sz w:val="28"/>
                <w:szCs w:val="28"/>
                <w:rtl/>
              </w:rPr>
            </w:pPr>
          </w:p>
        </w:tc>
        <w:tc>
          <w:tcPr>
            <w:tcW w:w="3663" w:type="dxa"/>
          </w:tcPr>
          <w:p w14:paraId="249C8383" w14:textId="77777777" w:rsidR="00E84F49" w:rsidRPr="0098242D" w:rsidRDefault="00E84F49" w:rsidP="005A6979">
            <w:pPr>
              <w:pStyle w:val="a3"/>
              <w:jc w:val="right"/>
              <w:rPr>
                <w:rFonts w:cs="FrankRuehl"/>
                <w:sz w:val="28"/>
                <w:szCs w:val="28"/>
                <w:rtl/>
              </w:rPr>
            </w:pPr>
          </w:p>
        </w:tc>
      </w:tr>
    </w:tbl>
    <w:p w14:paraId="4FE2C1D9" w14:textId="77777777" w:rsidR="00E84F49" w:rsidRPr="0098242D" w:rsidRDefault="00E84F49" w:rsidP="00E84F49">
      <w:pPr>
        <w:pStyle w:val="a3"/>
        <w:rPr>
          <w:rtl/>
        </w:rPr>
      </w:pPr>
      <w:r w:rsidRPr="0098242D">
        <w:rPr>
          <w:rFonts w:hint="cs"/>
          <w:rtl/>
        </w:rPr>
        <w:t xml:space="preserve"> </w:t>
      </w:r>
    </w:p>
    <w:p w14:paraId="49338DE1" w14:textId="77777777" w:rsidR="00E84F49" w:rsidRPr="0098242D" w:rsidRDefault="00E84F49" w:rsidP="00E84F4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5A6979" w:rsidRPr="0098242D" w14:paraId="1FB9265B" w14:textId="77777777" w:rsidTr="00E84F49">
        <w:trPr>
          <w:gridAfter w:val="1"/>
          <w:wAfter w:w="56" w:type="dxa"/>
        </w:trPr>
        <w:tc>
          <w:tcPr>
            <w:tcW w:w="8718" w:type="dxa"/>
            <w:gridSpan w:val="2"/>
            <w:shd w:val="clear" w:color="auto" w:fill="auto"/>
          </w:tcPr>
          <w:p w14:paraId="59D6C7BB" w14:textId="77777777" w:rsidR="00E84F49" w:rsidRPr="0098242D" w:rsidRDefault="00E84F49" w:rsidP="005A6979">
            <w:pPr>
              <w:rPr>
                <w:b/>
                <w:bCs/>
                <w:sz w:val="26"/>
                <w:szCs w:val="26"/>
                <w:rtl/>
              </w:rPr>
            </w:pPr>
            <w:r w:rsidRPr="0098242D">
              <w:rPr>
                <w:rFonts w:hint="cs"/>
                <w:b/>
                <w:bCs/>
                <w:sz w:val="26"/>
                <w:szCs w:val="26"/>
                <w:rtl/>
              </w:rPr>
              <w:t>לפני כבוד השופט אמיר טובי</w:t>
            </w:r>
            <w:r w:rsidRPr="0098242D">
              <w:rPr>
                <w:rStyle w:val="TimesNewRomanTimesNewRoman"/>
                <w:rFonts w:hint="cs"/>
                <w:rtl/>
              </w:rPr>
              <w:t xml:space="preserve"> </w:t>
            </w:r>
          </w:p>
        </w:tc>
      </w:tr>
      <w:tr w:rsidR="005A6979" w:rsidRPr="0098242D" w14:paraId="5ABECC78" w14:textId="77777777" w:rsidTr="00E84F49">
        <w:trPr>
          <w:cantSplit/>
          <w:trHeight w:val="724"/>
        </w:trPr>
        <w:tc>
          <w:tcPr>
            <w:tcW w:w="2880" w:type="dxa"/>
            <w:shd w:val="clear" w:color="auto" w:fill="auto"/>
          </w:tcPr>
          <w:p w14:paraId="1D01273C" w14:textId="77777777" w:rsidR="00E84F49" w:rsidRPr="0098242D" w:rsidRDefault="00E84F49" w:rsidP="00E84F49">
            <w:pPr>
              <w:ind w:left="26"/>
              <w:rPr>
                <w:b/>
                <w:bCs/>
                <w:sz w:val="26"/>
                <w:szCs w:val="26"/>
                <w:rtl/>
              </w:rPr>
            </w:pPr>
            <w:bookmarkStart w:id="1" w:name="FirstAppellant"/>
          </w:p>
          <w:p w14:paraId="504AE8C9" w14:textId="77777777" w:rsidR="00E84F49" w:rsidRPr="0098242D" w:rsidRDefault="00E84F49" w:rsidP="00E84F49">
            <w:pPr>
              <w:ind w:left="26"/>
              <w:rPr>
                <w:b/>
                <w:bCs/>
                <w:sz w:val="26"/>
                <w:szCs w:val="26"/>
                <w:rtl/>
              </w:rPr>
            </w:pPr>
            <w:r w:rsidRPr="0098242D">
              <w:rPr>
                <w:rFonts w:hint="cs"/>
                <w:b/>
                <w:bCs/>
                <w:sz w:val="26"/>
                <w:szCs w:val="26"/>
                <w:rtl/>
              </w:rPr>
              <w:t>המאשימה</w:t>
            </w:r>
          </w:p>
        </w:tc>
        <w:tc>
          <w:tcPr>
            <w:tcW w:w="5922" w:type="dxa"/>
            <w:gridSpan w:val="2"/>
            <w:shd w:val="clear" w:color="auto" w:fill="auto"/>
          </w:tcPr>
          <w:p w14:paraId="64D14581" w14:textId="77777777" w:rsidR="00E84F49" w:rsidRPr="0098242D" w:rsidRDefault="00E84F49" w:rsidP="005A6979">
            <w:pPr>
              <w:rPr>
                <w:rtl/>
              </w:rPr>
            </w:pPr>
          </w:p>
          <w:p w14:paraId="4B644193" w14:textId="77777777" w:rsidR="00E84F49" w:rsidRPr="0098242D" w:rsidRDefault="00E84F49" w:rsidP="005A6979">
            <w:pPr>
              <w:rPr>
                <w:b/>
                <w:bCs/>
                <w:sz w:val="26"/>
                <w:szCs w:val="26"/>
                <w:rtl/>
              </w:rPr>
            </w:pPr>
            <w:r w:rsidRPr="0098242D">
              <w:rPr>
                <w:rtl/>
              </w:rPr>
              <w:t xml:space="preserve"> </w:t>
            </w:r>
            <w:r w:rsidRPr="0098242D">
              <w:rPr>
                <w:rFonts w:hint="cs"/>
                <w:b/>
                <w:bCs/>
                <w:sz w:val="26"/>
                <w:szCs w:val="26"/>
                <w:rtl/>
              </w:rPr>
              <w:t>מדינת ישראל</w:t>
            </w:r>
          </w:p>
          <w:p w14:paraId="60348AD4" w14:textId="77777777" w:rsidR="00E84F49" w:rsidRPr="0098242D" w:rsidRDefault="00E84F49" w:rsidP="005A6979">
            <w:pPr>
              <w:rPr>
                <w:b/>
                <w:bCs/>
                <w:sz w:val="26"/>
                <w:szCs w:val="26"/>
                <w:rtl/>
              </w:rPr>
            </w:pPr>
          </w:p>
        </w:tc>
      </w:tr>
      <w:bookmarkEnd w:id="1"/>
      <w:tr w:rsidR="005A6979" w:rsidRPr="0098242D" w14:paraId="09EA44B0" w14:textId="77777777" w:rsidTr="00E84F49">
        <w:tc>
          <w:tcPr>
            <w:tcW w:w="8802" w:type="dxa"/>
            <w:gridSpan w:val="3"/>
            <w:shd w:val="clear" w:color="auto" w:fill="auto"/>
            <w:vAlign w:val="center"/>
          </w:tcPr>
          <w:p w14:paraId="64B6EF2F" w14:textId="77777777" w:rsidR="00E84F49" w:rsidRPr="0098242D" w:rsidRDefault="00E84F49" w:rsidP="00E84F49">
            <w:pPr>
              <w:jc w:val="center"/>
              <w:rPr>
                <w:rFonts w:ascii="Arial" w:hAnsi="Arial"/>
                <w:b/>
                <w:bCs/>
                <w:sz w:val="26"/>
                <w:szCs w:val="26"/>
                <w:rtl/>
              </w:rPr>
            </w:pPr>
          </w:p>
          <w:p w14:paraId="5902C4E0" w14:textId="77777777" w:rsidR="00E84F49" w:rsidRPr="0098242D" w:rsidRDefault="00E84F49" w:rsidP="00E84F49">
            <w:pPr>
              <w:jc w:val="center"/>
              <w:rPr>
                <w:rFonts w:ascii="Arial" w:hAnsi="Arial"/>
                <w:b/>
                <w:bCs/>
                <w:sz w:val="26"/>
                <w:szCs w:val="26"/>
                <w:rtl/>
              </w:rPr>
            </w:pPr>
            <w:r w:rsidRPr="0098242D">
              <w:rPr>
                <w:rFonts w:ascii="Arial" w:hAnsi="Arial" w:hint="cs"/>
                <w:b/>
                <w:bCs/>
                <w:sz w:val="26"/>
                <w:szCs w:val="26"/>
                <w:rtl/>
              </w:rPr>
              <w:t>נגד</w:t>
            </w:r>
          </w:p>
          <w:p w14:paraId="5A47A74E" w14:textId="77777777" w:rsidR="00E84F49" w:rsidRPr="0098242D" w:rsidRDefault="00E84F49" w:rsidP="005A6979">
            <w:pPr>
              <w:rPr>
                <w:rFonts w:ascii="Arial" w:hAnsi="Arial"/>
                <w:b/>
                <w:bCs/>
                <w:sz w:val="26"/>
                <w:szCs w:val="26"/>
                <w:rtl/>
              </w:rPr>
            </w:pPr>
          </w:p>
        </w:tc>
      </w:tr>
      <w:tr w:rsidR="005A6979" w:rsidRPr="0098242D" w14:paraId="1C174774" w14:textId="77777777" w:rsidTr="00E84F49">
        <w:tc>
          <w:tcPr>
            <w:tcW w:w="2880" w:type="dxa"/>
            <w:shd w:val="clear" w:color="auto" w:fill="auto"/>
          </w:tcPr>
          <w:p w14:paraId="7B59D63F" w14:textId="77777777" w:rsidR="00E84F49" w:rsidRPr="0098242D" w:rsidRDefault="00E84F49" w:rsidP="00E84F49">
            <w:pPr>
              <w:ind w:left="26"/>
              <w:rPr>
                <w:b/>
                <w:bCs/>
                <w:sz w:val="26"/>
                <w:szCs w:val="26"/>
              </w:rPr>
            </w:pPr>
            <w:r w:rsidRPr="0098242D">
              <w:rPr>
                <w:rFonts w:hint="cs"/>
                <w:b/>
                <w:bCs/>
                <w:sz w:val="26"/>
                <w:szCs w:val="26"/>
                <w:rtl/>
              </w:rPr>
              <w:t>הנאשם</w:t>
            </w:r>
          </w:p>
        </w:tc>
        <w:tc>
          <w:tcPr>
            <w:tcW w:w="5922" w:type="dxa"/>
            <w:gridSpan w:val="2"/>
            <w:shd w:val="clear" w:color="auto" w:fill="auto"/>
          </w:tcPr>
          <w:p w14:paraId="407D2593" w14:textId="77777777" w:rsidR="00E84F49" w:rsidRPr="0098242D" w:rsidRDefault="00E84F49" w:rsidP="005A6979">
            <w:pPr>
              <w:rPr>
                <w:b/>
                <w:bCs/>
                <w:sz w:val="26"/>
                <w:szCs w:val="26"/>
                <w:rtl/>
              </w:rPr>
            </w:pPr>
            <w:r w:rsidRPr="0098242D">
              <w:rPr>
                <w:rtl/>
              </w:rPr>
              <w:t xml:space="preserve"> </w:t>
            </w:r>
            <w:r w:rsidRPr="0098242D">
              <w:rPr>
                <w:rFonts w:hint="cs"/>
                <w:b/>
                <w:bCs/>
                <w:sz w:val="26"/>
                <w:szCs w:val="26"/>
                <w:rtl/>
              </w:rPr>
              <w:t>אדיב עמאש (עציר)</w:t>
            </w:r>
            <w:r w:rsidRPr="0098242D">
              <w:rPr>
                <w:rtl/>
              </w:rPr>
              <w:t xml:space="preserve"> </w:t>
            </w:r>
            <w:r w:rsidRPr="0098242D">
              <w:rPr>
                <w:rFonts w:hint="cs"/>
                <w:b/>
                <w:bCs/>
                <w:sz w:val="26"/>
                <w:szCs w:val="26"/>
                <w:rtl/>
              </w:rPr>
              <w:t xml:space="preserve">ת.ז.  </w:t>
            </w:r>
            <w:r w:rsidR="0098242D">
              <w:rPr>
                <w:b/>
                <w:bCs/>
                <w:sz w:val="26"/>
                <w:szCs w:val="26"/>
              </w:rPr>
              <w:t>xxxxxxxxxx</w:t>
            </w:r>
          </w:p>
        </w:tc>
      </w:tr>
    </w:tbl>
    <w:p w14:paraId="441CF8D1" w14:textId="77777777" w:rsidR="00E84F49" w:rsidRPr="0098242D" w:rsidRDefault="00E84F49" w:rsidP="00E84F49">
      <w:pPr>
        <w:spacing w:line="360" w:lineRule="auto"/>
        <w:jc w:val="both"/>
        <w:rPr>
          <w:rFonts w:ascii="David" w:hAnsi="David"/>
          <w:sz w:val="6"/>
          <w:szCs w:val="6"/>
          <w:rtl/>
        </w:rPr>
      </w:pPr>
      <w:r w:rsidRPr="0098242D">
        <w:rPr>
          <w:rFonts w:hint="cs"/>
          <w:sz w:val="6"/>
          <w:szCs w:val="6"/>
          <w:rtl/>
        </w:rPr>
        <w:t>&lt;#1#&gt;</w:t>
      </w:r>
    </w:p>
    <w:p w14:paraId="2682554D" w14:textId="77777777" w:rsidR="00E84F49" w:rsidRPr="0098242D" w:rsidRDefault="00E84F49" w:rsidP="00E84F49">
      <w:pPr>
        <w:pStyle w:val="12"/>
        <w:rPr>
          <w:b w:val="0"/>
          <w:bCs w:val="0"/>
          <w:u w:val="none"/>
          <w:rtl/>
        </w:rPr>
      </w:pPr>
    </w:p>
    <w:p w14:paraId="710F299C" w14:textId="77777777" w:rsidR="00E84F49" w:rsidRPr="0098242D" w:rsidRDefault="00E84F49" w:rsidP="00E84F49">
      <w:pPr>
        <w:pStyle w:val="12"/>
        <w:rPr>
          <w:u w:val="none"/>
          <w:rtl/>
        </w:rPr>
      </w:pPr>
      <w:r w:rsidRPr="0098242D">
        <w:rPr>
          <w:rFonts w:hint="cs"/>
          <w:u w:val="none"/>
          <w:rtl/>
        </w:rPr>
        <w:t>נוכחים:</w:t>
      </w:r>
    </w:p>
    <w:p w14:paraId="6DBC402D" w14:textId="77777777" w:rsidR="00E84F49" w:rsidRPr="0098242D" w:rsidRDefault="00E84F49" w:rsidP="00E84F49">
      <w:pPr>
        <w:pStyle w:val="12"/>
        <w:rPr>
          <w:b w:val="0"/>
          <w:bCs w:val="0"/>
          <w:u w:val="none"/>
          <w:rtl/>
        </w:rPr>
      </w:pPr>
      <w:bookmarkStart w:id="2" w:name="FirstLawyer"/>
      <w:r w:rsidRPr="0098242D">
        <w:rPr>
          <w:rFonts w:hint="cs"/>
          <w:b w:val="0"/>
          <w:bCs w:val="0"/>
          <w:u w:val="none"/>
          <w:rtl/>
        </w:rPr>
        <w:t>ב"כ</w:t>
      </w:r>
      <w:bookmarkEnd w:id="2"/>
      <w:r w:rsidRPr="0098242D">
        <w:rPr>
          <w:rFonts w:hint="cs"/>
          <w:b w:val="0"/>
          <w:bCs w:val="0"/>
          <w:u w:val="none"/>
          <w:rtl/>
        </w:rPr>
        <w:t xml:space="preserve"> המאשימה: עו"ד חאלד חכרוש</w:t>
      </w:r>
    </w:p>
    <w:p w14:paraId="69F6FDF3" w14:textId="77777777" w:rsidR="00E84F49" w:rsidRPr="0098242D" w:rsidRDefault="00E84F49" w:rsidP="00E84F49">
      <w:pPr>
        <w:pStyle w:val="12"/>
        <w:rPr>
          <w:b w:val="0"/>
          <w:bCs w:val="0"/>
          <w:u w:val="none"/>
          <w:rtl/>
        </w:rPr>
      </w:pPr>
      <w:r w:rsidRPr="0098242D">
        <w:rPr>
          <w:rFonts w:hint="cs"/>
          <w:b w:val="0"/>
          <w:bCs w:val="0"/>
          <w:u w:val="none"/>
          <w:rtl/>
        </w:rPr>
        <w:t>ב"כ הנאשם: עו"ד מוחמד מסארווה ועו"ד מוחמד עבאדי (ס. ציבורית)</w:t>
      </w:r>
    </w:p>
    <w:p w14:paraId="43793A01" w14:textId="77777777" w:rsidR="007B03EC" w:rsidRDefault="00E84F49" w:rsidP="00E84F49">
      <w:pPr>
        <w:pStyle w:val="12"/>
        <w:rPr>
          <w:b w:val="0"/>
          <w:bCs w:val="0"/>
          <w:u w:val="none"/>
          <w:rtl/>
        </w:rPr>
      </w:pPr>
      <w:r w:rsidRPr="0098242D">
        <w:rPr>
          <w:rFonts w:hint="cs"/>
          <w:b w:val="0"/>
          <w:bCs w:val="0"/>
          <w:u w:val="none"/>
          <w:rtl/>
        </w:rPr>
        <w:t xml:space="preserve">הנאשם באמצעות הליווי </w:t>
      </w:r>
      <w:bookmarkStart w:id="3" w:name="LawTable"/>
      <w:bookmarkEnd w:id="3"/>
    </w:p>
    <w:p w14:paraId="1CB31354" w14:textId="77777777" w:rsidR="007B03EC" w:rsidRPr="007B03EC" w:rsidRDefault="007B03EC" w:rsidP="007B03EC">
      <w:pPr>
        <w:pStyle w:val="12"/>
        <w:spacing w:after="120" w:line="240" w:lineRule="exact"/>
        <w:ind w:left="283" w:hanging="283"/>
        <w:jc w:val="both"/>
        <w:rPr>
          <w:rFonts w:ascii="FrankRuehl" w:hAnsi="FrankRuehl" w:cs="FrankRuehl"/>
          <w:b w:val="0"/>
          <w:bCs w:val="0"/>
          <w:u w:val="none"/>
          <w:rtl/>
        </w:rPr>
      </w:pPr>
    </w:p>
    <w:p w14:paraId="1CF944A0" w14:textId="77777777" w:rsidR="007B03EC" w:rsidRPr="007B03EC" w:rsidRDefault="007B03EC" w:rsidP="007B03EC">
      <w:pPr>
        <w:pStyle w:val="12"/>
        <w:spacing w:after="120" w:line="240" w:lineRule="exact"/>
        <w:ind w:left="283" w:hanging="283"/>
        <w:jc w:val="both"/>
        <w:rPr>
          <w:rFonts w:ascii="FrankRuehl" w:hAnsi="FrankRuehl" w:cs="FrankRuehl"/>
          <w:b w:val="0"/>
          <w:bCs w:val="0"/>
          <w:u w:val="none"/>
          <w:rtl/>
        </w:rPr>
      </w:pPr>
      <w:r w:rsidRPr="007B03EC">
        <w:rPr>
          <w:rFonts w:ascii="FrankRuehl" w:hAnsi="FrankRuehl" w:cs="FrankRuehl"/>
          <w:b w:val="0"/>
          <w:bCs w:val="0"/>
          <w:u w:val="none"/>
          <w:rtl/>
        </w:rPr>
        <w:t xml:space="preserve">חקיקה שאוזכרה: </w:t>
      </w:r>
    </w:p>
    <w:p w14:paraId="21CA7010" w14:textId="77777777" w:rsidR="007B03EC" w:rsidRPr="007B03EC" w:rsidRDefault="007B03EC" w:rsidP="007B03EC">
      <w:pPr>
        <w:pStyle w:val="12"/>
        <w:spacing w:after="120" w:line="240" w:lineRule="exact"/>
        <w:ind w:left="283" w:hanging="283"/>
        <w:jc w:val="both"/>
        <w:rPr>
          <w:rFonts w:ascii="FrankRuehl" w:hAnsi="FrankRuehl" w:cs="FrankRuehl"/>
          <w:b w:val="0"/>
          <w:bCs w:val="0"/>
          <w:u w:val="none"/>
          <w:rtl/>
        </w:rPr>
      </w:pPr>
      <w:hyperlink r:id="rId6" w:history="1">
        <w:r w:rsidRPr="007B03EC">
          <w:rPr>
            <w:rFonts w:ascii="FrankRuehl" w:hAnsi="FrankRuehl" w:cs="FrankRuehl"/>
            <w:b w:val="0"/>
            <w:bCs w:val="0"/>
            <w:color w:val="0000FF"/>
            <w:rtl/>
          </w:rPr>
          <w:t>פקודת הסמים המסוכנים [נוסח חדש], תשל"ג-1973</w:t>
        </w:r>
      </w:hyperlink>
      <w:r w:rsidRPr="007B03EC">
        <w:rPr>
          <w:rFonts w:ascii="FrankRuehl" w:hAnsi="FrankRuehl" w:cs="FrankRuehl"/>
          <w:b w:val="0"/>
          <w:bCs w:val="0"/>
          <w:u w:val="none"/>
          <w:rtl/>
        </w:rPr>
        <w:t xml:space="preserve">: סע'  </w:t>
      </w:r>
      <w:hyperlink r:id="rId7" w:history="1">
        <w:r w:rsidRPr="007B03EC">
          <w:rPr>
            <w:rFonts w:ascii="FrankRuehl" w:hAnsi="FrankRuehl" w:cs="FrankRuehl"/>
            <w:b w:val="0"/>
            <w:bCs w:val="0"/>
            <w:color w:val="0000FF"/>
            <w:rtl/>
          </w:rPr>
          <w:t>7.א.</w:t>
        </w:r>
      </w:hyperlink>
      <w:r w:rsidRPr="007B03EC">
        <w:rPr>
          <w:rFonts w:ascii="FrankRuehl" w:hAnsi="FrankRuehl" w:cs="FrankRuehl"/>
          <w:b w:val="0"/>
          <w:bCs w:val="0"/>
          <w:u w:val="none"/>
          <w:rtl/>
        </w:rPr>
        <w:t xml:space="preserve">, </w:t>
      </w:r>
      <w:hyperlink r:id="rId8" w:history="1">
        <w:r w:rsidRPr="007B03EC">
          <w:rPr>
            <w:rFonts w:ascii="FrankRuehl" w:hAnsi="FrankRuehl" w:cs="FrankRuehl"/>
            <w:b w:val="0"/>
            <w:bCs w:val="0"/>
            <w:color w:val="0000FF"/>
            <w:rtl/>
          </w:rPr>
          <w:t>7.ג</w:t>
        </w:r>
      </w:hyperlink>
    </w:p>
    <w:p w14:paraId="6E39E9A8" w14:textId="77777777" w:rsidR="007B03EC" w:rsidRPr="007B03EC" w:rsidRDefault="007B03EC" w:rsidP="007B03EC">
      <w:pPr>
        <w:pStyle w:val="12"/>
        <w:spacing w:after="120" w:line="240" w:lineRule="exact"/>
        <w:ind w:left="283" w:hanging="283"/>
        <w:jc w:val="both"/>
        <w:rPr>
          <w:rFonts w:ascii="FrankRuehl" w:hAnsi="FrankRuehl" w:cs="FrankRuehl"/>
          <w:b w:val="0"/>
          <w:bCs w:val="0"/>
          <w:u w:val="none"/>
          <w:rtl/>
        </w:rPr>
      </w:pPr>
      <w:hyperlink r:id="rId9" w:history="1">
        <w:r w:rsidRPr="007B03EC">
          <w:rPr>
            <w:rFonts w:ascii="FrankRuehl" w:hAnsi="FrankRuehl" w:cs="FrankRuehl"/>
            <w:b w:val="0"/>
            <w:bCs w:val="0"/>
            <w:color w:val="0000FF"/>
            <w:rtl/>
          </w:rPr>
          <w:t>חוק העונשין, תשל"ז-1977</w:t>
        </w:r>
      </w:hyperlink>
      <w:r w:rsidRPr="007B03EC">
        <w:rPr>
          <w:rFonts w:ascii="FrankRuehl" w:hAnsi="FrankRuehl" w:cs="FrankRuehl"/>
          <w:b w:val="0"/>
          <w:bCs w:val="0"/>
          <w:u w:val="none"/>
          <w:rtl/>
        </w:rPr>
        <w:t xml:space="preserve">: סע'  </w:t>
      </w:r>
      <w:hyperlink r:id="rId10" w:history="1">
        <w:r w:rsidRPr="007B03EC">
          <w:rPr>
            <w:rFonts w:ascii="FrankRuehl" w:hAnsi="FrankRuehl" w:cs="FrankRuehl"/>
            <w:b w:val="0"/>
            <w:bCs w:val="0"/>
            <w:color w:val="0000FF"/>
            <w:rtl/>
          </w:rPr>
          <w:t>40ט(א)</w:t>
        </w:r>
      </w:hyperlink>
      <w:r w:rsidRPr="007B03EC">
        <w:rPr>
          <w:rFonts w:ascii="FrankRuehl" w:hAnsi="FrankRuehl" w:cs="FrankRuehl"/>
          <w:b w:val="0"/>
          <w:bCs w:val="0"/>
          <w:u w:val="none"/>
          <w:rtl/>
        </w:rPr>
        <w:t xml:space="preserve">, </w:t>
      </w:r>
      <w:hyperlink r:id="rId11" w:history="1">
        <w:r w:rsidRPr="007B03EC">
          <w:rPr>
            <w:rFonts w:ascii="FrankRuehl" w:hAnsi="FrankRuehl" w:cs="FrankRuehl"/>
            <w:b w:val="0"/>
            <w:bCs w:val="0"/>
            <w:color w:val="0000FF"/>
            <w:rtl/>
          </w:rPr>
          <w:t>40יא</w:t>
        </w:r>
      </w:hyperlink>
    </w:p>
    <w:p w14:paraId="3EC5B5B0" w14:textId="77777777" w:rsidR="00E84F49" w:rsidRPr="007B03EC" w:rsidRDefault="00E84F49" w:rsidP="00E84F49">
      <w:pPr>
        <w:pStyle w:val="12"/>
        <w:rPr>
          <w:b w:val="0"/>
          <w:bCs w:val="0"/>
          <w:u w:val="none"/>
          <w:rtl/>
        </w:rPr>
      </w:pPr>
    </w:p>
    <w:p w14:paraId="41D7EAE4" w14:textId="77777777" w:rsidR="0098242D" w:rsidRPr="0098242D" w:rsidRDefault="0098242D" w:rsidP="00E84F49">
      <w:pPr>
        <w:spacing w:line="360" w:lineRule="auto"/>
        <w:jc w:val="both"/>
        <w:rPr>
          <w:sz w:val="2"/>
          <w:szCs w:val="2"/>
          <w:rtl/>
        </w:rPr>
      </w:pPr>
    </w:p>
    <w:p w14:paraId="135B1163" w14:textId="77777777" w:rsidR="0098242D" w:rsidRPr="0098242D" w:rsidRDefault="0098242D" w:rsidP="00E84F49">
      <w:pPr>
        <w:spacing w:line="360" w:lineRule="auto"/>
        <w:jc w:val="both"/>
        <w:rPr>
          <w:color w:val="FFFFFF"/>
          <w:sz w:val="2"/>
          <w:szCs w:val="2"/>
          <w:rtl/>
        </w:rPr>
      </w:pPr>
    </w:p>
    <w:p w14:paraId="27B6AD4D" w14:textId="77777777" w:rsidR="00E84F49" w:rsidRPr="0098242D" w:rsidRDefault="00E84F49" w:rsidP="00E84F49">
      <w:pPr>
        <w:spacing w:line="360" w:lineRule="auto"/>
        <w:jc w:val="both"/>
        <w:rPr>
          <w:color w:val="FFFFFF"/>
          <w:sz w:val="2"/>
          <w:szCs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6979" w14:paraId="740BDB11" w14:textId="77777777" w:rsidTr="00E84F49">
        <w:trPr>
          <w:trHeight w:val="355"/>
          <w:jc w:val="center"/>
        </w:trPr>
        <w:tc>
          <w:tcPr>
            <w:tcW w:w="8820" w:type="dxa"/>
            <w:tcBorders>
              <w:top w:val="nil"/>
              <w:left w:val="nil"/>
              <w:bottom w:val="nil"/>
              <w:right w:val="nil"/>
            </w:tcBorders>
            <w:shd w:val="clear" w:color="auto" w:fill="auto"/>
          </w:tcPr>
          <w:p w14:paraId="26232E81" w14:textId="77777777" w:rsidR="0098242D" w:rsidRPr="0098242D" w:rsidRDefault="0098242D" w:rsidP="0098242D">
            <w:pPr>
              <w:jc w:val="center"/>
              <w:rPr>
                <w:rFonts w:ascii="Arial" w:hAnsi="Arial" w:cs="FrankRuehl"/>
                <w:b/>
                <w:bCs/>
                <w:sz w:val="32"/>
                <w:szCs w:val="32"/>
                <w:u w:val="single"/>
                <w:rtl/>
              </w:rPr>
            </w:pPr>
            <w:bookmarkStart w:id="4" w:name="PsakDin" w:colFirst="0" w:colLast="0"/>
            <w:bookmarkEnd w:id="0"/>
            <w:r w:rsidRPr="0098242D">
              <w:rPr>
                <w:rFonts w:ascii="Arial" w:hAnsi="Arial" w:cs="FrankRuehl"/>
                <w:b/>
                <w:bCs/>
                <w:sz w:val="32"/>
                <w:szCs w:val="32"/>
                <w:u w:val="single"/>
                <w:rtl/>
              </w:rPr>
              <w:t>גזר דין</w:t>
            </w:r>
          </w:p>
          <w:p w14:paraId="2EBBC1F0" w14:textId="77777777" w:rsidR="00E84F49" w:rsidRPr="0098242D" w:rsidRDefault="00E84F49" w:rsidP="0098242D">
            <w:pPr>
              <w:jc w:val="center"/>
              <w:rPr>
                <w:rFonts w:ascii="Arial" w:hAnsi="Arial" w:cs="FrankRuehl"/>
                <w:bCs/>
                <w:sz w:val="32"/>
                <w:szCs w:val="32"/>
                <w:u w:val="single"/>
                <w:rtl/>
              </w:rPr>
            </w:pPr>
          </w:p>
        </w:tc>
      </w:tr>
    </w:tbl>
    <w:bookmarkEnd w:id="4"/>
    <w:p w14:paraId="05E014F0" w14:textId="77777777" w:rsidR="00E84F49" w:rsidRDefault="00E84F49" w:rsidP="00E84F49">
      <w:pPr>
        <w:spacing w:line="360" w:lineRule="auto"/>
        <w:jc w:val="both"/>
        <w:rPr>
          <w:rtl/>
        </w:rPr>
      </w:pPr>
      <w:r>
        <w:rPr>
          <w:rFonts w:hint="cs"/>
          <w:color w:val="FFFFFF"/>
          <w:sz w:val="2"/>
          <w:szCs w:val="2"/>
          <w:rtl/>
        </w:rPr>
        <w:t>51</w:t>
      </w:r>
    </w:p>
    <w:p w14:paraId="008FF51C" w14:textId="77777777" w:rsidR="00E84F49" w:rsidRDefault="00E84F49" w:rsidP="00E84F49">
      <w:pPr>
        <w:spacing w:line="360" w:lineRule="auto"/>
        <w:jc w:val="both"/>
        <w:rPr>
          <w:sz w:val="2"/>
          <w:szCs w:val="2"/>
          <w:u w:val="single"/>
        </w:rPr>
      </w:pPr>
    </w:p>
    <w:p w14:paraId="2DBAF64F" w14:textId="77777777" w:rsidR="00E84F49" w:rsidRDefault="00E84F49" w:rsidP="00E84F49">
      <w:pPr>
        <w:tabs>
          <w:tab w:val="left" w:pos="720"/>
        </w:tabs>
        <w:spacing w:line="360" w:lineRule="auto"/>
        <w:jc w:val="both"/>
        <w:rPr>
          <w:rFonts w:ascii="Arial" w:hAnsi="Arial"/>
          <w:u w:val="single"/>
          <w:rtl/>
        </w:rPr>
      </w:pPr>
      <w:r>
        <w:rPr>
          <w:rFonts w:ascii="Arial" w:hAnsi="Arial" w:hint="cs"/>
          <w:u w:val="single"/>
          <w:rtl/>
        </w:rPr>
        <w:t>כתב האישום</w:t>
      </w:r>
    </w:p>
    <w:p w14:paraId="788804F2" w14:textId="77777777" w:rsidR="00E84F49" w:rsidRDefault="00E84F49" w:rsidP="00E84F49">
      <w:pPr>
        <w:tabs>
          <w:tab w:val="left" w:pos="720"/>
        </w:tabs>
        <w:spacing w:line="360" w:lineRule="auto"/>
        <w:jc w:val="both"/>
        <w:rPr>
          <w:rFonts w:ascii="Arial" w:hAnsi="Arial"/>
          <w:u w:val="single"/>
          <w:rtl/>
        </w:rPr>
      </w:pPr>
    </w:p>
    <w:p w14:paraId="1532B1DD" w14:textId="77777777" w:rsidR="00E84F49" w:rsidRPr="00E84F49" w:rsidRDefault="00E84F49" w:rsidP="00E84F49">
      <w:pPr>
        <w:spacing w:after="240" w:line="360" w:lineRule="auto"/>
        <w:ind w:left="720" w:hanging="720"/>
        <w:jc w:val="both"/>
        <w:rPr>
          <w:rFonts w:ascii="Calibri" w:eastAsia="Calibri" w:hAnsi="Calibri"/>
          <w:rtl/>
        </w:rPr>
      </w:pPr>
      <w:r>
        <w:rPr>
          <w:rFonts w:hint="cs"/>
          <w:rtl/>
        </w:rPr>
        <w:t>1.</w:t>
      </w:r>
      <w:r>
        <w:rPr>
          <w:rFonts w:hint="cs"/>
          <w:rtl/>
        </w:rPr>
        <w:tab/>
      </w:r>
      <w:bookmarkStart w:id="5" w:name="ABSTRACT_START"/>
      <w:bookmarkEnd w:id="5"/>
      <w:r>
        <w:rPr>
          <w:rFonts w:hint="cs"/>
          <w:rtl/>
        </w:rPr>
        <w:t xml:space="preserve">הנאשם הודה בעובדות כתב אישום שהוגש נגדו והורשע על סמך הודאתו זו, בעבירה של החזקת סם מסוכן שלא לצריכה עצמית, לפי </w:t>
      </w:r>
      <w:hyperlink r:id="rId12" w:history="1">
        <w:r w:rsidR="007B03EC" w:rsidRPr="007B03EC">
          <w:rPr>
            <w:color w:val="0000FF"/>
            <w:u w:val="single"/>
            <w:rtl/>
          </w:rPr>
          <w:t>סעיף 7(א)+(ג)</w:t>
        </w:r>
      </w:hyperlink>
      <w:r>
        <w:rPr>
          <w:rFonts w:hint="cs"/>
          <w:rtl/>
        </w:rPr>
        <w:t xml:space="preserve"> רישא ל</w:t>
      </w:r>
      <w:hyperlink r:id="rId13" w:history="1">
        <w:r w:rsidR="0098242D" w:rsidRPr="0098242D">
          <w:rPr>
            <w:color w:val="0000FF"/>
            <w:u w:val="single"/>
            <w:rtl/>
          </w:rPr>
          <w:t>פקודת הסמים המסוכנים</w:t>
        </w:r>
      </w:hyperlink>
      <w:r>
        <w:rPr>
          <w:rFonts w:hint="cs"/>
          <w:rtl/>
        </w:rPr>
        <w:t xml:space="preserve"> [נוסח חדש], התשל"ג-1973 (להלן: "</w:t>
      </w:r>
      <w:r>
        <w:rPr>
          <w:rFonts w:hint="cs"/>
          <w:b/>
          <w:bCs/>
          <w:rtl/>
        </w:rPr>
        <w:t>פקודת הסמים</w:t>
      </w:r>
      <w:r>
        <w:rPr>
          <w:rFonts w:hint="cs"/>
          <w:rtl/>
        </w:rPr>
        <w:t xml:space="preserve">"). </w:t>
      </w:r>
    </w:p>
    <w:p w14:paraId="54DE2368" w14:textId="77777777" w:rsidR="00E84F49" w:rsidRDefault="00E84F49" w:rsidP="00E84F49">
      <w:pPr>
        <w:spacing w:after="240" w:line="360" w:lineRule="auto"/>
        <w:ind w:left="720" w:hanging="720"/>
        <w:jc w:val="both"/>
        <w:rPr>
          <w:rtl/>
        </w:rPr>
      </w:pPr>
      <w:r>
        <w:rPr>
          <w:rFonts w:hint="cs"/>
          <w:rtl/>
        </w:rPr>
        <w:t>2.</w:t>
      </w:r>
      <w:r>
        <w:rPr>
          <w:rFonts w:hint="cs"/>
          <w:rtl/>
        </w:rPr>
        <w:tab/>
        <w:t>לפי עובדות כתב האישום, החזיק הנאשם ביום 9.2.2018 סמים מסוכנים בתוך גרב מוחבאת ברגלו השמאלית, כמפורט להלן: 20.334 גרם סם מסוכן מסוג הרואין, מחולק ל-5 מארזי פלסטיק, כשבכל אחד מהם 4 מנות, עטוף בניילון נצמד; 31.1787 גרם סם מסוכן מסוג הרואין, מחולק ל-147 מנות, ב-6  מארזי פלסטיק, עטוף בניילון נצמד; 17.567 גרם סם מסוכן מסוג הרואין, מחולק ל-5 מארזי פלסטיק, עטוף בניילון נצמד; 3.663 גרם סם מסוכן מסוג קוקאין, מחולק ל-3 עטיפות גומי, כשבכל אחת 10 מנות באריזות פלסטיק; 0.7844 גרם סם מסוכן מסוג קוקאין, מחולק ל-6 מנות באריזות פלסטיק (להלן: "</w:t>
      </w:r>
      <w:r>
        <w:rPr>
          <w:rFonts w:hint="cs"/>
          <w:b/>
          <w:bCs/>
          <w:rtl/>
        </w:rPr>
        <w:t>הסמים</w:t>
      </w:r>
      <w:r>
        <w:rPr>
          <w:rFonts w:hint="cs"/>
          <w:rtl/>
        </w:rPr>
        <w:t>"). הנאשם החזיק בסמים שלא לשימוש עצמי, ללא היתר וללא רישיון.</w:t>
      </w:r>
    </w:p>
    <w:p w14:paraId="6901287E" w14:textId="77777777" w:rsidR="00E84F49" w:rsidRDefault="00E84F49" w:rsidP="00E84F49">
      <w:pPr>
        <w:tabs>
          <w:tab w:val="left" w:pos="720"/>
        </w:tabs>
        <w:spacing w:after="240" w:line="360" w:lineRule="auto"/>
        <w:ind w:left="720" w:hanging="720"/>
        <w:jc w:val="both"/>
        <w:rPr>
          <w:rtl/>
        </w:rPr>
      </w:pPr>
      <w:bookmarkStart w:id="6" w:name="ABSTRACT_END"/>
      <w:bookmarkEnd w:id="6"/>
      <w:r>
        <w:rPr>
          <w:rFonts w:hint="cs"/>
          <w:rtl/>
        </w:rPr>
        <w:lastRenderedPageBreak/>
        <w:t>3.</w:t>
      </w:r>
      <w:r>
        <w:rPr>
          <w:rFonts w:hint="cs"/>
          <w:rtl/>
        </w:rPr>
        <w:tab/>
        <w:t xml:space="preserve">תחילה כפר הנאשם במיוחס לו, אולם ביום 13.6.2018, עוד בטרם החלה שמיעת הראיות, הותר לו, לבקשתו, לחזור בו מכפירתו ולהודות בכתב האישום.  </w:t>
      </w:r>
    </w:p>
    <w:p w14:paraId="6C7B5033" w14:textId="77777777" w:rsidR="00E84F49" w:rsidRPr="00E84F49" w:rsidRDefault="00E84F49" w:rsidP="00E84F49">
      <w:pPr>
        <w:spacing w:after="240"/>
        <w:jc w:val="both"/>
        <w:rPr>
          <w:rFonts w:ascii="Calibri" w:eastAsia="Calibri" w:hAnsi="Calibri"/>
          <w:u w:val="single"/>
          <w:rtl/>
        </w:rPr>
      </w:pPr>
      <w:r>
        <w:rPr>
          <w:rFonts w:hint="cs"/>
          <w:u w:val="single"/>
          <w:rtl/>
        </w:rPr>
        <w:t>ראיות הצדדים לעונש</w:t>
      </w:r>
    </w:p>
    <w:p w14:paraId="51C099FB" w14:textId="77777777" w:rsidR="00E84F49" w:rsidRDefault="00E84F49" w:rsidP="00E84F49">
      <w:pPr>
        <w:tabs>
          <w:tab w:val="left" w:pos="720"/>
        </w:tabs>
        <w:spacing w:after="240" w:line="360" w:lineRule="auto"/>
        <w:ind w:left="720" w:hanging="720"/>
        <w:jc w:val="both"/>
      </w:pPr>
      <w:r>
        <w:rPr>
          <w:rFonts w:hint="cs"/>
          <w:rtl/>
        </w:rPr>
        <w:t>4.</w:t>
      </w:r>
      <w:r>
        <w:rPr>
          <w:rFonts w:hint="cs"/>
          <w:rtl/>
        </w:rPr>
        <w:tab/>
        <w:t xml:space="preserve">המאשימה הגישה את המרשם הפלילי של הנאשם (מע/1) ממנו עולה כי לחובתו שתי הרשעות קודמות של בית משפט השלום לנוער בחדרה והרשעה אחת של בית המשפט המחוזי בחיפה, בעבירות של החזקת אגרופן או סכין שלא למטרה כשרה (3 עבירות), חבלה במזיד ברכב (4 עבירות), תקיפה הגורמת חבלה של ממש, חבלה כשעבריין מזוין, הפרת הוראה חוקית, היזק לרכוש במזיד, איומים (3 עבירות) והסגת גבול פלילית (2 עבירות).  </w:t>
      </w:r>
    </w:p>
    <w:p w14:paraId="64E009EC" w14:textId="77777777" w:rsidR="00E84F49" w:rsidRDefault="00E84F49" w:rsidP="00E84F49">
      <w:pPr>
        <w:tabs>
          <w:tab w:val="left" w:pos="720"/>
        </w:tabs>
        <w:spacing w:after="240" w:line="360" w:lineRule="auto"/>
        <w:ind w:left="720" w:hanging="720"/>
        <w:jc w:val="both"/>
        <w:rPr>
          <w:rtl/>
        </w:rPr>
      </w:pPr>
      <w:r>
        <w:rPr>
          <w:rFonts w:hint="cs"/>
          <w:rtl/>
        </w:rPr>
        <w:t>5.</w:t>
      </w:r>
      <w:r>
        <w:rPr>
          <w:rFonts w:hint="cs"/>
          <w:rtl/>
        </w:rPr>
        <w:tab/>
        <w:t>מטעם הנאשם הוגשו תלושי שכר עבודה (נע/1); תיעוד רפואי על אודות ההיריון בסיכון בו מצויה רעייתו (נע/2) ואישור של ראש המועצה המקומית ג'סר אל-זרקא לגבי עבודת הנאשם כשכיר (נע/3).</w:t>
      </w:r>
      <w:r>
        <w:rPr>
          <w:rFonts w:ascii="David" w:hAnsi="David" w:hint="cs"/>
          <w:b/>
          <w:bCs/>
          <w:u w:val="single"/>
          <w:rtl/>
        </w:rPr>
        <w:t xml:space="preserve"> </w:t>
      </w:r>
    </w:p>
    <w:p w14:paraId="01E9977A" w14:textId="77777777" w:rsidR="00E84F49" w:rsidRPr="00E84F49" w:rsidRDefault="00E84F49" w:rsidP="00E84F49">
      <w:pPr>
        <w:spacing w:after="240" w:line="360" w:lineRule="auto"/>
        <w:jc w:val="both"/>
        <w:rPr>
          <w:rFonts w:ascii="Calibri" w:eastAsia="Calibri" w:hAnsi="Calibri"/>
          <w:u w:val="single"/>
          <w:rtl/>
        </w:rPr>
      </w:pPr>
      <w:r>
        <w:rPr>
          <w:rFonts w:hint="cs"/>
          <w:u w:val="single"/>
          <w:rtl/>
        </w:rPr>
        <w:t>טיעוני המאשימה לעונש</w:t>
      </w:r>
    </w:p>
    <w:p w14:paraId="7964D6A5" w14:textId="77777777" w:rsidR="00E84F49" w:rsidRDefault="00E84F49" w:rsidP="00E84F49">
      <w:pPr>
        <w:tabs>
          <w:tab w:val="left" w:pos="720"/>
        </w:tabs>
        <w:spacing w:after="240" w:line="360" w:lineRule="auto"/>
        <w:ind w:left="720" w:hanging="720"/>
        <w:jc w:val="both"/>
      </w:pPr>
      <w:r>
        <w:rPr>
          <w:rFonts w:hint="cs"/>
          <w:rtl/>
        </w:rPr>
        <w:t>6.</w:t>
      </w:r>
      <w:r>
        <w:rPr>
          <w:rFonts w:hint="cs"/>
          <w:rtl/>
        </w:rPr>
        <w:tab/>
        <w:t xml:space="preserve">בטיעוניה ציינה המאשימה כי הערכים החברתיים שנפגעו כתוצאה מן העבירה בה הורשע הנאשם הם בריאות הציבור ושלומו, וכן הזכות לחיים, אשר הועמדה בסיכון עקב פגיעתם הרעה של הסמים. </w:t>
      </w:r>
    </w:p>
    <w:p w14:paraId="2C8B620B" w14:textId="77777777" w:rsidR="00E84F49" w:rsidRDefault="00E84F49" w:rsidP="00E84F49">
      <w:pPr>
        <w:tabs>
          <w:tab w:val="left" w:pos="720"/>
        </w:tabs>
        <w:spacing w:after="240" w:line="360" w:lineRule="auto"/>
        <w:ind w:left="720" w:hanging="720"/>
        <w:jc w:val="both"/>
        <w:rPr>
          <w:rtl/>
        </w:rPr>
      </w:pPr>
      <w:r>
        <w:rPr>
          <w:rFonts w:hint="cs"/>
          <w:rtl/>
        </w:rPr>
        <w:t>7.</w:t>
      </w:r>
      <w:r>
        <w:rPr>
          <w:rFonts w:hint="cs"/>
          <w:rtl/>
        </w:rPr>
        <w:tab/>
        <w:t xml:space="preserve">ביחס לנסיבות ביצוע העבירה, הדגישה המאשימה את כמות הסמים שנתפסו אצל הנאשם, היות הסמים שנתפסו סמים "קשים", את פגיעתם הרעה הידועה, העובדה שהסמים שנתפסו היו מחולקים לאריזות ולמנות רבות (למעלה מ- 100 מנות), השילוב של סמים מסוגים שונים וכן ביצוע העבירה בלב אזור מגורים (מרכז ג'סר א זרקא). לטענת המאשימה, שילוב נסיבות האירוע כאמור לעיל מלמד על פוטנציאל נזק רב שהיה גלום בעבירה, שכן אלמלא נתפסו הסמים על ידי המשטרה, הם היו עלולים להיות מופצים לאנשים רבים. </w:t>
      </w:r>
    </w:p>
    <w:p w14:paraId="7A3D1257" w14:textId="77777777" w:rsidR="00E84F49" w:rsidRPr="00E84F49" w:rsidRDefault="00E84F49" w:rsidP="00E84F49">
      <w:pPr>
        <w:tabs>
          <w:tab w:val="left" w:pos="720"/>
        </w:tabs>
        <w:spacing w:after="240" w:line="360" w:lineRule="auto"/>
        <w:ind w:left="720" w:hanging="720"/>
        <w:jc w:val="both"/>
        <w:rPr>
          <w:rFonts w:ascii="David" w:eastAsia="Calibri" w:hAnsi="Calibri"/>
          <w:rtl/>
        </w:rPr>
      </w:pPr>
      <w:r>
        <w:rPr>
          <w:rFonts w:hint="cs"/>
          <w:rtl/>
        </w:rPr>
        <w:t>8.</w:t>
      </w:r>
      <w:r>
        <w:rPr>
          <w:rFonts w:hint="cs"/>
          <w:rtl/>
        </w:rPr>
        <w:tab/>
        <w:t xml:space="preserve">המאשימה הפנתה לפסיקה שעניינה החומרה והסכנה הגלומות בעבירות של החזקת סמים שלא לצריכה עצמית. כן ציינה את מדיניות בית המשפט לאורך שנים בנוגע לצורך בהעברת מסר מרתיע באמצעות ענישה הולמת של מי שהורשעו בעבירות מסוג זה. </w:t>
      </w:r>
    </w:p>
    <w:p w14:paraId="13F5855A" w14:textId="77777777" w:rsidR="00E84F49" w:rsidRPr="00E84F49" w:rsidRDefault="00E84F49" w:rsidP="00E84F49">
      <w:pPr>
        <w:tabs>
          <w:tab w:val="left" w:pos="720"/>
        </w:tabs>
        <w:spacing w:after="240" w:line="360" w:lineRule="auto"/>
        <w:ind w:left="720" w:hanging="720"/>
        <w:jc w:val="both"/>
        <w:rPr>
          <w:rFonts w:ascii="Calibri"/>
          <w:rtl/>
        </w:rPr>
      </w:pPr>
      <w:r>
        <w:rPr>
          <w:rFonts w:hint="cs"/>
          <w:rtl/>
        </w:rPr>
        <w:t>9.</w:t>
      </w:r>
      <w:r>
        <w:rPr>
          <w:rFonts w:hint="cs"/>
          <w:rtl/>
        </w:rPr>
        <w:tab/>
        <w:t>בפסקי דין שהובאו על ידי המאשימה בנסיבות דומות, נקבעו מתחמי ענישה הנעים בין 2-5 שנות מאסר, ונגזרו על המורשעים בהחזקת סמים שלא לצריכה עצמית עונשים הנעים בין 24 ל- 42 חודשי מאסר בפועל. המאשימה הדגישה כי באותה פסיקה, עונש המאסר בן 24 חודשים נגזר בנסיבות פחות חמורות מבענייננו, זאת בשל כמות הסמים בה מדובר.</w:t>
      </w:r>
    </w:p>
    <w:p w14:paraId="4D0976FB" w14:textId="77777777" w:rsidR="00E84F49" w:rsidRDefault="00E84F49" w:rsidP="00E84F49">
      <w:pPr>
        <w:tabs>
          <w:tab w:val="left" w:pos="720"/>
        </w:tabs>
        <w:spacing w:after="240" w:line="360" w:lineRule="auto"/>
        <w:ind w:left="720" w:hanging="720"/>
        <w:jc w:val="both"/>
      </w:pPr>
      <w:r>
        <w:rPr>
          <w:rFonts w:hint="cs"/>
          <w:rtl/>
        </w:rPr>
        <w:lastRenderedPageBreak/>
        <w:t>10.</w:t>
      </w:r>
      <w:r>
        <w:rPr>
          <w:rFonts w:hint="cs"/>
          <w:rtl/>
        </w:rPr>
        <w:tab/>
        <w:t xml:space="preserve">נוכח האמור, ביקשה המאשימה מבית המשפט שיקבע, כי מתחם העונש ההולם בענייננו נע בין 3 ל-5 שנות מאסר בפועל, וישית על הנאשם עונש באמצע המתחם, לצד קנס ומאסר מותנה. </w:t>
      </w:r>
    </w:p>
    <w:p w14:paraId="7F26583E" w14:textId="77777777" w:rsidR="00E84F49" w:rsidRDefault="00E84F49" w:rsidP="00E84F49">
      <w:pPr>
        <w:spacing w:after="240" w:line="360" w:lineRule="auto"/>
        <w:jc w:val="both"/>
        <w:rPr>
          <w:u w:val="single"/>
          <w:rtl/>
        </w:rPr>
      </w:pPr>
      <w:r>
        <w:rPr>
          <w:rFonts w:hint="cs"/>
          <w:u w:val="single"/>
          <w:rtl/>
        </w:rPr>
        <w:t>טיעוני ההגנה לעונש</w:t>
      </w:r>
    </w:p>
    <w:p w14:paraId="7D14334A" w14:textId="77777777" w:rsidR="00E84F49" w:rsidRDefault="00E84F49" w:rsidP="00E84F49">
      <w:pPr>
        <w:tabs>
          <w:tab w:val="left" w:pos="720"/>
        </w:tabs>
        <w:spacing w:after="240" w:line="360" w:lineRule="auto"/>
        <w:ind w:left="720" w:hanging="720"/>
        <w:jc w:val="both"/>
      </w:pPr>
      <w:r>
        <w:rPr>
          <w:rFonts w:hint="cs"/>
          <w:rtl/>
        </w:rPr>
        <w:t>11.</w:t>
      </w:r>
      <w:r>
        <w:rPr>
          <w:rFonts w:hint="cs"/>
          <w:rtl/>
        </w:rPr>
        <w:tab/>
        <w:t xml:space="preserve">בהתייחסו לנסיבות ביצוע העבירה ציין הסנגור, כי אין כל אינדיקציה לכך שהחזקת הסמים על ידי הנאשם נועדה למטרות סחר, וזאת חרף העובדה שהסמים היו מחולקים למנות נפרדות. כן נטען כי חלקו של הנאשם באירוע הוא מינורי, והתבטא בכך שהוא העביר את הסמים ממקום למקום. בנוסף לכך צוין כי בעת מעצרו, לא היו על הנאשם כפפות לצורך העלמת טביעות אצבע, ובבדיקה שנערכה לא נמצאו טביעות אצבעותיו על גבי אריזות הניילון בתוכן היו הסמים. בא כוח הנאשם הדגיש כי לא נגרם נזק בפועל ממעשי הנאשם, באשר הסמים נתפסו ולא מצאו את דרכם לידי ציבור המשתמשים. </w:t>
      </w:r>
    </w:p>
    <w:p w14:paraId="0B0085F6" w14:textId="77777777" w:rsidR="00E84F49" w:rsidRDefault="00E84F49" w:rsidP="00E84F49">
      <w:pPr>
        <w:tabs>
          <w:tab w:val="left" w:pos="720"/>
        </w:tabs>
        <w:spacing w:after="240" w:line="360" w:lineRule="auto"/>
        <w:ind w:left="720" w:hanging="720"/>
        <w:jc w:val="both"/>
        <w:rPr>
          <w:rtl/>
        </w:rPr>
      </w:pPr>
      <w:r>
        <w:rPr>
          <w:rFonts w:hint="cs"/>
          <w:rtl/>
        </w:rPr>
        <w:t>12.</w:t>
      </w:r>
      <w:r>
        <w:rPr>
          <w:rFonts w:hint="cs"/>
          <w:rtl/>
        </w:rPr>
        <w:tab/>
        <w:t xml:space="preserve">אשר לנסיבות שאינן קשורות בביצוע העבירה, צוין כי מצבו הסוציו-אקונומי של הנאשם הוא קשה. הנאשם, שהינו נשוי ואב לתינוק, הוא מפרנס יחיד, אשתו מצויה בהיריון בסיכון גבוה והם שקועים בחובות כבדים. לגבי עברו הפלילי של הנאשם צוינה העובדה כי אין לו רקע בתחום הסמים. </w:t>
      </w:r>
    </w:p>
    <w:p w14:paraId="2E1FED62" w14:textId="77777777" w:rsidR="00E84F49" w:rsidRDefault="00E84F49" w:rsidP="00E84F49">
      <w:pPr>
        <w:tabs>
          <w:tab w:val="left" w:pos="720"/>
        </w:tabs>
        <w:spacing w:after="240" w:line="360" w:lineRule="auto"/>
        <w:ind w:left="720" w:hanging="720"/>
        <w:jc w:val="both"/>
        <w:rPr>
          <w:rtl/>
        </w:rPr>
      </w:pPr>
      <w:r>
        <w:rPr>
          <w:rFonts w:hint="cs"/>
          <w:rtl/>
        </w:rPr>
        <w:t xml:space="preserve">13. </w:t>
      </w:r>
      <w:r>
        <w:rPr>
          <w:rFonts w:hint="cs"/>
          <w:rtl/>
        </w:rPr>
        <w:tab/>
        <w:t xml:space="preserve">הסנגור הדגיש את העובדה כי לעבירה בה הורשע הנאשם לא נקבע עונש מינימום, וכי החזקת סם מצויה במדרג חומרה נמוך ביחס לעבירות של ייצור, ייבוא או סחר בסמים. </w:t>
      </w:r>
    </w:p>
    <w:p w14:paraId="19E2993A" w14:textId="77777777" w:rsidR="00E84F49" w:rsidRDefault="00E84F49" w:rsidP="00E84F49">
      <w:pPr>
        <w:tabs>
          <w:tab w:val="left" w:pos="720"/>
        </w:tabs>
        <w:spacing w:after="240" w:line="360" w:lineRule="auto"/>
        <w:ind w:left="720" w:hanging="720"/>
        <w:jc w:val="both"/>
        <w:rPr>
          <w:rtl/>
        </w:rPr>
      </w:pPr>
      <w:r>
        <w:rPr>
          <w:rFonts w:hint="cs"/>
          <w:rtl/>
        </w:rPr>
        <w:t>14.</w:t>
      </w:r>
      <w:r>
        <w:rPr>
          <w:rFonts w:hint="cs"/>
          <w:rtl/>
        </w:rPr>
        <w:tab/>
        <w:t xml:space="preserve">לעניין מדיניות הענישה הנהוגה נטען כי מתחם הענישה ההולם נע בין 8 ל- 18 חודשי מאסר בפועל, וכי למתחם לו עותרת המאשימה "אין כל אחיזה במציאות". כן צוין כי קשת הענישה היא רחבה, וכי קיימים גם תיקים דומים שהסתיימו בלא הרשעה, מאסר על תנאי או עבודות שירות. הסנגור הפנה לגזרי דין בהם הוטלו עונשי מאסר לריצוי בעבודות שירות. </w:t>
      </w:r>
    </w:p>
    <w:p w14:paraId="251D0AA2" w14:textId="77777777" w:rsidR="00E84F49" w:rsidRPr="00E84F49" w:rsidRDefault="00E84F49" w:rsidP="00E84F49">
      <w:pPr>
        <w:tabs>
          <w:tab w:val="left" w:pos="720"/>
        </w:tabs>
        <w:spacing w:after="240" w:line="360" w:lineRule="auto"/>
        <w:ind w:left="720" w:hanging="720"/>
        <w:jc w:val="both"/>
        <w:rPr>
          <w:rFonts w:ascii="Calibri" w:eastAsia="Calibri" w:hAnsi="Calibri"/>
          <w:rtl/>
        </w:rPr>
      </w:pPr>
      <w:r>
        <w:rPr>
          <w:rFonts w:hint="cs"/>
          <w:rtl/>
        </w:rPr>
        <w:t>15.</w:t>
      </w:r>
      <w:r>
        <w:rPr>
          <w:rFonts w:hint="cs"/>
          <w:rtl/>
        </w:rPr>
        <w:tab/>
        <w:t xml:space="preserve">נוכח כל האמור לעיל, ביקש הסנגור מבית המשפט לקבוע כי מתחם העונש ההולם נע בין 6 ל- 12 חודשי מאסר, ולהטיל על הנאשם עונש ברף התחתון של המתחם, ללא קנס כספי נלווה.  </w:t>
      </w:r>
    </w:p>
    <w:p w14:paraId="662DA40B" w14:textId="77777777" w:rsidR="00E84F49" w:rsidRDefault="00E84F49" w:rsidP="00E84F49">
      <w:pPr>
        <w:tabs>
          <w:tab w:val="left" w:pos="720"/>
        </w:tabs>
        <w:spacing w:after="240" w:line="360" w:lineRule="auto"/>
        <w:ind w:left="720" w:hanging="720"/>
        <w:jc w:val="both"/>
        <w:rPr>
          <w:u w:val="single"/>
          <w:rtl/>
        </w:rPr>
      </w:pPr>
      <w:r>
        <w:rPr>
          <w:rFonts w:hint="cs"/>
          <w:u w:val="single"/>
          <w:rtl/>
        </w:rPr>
        <w:t>דבר הנאשם</w:t>
      </w:r>
    </w:p>
    <w:p w14:paraId="7FFB26DD" w14:textId="77777777" w:rsidR="00E84F49" w:rsidRDefault="00E84F49" w:rsidP="00E84F49">
      <w:pPr>
        <w:tabs>
          <w:tab w:val="left" w:pos="720"/>
        </w:tabs>
        <w:spacing w:after="240" w:line="360" w:lineRule="auto"/>
        <w:ind w:left="720" w:hanging="720"/>
        <w:jc w:val="both"/>
      </w:pPr>
      <w:r>
        <w:rPr>
          <w:rFonts w:hint="cs"/>
          <w:rtl/>
        </w:rPr>
        <w:t>16.</w:t>
      </w:r>
      <w:r>
        <w:rPr>
          <w:rFonts w:hint="cs"/>
          <w:rtl/>
        </w:rPr>
        <w:tab/>
        <w:t>בדברו האחרון לקח הנאשם אחריות על מעשיו וציין כי ברצונו לקבל עזרה ולעלות על דרך הישר, לאחר שכשל בעבר. כן הוסיף כי כיום הוא מצוי בהליך שיקום בין כתלי בית הסוהר.</w:t>
      </w:r>
    </w:p>
    <w:p w14:paraId="610EE990" w14:textId="77777777" w:rsidR="00E84F49" w:rsidRDefault="00E84F49" w:rsidP="00E84F49">
      <w:pPr>
        <w:tabs>
          <w:tab w:val="left" w:pos="720"/>
        </w:tabs>
        <w:spacing w:after="120" w:line="360" w:lineRule="auto"/>
        <w:ind w:left="720" w:hanging="720"/>
        <w:jc w:val="both"/>
        <w:rPr>
          <w:b/>
          <w:bCs/>
          <w:u w:val="single"/>
          <w:rtl/>
        </w:rPr>
      </w:pPr>
      <w:r>
        <w:rPr>
          <w:rFonts w:hint="cs"/>
          <w:b/>
          <w:bCs/>
          <w:u w:val="single"/>
          <w:rtl/>
        </w:rPr>
        <w:t xml:space="preserve">דיון והכרעה  </w:t>
      </w:r>
    </w:p>
    <w:p w14:paraId="14232E21" w14:textId="77777777" w:rsidR="00E84F49" w:rsidRDefault="00E84F49" w:rsidP="00E84F49">
      <w:pPr>
        <w:tabs>
          <w:tab w:val="left" w:pos="720"/>
        </w:tabs>
        <w:spacing w:after="240" w:line="360" w:lineRule="auto"/>
        <w:ind w:left="720" w:hanging="720"/>
        <w:jc w:val="both"/>
        <w:rPr>
          <w:u w:val="single"/>
          <w:rtl/>
        </w:rPr>
      </w:pPr>
      <w:r>
        <w:rPr>
          <w:rFonts w:hint="cs"/>
          <w:u w:val="single"/>
          <w:rtl/>
        </w:rPr>
        <w:t>קביעת מתחם הענישה ההולם</w:t>
      </w:r>
    </w:p>
    <w:p w14:paraId="24AD6249" w14:textId="77777777" w:rsidR="00E84F49" w:rsidRPr="00B37BB4" w:rsidRDefault="00E84F49" w:rsidP="00E84F49">
      <w:pPr>
        <w:spacing w:after="240" w:line="360" w:lineRule="auto"/>
        <w:ind w:left="720" w:hanging="720"/>
        <w:jc w:val="both"/>
      </w:pPr>
      <w:r>
        <w:rPr>
          <w:rFonts w:hint="cs"/>
          <w:rtl/>
        </w:rPr>
        <w:t>17.</w:t>
      </w:r>
      <w:r>
        <w:rPr>
          <w:rFonts w:hint="cs"/>
          <w:rtl/>
        </w:rPr>
        <w:tab/>
        <w:t xml:space="preserve">מתחם העונש ההולם ייקבע בהתאם לעיקרון ההלימה ולשם כך על בית המשפט להתחשב בערכים החברתיים שנפגעו מביצוע העבירה, במידת הפגיעה בהם, במדיניות הענישה הנהוגה ובנסיבות הקשורות בביצוע העבירה. כל זאת תוך מתן הדעת לרשימה המפורטת </w:t>
      </w:r>
      <w:hyperlink r:id="rId14" w:history="1">
        <w:r w:rsidR="007B03EC" w:rsidRPr="007B03EC">
          <w:rPr>
            <w:color w:val="0000FF"/>
            <w:u w:val="single"/>
            <w:rtl/>
          </w:rPr>
          <w:t>בסעיף 40ט(א)</w:t>
        </w:r>
      </w:hyperlink>
      <w:r w:rsidRPr="00B37BB4">
        <w:rPr>
          <w:rFonts w:hint="cs"/>
          <w:rtl/>
        </w:rPr>
        <w:t xml:space="preserve"> ל</w:t>
      </w:r>
      <w:hyperlink r:id="rId15" w:history="1">
        <w:r w:rsidR="0098242D" w:rsidRPr="0098242D">
          <w:rPr>
            <w:color w:val="0000FF"/>
            <w:u w:val="single"/>
            <w:rtl/>
          </w:rPr>
          <w:t>חוק העונשין</w:t>
        </w:r>
      </w:hyperlink>
      <w:r w:rsidRPr="00B37BB4">
        <w:rPr>
          <w:rFonts w:hint="cs"/>
          <w:rtl/>
        </w:rPr>
        <w:t xml:space="preserve">, תשל"ז-1977. </w:t>
      </w:r>
    </w:p>
    <w:p w14:paraId="2AA04A23" w14:textId="77777777" w:rsidR="00E84F49" w:rsidRPr="00B37BB4" w:rsidRDefault="00E84F49" w:rsidP="00E84F49">
      <w:pPr>
        <w:spacing w:after="240" w:line="360" w:lineRule="auto"/>
        <w:ind w:left="720" w:hanging="720"/>
        <w:jc w:val="both"/>
        <w:rPr>
          <w:rtl/>
        </w:rPr>
      </w:pPr>
      <w:r>
        <w:rPr>
          <w:rFonts w:hint="cs"/>
          <w:rtl/>
        </w:rPr>
        <w:t>18.</w:t>
      </w:r>
      <w:r>
        <w:rPr>
          <w:rFonts w:hint="cs"/>
          <w:rtl/>
        </w:rPr>
        <w:tab/>
        <w:t xml:space="preserve">החומרה הטמונה בהחזקת סמים שלא לצריכה עצמית ידועה לכל. לא בכדי נקבע בצד העבירה עונש חמור של עד 20 שנות מאסר, אשר יש בו כדי ללמד על התייחסותו המחמירה של המחוקק לעבירה זו. בתי המשפט חזרו פעם אחר פעם על הקביעה כי יש צורך בענישה מחמירה בעבירות סמים שהנזק הגלום בהן הוא רב ביותר, הן לצרכני הסמים והן לחברה בכללותה. בית המשפט העליון הביע לא אחת את עמדתו כי את נגע הסמים יש לעקור מן השורש, והוסיף כי לנוכח הנזק העצום שמסבות עבירות הסמים, יש להיאבק בהן, בין היתר </w:t>
      </w:r>
      <w:r w:rsidRPr="00B37BB4">
        <w:rPr>
          <w:rFonts w:hint="cs"/>
          <w:rtl/>
        </w:rPr>
        <w:t xml:space="preserve">על ידי הטלת עונשים מרתיעים על המעורבים בכל שרשרת הסם (ראו </w:t>
      </w:r>
      <w:hyperlink r:id="rId16" w:history="1">
        <w:r w:rsidR="0098242D" w:rsidRPr="0098242D">
          <w:rPr>
            <w:color w:val="0000FF"/>
            <w:u w:val="single"/>
            <w:rtl/>
          </w:rPr>
          <w:t>ע"פ 1945/13</w:t>
        </w:r>
      </w:hyperlink>
      <w:r w:rsidRPr="00B37BB4">
        <w:rPr>
          <w:rFonts w:hint="cs"/>
          <w:rtl/>
        </w:rPr>
        <w:t xml:space="preserve"> </w:t>
      </w:r>
      <w:r w:rsidRPr="00B37BB4">
        <w:rPr>
          <w:rFonts w:hint="cs"/>
          <w:b/>
          <w:bCs/>
          <w:rtl/>
        </w:rPr>
        <w:t>עאמר נ' מדינת ישראל</w:t>
      </w:r>
      <w:r w:rsidRPr="00B37BB4">
        <w:rPr>
          <w:rFonts w:hint="cs"/>
          <w:rtl/>
        </w:rPr>
        <w:t xml:space="preserve"> (5.10.2014); </w:t>
      </w:r>
      <w:hyperlink r:id="rId17" w:history="1">
        <w:r w:rsidR="0098242D" w:rsidRPr="0098242D">
          <w:rPr>
            <w:color w:val="0000FF"/>
            <w:u w:val="single"/>
            <w:rtl/>
          </w:rPr>
          <w:t>ע"פ 2194/14</w:t>
        </w:r>
      </w:hyperlink>
      <w:r w:rsidRPr="00B37BB4">
        <w:rPr>
          <w:rFonts w:hint="cs"/>
          <w:b/>
          <w:bCs/>
          <w:rtl/>
        </w:rPr>
        <w:t xml:space="preserve"> בן שמעון נ' מדינת ישראל</w:t>
      </w:r>
      <w:r w:rsidRPr="00B37BB4">
        <w:rPr>
          <w:rFonts w:hint="cs"/>
          <w:rtl/>
        </w:rPr>
        <w:t xml:space="preserve"> (10.9.2014) ו</w:t>
      </w:r>
      <w:hyperlink r:id="rId18" w:history="1">
        <w:r w:rsidR="0098242D" w:rsidRPr="0098242D">
          <w:rPr>
            <w:color w:val="0000FF"/>
            <w:u w:val="single"/>
            <w:rtl/>
          </w:rPr>
          <w:t>ע"פ 9910/17</w:t>
        </w:r>
      </w:hyperlink>
      <w:r w:rsidRPr="00B37BB4">
        <w:rPr>
          <w:rFonts w:hint="cs"/>
          <w:rtl/>
        </w:rPr>
        <w:t xml:space="preserve"> </w:t>
      </w:r>
      <w:r w:rsidRPr="00B37BB4">
        <w:rPr>
          <w:rFonts w:hint="cs"/>
          <w:b/>
          <w:bCs/>
          <w:rtl/>
        </w:rPr>
        <w:t>‏אלבטינה גריפולינה נ' מדינת ישראל</w:t>
      </w:r>
      <w:r w:rsidRPr="00B37BB4">
        <w:rPr>
          <w:rFonts w:hint="cs"/>
          <w:rtl/>
        </w:rPr>
        <w:t xml:space="preserve"> (3.5.2018) ו</w:t>
      </w:r>
      <w:hyperlink r:id="rId19" w:history="1">
        <w:r w:rsidR="0098242D" w:rsidRPr="0098242D">
          <w:rPr>
            <w:color w:val="0000FF"/>
            <w:u w:val="single"/>
            <w:rtl/>
          </w:rPr>
          <w:t>ע"פ 3117/12</w:t>
        </w:r>
      </w:hyperlink>
      <w:r w:rsidRPr="00B37BB4">
        <w:rPr>
          <w:rFonts w:hint="cs"/>
          <w:rtl/>
        </w:rPr>
        <w:t xml:space="preserve"> </w:t>
      </w:r>
      <w:r w:rsidRPr="00B37BB4">
        <w:rPr>
          <w:rFonts w:hint="cs"/>
          <w:b/>
          <w:bCs/>
          <w:rtl/>
        </w:rPr>
        <w:t>ארביב נ' מדינת ישראל</w:t>
      </w:r>
      <w:r w:rsidRPr="00B37BB4">
        <w:rPr>
          <w:rFonts w:hint="cs"/>
          <w:rtl/>
        </w:rPr>
        <w:t xml:space="preserve"> (6.9.2014). יפים לעניין זה דברי בית המשפט ב</w:t>
      </w:r>
      <w:hyperlink r:id="rId20" w:history="1">
        <w:r w:rsidR="0098242D" w:rsidRPr="0098242D">
          <w:rPr>
            <w:color w:val="0000FF"/>
            <w:u w:val="single"/>
            <w:rtl/>
          </w:rPr>
          <w:t>ע"פ 3625/11</w:t>
        </w:r>
      </w:hyperlink>
      <w:r w:rsidRPr="00B37BB4">
        <w:rPr>
          <w:rFonts w:hint="cs"/>
          <w:rtl/>
        </w:rPr>
        <w:t xml:space="preserve"> </w:t>
      </w:r>
      <w:r w:rsidRPr="00B37BB4">
        <w:rPr>
          <w:rFonts w:hint="cs"/>
          <w:b/>
          <w:bCs/>
          <w:rtl/>
        </w:rPr>
        <w:t>פלונית נ' מדינת ישראל</w:t>
      </w:r>
      <w:r w:rsidRPr="00B37BB4">
        <w:rPr>
          <w:rFonts w:hint="cs"/>
          <w:rtl/>
        </w:rPr>
        <w:t xml:space="preserve"> (6.11.2012), בקבעו:</w:t>
      </w:r>
    </w:p>
    <w:p w14:paraId="6248DC5B" w14:textId="77777777" w:rsidR="00E84F49" w:rsidRDefault="00E84F49" w:rsidP="00E84F49">
      <w:pPr>
        <w:pStyle w:val="2"/>
        <w:spacing w:after="240"/>
        <w:ind w:left="1701"/>
        <w:rPr>
          <w:rtl/>
        </w:rPr>
      </w:pPr>
      <w:r>
        <w:rPr>
          <w:rFonts w:hint="cs"/>
          <w:rtl/>
        </w:rPr>
        <w:t>"פגיעתם של הסמים המסוכנים היא קשה ונרחבת, ביחידים ובציבור, ושומה לעשות ככל  הניתן במסגרת המאבק בנגע הסמים. סם הקוקאין הוא מן המסוכנים שבסמים... חיי אדם עומדים על הפרק – בריאות הנפש והגוף – וכן גם כל הפשיעה הנלווית, הפוגעת בביטחונם וברכושם של רבים וטובים יישרי דרך, ובזכותם לחיות בשקט ובבטחה. ענישה מחמירה וכואבת היא הכרח בל יגונה. הרתעה היא כורח המציאות".</w:t>
      </w:r>
    </w:p>
    <w:p w14:paraId="203A7F61" w14:textId="77777777" w:rsidR="00E84F49" w:rsidRDefault="00E84F49" w:rsidP="00E84F49">
      <w:pPr>
        <w:spacing w:after="240" w:line="360" w:lineRule="auto"/>
        <w:ind w:left="720" w:hanging="720"/>
        <w:jc w:val="both"/>
        <w:rPr>
          <w:rtl/>
        </w:rPr>
      </w:pPr>
      <w:r>
        <w:rPr>
          <w:rFonts w:hint="cs"/>
          <w:rtl/>
        </w:rPr>
        <w:t>19.</w:t>
      </w:r>
      <w:r>
        <w:rPr>
          <w:rFonts w:hint="cs"/>
          <w:rtl/>
        </w:rPr>
        <w:tab/>
        <w:t xml:space="preserve">ודוקו: אין נפקות ממשית לטענות הסנגור כי מדובר בהחזקה "בלבד", או כי "לא הוכח שהחזקת הסם ע"י הנאשם נועדה למטרות של סחר על ידו". סופם של סמים בכמות שאינה לצריכה עצמית הוא כי ייעשה בהם מסחר, וכי הם יגיעו לידי ציבור גדול של אנשים. לא כל שכן כשהם מחולקים למנות קטנות, המעידות על אופי השימוש שעתיד להיעשות בהם. השאלה אם הסחר בסמים ייעשה על ידי הנאשם בעצמו, או על ידי אחר, אין בה כדי להפחית </w:t>
      </w:r>
      <w:r w:rsidRPr="00B37BB4">
        <w:rPr>
          <w:rFonts w:hint="cs"/>
          <w:rtl/>
        </w:rPr>
        <w:t>מחומרתה של עבירת ההחזקה עצמה. ראו לעניין זה דברי בית המשפט ב</w:t>
      </w:r>
      <w:hyperlink r:id="rId21" w:history="1">
        <w:r w:rsidR="0098242D" w:rsidRPr="0098242D">
          <w:rPr>
            <w:color w:val="0000FF"/>
            <w:u w:val="single"/>
            <w:rtl/>
          </w:rPr>
          <w:t>ע"פ 1345/08</w:t>
        </w:r>
      </w:hyperlink>
      <w:r w:rsidRPr="00B37BB4">
        <w:rPr>
          <w:rFonts w:hint="cs"/>
          <w:rtl/>
        </w:rPr>
        <w:t xml:space="preserve"> </w:t>
      </w:r>
      <w:r>
        <w:rPr>
          <w:rFonts w:hint="cs"/>
          <w:b/>
          <w:bCs/>
          <w:rtl/>
        </w:rPr>
        <w:t>איסטחרוב נ' מדינת ישראל</w:t>
      </w:r>
      <w:r>
        <w:rPr>
          <w:rFonts w:hint="cs"/>
          <w:rtl/>
        </w:rPr>
        <w:t xml:space="preserve"> (18.5.2009):</w:t>
      </w:r>
    </w:p>
    <w:p w14:paraId="7F356A6D" w14:textId="77777777" w:rsidR="00E84F49" w:rsidRPr="00B37BB4" w:rsidRDefault="00E84F49" w:rsidP="00E84F49">
      <w:pPr>
        <w:pStyle w:val="2"/>
        <w:spacing w:after="240"/>
        <w:ind w:left="1701"/>
        <w:rPr>
          <w:rtl/>
        </w:rPr>
      </w:pPr>
      <w:r>
        <w:rPr>
          <w:rFonts w:hint="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w:t>
      </w:r>
      <w:r>
        <w:rPr>
          <w:rFonts w:hint="cs"/>
          <w:u w:val="single"/>
          <w:rtl/>
        </w:rPr>
        <w:t>עבירה זו היא תאומתה הסטטוטורית של עבירת הסחר בסמים, אלא שלא ניתן להוכיח לגביה את הסחר עצמו ונקבע לשתיהן עונש זהה</w:t>
      </w:r>
      <w:r>
        <w:rPr>
          <w:rFonts w:hint="cs"/>
          <w:rtl/>
        </w:rPr>
        <w:t xml:space="preserve">, עונש מירבי של 20 שנות מאסר וקנס פי 25 מזה </w:t>
      </w:r>
      <w:r w:rsidRPr="00B37BB4">
        <w:rPr>
          <w:rFonts w:hint="cs"/>
          <w:rtl/>
        </w:rPr>
        <w:t>הקבוע בסעיף 61(א)(4) ל</w:t>
      </w:r>
      <w:hyperlink r:id="rId22" w:history="1">
        <w:r w:rsidR="0098242D" w:rsidRPr="0098242D">
          <w:rPr>
            <w:rFonts w:hint="cs"/>
            <w:color w:val="0000FF"/>
            <w:u w:val="single"/>
            <w:rtl/>
          </w:rPr>
          <w:t>חוק</w:t>
        </w:r>
        <w:r w:rsidR="0098242D" w:rsidRPr="0098242D">
          <w:rPr>
            <w:color w:val="0000FF"/>
            <w:u w:val="single"/>
            <w:rtl/>
          </w:rPr>
          <w:t xml:space="preserve"> </w:t>
        </w:r>
        <w:r w:rsidR="0098242D" w:rsidRPr="0098242D">
          <w:rPr>
            <w:rFonts w:hint="cs"/>
            <w:color w:val="0000FF"/>
            <w:u w:val="single"/>
            <w:rtl/>
          </w:rPr>
          <w:t>העונשין</w:t>
        </w:r>
      </w:hyperlink>
      <w:r w:rsidRPr="00B37BB4">
        <w:rPr>
          <w:rFonts w:hint="cs"/>
          <w:rtl/>
        </w:rPr>
        <w:t>..." (ההדגשה שלי - א.ט).</w:t>
      </w:r>
    </w:p>
    <w:p w14:paraId="3F40CEA9" w14:textId="77777777" w:rsidR="00E84F49" w:rsidRDefault="00E84F49" w:rsidP="00E84F49">
      <w:pPr>
        <w:spacing w:after="240" w:line="360" w:lineRule="auto"/>
        <w:ind w:left="720" w:hanging="720"/>
        <w:jc w:val="both"/>
        <w:rPr>
          <w:rtl/>
        </w:rPr>
      </w:pPr>
    </w:p>
    <w:p w14:paraId="3444F500" w14:textId="77777777" w:rsidR="00E84F49" w:rsidRDefault="00E84F49" w:rsidP="00E84F49">
      <w:pPr>
        <w:spacing w:after="240" w:line="360" w:lineRule="auto"/>
        <w:ind w:left="720" w:hanging="720"/>
        <w:jc w:val="both"/>
        <w:rPr>
          <w:rtl/>
        </w:rPr>
      </w:pPr>
      <w:r>
        <w:rPr>
          <w:rFonts w:hint="cs"/>
          <w:rtl/>
        </w:rPr>
        <w:tab/>
        <w:t>כן ראו את דברי בית המשפט ב</w:t>
      </w:r>
      <w:hyperlink r:id="rId23" w:history="1">
        <w:r w:rsidR="0098242D" w:rsidRPr="0098242D">
          <w:rPr>
            <w:color w:val="0000FF"/>
            <w:u w:val="single"/>
            <w:rtl/>
          </w:rPr>
          <w:t>ע"פ 3820/09</w:t>
        </w:r>
      </w:hyperlink>
      <w:r>
        <w:rPr>
          <w:rFonts w:hint="cs"/>
          <w:rtl/>
        </w:rPr>
        <w:t xml:space="preserve"> </w:t>
      </w:r>
      <w:r>
        <w:rPr>
          <w:rFonts w:hint="cs"/>
          <w:b/>
          <w:bCs/>
          <w:rtl/>
        </w:rPr>
        <w:t>מדינת ישראל נ' חיים אוחיון</w:t>
      </w:r>
      <w:r>
        <w:rPr>
          <w:rFonts w:hint="cs"/>
          <w:rtl/>
        </w:rPr>
        <w:t xml:space="preserve"> (6.9.2009) (להלן: "</w:t>
      </w:r>
      <w:r>
        <w:rPr>
          <w:rFonts w:hint="cs"/>
          <w:b/>
          <w:bCs/>
          <w:rtl/>
        </w:rPr>
        <w:t>עניין אוחיון</w:t>
      </w:r>
      <w:r>
        <w:rPr>
          <w:rFonts w:hint="cs"/>
          <w:rtl/>
        </w:rPr>
        <w:t>"):</w:t>
      </w:r>
    </w:p>
    <w:p w14:paraId="5477BF0A" w14:textId="77777777" w:rsidR="00E84F49" w:rsidRPr="00B37BB4" w:rsidRDefault="00E84F49" w:rsidP="00E84F49">
      <w:pPr>
        <w:pStyle w:val="2"/>
        <w:spacing w:after="240"/>
        <w:ind w:left="1701"/>
        <w:rPr>
          <w:rtl/>
        </w:rPr>
      </w:pPr>
      <w:r>
        <w:rPr>
          <w:rFonts w:hint="cs"/>
          <w:rtl/>
        </w:rPr>
        <w:t xml:space="preserve">"מן המפורסמות היא שמערכת הפצת הסמים נסמכת ונשענת על שירותיהם של אנשים רבים הממלאים לפעמים תפקידים של שליח או של בלדר. ברור שללא עזרתם של אלה לא הייתה המערכת הזאת </w:t>
      </w:r>
      <w:r w:rsidRPr="00B37BB4">
        <w:rPr>
          <w:rFonts w:hint="cs"/>
          <w:rtl/>
        </w:rPr>
        <w:t xml:space="preserve">מסוגלת לגרום את הנזק שהיא גורמת [ראו למשל: </w:t>
      </w:r>
      <w:hyperlink r:id="rId24" w:history="1">
        <w:r w:rsidR="0098242D" w:rsidRPr="0098242D">
          <w:rPr>
            <w:rFonts w:hint="cs"/>
            <w:color w:val="0000FF"/>
            <w:u w:val="single"/>
            <w:rtl/>
          </w:rPr>
          <w:t>ע</w:t>
        </w:r>
        <w:r w:rsidR="0098242D" w:rsidRPr="0098242D">
          <w:rPr>
            <w:color w:val="0000FF"/>
            <w:u w:val="single"/>
            <w:rtl/>
          </w:rPr>
          <w:t>"</w:t>
        </w:r>
        <w:r w:rsidR="0098242D" w:rsidRPr="0098242D">
          <w:rPr>
            <w:rFonts w:hint="cs"/>
            <w:color w:val="0000FF"/>
            <w:u w:val="single"/>
            <w:rtl/>
          </w:rPr>
          <w:t>פ</w:t>
        </w:r>
        <w:r w:rsidR="0098242D" w:rsidRPr="0098242D">
          <w:rPr>
            <w:color w:val="0000FF"/>
            <w:u w:val="single"/>
            <w:rtl/>
          </w:rPr>
          <w:t xml:space="preserve"> 5735/92</w:t>
        </w:r>
      </w:hyperlink>
      <w:r w:rsidRPr="00B37BB4">
        <w:rPr>
          <w:rFonts w:hint="cs"/>
          <w:rtl/>
        </w:rPr>
        <w:t xml:space="preserve"> לוי נ' מדינת ישראל (לא פורסם, 26.5.1994)]. בית משפט זה הטעים כי בלדרות בענייני סמים היא פשע חמור [ראו למשל: </w:t>
      </w:r>
      <w:hyperlink r:id="rId25" w:history="1">
        <w:r w:rsidR="0098242D" w:rsidRPr="0098242D">
          <w:rPr>
            <w:rFonts w:hint="cs"/>
            <w:color w:val="0000FF"/>
            <w:u w:val="single"/>
            <w:rtl/>
          </w:rPr>
          <w:t>ע</w:t>
        </w:r>
        <w:r w:rsidR="0098242D" w:rsidRPr="0098242D">
          <w:rPr>
            <w:color w:val="0000FF"/>
            <w:u w:val="single"/>
            <w:rtl/>
          </w:rPr>
          <w:t>"</w:t>
        </w:r>
        <w:r w:rsidR="0098242D" w:rsidRPr="0098242D">
          <w:rPr>
            <w:rFonts w:hint="cs"/>
            <w:color w:val="0000FF"/>
            <w:u w:val="single"/>
            <w:rtl/>
          </w:rPr>
          <w:t>פ</w:t>
        </w:r>
        <w:r w:rsidR="0098242D" w:rsidRPr="0098242D">
          <w:rPr>
            <w:color w:val="0000FF"/>
            <w:u w:val="single"/>
            <w:rtl/>
          </w:rPr>
          <w:t xml:space="preserve"> 5800/90</w:t>
        </w:r>
      </w:hyperlink>
      <w:r w:rsidRPr="00B37BB4">
        <w:rPr>
          <w:rFonts w:hint="cs"/>
          <w:rtl/>
        </w:rPr>
        <w:t xml:space="preserve"> חורש נ' מדינת ישראל (לא פורסם, 18.12.1991)]. </w:t>
      </w:r>
    </w:p>
    <w:p w14:paraId="10E8CBC3" w14:textId="77777777" w:rsidR="00E84F49" w:rsidRPr="00B37BB4" w:rsidRDefault="00E84F49" w:rsidP="00E84F49">
      <w:pPr>
        <w:pStyle w:val="2"/>
        <w:spacing w:after="240"/>
        <w:ind w:left="1701"/>
      </w:pPr>
      <w:r w:rsidRPr="00B37BB4">
        <w:rPr>
          <w:rFonts w:hint="cs"/>
          <w:rtl/>
        </w:rPr>
        <w:t xml:space="preserve">לכן, צדקה המערערת בטענתה כי ככל שחשוב לפגוע ישירות בספקי הסם לא פחות חשוב מכך להרתיע את העברתו על ידי בלדרים "תמימים". כבר נקבע על ידי בית משפט זה כי ככל שיוחמרו העונשים על בלדרים אלו, כך יש סיכוי שתפחת להיטותם להיענות לאותן הצעות [ראו למשל: </w:t>
      </w:r>
      <w:hyperlink r:id="rId26" w:history="1">
        <w:r w:rsidR="0098242D" w:rsidRPr="0098242D">
          <w:rPr>
            <w:rFonts w:hint="cs"/>
            <w:color w:val="0000FF"/>
            <w:u w:val="single"/>
            <w:rtl/>
          </w:rPr>
          <w:t>ע</w:t>
        </w:r>
        <w:r w:rsidR="0098242D" w:rsidRPr="0098242D">
          <w:rPr>
            <w:color w:val="0000FF"/>
            <w:u w:val="single"/>
            <w:rtl/>
          </w:rPr>
          <w:t>"</w:t>
        </w:r>
        <w:r w:rsidR="0098242D" w:rsidRPr="0098242D">
          <w:rPr>
            <w:rFonts w:hint="cs"/>
            <w:color w:val="0000FF"/>
            <w:u w:val="single"/>
            <w:rtl/>
          </w:rPr>
          <w:t>פ</w:t>
        </w:r>
        <w:r w:rsidR="0098242D" w:rsidRPr="0098242D">
          <w:rPr>
            <w:color w:val="0000FF"/>
            <w:u w:val="single"/>
            <w:rtl/>
          </w:rPr>
          <w:t xml:space="preserve"> 226/89</w:t>
        </w:r>
      </w:hyperlink>
      <w:r w:rsidRPr="00B37BB4">
        <w:rPr>
          <w:rFonts w:hint="cs"/>
          <w:rtl/>
        </w:rPr>
        <w:t xml:space="preserve"> זפה נ' מדינת ישראל (לא פורסם, 15.3.1990); פסק דינה של כבוד השופטת ט' שטרסברג-כהן ב</w:t>
      </w:r>
      <w:hyperlink r:id="rId27" w:history="1">
        <w:r w:rsidR="0098242D" w:rsidRPr="0098242D">
          <w:rPr>
            <w:rFonts w:hint="cs"/>
            <w:color w:val="0000FF"/>
            <w:u w:val="single"/>
            <w:rtl/>
          </w:rPr>
          <w:t>ע</w:t>
        </w:r>
        <w:r w:rsidR="0098242D" w:rsidRPr="0098242D">
          <w:rPr>
            <w:color w:val="0000FF"/>
            <w:u w:val="single"/>
            <w:rtl/>
          </w:rPr>
          <w:t>"</w:t>
        </w:r>
        <w:r w:rsidR="0098242D" w:rsidRPr="0098242D">
          <w:rPr>
            <w:rFonts w:hint="cs"/>
            <w:color w:val="0000FF"/>
            <w:u w:val="single"/>
            <w:rtl/>
          </w:rPr>
          <w:t>פ</w:t>
        </w:r>
        <w:r w:rsidR="0098242D" w:rsidRPr="0098242D">
          <w:rPr>
            <w:color w:val="0000FF"/>
            <w:u w:val="single"/>
            <w:rtl/>
          </w:rPr>
          <w:t xml:space="preserve"> 3920/00 </w:t>
        </w:r>
        <w:r w:rsidR="0098242D" w:rsidRPr="0098242D">
          <w:rPr>
            <w:rFonts w:hint="cs"/>
            <w:color w:val="0000FF"/>
            <w:u w:val="single"/>
            <w:rtl/>
          </w:rPr>
          <w:t>פלונית</w:t>
        </w:r>
        <w:r w:rsidR="0098242D" w:rsidRPr="0098242D">
          <w:rPr>
            <w:color w:val="0000FF"/>
            <w:u w:val="single"/>
            <w:rtl/>
          </w:rPr>
          <w:t xml:space="preserve"> </w:t>
        </w:r>
        <w:r w:rsidR="0098242D" w:rsidRPr="0098242D">
          <w:rPr>
            <w:rFonts w:hint="cs"/>
            <w:color w:val="0000FF"/>
            <w:u w:val="single"/>
            <w:rtl/>
          </w:rPr>
          <w:t>נ</w:t>
        </w:r>
        <w:r w:rsidR="0098242D" w:rsidRPr="0098242D">
          <w:rPr>
            <w:color w:val="0000FF"/>
            <w:u w:val="single"/>
            <w:rtl/>
          </w:rPr>
          <w:t xml:space="preserve">' </w:t>
        </w:r>
        <w:r w:rsidR="0098242D" w:rsidRPr="0098242D">
          <w:rPr>
            <w:rFonts w:hint="cs"/>
            <w:color w:val="0000FF"/>
            <w:u w:val="single"/>
            <w:rtl/>
          </w:rPr>
          <w:t>מדינת</w:t>
        </w:r>
        <w:r w:rsidR="0098242D" w:rsidRPr="0098242D">
          <w:rPr>
            <w:color w:val="0000FF"/>
            <w:u w:val="single"/>
            <w:rtl/>
          </w:rPr>
          <w:t xml:space="preserve"> </w:t>
        </w:r>
        <w:r w:rsidR="0098242D" w:rsidRPr="0098242D">
          <w:rPr>
            <w:rFonts w:hint="cs"/>
            <w:color w:val="0000FF"/>
            <w:u w:val="single"/>
            <w:rtl/>
          </w:rPr>
          <w:t>ישראל</w:t>
        </w:r>
        <w:r w:rsidR="0098242D" w:rsidRPr="0098242D">
          <w:rPr>
            <w:color w:val="0000FF"/>
            <w:u w:val="single"/>
            <w:rtl/>
          </w:rPr>
          <w:t xml:space="preserve">, </w:t>
        </w:r>
        <w:r w:rsidR="0098242D" w:rsidRPr="0098242D">
          <w:rPr>
            <w:rFonts w:hint="cs"/>
            <w:color w:val="0000FF"/>
            <w:u w:val="single"/>
            <w:rtl/>
          </w:rPr>
          <w:t>פ</w:t>
        </w:r>
        <w:r w:rsidR="0098242D" w:rsidRPr="0098242D">
          <w:rPr>
            <w:color w:val="0000FF"/>
            <w:u w:val="single"/>
            <w:rtl/>
          </w:rPr>
          <w:t>"</w:t>
        </w:r>
        <w:r w:rsidR="0098242D" w:rsidRPr="0098242D">
          <w:rPr>
            <w:rFonts w:hint="cs"/>
            <w:color w:val="0000FF"/>
            <w:u w:val="single"/>
            <w:rtl/>
          </w:rPr>
          <w:t>ד</w:t>
        </w:r>
        <w:r w:rsidR="0098242D" w:rsidRPr="0098242D">
          <w:rPr>
            <w:color w:val="0000FF"/>
            <w:u w:val="single"/>
            <w:rtl/>
          </w:rPr>
          <w:t xml:space="preserve"> </w:t>
        </w:r>
        <w:r w:rsidR="0098242D" w:rsidRPr="0098242D">
          <w:rPr>
            <w:rFonts w:hint="cs"/>
            <w:color w:val="0000FF"/>
            <w:u w:val="single"/>
            <w:rtl/>
          </w:rPr>
          <w:t>נז</w:t>
        </w:r>
      </w:hyperlink>
      <w:r w:rsidRPr="00B37BB4">
        <w:rPr>
          <w:rFonts w:hint="cs"/>
          <w:rtl/>
        </w:rPr>
        <w:t xml:space="preserve">(2) 1, 19 (2003) סעיף 19]. בית משפט זה חזר והדגיש כי על מנת לשבור את שרשרת הפצתו של הסם יש לטפל ביד נוקשה גם בבלדרי הסמים שמאפשרים את העברתו של הסם מבעליו לציבור ובכך מסבים נזק רב לחברה [ראו למשל: </w:t>
      </w:r>
      <w:hyperlink r:id="rId28" w:history="1">
        <w:r w:rsidR="0098242D" w:rsidRPr="0098242D">
          <w:rPr>
            <w:rFonts w:hint="cs"/>
            <w:color w:val="0000FF"/>
            <w:u w:val="single"/>
            <w:rtl/>
          </w:rPr>
          <w:t>ע</w:t>
        </w:r>
        <w:r w:rsidR="0098242D" w:rsidRPr="0098242D">
          <w:rPr>
            <w:color w:val="0000FF"/>
            <w:u w:val="single"/>
            <w:rtl/>
          </w:rPr>
          <w:t>"</w:t>
        </w:r>
        <w:r w:rsidR="0098242D" w:rsidRPr="0098242D">
          <w:rPr>
            <w:rFonts w:hint="cs"/>
            <w:color w:val="0000FF"/>
            <w:u w:val="single"/>
            <w:rtl/>
          </w:rPr>
          <w:t>פ</w:t>
        </w:r>
        <w:r w:rsidR="0098242D" w:rsidRPr="0098242D">
          <w:rPr>
            <w:color w:val="0000FF"/>
            <w:u w:val="single"/>
            <w:rtl/>
          </w:rPr>
          <w:t xml:space="preserve"> 2648/92</w:t>
        </w:r>
      </w:hyperlink>
      <w:r w:rsidRPr="00B37BB4">
        <w:rPr>
          <w:rFonts w:hint="cs"/>
          <w:rtl/>
        </w:rPr>
        <w:t xml:space="preserve"> סלאמה נ' מדינת ישראל (לא פורסם, 9.3.1993); </w:t>
      </w:r>
      <w:hyperlink r:id="rId29" w:history="1">
        <w:r w:rsidR="0098242D" w:rsidRPr="0098242D">
          <w:rPr>
            <w:rFonts w:hint="cs"/>
            <w:color w:val="0000FF"/>
            <w:u w:val="single"/>
            <w:rtl/>
          </w:rPr>
          <w:t>ע</w:t>
        </w:r>
        <w:r w:rsidR="0098242D" w:rsidRPr="0098242D">
          <w:rPr>
            <w:color w:val="0000FF"/>
            <w:u w:val="single"/>
            <w:rtl/>
          </w:rPr>
          <w:t>"</w:t>
        </w:r>
        <w:r w:rsidR="0098242D" w:rsidRPr="0098242D">
          <w:rPr>
            <w:rFonts w:hint="cs"/>
            <w:color w:val="0000FF"/>
            <w:u w:val="single"/>
            <w:rtl/>
          </w:rPr>
          <w:t>פ</w:t>
        </w:r>
        <w:r w:rsidR="0098242D" w:rsidRPr="0098242D">
          <w:rPr>
            <w:color w:val="0000FF"/>
            <w:u w:val="single"/>
            <w:rtl/>
          </w:rPr>
          <w:t xml:space="preserve"> 5265/95</w:t>
        </w:r>
      </w:hyperlink>
      <w:r w:rsidRPr="00B37BB4">
        <w:rPr>
          <w:rFonts w:hint="cs"/>
          <w:rtl/>
        </w:rPr>
        <w:t xml:space="preserve"> מנשה נ' מדינת ישראל (לא פורסם, 23.1.1996); </w:t>
      </w:r>
      <w:hyperlink r:id="rId30" w:history="1">
        <w:r w:rsidR="0098242D" w:rsidRPr="0098242D">
          <w:rPr>
            <w:rFonts w:hint="cs"/>
            <w:color w:val="0000FF"/>
            <w:u w:val="single"/>
            <w:rtl/>
          </w:rPr>
          <w:t>ע</w:t>
        </w:r>
        <w:r w:rsidR="0098242D" w:rsidRPr="0098242D">
          <w:rPr>
            <w:color w:val="0000FF"/>
            <w:u w:val="single"/>
            <w:rtl/>
          </w:rPr>
          <w:t>"</w:t>
        </w:r>
        <w:r w:rsidR="0098242D" w:rsidRPr="0098242D">
          <w:rPr>
            <w:rFonts w:hint="cs"/>
            <w:color w:val="0000FF"/>
            <w:u w:val="single"/>
            <w:rtl/>
          </w:rPr>
          <w:t>פ</w:t>
        </w:r>
        <w:r w:rsidR="0098242D" w:rsidRPr="0098242D">
          <w:rPr>
            <w:color w:val="0000FF"/>
            <w:u w:val="single"/>
            <w:rtl/>
          </w:rPr>
          <w:t xml:space="preserve"> 6029/03 </w:t>
        </w:r>
        <w:r w:rsidR="0098242D" w:rsidRPr="0098242D">
          <w:rPr>
            <w:rFonts w:hint="cs"/>
            <w:color w:val="0000FF"/>
            <w:u w:val="single"/>
            <w:rtl/>
          </w:rPr>
          <w:t>מדינת</w:t>
        </w:r>
        <w:r w:rsidR="0098242D" w:rsidRPr="0098242D">
          <w:rPr>
            <w:color w:val="0000FF"/>
            <w:u w:val="single"/>
            <w:rtl/>
          </w:rPr>
          <w:t xml:space="preserve"> </w:t>
        </w:r>
        <w:r w:rsidR="0098242D" w:rsidRPr="0098242D">
          <w:rPr>
            <w:rFonts w:hint="cs"/>
            <w:color w:val="0000FF"/>
            <w:u w:val="single"/>
            <w:rtl/>
          </w:rPr>
          <w:t>ישראל</w:t>
        </w:r>
        <w:r w:rsidR="0098242D" w:rsidRPr="0098242D">
          <w:rPr>
            <w:color w:val="0000FF"/>
            <w:u w:val="single"/>
            <w:rtl/>
          </w:rPr>
          <w:t xml:space="preserve"> </w:t>
        </w:r>
        <w:r w:rsidR="0098242D" w:rsidRPr="0098242D">
          <w:rPr>
            <w:rFonts w:hint="cs"/>
            <w:color w:val="0000FF"/>
            <w:u w:val="single"/>
            <w:rtl/>
          </w:rPr>
          <w:t>נ</w:t>
        </w:r>
        <w:r w:rsidR="0098242D" w:rsidRPr="0098242D">
          <w:rPr>
            <w:color w:val="0000FF"/>
            <w:u w:val="single"/>
            <w:rtl/>
          </w:rPr>
          <w:t xml:space="preserve">' </w:t>
        </w:r>
        <w:r w:rsidR="0098242D" w:rsidRPr="0098242D">
          <w:rPr>
            <w:rFonts w:hint="cs"/>
            <w:color w:val="0000FF"/>
            <w:u w:val="single"/>
            <w:rtl/>
          </w:rPr>
          <w:t>שמאי</w:t>
        </w:r>
        <w:r w:rsidR="0098242D" w:rsidRPr="0098242D">
          <w:rPr>
            <w:color w:val="0000FF"/>
            <w:u w:val="single"/>
            <w:rtl/>
          </w:rPr>
          <w:t xml:space="preserve">, </w:t>
        </w:r>
        <w:r w:rsidR="0098242D" w:rsidRPr="0098242D">
          <w:rPr>
            <w:rFonts w:hint="cs"/>
            <w:color w:val="0000FF"/>
            <w:u w:val="single"/>
            <w:rtl/>
          </w:rPr>
          <w:t>פ</w:t>
        </w:r>
        <w:r w:rsidR="0098242D" w:rsidRPr="0098242D">
          <w:rPr>
            <w:color w:val="0000FF"/>
            <w:u w:val="single"/>
            <w:rtl/>
          </w:rPr>
          <w:t>"</w:t>
        </w:r>
        <w:r w:rsidR="0098242D" w:rsidRPr="0098242D">
          <w:rPr>
            <w:rFonts w:hint="cs"/>
            <w:color w:val="0000FF"/>
            <w:u w:val="single"/>
            <w:rtl/>
          </w:rPr>
          <w:t>ד</w:t>
        </w:r>
        <w:r w:rsidR="0098242D" w:rsidRPr="0098242D">
          <w:rPr>
            <w:color w:val="0000FF"/>
            <w:u w:val="single"/>
            <w:rtl/>
          </w:rPr>
          <w:t xml:space="preserve"> </w:t>
        </w:r>
        <w:r w:rsidR="0098242D" w:rsidRPr="0098242D">
          <w:rPr>
            <w:rFonts w:hint="cs"/>
            <w:color w:val="0000FF"/>
            <w:u w:val="single"/>
            <w:rtl/>
          </w:rPr>
          <w:t>נח</w:t>
        </w:r>
      </w:hyperlink>
      <w:r w:rsidRPr="00B37BB4">
        <w:rPr>
          <w:rFonts w:hint="cs"/>
          <w:rtl/>
        </w:rPr>
        <w:t xml:space="preserve">(2) 734, 740-741 (2004)]. כמו כן נקבע כי בסוג זה של עבירות יש להעניש בחומרה ראויה גם שליחים ובלדרים, שכן "מערכת הפצת הסמים נסמכת ונשענת, במידה רבה, על שירותיהם של בעלי תפקידים (כביכול "משניים") כאלה" [ראו: </w:t>
      </w:r>
      <w:hyperlink r:id="rId31" w:history="1">
        <w:r w:rsidR="0098242D" w:rsidRPr="0098242D">
          <w:rPr>
            <w:rFonts w:hint="cs"/>
            <w:color w:val="0000FF"/>
            <w:u w:val="single"/>
            <w:rtl/>
          </w:rPr>
          <w:t>ע</w:t>
        </w:r>
        <w:r w:rsidR="0098242D" w:rsidRPr="0098242D">
          <w:rPr>
            <w:color w:val="0000FF"/>
            <w:u w:val="single"/>
            <w:rtl/>
          </w:rPr>
          <w:t>"</w:t>
        </w:r>
        <w:r w:rsidR="0098242D" w:rsidRPr="0098242D">
          <w:rPr>
            <w:rFonts w:hint="cs"/>
            <w:color w:val="0000FF"/>
            <w:u w:val="single"/>
            <w:rtl/>
          </w:rPr>
          <w:t>פ</w:t>
        </w:r>
        <w:r w:rsidR="0098242D" w:rsidRPr="0098242D">
          <w:rPr>
            <w:color w:val="0000FF"/>
            <w:u w:val="single"/>
            <w:rtl/>
          </w:rPr>
          <w:t xml:space="preserve"> 1674/96 </w:t>
        </w:r>
        <w:r w:rsidR="0098242D" w:rsidRPr="0098242D">
          <w:rPr>
            <w:rFonts w:hint="cs"/>
            <w:color w:val="0000FF"/>
            <w:u w:val="single"/>
            <w:rtl/>
          </w:rPr>
          <w:t>קנטו</w:t>
        </w:r>
        <w:r w:rsidR="0098242D" w:rsidRPr="0098242D">
          <w:rPr>
            <w:color w:val="0000FF"/>
            <w:u w:val="single"/>
            <w:rtl/>
          </w:rPr>
          <w:t xml:space="preserve"> </w:t>
        </w:r>
        <w:r w:rsidR="0098242D" w:rsidRPr="0098242D">
          <w:rPr>
            <w:rFonts w:hint="cs"/>
            <w:color w:val="0000FF"/>
            <w:u w:val="single"/>
            <w:rtl/>
          </w:rPr>
          <w:t>נ</w:t>
        </w:r>
        <w:r w:rsidR="0098242D" w:rsidRPr="0098242D">
          <w:rPr>
            <w:color w:val="0000FF"/>
            <w:u w:val="single"/>
            <w:rtl/>
          </w:rPr>
          <w:t xml:space="preserve">' </w:t>
        </w:r>
        <w:r w:rsidR="0098242D" w:rsidRPr="0098242D">
          <w:rPr>
            <w:rFonts w:hint="cs"/>
            <w:color w:val="0000FF"/>
            <w:u w:val="single"/>
            <w:rtl/>
          </w:rPr>
          <w:t>מדינת</w:t>
        </w:r>
        <w:r w:rsidR="0098242D" w:rsidRPr="0098242D">
          <w:rPr>
            <w:color w:val="0000FF"/>
            <w:u w:val="single"/>
            <w:rtl/>
          </w:rPr>
          <w:t xml:space="preserve"> </w:t>
        </w:r>
        <w:r w:rsidR="0098242D" w:rsidRPr="0098242D">
          <w:rPr>
            <w:rFonts w:hint="cs"/>
            <w:color w:val="0000FF"/>
            <w:u w:val="single"/>
            <w:rtl/>
          </w:rPr>
          <w:t>ישראל</w:t>
        </w:r>
        <w:r w:rsidR="0098242D" w:rsidRPr="0098242D">
          <w:rPr>
            <w:color w:val="0000FF"/>
            <w:u w:val="single"/>
            <w:rtl/>
          </w:rPr>
          <w:t xml:space="preserve">, </w:t>
        </w:r>
        <w:r w:rsidR="0098242D" w:rsidRPr="0098242D">
          <w:rPr>
            <w:rFonts w:hint="cs"/>
            <w:color w:val="0000FF"/>
            <w:u w:val="single"/>
            <w:rtl/>
          </w:rPr>
          <w:t>פ</w:t>
        </w:r>
        <w:r w:rsidR="0098242D" w:rsidRPr="0098242D">
          <w:rPr>
            <w:color w:val="0000FF"/>
            <w:u w:val="single"/>
            <w:rtl/>
          </w:rPr>
          <w:t>"</w:t>
        </w:r>
        <w:r w:rsidR="0098242D" w:rsidRPr="0098242D">
          <w:rPr>
            <w:rFonts w:hint="cs"/>
            <w:color w:val="0000FF"/>
            <w:u w:val="single"/>
            <w:rtl/>
          </w:rPr>
          <w:t>ד</w:t>
        </w:r>
        <w:r w:rsidR="0098242D" w:rsidRPr="0098242D">
          <w:rPr>
            <w:color w:val="0000FF"/>
            <w:u w:val="single"/>
            <w:rtl/>
          </w:rPr>
          <w:t xml:space="preserve"> </w:t>
        </w:r>
        <w:r w:rsidR="0098242D" w:rsidRPr="0098242D">
          <w:rPr>
            <w:rFonts w:hint="cs"/>
            <w:color w:val="0000FF"/>
            <w:u w:val="single"/>
            <w:rtl/>
          </w:rPr>
          <w:t>נ</w:t>
        </w:r>
      </w:hyperlink>
      <w:r w:rsidRPr="00B37BB4">
        <w:rPr>
          <w:rFonts w:hint="cs"/>
          <w:rtl/>
        </w:rPr>
        <w:t xml:space="preserve">(3) 722, 725 (1996) סעיף 5]". </w:t>
      </w:r>
    </w:p>
    <w:p w14:paraId="4DDDA53F" w14:textId="77777777" w:rsidR="00E84F49" w:rsidRDefault="00E84F49" w:rsidP="00E84F49">
      <w:pPr>
        <w:spacing w:after="240" w:line="360" w:lineRule="auto"/>
        <w:ind w:left="720" w:hanging="720"/>
        <w:jc w:val="both"/>
        <w:rPr>
          <w:rtl/>
        </w:rPr>
      </w:pPr>
      <w:r w:rsidRPr="00B37BB4">
        <w:rPr>
          <w:rFonts w:hint="cs"/>
          <w:rtl/>
        </w:rPr>
        <w:tab/>
      </w:r>
      <w:r w:rsidRPr="00B37BB4">
        <w:rPr>
          <w:rFonts w:hint="cs"/>
          <w:rtl/>
        </w:rPr>
        <w:tab/>
        <w:t xml:space="preserve">וראו גם </w:t>
      </w:r>
      <w:hyperlink r:id="rId32" w:history="1">
        <w:r w:rsidR="0098242D" w:rsidRPr="0098242D">
          <w:rPr>
            <w:color w:val="0000FF"/>
            <w:u w:val="single"/>
            <w:rtl/>
          </w:rPr>
          <w:t>ע"פ 211/09</w:t>
        </w:r>
      </w:hyperlink>
      <w:r w:rsidRPr="00B37BB4">
        <w:rPr>
          <w:rFonts w:hint="cs"/>
          <w:rtl/>
        </w:rPr>
        <w:t xml:space="preserve"> </w:t>
      </w:r>
      <w:r w:rsidRPr="00B37BB4">
        <w:rPr>
          <w:rFonts w:hint="cs"/>
          <w:b/>
          <w:bCs/>
          <w:rtl/>
        </w:rPr>
        <w:t>אזולאי נ' מדינת ישראל</w:t>
      </w:r>
      <w:r w:rsidRPr="00B37BB4">
        <w:rPr>
          <w:rFonts w:hint="cs"/>
          <w:rtl/>
        </w:rPr>
        <w:t xml:space="preserve"> (22.6.2010). </w:t>
      </w:r>
    </w:p>
    <w:p w14:paraId="4B193E93" w14:textId="77777777" w:rsidR="00E84F49" w:rsidRPr="00B37BB4" w:rsidRDefault="00E84F49" w:rsidP="00E84F49">
      <w:pPr>
        <w:spacing w:after="240" w:line="360" w:lineRule="auto"/>
        <w:ind w:left="720" w:hanging="720"/>
        <w:jc w:val="both"/>
        <w:rPr>
          <w:rtl/>
        </w:rPr>
      </w:pPr>
    </w:p>
    <w:p w14:paraId="22825B54" w14:textId="77777777" w:rsidR="00E84F49" w:rsidRDefault="00E84F49" w:rsidP="00E84F49">
      <w:pPr>
        <w:spacing w:after="240" w:line="360" w:lineRule="auto"/>
        <w:ind w:left="720" w:hanging="720"/>
        <w:jc w:val="both"/>
        <w:rPr>
          <w:rtl/>
        </w:rPr>
      </w:pPr>
      <w:r w:rsidRPr="00B37BB4">
        <w:rPr>
          <w:rFonts w:hint="cs"/>
          <w:rtl/>
        </w:rPr>
        <w:t>20.</w:t>
      </w:r>
      <w:r w:rsidRPr="00B37BB4">
        <w:rPr>
          <w:rFonts w:hint="cs"/>
          <w:rtl/>
        </w:rPr>
        <w:tab/>
      </w:r>
      <w:r>
        <w:rPr>
          <w:rFonts w:hint="cs"/>
          <w:rtl/>
        </w:rPr>
        <w:t xml:space="preserve">בענייננו מדובר בסמים קשים ביותר מסוג הרואין וקוקאין, במשקל 73.52 גרם. מדובר בכמות רבה שהפצתה עלולה הייתה להסב נזק קשה. נתון חמור זה צריך להילקח בחשבון בעת קביעת מתחם העונש. עוד ראיתי להביא בחשבון בנסיבות הקשורות בביצוע העבירה גם את העובדה שהסמים נתפסו כשהם מחולקים לאריזות ולמנות רבות, מוכנים לחלוקה ולשימוש, ודומה כי הם היו כפסע טרם הפצה לציבור. בהקשר זה אוסיף כי לא ראיתי לייחס משקל רב לעובדה שטביעות אצבעותיו של הנאשם לא נמצאו על גבי אריזות הסמים, שעה שאין חולק כי החזיק בהן ביודעין. </w:t>
      </w:r>
    </w:p>
    <w:p w14:paraId="7DF67BC1" w14:textId="77777777" w:rsidR="00E84F49" w:rsidRDefault="00E84F49" w:rsidP="00E84F49">
      <w:pPr>
        <w:spacing w:after="240" w:line="360" w:lineRule="auto"/>
        <w:ind w:left="720" w:hanging="720"/>
        <w:jc w:val="both"/>
        <w:rPr>
          <w:rtl/>
        </w:rPr>
      </w:pPr>
      <w:r>
        <w:rPr>
          <w:rFonts w:hint="cs"/>
          <w:rtl/>
        </w:rPr>
        <w:t>21.</w:t>
      </w:r>
      <w:r>
        <w:rPr>
          <w:rFonts w:hint="cs"/>
          <w:rtl/>
        </w:rPr>
        <w:tab/>
      </w:r>
      <w:r w:rsidRPr="00B37BB4">
        <w:rPr>
          <w:rFonts w:hint="cs"/>
          <w:u w:val="single"/>
          <w:rtl/>
        </w:rPr>
        <w:t>אשר למדיניות הענישה הנוהגת. ב</w:t>
      </w:r>
      <w:hyperlink r:id="rId33" w:history="1">
        <w:r w:rsidR="0098242D" w:rsidRPr="0098242D">
          <w:rPr>
            <w:color w:val="0000FF"/>
            <w:u w:val="single"/>
            <w:rtl/>
          </w:rPr>
          <w:t>ע"פ 4592/15</w:t>
        </w:r>
      </w:hyperlink>
      <w:r w:rsidRPr="00B37BB4">
        <w:rPr>
          <w:rFonts w:hint="cs"/>
          <w:u w:val="single"/>
          <w:rtl/>
        </w:rPr>
        <w:t xml:space="preserve"> </w:t>
      </w:r>
      <w:r w:rsidRPr="00B37BB4">
        <w:rPr>
          <w:rFonts w:hint="cs"/>
          <w:b/>
          <w:bCs/>
          <w:u w:val="single"/>
          <w:rtl/>
        </w:rPr>
        <w:t>פדידה נ' מדינת ישראל</w:t>
      </w:r>
      <w:r w:rsidRPr="00B37BB4">
        <w:rPr>
          <w:rFonts w:hint="cs"/>
          <w:u w:val="single"/>
          <w:rtl/>
        </w:rPr>
        <w:t xml:space="preserve"> (8.2.2016) סקר בית </w:t>
      </w:r>
      <w:r>
        <w:rPr>
          <w:rFonts w:hint="cs"/>
          <w:rtl/>
        </w:rPr>
        <w:t>המשפט פסקי דין בנסיבות דומות, והתייחס לטווח הענישה המקובל, במקרים של החזקת סמים מסוג הרואין וקוקאין בכמות של עשרות גרמים, כך:</w:t>
      </w:r>
    </w:p>
    <w:p w14:paraId="73F69DEF" w14:textId="77777777" w:rsidR="00E84F49" w:rsidRPr="00B37BB4" w:rsidRDefault="00E84F49" w:rsidP="00E84F49">
      <w:pPr>
        <w:pStyle w:val="2"/>
        <w:spacing w:after="240"/>
        <w:ind w:left="1701"/>
        <w:rPr>
          <w:rtl/>
        </w:rPr>
      </w:pPr>
      <w:r>
        <w:rPr>
          <w:rFonts w:hint="cs"/>
          <w:rtl/>
        </w:rPr>
        <w:t xml:space="preserve">"מסקירת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w:t>
      </w:r>
      <w:r w:rsidRPr="00B37BB4">
        <w:rPr>
          <w:rFonts w:hint="cs"/>
          <w:rtl/>
        </w:rPr>
        <w:t xml:space="preserve">הענישה </w:t>
      </w:r>
      <w:r w:rsidRPr="00B37BB4">
        <w:rPr>
          <w:rFonts w:hint="cs"/>
          <w:b/>
          <w:bCs/>
          <w:rtl/>
        </w:rPr>
        <w:t>בין שלוש לחמש שנות מאסר</w:t>
      </w:r>
      <w:r w:rsidRPr="00B37BB4">
        <w:rPr>
          <w:rFonts w:hint="cs"/>
          <w:rtl/>
        </w:rPr>
        <w:t xml:space="preserve"> (</w:t>
      </w:r>
      <w:hyperlink r:id="rId34" w:history="1">
        <w:r w:rsidR="0098242D" w:rsidRPr="0098242D">
          <w:rPr>
            <w:rFonts w:hint="cs"/>
            <w:color w:val="0000FF"/>
            <w:u w:val="single"/>
            <w:rtl/>
          </w:rPr>
          <w:t>ע</w:t>
        </w:r>
        <w:r w:rsidR="0098242D" w:rsidRPr="0098242D">
          <w:rPr>
            <w:color w:val="0000FF"/>
            <w:u w:val="single"/>
            <w:rtl/>
          </w:rPr>
          <w:t>"</w:t>
        </w:r>
        <w:r w:rsidR="0098242D" w:rsidRPr="0098242D">
          <w:rPr>
            <w:rFonts w:hint="cs"/>
            <w:color w:val="0000FF"/>
            <w:u w:val="single"/>
            <w:rtl/>
          </w:rPr>
          <w:t>פ</w:t>
        </w:r>
        <w:r w:rsidR="0098242D" w:rsidRPr="0098242D">
          <w:rPr>
            <w:color w:val="0000FF"/>
            <w:u w:val="single"/>
            <w:rtl/>
          </w:rPr>
          <w:t xml:space="preserve"> 8820/14</w:t>
        </w:r>
      </w:hyperlink>
      <w:r w:rsidRPr="00B37BB4">
        <w:rPr>
          <w:rFonts w:hint="cs"/>
          <w:rtl/>
        </w:rPr>
        <w:t xml:space="preserve"> זהר שחר נ' מדינת ישראל [פורסם בנבו] (2015) בפסקה 12 וההפניות שם; </w:t>
      </w:r>
      <w:r w:rsidRPr="0098242D">
        <w:rPr>
          <w:rFonts w:hint="cs"/>
          <w:color w:val="000000"/>
          <w:rtl/>
        </w:rPr>
        <w:t>1313/14</w:t>
      </w:r>
      <w:r w:rsidRPr="00B37BB4">
        <w:rPr>
          <w:rFonts w:hint="cs"/>
          <w:rtl/>
        </w:rPr>
        <w:t xml:space="preserve"> גמאל בהתימי נ' מדינת ישראל (2015); עניין פיצו, בפסקה 14 וההפניות שם; </w:t>
      </w:r>
      <w:hyperlink r:id="rId35" w:history="1">
        <w:r w:rsidR="0098242D" w:rsidRPr="0098242D">
          <w:rPr>
            <w:rFonts w:hint="cs"/>
            <w:color w:val="0000FF"/>
            <w:u w:val="single"/>
            <w:rtl/>
          </w:rPr>
          <w:t>ע</w:t>
        </w:r>
        <w:r w:rsidR="0098242D" w:rsidRPr="0098242D">
          <w:rPr>
            <w:color w:val="0000FF"/>
            <w:u w:val="single"/>
            <w:rtl/>
          </w:rPr>
          <w:t>"</w:t>
        </w:r>
        <w:r w:rsidR="0098242D" w:rsidRPr="0098242D">
          <w:rPr>
            <w:rFonts w:hint="cs"/>
            <w:color w:val="0000FF"/>
            <w:u w:val="single"/>
            <w:rtl/>
          </w:rPr>
          <w:t>פ</w:t>
        </w:r>
        <w:r w:rsidR="0098242D" w:rsidRPr="0098242D">
          <w:rPr>
            <w:color w:val="0000FF"/>
            <w:u w:val="single"/>
            <w:rtl/>
          </w:rPr>
          <w:t xml:space="preserve"> 5374/12</w:t>
        </w:r>
      </w:hyperlink>
      <w:r w:rsidRPr="00B37BB4">
        <w:rPr>
          <w:rFonts w:hint="cs"/>
          <w:rtl/>
        </w:rPr>
        <w:t xml:space="preserve"> אברג'יל נ' מדינת ישראל (2013); </w:t>
      </w:r>
      <w:hyperlink r:id="rId36" w:history="1">
        <w:r w:rsidR="0098242D" w:rsidRPr="0098242D">
          <w:rPr>
            <w:rFonts w:hint="cs"/>
            <w:color w:val="0000FF"/>
            <w:u w:val="single"/>
            <w:rtl/>
          </w:rPr>
          <w:t>ע</w:t>
        </w:r>
        <w:r w:rsidR="0098242D" w:rsidRPr="0098242D">
          <w:rPr>
            <w:color w:val="0000FF"/>
            <w:u w:val="single"/>
            <w:rtl/>
          </w:rPr>
          <w:t>"</w:t>
        </w:r>
        <w:r w:rsidR="0098242D" w:rsidRPr="0098242D">
          <w:rPr>
            <w:rFonts w:hint="cs"/>
            <w:color w:val="0000FF"/>
            <w:u w:val="single"/>
            <w:rtl/>
          </w:rPr>
          <w:t>פ</w:t>
        </w:r>
        <w:r w:rsidR="0098242D" w:rsidRPr="0098242D">
          <w:rPr>
            <w:color w:val="0000FF"/>
            <w:u w:val="single"/>
            <w:rtl/>
          </w:rPr>
          <w:t xml:space="preserve"> 11469/05</w:t>
        </w:r>
      </w:hyperlink>
      <w:r w:rsidRPr="00B37BB4">
        <w:rPr>
          <w:rFonts w:hint="cs"/>
          <w:rtl/>
        </w:rPr>
        <w:t xml:space="preserve"> מדינת ישראל נ' עייש (2006); </w:t>
      </w:r>
      <w:r w:rsidRPr="0098242D">
        <w:rPr>
          <w:rFonts w:hint="cs"/>
          <w:color w:val="000000"/>
          <w:rtl/>
        </w:rPr>
        <w:t>5958/13</w:t>
      </w:r>
      <w:r w:rsidRPr="00B37BB4">
        <w:rPr>
          <w:rFonts w:hint="cs"/>
          <w:rtl/>
        </w:rPr>
        <w:t xml:space="preserve"> גיא שרגא סבג נ' מדינת ישראל (2014); </w:t>
      </w:r>
      <w:r w:rsidRPr="0098242D">
        <w:rPr>
          <w:rFonts w:hint="cs"/>
          <w:color w:val="000000"/>
          <w:rtl/>
        </w:rPr>
        <w:t>4203/14</w:t>
      </w:r>
      <w:r w:rsidRPr="00B37BB4">
        <w:rPr>
          <w:rFonts w:hint="cs"/>
          <w:rtl/>
        </w:rPr>
        <w:t xml:space="preserve"> אליהו כהן נ' מדינת ישראל (2015))". </w:t>
      </w:r>
    </w:p>
    <w:p w14:paraId="5715DFB8" w14:textId="77777777" w:rsidR="00E84F49" w:rsidRDefault="00E84F49" w:rsidP="00E84F49">
      <w:pPr>
        <w:spacing w:after="240" w:line="360" w:lineRule="auto"/>
        <w:ind w:left="720" w:hanging="720"/>
        <w:jc w:val="both"/>
        <w:rPr>
          <w:rtl/>
        </w:rPr>
      </w:pPr>
      <w:r w:rsidRPr="00B37BB4">
        <w:rPr>
          <w:rFonts w:hint="cs"/>
          <w:rtl/>
        </w:rPr>
        <w:t>22.</w:t>
      </w:r>
      <w:r w:rsidRPr="00B37BB4">
        <w:rPr>
          <w:rFonts w:hint="cs"/>
          <w:rtl/>
        </w:rPr>
        <w:tab/>
      </w:r>
      <w:r>
        <w:rPr>
          <w:rFonts w:hint="cs"/>
          <w:rtl/>
        </w:rPr>
        <w:t xml:space="preserve">הנה כי כן. מתחם העונש לו עותרת המאשימה – 3 עד 5 שנות מאסר – צוין במפורש על ידי בית המשפט העליון, כטווח הענישה הנהוג בפסיקה במקרים דומים, ודי בכך כדי לסתום את הגולל על טענת הסנגור כאילו למתחם האמור "אין אחיזה במציאות". דומה כי דווקא טענת ההגנה ביחס למדיניות הענישה הנהוגה, כאילו זו נעה בין 8 ל-18 חודשי מאסר בפועל בלבד, אין לה על מה שתסמוך. </w:t>
      </w:r>
    </w:p>
    <w:p w14:paraId="7D348675" w14:textId="77777777" w:rsidR="00E84F49" w:rsidRDefault="00E84F49" w:rsidP="00E84F49">
      <w:pPr>
        <w:spacing w:after="120" w:line="360" w:lineRule="auto"/>
        <w:ind w:left="720" w:hanging="720"/>
        <w:jc w:val="both"/>
        <w:rPr>
          <w:rtl/>
        </w:rPr>
      </w:pPr>
      <w:r>
        <w:rPr>
          <w:rFonts w:hint="cs"/>
          <w:rtl/>
        </w:rPr>
        <w:t>23.</w:t>
      </w:r>
      <w:r>
        <w:rPr>
          <w:rFonts w:hint="cs"/>
          <w:rtl/>
        </w:rPr>
        <w:tab/>
        <w:t xml:space="preserve">זאת ועוד: אף שלטענת ההגנה קיימים מקרים דומים אשר הסתיימו בלא הרשעה או במאסר על תנאי – הרי שהדברים נאמרו בעלמא, ללא כל הפניה לגזרי דין כאמור, ודומה כי לא בכדי. </w:t>
      </w:r>
    </w:p>
    <w:p w14:paraId="631736EE" w14:textId="77777777" w:rsidR="00E84F49" w:rsidRDefault="00E84F49" w:rsidP="00E84F49">
      <w:pPr>
        <w:spacing w:after="240" w:line="360" w:lineRule="auto"/>
        <w:ind w:left="720" w:hanging="720"/>
        <w:jc w:val="both"/>
        <w:rPr>
          <w:rtl/>
        </w:rPr>
      </w:pPr>
      <w:r>
        <w:rPr>
          <w:rFonts w:hint="cs"/>
          <w:rtl/>
        </w:rPr>
        <w:tab/>
        <w:t>לא זו אף זו: בשני המקרים אליהם הפנה הסנגור, ובהם נגזרו על נאשמים עונשי מאסר בפועל לריצוי בעבודות שירות (</w:t>
      </w:r>
      <w:hyperlink r:id="rId37" w:history="1">
        <w:r w:rsidR="0098242D" w:rsidRPr="0098242D">
          <w:rPr>
            <w:color w:val="0000FF"/>
            <w:u w:val="single"/>
            <w:rtl/>
          </w:rPr>
          <w:t>ת"פ (מחוזי ת"א) 6322-04-16</w:t>
        </w:r>
      </w:hyperlink>
      <w:r>
        <w:rPr>
          <w:rFonts w:hint="cs"/>
          <w:rtl/>
        </w:rPr>
        <w:t xml:space="preserve"> </w:t>
      </w:r>
      <w:r>
        <w:rPr>
          <w:rFonts w:hint="cs"/>
          <w:b/>
          <w:bCs/>
          <w:rtl/>
        </w:rPr>
        <w:t>מדינת ישראל נ' כהן</w:t>
      </w:r>
      <w:r>
        <w:rPr>
          <w:rFonts w:hint="cs"/>
          <w:rtl/>
        </w:rPr>
        <w:t xml:space="preserve"> (22.1.2018) ו-</w:t>
      </w:r>
      <w:hyperlink r:id="rId38" w:history="1">
        <w:r w:rsidR="0098242D" w:rsidRPr="0098242D">
          <w:rPr>
            <w:color w:val="0000FF"/>
            <w:u w:val="single"/>
            <w:rtl/>
          </w:rPr>
          <w:t>ת"פ (שלום רמ') 33848-05-14</w:t>
        </w:r>
      </w:hyperlink>
      <w:r>
        <w:rPr>
          <w:rFonts w:hint="cs"/>
          <w:rtl/>
        </w:rPr>
        <w:t xml:space="preserve"> </w:t>
      </w:r>
      <w:r>
        <w:rPr>
          <w:rFonts w:hint="cs"/>
          <w:b/>
          <w:bCs/>
          <w:rtl/>
        </w:rPr>
        <w:t>פרקליטות מחוז מרכז נ' עאמר</w:t>
      </w:r>
      <w:r>
        <w:rPr>
          <w:rFonts w:hint="cs"/>
          <w:rtl/>
        </w:rPr>
        <w:t xml:space="preserve"> (24.2.2016)), נקבע כי מתחם העונש ההולם עומד על 18-42 ו- 18-40 חודשי מאסר בפועל, בהתאמה. אין זאת אלא שהעונשים שנגזרו בסופו של יום, בשני המקרים האמורים, ניתנו תוך חריגה משמעותית לקולא ממתחם העונש, בשל הנסיבות הספציפיות של אותם מקרים, אשר אינן נוגעות לענייננו.</w:t>
      </w:r>
    </w:p>
    <w:p w14:paraId="0CA32F31" w14:textId="77777777" w:rsidR="00E84F49" w:rsidRPr="00E84F49" w:rsidRDefault="00E84F49" w:rsidP="00E84F49">
      <w:pPr>
        <w:spacing w:after="240" w:line="360" w:lineRule="auto"/>
        <w:ind w:left="720" w:hanging="720"/>
        <w:jc w:val="both"/>
        <w:rPr>
          <w:rFonts w:ascii="Calibri" w:eastAsia="Calibri" w:hAnsi="Calibri"/>
          <w:rtl/>
        </w:rPr>
      </w:pPr>
      <w:r>
        <w:rPr>
          <w:rFonts w:hint="cs"/>
          <w:rtl/>
        </w:rPr>
        <w:t>24.</w:t>
      </w:r>
      <w:r>
        <w:rPr>
          <w:rFonts w:hint="cs"/>
          <w:rtl/>
        </w:rPr>
        <w:tab/>
        <w:t>בהתחשב בנסיבות ביצוע העבירה בה הורשע הנאשם, לרבות סוגי הסמים והכמות הגדולה בה מדובר, ובהתחשב בפגיעה בערכים המוגנים ובמדיניות הענישה הנהוגה, אני קובע כי מתחם העונש הראוי במקרה זה נע בין שלוש לחמש שנות מאסר בפועל.</w:t>
      </w:r>
    </w:p>
    <w:p w14:paraId="6B561F66" w14:textId="77777777" w:rsidR="00E84F49" w:rsidRDefault="00E84F49" w:rsidP="00E84F49">
      <w:pPr>
        <w:spacing w:after="240" w:line="360" w:lineRule="auto"/>
        <w:jc w:val="both"/>
        <w:rPr>
          <w:rtl/>
        </w:rPr>
      </w:pPr>
      <w:r>
        <w:rPr>
          <w:rFonts w:hint="cs"/>
          <w:u w:val="single"/>
          <w:rtl/>
        </w:rPr>
        <w:t>גזירת העונש בתוך המתחם</w:t>
      </w:r>
    </w:p>
    <w:p w14:paraId="61FF7986" w14:textId="77777777" w:rsidR="00E84F49" w:rsidRPr="00B37BB4" w:rsidRDefault="00E84F49" w:rsidP="00E84F49">
      <w:pPr>
        <w:spacing w:after="240" w:line="360" w:lineRule="auto"/>
        <w:ind w:left="720" w:hanging="720"/>
        <w:jc w:val="both"/>
      </w:pPr>
      <w:r>
        <w:rPr>
          <w:rFonts w:hint="cs"/>
          <w:rtl/>
        </w:rPr>
        <w:t>25.</w:t>
      </w:r>
      <w:r>
        <w:rPr>
          <w:rFonts w:hint="cs"/>
          <w:rtl/>
        </w:rPr>
        <w:tab/>
        <w:t xml:space="preserve">בגזירת העונש בתוך המתחם, על בית המשפט להתחשב בנסיבות שאינן קשורות בביצוע </w:t>
      </w:r>
      <w:r w:rsidRPr="00B37BB4">
        <w:rPr>
          <w:rFonts w:hint="cs"/>
          <w:rtl/>
        </w:rPr>
        <w:t xml:space="preserve">העבירה, כמפורט </w:t>
      </w:r>
      <w:hyperlink r:id="rId39" w:history="1">
        <w:r w:rsidR="007B03EC" w:rsidRPr="007B03EC">
          <w:rPr>
            <w:color w:val="0000FF"/>
            <w:u w:val="single"/>
            <w:rtl/>
          </w:rPr>
          <w:t>בסעיף 40יא</w:t>
        </w:r>
      </w:hyperlink>
      <w:r w:rsidRPr="00B37BB4">
        <w:rPr>
          <w:rFonts w:hint="cs"/>
          <w:rtl/>
        </w:rPr>
        <w:t xml:space="preserve"> ל</w:t>
      </w:r>
      <w:hyperlink r:id="rId40" w:history="1">
        <w:r w:rsidR="0098242D" w:rsidRPr="0098242D">
          <w:rPr>
            <w:color w:val="0000FF"/>
            <w:u w:val="single"/>
            <w:rtl/>
          </w:rPr>
          <w:t>חוק העונשין</w:t>
        </w:r>
      </w:hyperlink>
      <w:r w:rsidRPr="00B37BB4">
        <w:rPr>
          <w:rFonts w:hint="cs"/>
          <w:rtl/>
        </w:rPr>
        <w:t xml:space="preserve">. עם זאת יצוין, כי לא אחת נקבע, שבעבירות </w:t>
      </w:r>
      <w:r>
        <w:rPr>
          <w:rFonts w:hint="cs"/>
          <w:rtl/>
        </w:rPr>
        <w:t xml:space="preserve">סמים יש ליתן משקל בכורה לשיקולים הציבוריים, ומשקל קטן יחסית לנסיבותיו האישיות של העבריין. ככלל, נסיבות אישיות כאמור ייסוגו מפני שיקולי הנזק הקשה שהשימוש בסם </w:t>
      </w:r>
      <w:r w:rsidRPr="00B37BB4">
        <w:rPr>
          <w:rFonts w:hint="cs"/>
          <w:rtl/>
        </w:rPr>
        <w:t xml:space="preserve">מביא על המשתמשים בו (ראו למשל: עניין </w:t>
      </w:r>
      <w:r w:rsidRPr="00B37BB4">
        <w:rPr>
          <w:rFonts w:hint="cs"/>
          <w:b/>
          <w:bCs/>
          <w:rtl/>
        </w:rPr>
        <w:t>אוחיון</w:t>
      </w:r>
      <w:r w:rsidRPr="00B37BB4">
        <w:rPr>
          <w:rFonts w:hint="cs"/>
          <w:rtl/>
        </w:rPr>
        <w:t xml:space="preserve">; </w:t>
      </w:r>
      <w:hyperlink r:id="rId41" w:history="1">
        <w:r w:rsidR="0098242D" w:rsidRPr="0098242D">
          <w:rPr>
            <w:color w:val="0000FF"/>
            <w:u w:val="single"/>
            <w:rtl/>
          </w:rPr>
          <w:t>ע"פ 6029/03 מדינת ישראל נ' שמאי, פ"ד נח</w:t>
        </w:r>
      </w:hyperlink>
      <w:r w:rsidRPr="00B37BB4">
        <w:rPr>
          <w:rFonts w:hint="cs"/>
          <w:rtl/>
        </w:rPr>
        <w:t xml:space="preserve">(2) 734; </w:t>
      </w:r>
      <w:hyperlink r:id="rId42" w:history="1">
        <w:r w:rsidR="0098242D" w:rsidRPr="0098242D">
          <w:rPr>
            <w:color w:val="0000FF"/>
            <w:u w:val="single"/>
            <w:rtl/>
          </w:rPr>
          <w:t>ע"פ 5265/95</w:t>
        </w:r>
      </w:hyperlink>
      <w:r w:rsidRPr="00B37BB4">
        <w:rPr>
          <w:rFonts w:hint="cs"/>
          <w:rtl/>
        </w:rPr>
        <w:t xml:space="preserve"> </w:t>
      </w:r>
      <w:r w:rsidRPr="00B37BB4">
        <w:rPr>
          <w:rFonts w:hint="cs"/>
          <w:b/>
          <w:bCs/>
          <w:rtl/>
        </w:rPr>
        <w:t>מנשה נ' מדינת ישראל</w:t>
      </w:r>
      <w:r w:rsidRPr="00B37BB4">
        <w:rPr>
          <w:rFonts w:hint="cs"/>
          <w:rtl/>
        </w:rPr>
        <w:t xml:space="preserve"> (לא פורסם, 23.1.1996).</w:t>
      </w:r>
    </w:p>
    <w:p w14:paraId="20E5F20F" w14:textId="77777777" w:rsidR="00E84F49" w:rsidRDefault="00E84F49" w:rsidP="00E84F49">
      <w:pPr>
        <w:spacing w:after="240" w:line="360" w:lineRule="auto"/>
        <w:ind w:left="720" w:hanging="720"/>
        <w:jc w:val="both"/>
        <w:rPr>
          <w:rtl/>
        </w:rPr>
      </w:pPr>
      <w:r w:rsidRPr="00B37BB4">
        <w:rPr>
          <w:rFonts w:hint="cs"/>
          <w:rtl/>
        </w:rPr>
        <w:t>26.</w:t>
      </w:r>
      <w:r w:rsidRPr="00B37BB4">
        <w:rPr>
          <w:rFonts w:hint="cs"/>
          <w:rtl/>
        </w:rPr>
        <w:tab/>
      </w:r>
      <w:r>
        <w:rPr>
          <w:rFonts w:hint="cs"/>
          <w:rtl/>
        </w:rPr>
        <w:t xml:space="preserve">בענייננו, ראיתי להתחשב לקולא בהודאתו של הנאשם ובנטילת האחריות על ידו על מעשיו, כמו גם להשלכות שיהיו לענישה על משפחתו – אישה ושני תינוקות רכים בשנים. מן העבר האחר, אין זו הסתבכותו הראשונה של הנאשם עם החוק, וגם לא השנייה. הנאשם נושא אחריו עבר פלילי משמעותי, הגם שלא בתחום הסמים, ולמרבה הצער, דומה כי בעונשים שהוטלו עליו עד כה לא היה כדי להרתיעו מהסתבכות בפלילים. </w:t>
      </w:r>
    </w:p>
    <w:p w14:paraId="3083DDE6" w14:textId="77777777" w:rsidR="00E84F49" w:rsidRDefault="00E84F49" w:rsidP="00E84F49">
      <w:pPr>
        <w:spacing w:after="120" w:line="360" w:lineRule="auto"/>
        <w:ind w:left="720" w:hanging="720"/>
        <w:jc w:val="both"/>
        <w:rPr>
          <w:rtl/>
        </w:rPr>
      </w:pPr>
      <w:r>
        <w:rPr>
          <w:rFonts w:hint="cs"/>
          <w:rtl/>
        </w:rPr>
        <w:t>27.</w:t>
      </w:r>
      <w:r>
        <w:rPr>
          <w:rFonts w:hint="cs"/>
          <w:rtl/>
        </w:rPr>
        <w:tab/>
        <w:t>סיכומו של דבר ועל יסוד מקבץ האמור, אני גוזר על הנאשם את העונשים הבאים:</w:t>
      </w:r>
    </w:p>
    <w:p w14:paraId="4DE4A016" w14:textId="77777777" w:rsidR="00E84F49" w:rsidRDefault="00E84F49" w:rsidP="00E84F49">
      <w:pPr>
        <w:spacing w:after="120" w:line="360" w:lineRule="auto"/>
        <w:ind w:left="1440" w:hanging="720"/>
        <w:jc w:val="both"/>
        <w:rPr>
          <w:rtl/>
        </w:rPr>
      </w:pPr>
      <w:r>
        <w:rPr>
          <w:rFonts w:hint="cs"/>
          <w:rtl/>
        </w:rPr>
        <w:t>א.</w:t>
      </w:r>
      <w:r>
        <w:rPr>
          <w:rFonts w:hint="cs"/>
          <w:rtl/>
        </w:rPr>
        <w:tab/>
        <w:t>מאסר בפועל לתקופה של 40 חודשים בניכוי תקופת מעצרו מיום 9.2.2018.</w:t>
      </w:r>
    </w:p>
    <w:p w14:paraId="56DE5C89" w14:textId="77777777" w:rsidR="00E84F49" w:rsidRDefault="00E84F49" w:rsidP="00E84F49">
      <w:pPr>
        <w:spacing w:after="120" w:line="360" w:lineRule="auto"/>
        <w:ind w:left="1440" w:hanging="720"/>
        <w:jc w:val="both"/>
        <w:rPr>
          <w:color w:val="0000FF"/>
          <w:u w:val="single"/>
          <w:rtl/>
        </w:rPr>
      </w:pPr>
      <w:r>
        <w:rPr>
          <w:rFonts w:hint="cs"/>
          <w:rtl/>
        </w:rPr>
        <w:t>ב.</w:t>
      </w:r>
      <w:r>
        <w:rPr>
          <w:rFonts w:hint="cs"/>
          <w:rtl/>
        </w:rPr>
        <w:tab/>
        <w:t>12 חודשי מאסר על תנאי למשך 3 שנים לבל יעבור עבירה מסוג פשע, בניגוד ל</w:t>
      </w:r>
      <w:hyperlink r:id="rId43" w:history="1">
        <w:r w:rsidR="0098242D" w:rsidRPr="0098242D">
          <w:rPr>
            <w:color w:val="0000FF"/>
            <w:u w:val="single"/>
            <w:rtl/>
          </w:rPr>
          <w:t>פקודת הסמים המסוכנים</w:t>
        </w:r>
      </w:hyperlink>
      <w:r>
        <w:rPr>
          <w:rFonts w:hint="cs"/>
          <w:rtl/>
        </w:rPr>
        <w:t xml:space="preserve"> ויורשע בגינה.</w:t>
      </w:r>
      <w:r>
        <w:rPr>
          <w:rFonts w:hint="cs"/>
          <w:color w:val="0000FF"/>
          <w:u w:val="single"/>
          <w:rtl/>
        </w:rPr>
        <w:t xml:space="preserve"> </w:t>
      </w:r>
    </w:p>
    <w:p w14:paraId="2B90C6DE" w14:textId="77777777" w:rsidR="00E84F49" w:rsidRDefault="00E84F49" w:rsidP="00E84F49">
      <w:pPr>
        <w:bidi w:val="0"/>
        <w:rPr>
          <w:color w:val="0000FF"/>
          <w:u w:val="single"/>
          <w:rtl/>
        </w:rPr>
      </w:pPr>
      <w:r>
        <w:rPr>
          <w:color w:val="0000FF"/>
          <w:u w:val="single"/>
          <w:rtl/>
        </w:rPr>
        <w:br w:type="page"/>
      </w:r>
    </w:p>
    <w:p w14:paraId="6C29F6FB" w14:textId="77777777" w:rsidR="00E84F49" w:rsidRDefault="00E84F49" w:rsidP="00E84F49">
      <w:pPr>
        <w:spacing w:after="120"/>
        <w:ind w:left="1440" w:hanging="720"/>
        <w:jc w:val="both"/>
        <w:rPr>
          <w:color w:val="0000FF"/>
          <w:u w:val="single"/>
          <w:rtl/>
        </w:rPr>
      </w:pPr>
    </w:p>
    <w:p w14:paraId="20F4EE33" w14:textId="77777777" w:rsidR="00E84F49" w:rsidRDefault="00E84F49" w:rsidP="00E84F49">
      <w:pPr>
        <w:spacing w:line="360" w:lineRule="auto"/>
        <w:ind w:left="720" w:hanging="720"/>
        <w:jc w:val="both"/>
        <w:rPr>
          <w:rtl/>
        </w:rPr>
      </w:pPr>
      <w:r>
        <w:rPr>
          <w:rFonts w:hint="cs"/>
          <w:rtl/>
        </w:rPr>
        <w:t>28.</w:t>
      </w:r>
      <w:r>
        <w:rPr>
          <w:rFonts w:hint="cs"/>
          <w:rtl/>
        </w:rPr>
        <w:tab/>
        <w:t xml:space="preserve">ניתן בזאת צו להשמדת הסמים נשוא כתב האישום. </w:t>
      </w:r>
    </w:p>
    <w:p w14:paraId="6F62ED78" w14:textId="77777777" w:rsidR="00E84F49" w:rsidRDefault="00E84F49" w:rsidP="00E84F49">
      <w:pPr>
        <w:spacing w:line="360" w:lineRule="auto"/>
        <w:jc w:val="both"/>
        <w:rPr>
          <w:rtl/>
        </w:rPr>
      </w:pPr>
    </w:p>
    <w:p w14:paraId="413D17B8" w14:textId="77777777" w:rsidR="00E84F49" w:rsidRDefault="00E84F49" w:rsidP="00E84F49">
      <w:pPr>
        <w:spacing w:line="360" w:lineRule="auto"/>
        <w:jc w:val="both"/>
        <w:rPr>
          <w:u w:val="single"/>
          <w:rtl/>
        </w:rPr>
      </w:pPr>
      <w:r>
        <w:rPr>
          <w:rFonts w:hint="cs"/>
          <w:u w:val="single"/>
          <w:rtl/>
        </w:rPr>
        <w:t xml:space="preserve">זכות ערעור לבית המשפט העליון תוך 45 ימים. </w:t>
      </w:r>
    </w:p>
    <w:p w14:paraId="5FC3C2E3" w14:textId="77777777" w:rsidR="00E84F49" w:rsidRPr="0098242D" w:rsidRDefault="0098242D" w:rsidP="00E84F49">
      <w:pPr>
        <w:spacing w:line="360" w:lineRule="auto"/>
        <w:jc w:val="both"/>
        <w:rPr>
          <w:rFonts w:ascii="Arial" w:hAnsi="Arial"/>
          <w:color w:val="FFFFFF"/>
          <w:sz w:val="2"/>
          <w:szCs w:val="2"/>
          <w:rtl/>
        </w:rPr>
      </w:pPr>
      <w:r w:rsidRPr="0098242D">
        <w:rPr>
          <w:rFonts w:ascii="Arial" w:hAnsi="Arial"/>
          <w:color w:val="FFFFFF"/>
          <w:sz w:val="2"/>
          <w:szCs w:val="2"/>
          <w:rtl/>
        </w:rPr>
        <w:t>5129371</w:t>
      </w:r>
    </w:p>
    <w:p w14:paraId="74185E85" w14:textId="77777777" w:rsidR="00E84F49" w:rsidRDefault="0098242D" w:rsidP="00E84F49">
      <w:pPr>
        <w:spacing w:line="360" w:lineRule="auto"/>
        <w:jc w:val="both"/>
        <w:rPr>
          <w:rFonts w:cs="FrankRuehl"/>
          <w:sz w:val="28"/>
          <w:szCs w:val="28"/>
          <w:rtl/>
        </w:rPr>
      </w:pPr>
      <w:r w:rsidRPr="0098242D">
        <w:rPr>
          <w:rFonts w:ascii="Arial" w:hAnsi="Arial"/>
          <w:color w:val="FFFFFF"/>
          <w:sz w:val="2"/>
          <w:szCs w:val="2"/>
          <w:rtl/>
        </w:rPr>
        <w:t>54678313</w:t>
      </w:r>
      <w:r>
        <w:rPr>
          <w:rFonts w:ascii="Arial" w:hAnsi="Arial"/>
          <w:rtl/>
        </w:rPr>
        <w:t xml:space="preserve">ניתן היום,  ט"ו תמוז תשע"ח, 28 יוני 2018, בנוכחות הצדדים. </w:t>
      </w:r>
    </w:p>
    <w:p w14:paraId="65EF0F46" w14:textId="77777777" w:rsidR="00E84F49" w:rsidRDefault="00E84F49" w:rsidP="00E84F49">
      <w:pPr>
        <w:spacing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F29CD1E" w14:textId="77777777" w:rsidR="00E84F49" w:rsidRDefault="00E84F49" w:rsidP="00E84F49">
      <w:pPr>
        <w:spacing w:line="360" w:lineRule="auto"/>
        <w:jc w:val="both"/>
        <w:rPr>
          <w:rFonts w:ascii="Arial" w:hAnsi="Arial" w:cs="FrankRuehl"/>
          <w:sz w:val="28"/>
          <w:szCs w:val="28"/>
          <w:rtl/>
        </w:rPr>
      </w:pPr>
    </w:p>
    <w:p w14:paraId="21AEC5D3" w14:textId="77777777" w:rsidR="00E84F49" w:rsidRDefault="00E84F49" w:rsidP="00E84F49">
      <w:pPr>
        <w:spacing w:line="360" w:lineRule="auto"/>
        <w:jc w:val="both"/>
        <w:rPr>
          <w:rFonts w:cs="FrankRuehl"/>
          <w:sz w:val="28"/>
          <w:szCs w:val="28"/>
          <w:rtl/>
        </w:rPr>
      </w:pPr>
    </w:p>
    <w:p w14:paraId="48E805E5" w14:textId="77777777" w:rsidR="00E84F49" w:rsidRPr="007B03EC" w:rsidRDefault="007B03EC" w:rsidP="00E84F49">
      <w:pPr>
        <w:pStyle w:val="a3"/>
        <w:spacing w:line="360" w:lineRule="auto"/>
        <w:jc w:val="both"/>
        <w:rPr>
          <w:color w:val="FFFFFF"/>
          <w:sz w:val="2"/>
          <w:szCs w:val="2"/>
          <w:rtl/>
        </w:rPr>
      </w:pPr>
      <w:r w:rsidRPr="007B03EC">
        <w:rPr>
          <w:color w:val="FFFFFF"/>
          <w:sz w:val="2"/>
          <w:szCs w:val="2"/>
          <w:rtl/>
        </w:rPr>
        <w:t>5129371</w:t>
      </w:r>
    </w:p>
    <w:p w14:paraId="0836FEA8" w14:textId="77777777" w:rsidR="00DC735C" w:rsidRPr="007B03EC" w:rsidRDefault="007B03EC" w:rsidP="0098242D">
      <w:pPr>
        <w:keepNext/>
        <w:rPr>
          <w:rFonts w:ascii="David" w:hAnsi="David"/>
          <w:color w:val="FFFFFF"/>
          <w:sz w:val="2"/>
          <w:szCs w:val="2"/>
          <w:rtl/>
        </w:rPr>
      </w:pPr>
      <w:r w:rsidRPr="007B03EC">
        <w:rPr>
          <w:rFonts w:ascii="David" w:hAnsi="David"/>
          <w:color w:val="FFFFFF"/>
          <w:sz w:val="2"/>
          <w:szCs w:val="2"/>
          <w:rtl/>
        </w:rPr>
        <w:t>54678313</w:t>
      </w:r>
    </w:p>
    <w:p w14:paraId="40D42C0D" w14:textId="77777777" w:rsidR="0098242D" w:rsidRPr="0098242D" w:rsidRDefault="0098242D" w:rsidP="0098242D">
      <w:pPr>
        <w:keepNext/>
        <w:rPr>
          <w:rFonts w:ascii="David" w:hAnsi="David"/>
          <w:color w:val="000000"/>
          <w:sz w:val="22"/>
          <w:szCs w:val="22"/>
          <w:rtl/>
        </w:rPr>
      </w:pPr>
      <w:r w:rsidRPr="0098242D">
        <w:rPr>
          <w:rFonts w:ascii="David" w:hAnsi="David"/>
          <w:color w:val="000000"/>
          <w:sz w:val="22"/>
          <w:szCs w:val="22"/>
          <w:rtl/>
        </w:rPr>
        <w:t>אמיר טובי 54678313</w:t>
      </w:r>
    </w:p>
    <w:p w14:paraId="26AAD155" w14:textId="77777777" w:rsidR="0098242D" w:rsidRDefault="0098242D" w:rsidP="0098242D">
      <w:r w:rsidRPr="0098242D">
        <w:rPr>
          <w:color w:val="000000"/>
          <w:rtl/>
        </w:rPr>
        <w:t>נוסח מסמך זה כפוף לשינויי ניסוח ועריכה</w:t>
      </w:r>
    </w:p>
    <w:p w14:paraId="022D5EDB" w14:textId="77777777" w:rsidR="0098242D" w:rsidRDefault="0098242D" w:rsidP="0098242D">
      <w:pPr>
        <w:rPr>
          <w:rtl/>
        </w:rPr>
      </w:pPr>
    </w:p>
    <w:p w14:paraId="219CBB25" w14:textId="77777777" w:rsidR="0098242D" w:rsidRDefault="0098242D" w:rsidP="0098242D">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14C44E24" w14:textId="77777777" w:rsidR="007B03EC" w:rsidRPr="007B03EC" w:rsidRDefault="007B03EC" w:rsidP="007B03EC">
      <w:pPr>
        <w:keepNext/>
        <w:rPr>
          <w:rFonts w:ascii="David" w:hAnsi="David"/>
          <w:color w:val="000000"/>
          <w:sz w:val="22"/>
          <w:szCs w:val="22"/>
          <w:rtl/>
        </w:rPr>
      </w:pPr>
    </w:p>
    <w:p w14:paraId="49F6816F" w14:textId="77777777" w:rsidR="0098242D" w:rsidRPr="0098242D" w:rsidRDefault="0098242D" w:rsidP="007B03EC">
      <w:pPr>
        <w:rPr>
          <w:color w:val="0000FF"/>
          <w:u w:val="single"/>
        </w:rPr>
      </w:pPr>
    </w:p>
    <w:sectPr w:rsidR="0098242D" w:rsidRPr="0098242D" w:rsidSect="007B03EC">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A5B09" w14:textId="77777777" w:rsidR="005D34BE" w:rsidRDefault="005D34BE" w:rsidP="00232292">
      <w:r>
        <w:separator/>
      </w:r>
    </w:p>
  </w:endnote>
  <w:endnote w:type="continuationSeparator" w:id="0">
    <w:p w14:paraId="7C1E50C7" w14:textId="77777777" w:rsidR="005D34BE" w:rsidRDefault="005D34BE" w:rsidP="00232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F058C" w14:textId="77777777" w:rsidR="007B03EC" w:rsidRDefault="007B03EC" w:rsidP="007B03E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049151" w14:textId="77777777" w:rsidR="005A6979" w:rsidRPr="007B03EC" w:rsidRDefault="007B03EC" w:rsidP="007B03EC">
    <w:pPr>
      <w:pStyle w:val="a5"/>
      <w:pBdr>
        <w:top w:val="single" w:sz="4" w:space="1" w:color="auto"/>
        <w:between w:val="single" w:sz="4" w:space="0" w:color="auto"/>
      </w:pBdr>
      <w:spacing w:after="60"/>
      <w:jc w:val="center"/>
      <w:rPr>
        <w:rFonts w:ascii="FrankRuehl" w:hAnsi="FrankRuehl" w:cs="FrankRuehl"/>
        <w:color w:val="000000"/>
      </w:rPr>
    </w:pPr>
    <w:r w:rsidRPr="007B03E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C4B29" w14:textId="77777777" w:rsidR="007B03EC" w:rsidRDefault="007B03EC" w:rsidP="007B03E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2C18F2" w14:textId="77777777" w:rsidR="005A6979" w:rsidRPr="007B03EC" w:rsidRDefault="007B03EC" w:rsidP="007B03EC">
    <w:pPr>
      <w:pStyle w:val="a5"/>
      <w:pBdr>
        <w:top w:val="single" w:sz="4" w:space="1" w:color="auto"/>
        <w:between w:val="single" w:sz="4" w:space="0" w:color="auto"/>
      </w:pBdr>
      <w:spacing w:after="60"/>
      <w:jc w:val="center"/>
      <w:rPr>
        <w:rFonts w:ascii="FrankRuehl" w:hAnsi="FrankRuehl" w:cs="FrankRuehl"/>
        <w:color w:val="000000"/>
      </w:rPr>
    </w:pPr>
    <w:r w:rsidRPr="007B03EC">
      <w:rPr>
        <w:rFonts w:ascii="FrankRuehl" w:hAnsi="FrankRuehl" w:cs="FrankRuehl"/>
        <w:color w:val="000000"/>
      </w:rPr>
      <w:pict w14:anchorId="17DB7C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26CD1" w14:textId="77777777" w:rsidR="005D34BE" w:rsidRDefault="005D34BE" w:rsidP="00232292">
      <w:r>
        <w:separator/>
      </w:r>
    </w:p>
  </w:footnote>
  <w:footnote w:type="continuationSeparator" w:id="0">
    <w:p w14:paraId="1813B39E" w14:textId="77777777" w:rsidR="005D34BE" w:rsidRDefault="005D34BE" w:rsidP="00232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30AC6" w14:textId="77777777" w:rsidR="0098242D" w:rsidRPr="007B03EC" w:rsidRDefault="007B03EC" w:rsidP="007B03E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47757-02-18</w:t>
    </w:r>
    <w:r>
      <w:rPr>
        <w:rFonts w:ascii="David" w:hAnsi="David"/>
        <w:color w:val="000000"/>
        <w:sz w:val="22"/>
        <w:szCs w:val="22"/>
        <w:rtl/>
      </w:rPr>
      <w:tab/>
      <w:t xml:space="preserve"> מדינת ישראל נ' אדיב עמאש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9F243" w14:textId="77777777" w:rsidR="0098242D" w:rsidRPr="007B03EC" w:rsidRDefault="007B03EC" w:rsidP="007B03E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47757-02-18</w:t>
    </w:r>
    <w:r>
      <w:rPr>
        <w:rFonts w:ascii="David" w:hAnsi="David"/>
        <w:color w:val="000000"/>
        <w:sz w:val="22"/>
        <w:szCs w:val="22"/>
        <w:rtl/>
      </w:rPr>
      <w:tab/>
      <w:t xml:space="preserve"> מדינת ישראל נ' אדיב עמאש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4F49"/>
    <w:rsid w:val="00232292"/>
    <w:rsid w:val="002B6BDC"/>
    <w:rsid w:val="005A6979"/>
    <w:rsid w:val="005D34BE"/>
    <w:rsid w:val="0069560D"/>
    <w:rsid w:val="007B03EC"/>
    <w:rsid w:val="0098242D"/>
    <w:rsid w:val="009B116E"/>
    <w:rsid w:val="00D04BD0"/>
    <w:rsid w:val="00DC735C"/>
    <w:rsid w:val="00E84F49"/>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7D9ACC6"/>
  <w15:chartTrackingRefBased/>
  <w15:docId w15:val="{16FC1006-CBC8-4E4A-AD5F-A589AC8B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4F4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4F49"/>
    <w:pPr>
      <w:tabs>
        <w:tab w:val="center" w:pos="4153"/>
        <w:tab w:val="right" w:pos="8306"/>
      </w:tabs>
    </w:pPr>
  </w:style>
  <w:style w:type="character" w:customStyle="1" w:styleId="a4">
    <w:name w:val="כותרת עליונה תו"/>
    <w:link w:val="a3"/>
    <w:rsid w:val="00E84F49"/>
    <w:rPr>
      <w:rFonts w:ascii="Times New Roman" w:eastAsia="Times New Roman" w:hAnsi="Times New Roman" w:cs="David"/>
      <w:sz w:val="24"/>
      <w:szCs w:val="24"/>
    </w:rPr>
  </w:style>
  <w:style w:type="paragraph" w:styleId="a5">
    <w:name w:val="footer"/>
    <w:basedOn w:val="a"/>
    <w:link w:val="a6"/>
    <w:rsid w:val="00E84F49"/>
    <w:pPr>
      <w:tabs>
        <w:tab w:val="center" w:pos="4153"/>
        <w:tab w:val="right" w:pos="8306"/>
      </w:tabs>
    </w:pPr>
  </w:style>
  <w:style w:type="character" w:customStyle="1" w:styleId="a6">
    <w:name w:val="כותרת תחתונה תו"/>
    <w:link w:val="a5"/>
    <w:rsid w:val="00E84F49"/>
    <w:rPr>
      <w:rFonts w:ascii="Times New Roman" w:eastAsia="Times New Roman" w:hAnsi="Times New Roman" w:cs="David"/>
      <w:sz w:val="24"/>
      <w:szCs w:val="24"/>
    </w:rPr>
  </w:style>
  <w:style w:type="table" w:styleId="a7">
    <w:name w:val="Table Grid"/>
    <w:basedOn w:val="a1"/>
    <w:rsid w:val="00E84F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4F49"/>
  </w:style>
  <w:style w:type="paragraph" w:customStyle="1" w:styleId="12">
    <w:name w:val="רגיל + ‏12 נק'"/>
    <w:aliases w:val="מיושר לשני הצדדים,מרווח בין שורות:  שורה וחצי"/>
    <w:basedOn w:val="a"/>
    <w:rsid w:val="00E84F49"/>
    <w:rPr>
      <w:b/>
      <w:bCs/>
      <w:u w:val="single"/>
    </w:rPr>
  </w:style>
  <w:style w:type="character" w:customStyle="1" w:styleId="TimesNewRomanTimesNewRoman">
    <w:name w:val="סגנון (לטיני) Times New Roman (עברית ושפות אחרות) Times New Roman..."/>
    <w:rsid w:val="00E84F49"/>
    <w:rPr>
      <w:rFonts w:ascii="Times New Roman" w:hAnsi="Times New Roman" w:cs="David" w:hint="default"/>
      <w:b/>
      <w:bCs/>
      <w:sz w:val="26"/>
      <w:szCs w:val="26"/>
    </w:rPr>
  </w:style>
  <w:style w:type="character" w:styleId="Hyperlink">
    <w:name w:val="Hyperlink"/>
    <w:rsid w:val="00E84F49"/>
    <w:rPr>
      <w:color w:val="0000FF"/>
      <w:u w:val="single"/>
    </w:rPr>
  </w:style>
  <w:style w:type="paragraph" w:customStyle="1" w:styleId="2">
    <w:name w:val="ציטוט2"/>
    <w:basedOn w:val="a"/>
    <w:autoRedefine/>
    <w:rsid w:val="00E84F49"/>
    <w:pPr>
      <w:tabs>
        <w:tab w:val="left" w:pos="567"/>
        <w:tab w:val="left" w:pos="1134"/>
        <w:tab w:val="left" w:pos="1701"/>
      </w:tabs>
      <w:spacing w:line="360" w:lineRule="auto"/>
      <w:ind w:left="1134" w:right="1134"/>
      <w:jc w:val="both"/>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3751286" TargetMode="External"/><Relationship Id="rId26" Type="http://schemas.openxmlformats.org/officeDocument/2006/relationships/hyperlink" Target="http://www.nevo.co.il/case/17915297"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case/5763166" TargetMode="External"/><Relationship Id="rId34" Type="http://schemas.openxmlformats.org/officeDocument/2006/relationships/hyperlink" Target="http://www.nevo.co.il/case/18753213" TargetMode="External"/><Relationship Id="rId42" Type="http://schemas.openxmlformats.org/officeDocument/2006/relationships/hyperlink" Target="http://www.nevo.co.il/case/1792610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case/6834904" TargetMode="External"/><Relationship Id="rId29" Type="http://schemas.openxmlformats.org/officeDocument/2006/relationships/hyperlink" Target="http://www.nevo.co.il/case/17926104"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17927691" TargetMode="External"/><Relationship Id="rId32" Type="http://schemas.openxmlformats.org/officeDocument/2006/relationships/hyperlink" Target="http://www.nevo.co.il/case/5698919" TargetMode="External"/><Relationship Id="rId37" Type="http://schemas.openxmlformats.org/officeDocument/2006/relationships/hyperlink" Target="http://www.nevo.co.il/case/21274851" TargetMode="External"/><Relationship Id="rId40" Type="http://schemas.openxmlformats.org/officeDocument/2006/relationships/hyperlink" Target="http://www.nevo.co.il/law/70301"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917767" TargetMode="External"/><Relationship Id="rId28" Type="http://schemas.openxmlformats.org/officeDocument/2006/relationships/hyperlink" Target="http://www.nevo.co.il/case/17916776" TargetMode="External"/><Relationship Id="rId36" Type="http://schemas.openxmlformats.org/officeDocument/2006/relationships/hyperlink" Target="http://www.nevo.co.il/case/6180833" TargetMode="External"/><Relationship Id="rId49" Type="http://schemas.openxmlformats.org/officeDocument/2006/relationships/fontTable" Target="fontTable.xml"/><Relationship Id="rId10" Type="http://schemas.openxmlformats.org/officeDocument/2006/relationships/hyperlink" Target="http://www.nevo.co.il/law/70301/40i.a" TargetMode="External"/><Relationship Id="rId19" Type="http://schemas.openxmlformats.org/officeDocument/2006/relationships/hyperlink" Target="http://www.nevo.co.il/case/5583030" TargetMode="External"/><Relationship Id="rId31" Type="http://schemas.openxmlformats.org/officeDocument/2006/relationships/hyperlink" Target="http://www.nevo.co.il/case/17912837"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40i.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892403" TargetMode="External"/><Relationship Id="rId30" Type="http://schemas.openxmlformats.org/officeDocument/2006/relationships/hyperlink" Target="http://www.nevo.co.il/case/5786821" TargetMode="External"/><Relationship Id="rId35" Type="http://schemas.openxmlformats.org/officeDocument/2006/relationships/hyperlink" Target="http://www.nevo.co.il/case/5590128"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7.a.;7.c" TargetMode="External"/><Relationship Id="rId17" Type="http://schemas.openxmlformats.org/officeDocument/2006/relationships/hyperlink" Target="http://www.nevo.co.il/case/13070717" TargetMode="External"/><Relationship Id="rId25" Type="http://schemas.openxmlformats.org/officeDocument/2006/relationships/hyperlink" Target="http://www.nevo.co.il/case/17927930" TargetMode="External"/><Relationship Id="rId33" Type="http://schemas.openxmlformats.org/officeDocument/2006/relationships/hyperlink" Target="http://www.nevo.co.il/case/20412551" TargetMode="External"/><Relationship Id="rId38" Type="http://schemas.openxmlformats.org/officeDocument/2006/relationships/hyperlink" Target="http://www.nevo.co.il/case/16941717" TargetMode="External"/><Relationship Id="rId46" Type="http://schemas.openxmlformats.org/officeDocument/2006/relationships/header" Target="header2.xml"/><Relationship Id="rId20" Type="http://schemas.openxmlformats.org/officeDocument/2006/relationships/hyperlink" Target="http://www.nevo.co.il/case/6245080" TargetMode="External"/><Relationship Id="rId41" Type="http://schemas.openxmlformats.org/officeDocument/2006/relationships/hyperlink" Target="http://www.nevo.co.il/case/5786821"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2445</Words>
  <Characters>12230</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14646</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4063344</vt:i4>
      </vt:variant>
      <vt:variant>
        <vt:i4>108</vt:i4>
      </vt:variant>
      <vt:variant>
        <vt:i4>0</vt:i4>
      </vt:variant>
      <vt:variant>
        <vt:i4>5</vt:i4>
      </vt:variant>
      <vt:variant>
        <vt:lpwstr>http://www.nevo.co.il/case/17926104</vt:lpwstr>
      </vt:variant>
      <vt:variant>
        <vt:lpwstr/>
      </vt:variant>
      <vt:variant>
        <vt:i4>3407991</vt:i4>
      </vt:variant>
      <vt:variant>
        <vt:i4>105</vt:i4>
      </vt:variant>
      <vt:variant>
        <vt:i4>0</vt:i4>
      </vt:variant>
      <vt:variant>
        <vt:i4>5</vt:i4>
      </vt:variant>
      <vt:variant>
        <vt:lpwstr>http://www.nevo.co.il/case/5786821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3670129</vt:i4>
      </vt:variant>
      <vt:variant>
        <vt:i4>96</vt:i4>
      </vt:variant>
      <vt:variant>
        <vt:i4>0</vt:i4>
      </vt:variant>
      <vt:variant>
        <vt:i4>5</vt:i4>
      </vt:variant>
      <vt:variant>
        <vt:lpwstr>http://www.nevo.co.il/case/16941717</vt:lpwstr>
      </vt:variant>
      <vt:variant>
        <vt:lpwstr/>
      </vt:variant>
      <vt:variant>
        <vt:i4>3211386</vt:i4>
      </vt:variant>
      <vt:variant>
        <vt:i4>93</vt:i4>
      </vt:variant>
      <vt:variant>
        <vt:i4>0</vt:i4>
      </vt:variant>
      <vt:variant>
        <vt:i4>5</vt:i4>
      </vt:variant>
      <vt:variant>
        <vt:lpwstr>http://www.nevo.co.il/case/21274851</vt:lpwstr>
      </vt:variant>
      <vt:variant>
        <vt:lpwstr/>
      </vt:variant>
      <vt:variant>
        <vt:i4>3473526</vt:i4>
      </vt:variant>
      <vt:variant>
        <vt:i4>90</vt:i4>
      </vt:variant>
      <vt:variant>
        <vt:i4>0</vt:i4>
      </vt:variant>
      <vt:variant>
        <vt:i4>5</vt:i4>
      </vt:variant>
      <vt:variant>
        <vt:lpwstr>http://www.nevo.co.il/case/6180833</vt:lpwstr>
      </vt:variant>
      <vt:variant>
        <vt:lpwstr/>
      </vt:variant>
      <vt:variant>
        <vt:i4>3473523</vt:i4>
      </vt:variant>
      <vt:variant>
        <vt:i4>87</vt:i4>
      </vt:variant>
      <vt:variant>
        <vt:i4>0</vt:i4>
      </vt:variant>
      <vt:variant>
        <vt:i4>5</vt:i4>
      </vt:variant>
      <vt:variant>
        <vt:lpwstr>http://www.nevo.co.il/case/5590128</vt:lpwstr>
      </vt:variant>
      <vt:variant>
        <vt:lpwstr/>
      </vt:variant>
      <vt:variant>
        <vt:i4>3407995</vt:i4>
      </vt:variant>
      <vt:variant>
        <vt:i4>84</vt:i4>
      </vt:variant>
      <vt:variant>
        <vt:i4>0</vt:i4>
      </vt:variant>
      <vt:variant>
        <vt:i4>5</vt:i4>
      </vt:variant>
      <vt:variant>
        <vt:lpwstr>http://www.nevo.co.il/case/18753213</vt:lpwstr>
      </vt:variant>
      <vt:variant>
        <vt:lpwstr/>
      </vt:variant>
      <vt:variant>
        <vt:i4>3211376</vt:i4>
      </vt:variant>
      <vt:variant>
        <vt:i4>81</vt:i4>
      </vt:variant>
      <vt:variant>
        <vt:i4>0</vt:i4>
      </vt:variant>
      <vt:variant>
        <vt:i4>5</vt:i4>
      </vt:variant>
      <vt:variant>
        <vt:lpwstr>http://www.nevo.co.il/case/20412551</vt:lpwstr>
      </vt:variant>
      <vt:variant>
        <vt:lpwstr/>
      </vt:variant>
      <vt:variant>
        <vt:i4>3932283</vt:i4>
      </vt:variant>
      <vt:variant>
        <vt:i4>78</vt:i4>
      </vt:variant>
      <vt:variant>
        <vt:i4>0</vt:i4>
      </vt:variant>
      <vt:variant>
        <vt:i4>5</vt:i4>
      </vt:variant>
      <vt:variant>
        <vt:lpwstr>http://www.nevo.co.il/case/5698919</vt:lpwstr>
      </vt:variant>
      <vt:variant>
        <vt:lpwstr/>
      </vt:variant>
      <vt:variant>
        <vt:i4>3735674</vt:i4>
      </vt:variant>
      <vt:variant>
        <vt:i4>75</vt:i4>
      </vt:variant>
      <vt:variant>
        <vt:i4>0</vt:i4>
      </vt:variant>
      <vt:variant>
        <vt:i4>5</vt:i4>
      </vt:variant>
      <vt:variant>
        <vt:lpwstr>http://www.nevo.co.il/case/17912837</vt:lpwstr>
      </vt:variant>
      <vt:variant>
        <vt:lpwstr/>
      </vt:variant>
      <vt:variant>
        <vt:i4>3407991</vt:i4>
      </vt:variant>
      <vt:variant>
        <vt:i4>72</vt:i4>
      </vt:variant>
      <vt:variant>
        <vt:i4>0</vt:i4>
      </vt:variant>
      <vt:variant>
        <vt:i4>5</vt:i4>
      </vt:variant>
      <vt:variant>
        <vt:lpwstr>http://www.nevo.co.il/case/5786821</vt:lpwstr>
      </vt:variant>
      <vt:variant>
        <vt:lpwstr/>
      </vt:variant>
      <vt:variant>
        <vt:i4>4063344</vt:i4>
      </vt:variant>
      <vt:variant>
        <vt:i4>69</vt:i4>
      </vt:variant>
      <vt:variant>
        <vt:i4>0</vt:i4>
      </vt:variant>
      <vt:variant>
        <vt:i4>5</vt:i4>
      </vt:variant>
      <vt:variant>
        <vt:lpwstr>http://www.nevo.co.il/case/17926104</vt:lpwstr>
      </vt:variant>
      <vt:variant>
        <vt:lpwstr/>
      </vt:variant>
      <vt:variant>
        <vt:i4>3735669</vt:i4>
      </vt:variant>
      <vt:variant>
        <vt:i4>66</vt:i4>
      </vt:variant>
      <vt:variant>
        <vt:i4>0</vt:i4>
      </vt:variant>
      <vt:variant>
        <vt:i4>5</vt:i4>
      </vt:variant>
      <vt:variant>
        <vt:lpwstr>http://www.nevo.co.il/case/17916776</vt:lpwstr>
      </vt:variant>
      <vt:variant>
        <vt:lpwstr/>
      </vt:variant>
      <vt:variant>
        <vt:i4>3866750</vt:i4>
      </vt:variant>
      <vt:variant>
        <vt:i4>63</vt:i4>
      </vt:variant>
      <vt:variant>
        <vt:i4>0</vt:i4>
      </vt:variant>
      <vt:variant>
        <vt:i4>5</vt:i4>
      </vt:variant>
      <vt:variant>
        <vt:lpwstr>http://www.nevo.co.il/case/5892403</vt:lpwstr>
      </vt:variant>
      <vt:variant>
        <vt:lpwstr/>
      </vt:variant>
      <vt:variant>
        <vt:i4>3407984</vt:i4>
      </vt:variant>
      <vt:variant>
        <vt:i4>60</vt:i4>
      </vt:variant>
      <vt:variant>
        <vt:i4>0</vt:i4>
      </vt:variant>
      <vt:variant>
        <vt:i4>5</vt:i4>
      </vt:variant>
      <vt:variant>
        <vt:lpwstr>http://www.nevo.co.il/case/17915297</vt:lpwstr>
      </vt:variant>
      <vt:variant>
        <vt:lpwstr/>
      </vt:variant>
      <vt:variant>
        <vt:i4>3932280</vt:i4>
      </vt:variant>
      <vt:variant>
        <vt:i4>57</vt:i4>
      </vt:variant>
      <vt:variant>
        <vt:i4>0</vt:i4>
      </vt:variant>
      <vt:variant>
        <vt:i4>5</vt:i4>
      </vt:variant>
      <vt:variant>
        <vt:lpwstr>http://www.nevo.co.il/case/17927930</vt:lpwstr>
      </vt:variant>
      <vt:variant>
        <vt:lpwstr/>
      </vt:variant>
      <vt:variant>
        <vt:i4>3539063</vt:i4>
      </vt:variant>
      <vt:variant>
        <vt:i4>54</vt:i4>
      </vt:variant>
      <vt:variant>
        <vt:i4>0</vt:i4>
      </vt:variant>
      <vt:variant>
        <vt:i4>5</vt:i4>
      </vt:variant>
      <vt:variant>
        <vt:lpwstr>http://www.nevo.co.il/case/17927691</vt:lpwstr>
      </vt:variant>
      <vt:variant>
        <vt:lpwstr/>
      </vt:variant>
      <vt:variant>
        <vt:i4>3407996</vt:i4>
      </vt:variant>
      <vt:variant>
        <vt:i4>51</vt:i4>
      </vt:variant>
      <vt:variant>
        <vt:i4>0</vt:i4>
      </vt:variant>
      <vt:variant>
        <vt:i4>5</vt:i4>
      </vt:variant>
      <vt:variant>
        <vt:lpwstr>http://www.nevo.co.il/case/5917767</vt:lpwstr>
      </vt:variant>
      <vt:variant>
        <vt:lpwstr/>
      </vt:variant>
      <vt:variant>
        <vt:i4>7995492</vt:i4>
      </vt:variant>
      <vt:variant>
        <vt:i4>48</vt:i4>
      </vt:variant>
      <vt:variant>
        <vt:i4>0</vt:i4>
      </vt:variant>
      <vt:variant>
        <vt:i4>5</vt:i4>
      </vt:variant>
      <vt:variant>
        <vt:lpwstr>http://www.nevo.co.il/law/70301</vt:lpwstr>
      </vt:variant>
      <vt:variant>
        <vt:lpwstr/>
      </vt:variant>
      <vt:variant>
        <vt:i4>3407990</vt:i4>
      </vt:variant>
      <vt:variant>
        <vt:i4>45</vt:i4>
      </vt:variant>
      <vt:variant>
        <vt:i4>0</vt:i4>
      </vt:variant>
      <vt:variant>
        <vt:i4>5</vt:i4>
      </vt:variant>
      <vt:variant>
        <vt:lpwstr>http://www.nevo.co.il/case/5763166</vt:lpwstr>
      </vt:variant>
      <vt:variant>
        <vt:lpwstr/>
      </vt:variant>
      <vt:variant>
        <vt:i4>3276923</vt:i4>
      </vt:variant>
      <vt:variant>
        <vt:i4>42</vt:i4>
      </vt:variant>
      <vt:variant>
        <vt:i4>0</vt:i4>
      </vt:variant>
      <vt:variant>
        <vt:i4>5</vt:i4>
      </vt:variant>
      <vt:variant>
        <vt:lpwstr>http://www.nevo.co.il/case/6245080</vt:lpwstr>
      </vt:variant>
      <vt:variant>
        <vt:lpwstr/>
      </vt:variant>
      <vt:variant>
        <vt:i4>3997809</vt:i4>
      </vt:variant>
      <vt:variant>
        <vt:i4>39</vt:i4>
      </vt:variant>
      <vt:variant>
        <vt:i4>0</vt:i4>
      </vt:variant>
      <vt:variant>
        <vt:i4>5</vt:i4>
      </vt:variant>
      <vt:variant>
        <vt:lpwstr>http://www.nevo.co.il/case/5583030</vt:lpwstr>
      </vt:variant>
      <vt:variant>
        <vt:lpwstr/>
      </vt:variant>
      <vt:variant>
        <vt:i4>3932272</vt:i4>
      </vt:variant>
      <vt:variant>
        <vt:i4>36</vt:i4>
      </vt:variant>
      <vt:variant>
        <vt:i4>0</vt:i4>
      </vt:variant>
      <vt:variant>
        <vt:i4>5</vt:i4>
      </vt:variant>
      <vt:variant>
        <vt:lpwstr>http://www.nevo.co.il/case/23751286</vt:lpwstr>
      </vt:variant>
      <vt:variant>
        <vt:lpwstr/>
      </vt:variant>
      <vt:variant>
        <vt:i4>3145847</vt:i4>
      </vt:variant>
      <vt:variant>
        <vt:i4>33</vt:i4>
      </vt:variant>
      <vt:variant>
        <vt:i4>0</vt:i4>
      </vt:variant>
      <vt:variant>
        <vt:i4>5</vt:i4>
      </vt:variant>
      <vt:variant>
        <vt:lpwstr>http://www.nevo.co.il/case/13070717</vt:lpwstr>
      </vt:variant>
      <vt:variant>
        <vt:lpwstr/>
      </vt:variant>
      <vt:variant>
        <vt:i4>3670136</vt:i4>
      </vt:variant>
      <vt:variant>
        <vt:i4>30</vt:i4>
      </vt:variant>
      <vt:variant>
        <vt:i4>0</vt:i4>
      </vt:variant>
      <vt:variant>
        <vt:i4>5</vt:i4>
      </vt:variant>
      <vt:variant>
        <vt:lpwstr>http://www.nevo.co.il/case/6834904</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4915208</vt:i4>
      </vt:variant>
      <vt:variant>
        <vt:i4>12</vt:i4>
      </vt:variant>
      <vt:variant>
        <vt:i4>0</vt:i4>
      </vt:variant>
      <vt:variant>
        <vt:i4>5</vt:i4>
      </vt:variant>
      <vt:variant>
        <vt:lpwstr>http://www.nevo.co.il/law/70301/40i.a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2025-04-22T20:53:00Z</dcterms:created>
  <dcterms:modified xsi:type="dcterms:W3CDTF">2025-04-22T20:53:00Z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47757</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אדיב עמאש  </vt:lpwstr>
  </property>
  <property fmtid="{D5CDD505-2E9C-101B-9397-08002B2CF9AE}" pid="10" name="LAWYER">
    <vt:lpwstr>חאלד חכרוש;מוחמד מסארווה;מוחמד עבאדי</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20180628</vt:lpwstr>
  </property>
  <property fmtid="{D5CDD505-2E9C-101B-9397-08002B2CF9AE}" pid="14" name="TYPE_N_DATE">
    <vt:lpwstr>39020180628</vt:lpwstr>
  </property>
  <property fmtid="{D5CDD505-2E9C-101B-9397-08002B2CF9AE}" pid="15" name="CASESLISTTMP1">
    <vt:lpwstr>6834904;13070717;23751286;5583030;6245080;5763166;5917767;17927691;17927930;17915297;5892403;17916776;17926104:2;5786821:2;17912837;5698919;20412551;18753213;5590128;6180833;21274851;16941717</vt:lpwstr>
  </property>
  <property fmtid="{D5CDD505-2E9C-101B-9397-08002B2CF9AE}" pid="16" name="CASENOTES1">
    <vt:lpwstr>ProcID=235&amp;PartA=18&amp;PartC=42</vt:lpwstr>
  </property>
  <property fmtid="{D5CDD505-2E9C-101B-9397-08002B2CF9AE}" pid="17" name="WORDNUMPAGES">
    <vt:lpwstr>8</vt:lpwstr>
  </property>
  <property fmtid="{D5CDD505-2E9C-101B-9397-08002B2CF9AE}" pid="18" name="TYPE_ABS_DATE">
    <vt:lpwstr>390020180628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70301/040i.a;40ja</vt:lpwstr>
  </property>
</Properties>
</file>