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540"/>
        <w:gridCol w:w="4965"/>
      </w:tblGrid>
      <w:tr w:rsidR="00B17A16" w:rsidRPr="00A914CD" w14:paraId="0F696F21" w14:textId="77777777" w:rsidTr="00AD2BAC">
        <w:trPr>
          <w:trHeight w:hRule="exact" w:val="418"/>
          <w:jc w:val="center"/>
        </w:trPr>
        <w:tc>
          <w:tcPr>
            <w:tcW w:w="8505" w:type="dxa"/>
            <w:gridSpan w:val="2"/>
          </w:tcPr>
          <w:p w14:paraId="061C86BB" w14:textId="77777777" w:rsidR="00B17A16" w:rsidRPr="00A914CD" w:rsidRDefault="00B17A16" w:rsidP="00AD2BAC">
            <w:pPr>
              <w:pStyle w:val="a3"/>
              <w:jc w:val="center"/>
              <w:rPr>
                <w:rFonts w:ascii="Tahoma" w:hAnsi="Tahoma" w:cs="Tahoma"/>
                <w:color w:val="000080"/>
                <w:rtl/>
              </w:rPr>
            </w:pPr>
            <w:r w:rsidRPr="00A914CD">
              <w:rPr>
                <w:rFonts w:ascii="Tahoma" w:hAnsi="Tahoma" w:cs="Tahoma"/>
                <w:b/>
                <w:bCs/>
                <w:color w:val="000080"/>
                <w:rtl/>
              </w:rPr>
              <w:t>בית המשפט המחוזי בבאר שבע</w:t>
            </w:r>
          </w:p>
        </w:tc>
      </w:tr>
      <w:tr w:rsidR="00B17A16" w:rsidRPr="00A914CD" w14:paraId="77458D88" w14:textId="77777777" w:rsidTr="00AD2BAC">
        <w:trPr>
          <w:trHeight w:val="337"/>
          <w:jc w:val="center"/>
        </w:trPr>
        <w:tc>
          <w:tcPr>
            <w:tcW w:w="3540" w:type="dxa"/>
          </w:tcPr>
          <w:p w14:paraId="5AD90B7F" w14:textId="77777777" w:rsidR="00B17A16" w:rsidRPr="00A914CD" w:rsidRDefault="00B17A16" w:rsidP="00AD2BAC">
            <w:pPr>
              <w:rPr>
                <w:b/>
                <w:bCs/>
                <w:rtl/>
              </w:rPr>
            </w:pPr>
            <w:r w:rsidRPr="00A914CD">
              <w:rPr>
                <w:rFonts w:hint="cs"/>
                <w:b/>
                <w:bCs/>
                <w:rtl/>
              </w:rPr>
              <w:t>בפני כב' ס.הנשיא השופט אליהו ביתן</w:t>
            </w:r>
          </w:p>
        </w:tc>
        <w:tc>
          <w:tcPr>
            <w:tcW w:w="4965" w:type="dxa"/>
          </w:tcPr>
          <w:p w14:paraId="539ADE0D" w14:textId="77777777" w:rsidR="00B17A16" w:rsidRPr="00A914CD" w:rsidRDefault="00B17A16" w:rsidP="00AD2BAC">
            <w:pPr>
              <w:jc w:val="right"/>
              <w:rPr>
                <w:b/>
                <w:bCs/>
                <w:rtl/>
              </w:rPr>
            </w:pPr>
            <w:r w:rsidRPr="00A914CD">
              <w:rPr>
                <w:rFonts w:hint="cs"/>
                <w:b/>
                <w:bCs/>
                <w:rtl/>
              </w:rPr>
              <w:t>24 בפברואר 2019</w:t>
            </w:r>
            <w:r w:rsidRPr="00A914CD">
              <w:rPr>
                <w:b/>
                <w:bCs/>
                <w:rtl/>
              </w:rPr>
              <w:br/>
            </w:r>
            <w:r w:rsidRPr="00A914CD">
              <w:rPr>
                <w:b/>
                <w:bCs/>
                <w:rtl/>
              </w:rPr>
              <w:br/>
              <w:t>ת"פ</w:t>
            </w:r>
            <w:r w:rsidRPr="00A914CD">
              <w:rPr>
                <w:rFonts w:hint="cs"/>
                <w:b/>
                <w:bCs/>
                <w:rtl/>
              </w:rPr>
              <w:t xml:space="preserve"> </w:t>
            </w:r>
            <w:r w:rsidRPr="00A914CD">
              <w:rPr>
                <w:b/>
                <w:bCs/>
                <w:rtl/>
              </w:rPr>
              <w:t>37760-05-18</w:t>
            </w:r>
            <w:r w:rsidRPr="00A914CD">
              <w:rPr>
                <w:rFonts w:hint="cs"/>
                <w:b/>
                <w:bCs/>
                <w:rtl/>
              </w:rPr>
              <w:t xml:space="preserve"> </w:t>
            </w:r>
            <w:r w:rsidRPr="00A914CD">
              <w:rPr>
                <w:b/>
                <w:bCs/>
                <w:rtl/>
              </w:rPr>
              <w:t>מדינת ישראל נ' אבו עסא(עציר) ואח'</w:t>
            </w:r>
          </w:p>
        </w:tc>
      </w:tr>
    </w:tbl>
    <w:p w14:paraId="4253A16D" w14:textId="77777777" w:rsidR="00B17A16" w:rsidRPr="00A914CD" w:rsidRDefault="00B17A16" w:rsidP="00B17A16">
      <w:pPr>
        <w:pStyle w:val="a3"/>
        <w:rPr>
          <w:rtl/>
        </w:rPr>
      </w:pPr>
      <w:bookmarkStart w:id="0" w:name="LastJudge"/>
      <w:bookmarkEnd w:id="0"/>
      <w:r w:rsidRPr="00A914CD">
        <w:rPr>
          <w:rFonts w:hint="cs"/>
          <w:rtl/>
        </w:rPr>
        <w:t xml:space="preserve"> </w:t>
      </w:r>
    </w:p>
    <w:p w14:paraId="1D64B8BA" w14:textId="77777777" w:rsidR="00B17A16" w:rsidRPr="00A914CD" w:rsidRDefault="00B17A16" w:rsidP="00B17A16">
      <w:pPr>
        <w:spacing w:line="360" w:lineRule="auto"/>
        <w:jc w:val="both"/>
        <w:rPr>
          <w:rtl/>
        </w:rPr>
      </w:pPr>
    </w:p>
    <w:tbl>
      <w:tblPr>
        <w:tblpPr w:leftFromText="180" w:rightFromText="180" w:vertAnchor="text" w:tblpXSpec="center" w:tblpY="1"/>
        <w:tblOverlap w:val="never"/>
        <w:bidiVisual/>
        <w:tblW w:w="8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6"/>
        <w:gridCol w:w="3970"/>
        <w:gridCol w:w="3604"/>
      </w:tblGrid>
      <w:tr w:rsidR="00B17A16" w:rsidRPr="00A914CD" w14:paraId="25F01EA7" w14:textId="77777777" w:rsidTr="00B17A16">
        <w:trPr>
          <w:trHeight w:val="355"/>
        </w:trPr>
        <w:tc>
          <w:tcPr>
            <w:tcW w:w="923" w:type="dxa"/>
            <w:tcBorders>
              <w:top w:val="nil"/>
              <w:left w:val="nil"/>
              <w:bottom w:val="nil"/>
              <w:right w:val="nil"/>
            </w:tcBorders>
            <w:shd w:val="clear" w:color="auto" w:fill="auto"/>
          </w:tcPr>
          <w:p w14:paraId="3C0F8127" w14:textId="77777777" w:rsidR="00B17A16" w:rsidRPr="00A914CD" w:rsidRDefault="00B17A16" w:rsidP="00B17A16">
            <w:pPr>
              <w:spacing w:line="360" w:lineRule="auto"/>
              <w:jc w:val="both"/>
              <w:rPr>
                <w:rFonts w:ascii="Arial" w:hAnsi="Arial"/>
                <w:b/>
                <w:bCs/>
              </w:rPr>
            </w:pPr>
            <w:r w:rsidRPr="00A914CD">
              <w:rPr>
                <w:rFonts w:ascii="Arial" w:hAnsi="Arial" w:hint="cs"/>
                <w:b/>
                <w:bCs/>
                <w:rtl/>
              </w:rPr>
              <w:t>בעניין:</w:t>
            </w:r>
          </w:p>
        </w:tc>
        <w:tc>
          <w:tcPr>
            <w:tcW w:w="4126" w:type="dxa"/>
            <w:tcBorders>
              <w:top w:val="nil"/>
              <w:left w:val="nil"/>
              <w:bottom w:val="nil"/>
              <w:right w:val="nil"/>
            </w:tcBorders>
            <w:shd w:val="clear" w:color="auto" w:fill="auto"/>
          </w:tcPr>
          <w:p w14:paraId="39DA76E1" w14:textId="77777777" w:rsidR="00B17A16" w:rsidRPr="00A914CD" w:rsidRDefault="00B17A16" w:rsidP="00B17A16">
            <w:pPr>
              <w:spacing w:line="360" w:lineRule="auto"/>
              <w:jc w:val="both"/>
              <w:rPr>
                <w:rFonts w:ascii="Arial" w:hAnsi="Arial"/>
                <w:b/>
                <w:bCs/>
              </w:rPr>
            </w:pPr>
            <w:r w:rsidRPr="00A914CD">
              <w:rPr>
                <w:rFonts w:ascii="Arial" w:hAnsi="Arial"/>
                <w:b/>
                <w:bCs/>
                <w:rtl/>
              </w:rPr>
              <w:t xml:space="preserve">     </w:t>
            </w:r>
          </w:p>
        </w:tc>
        <w:tc>
          <w:tcPr>
            <w:tcW w:w="3771" w:type="dxa"/>
            <w:tcBorders>
              <w:top w:val="nil"/>
              <w:left w:val="nil"/>
              <w:bottom w:val="nil"/>
              <w:right w:val="nil"/>
            </w:tcBorders>
            <w:shd w:val="clear" w:color="auto" w:fill="auto"/>
          </w:tcPr>
          <w:p w14:paraId="0D0F7B0B" w14:textId="77777777" w:rsidR="00B17A16" w:rsidRPr="00A914CD" w:rsidRDefault="00B17A16" w:rsidP="00B17A16">
            <w:pPr>
              <w:spacing w:line="360" w:lineRule="auto"/>
              <w:jc w:val="both"/>
              <w:rPr>
                <w:rFonts w:ascii="Arial" w:hAnsi="Arial"/>
                <w:b/>
                <w:bCs/>
              </w:rPr>
            </w:pPr>
          </w:p>
        </w:tc>
      </w:tr>
      <w:tr w:rsidR="00B17A16" w:rsidRPr="00A914CD" w14:paraId="7A4CEDB4" w14:textId="77777777" w:rsidTr="00B17A16">
        <w:trPr>
          <w:trHeight w:val="355"/>
        </w:trPr>
        <w:tc>
          <w:tcPr>
            <w:tcW w:w="923" w:type="dxa"/>
            <w:tcBorders>
              <w:top w:val="nil"/>
              <w:left w:val="nil"/>
              <w:bottom w:val="nil"/>
              <w:right w:val="nil"/>
            </w:tcBorders>
            <w:shd w:val="clear" w:color="auto" w:fill="auto"/>
          </w:tcPr>
          <w:p w14:paraId="07D4B55A" w14:textId="77777777" w:rsidR="00B17A16" w:rsidRPr="00A914CD" w:rsidRDefault="00B17A16" w:rsidP="00B17A16">
            <w:pPr>
              <w:spacing w:line="360" w:lineRule="auto"/>
              <w:jc w:val="both"/>
              <w:rPr>
                <w:rFonts w:ascii="Arial" w:hAnsi="Arial"/>
                <w:b/>
                <w:bCs/>
                <w:rtl/>
              </w:rPr>
            </w:pPr>
            <w:bookmarkStart w:id="1" w:name="FirstAppellant"/>
            <w:r w:rsidRPr="00A914CD">
              <w:rPr>
                <w:rFonts w:ascii="Arial" w:hAnsi="Arial" w:hint="cs"/>
                <w:b/>
                <w:bCs/>
                <w:rtl/>
              </w:rPr>
              <w:t>המאשימה:</w:t>
            </w:r>
          </w:p>
        </w:tc>
        <w:tc>
          <w:tcPr>
            <w:tcW w:w="4126" w:type="dxa"/>
            <w:tcBorders>
              <w:top w:val="nil"/>
              <w:left w:val="nil"/>
              <w:bottom w:val="nil"/>
              <w:right w:val="nil"/>
            </w:tcBorders>
            <w:shd w:val="clear" w:color="auto" w:fill="auto"/>
          </w:tcPr>
          <w:p w14:paraId="063DF885" w14:textId="77777777" w:rsidR="00B17A16" w:rsidRPr="00A914CD" w:rsidRDefault="00B17A16" w:rsidP="00B17A16">
            <w:pPr>
              <w:spacing w:line="360" w:lineRule="auto"/>
              <w:jc w:val="both"/>
              <w:rPr>
                <w:rFonts w:ascii="Arial" w:hAnsi="Arial"/>
                <w:b/>
                <w:bCs/>
                <w:rtl/>
              </w:rPr>
            </w:pPr>
            <w:r w:rsidRPr="00A914CD">
              <w:rPr>
                <w:rFonts w:ascii="Arial" w:hAnsi="Arial" w:hint="cs"/>
                <w:b/>
                <w:bCs/>
                <w:rtl/>
              </w:rPr>
              <w:t xml:space="preserve">מדינת ישראל </w:t>
            </w:r>
          </w:p>
        </w:tc>
        <w:tc>
          <w:tcPr>
            <w:tcW w:w="3771" w:type="dxa"/>
            <w:tcBorders>
              <w:top w:val="nil"/>
              <w:left w:val="nil"/>
              <w:bottom w:val="nil"/>
              <w:right w:val="nil"/>
            </w:tcBorders>
            <w:shd w:val="clear" w:color="auto" w:fill="auto"/>
          </w:tcPr>
          <w:p w14:paraId="1273A9FC" w14:textId="77777777" w:rsidR="00B17A16" w:rsidRPr="00A914CD" w:rsidRDefault="00B17A16" w:rsidP="00B17A16">
            <w:pPr>
              <w:spacing w:line="360" w:lineRule="auto"/>
              <w:jc w:val="both"/>
              <w:rPr>
                <w:rFonts w:ascii="Arial" w:hAnsi="Arial"/>
                <w:b/>
                <w:bCs/>
                <w:rtl/>
              </w:rPr>
            </w:pPr>
          </w:p>
        </w:tc>
      </w:tr>
      <w:bookmarkEnd w:id="1"/>
      <w:tr w:rsidR="00B17A16" w:rsidRPr="00A914CD" w14:paraId="70E3E762" w14:textId="77777777" w:rsidTr="00B17A16">
        <w:trPr>
          <w:trHeight w:val="355"/>
        </w:trPr>
        <w:tc>
          <w:tcPr>
            <w:tcW w:w="923" w:type="dxa"/>
            <w:tcBorders>
              <w:top w:val="nil"/>
              <w:left w:val="nil"/>
              <w:bottom w:val="nil"/>
              <w:right w:val="nil"/>
            </w:tcBorders>
            <w:shd w:val="clear" w:color="auto" w:fill="auto"/>
          </w:tcPr>
          <w:p w14:paraId="74480554" w14:textId="77777777" w:rsidR="00B17A16" w:rsidRPr="00A914CD" w:rsidRDefault="00B17A16" w:rsidP="00B17A16">
            <w:pPr>
              <w:spacing w:line="360" w:lineRule="auto"/>
              <w:jc w:val="both"/>
              <w:rPr>
                <w:rFonts w:ascii="Arial" w:hAnsi="Arial"/>
                <w:b/>
                <w:bCs/>
                <w:rtl/>
              </w:rPr>
            </w:pPr>
          </w:p>
        </w:tc>
        <w:tc>
          <w:tcPr>
            <w:tcW w:w="7897" w:type="dxa"/>
            <w:gridSpan w:val="2"/>
            <w:tcBorders>
              <w:top w:val="nil"/>
              <w:left w:val="nil"/>
              <w:bottom w:val="nil"/>
              <w:right w:val="nil"/>
            </w:tcBorders>
            <w:shd w:val="clear" w:color="auto" w:fill="auto"/>
          </w:tcPr>
          <w:p w14:paraId="0A0159EF" w14:textId="77777777" w:rsidR="00B17A16" w:rsidRPr="00A914CD" w:rsidRDefault="00B17A16" w:rsidP="00B17A16">
            <w:pPr>
              <w:spacing w:line="360" w:lineRule="auto"/>
              <w:jc w:val="center"/>
              <w:rPr>
                <w:rFonts w:ascii="Arial" w:hAnsi="Arial"/>
                <w:b/>
                <w:bCs/>
              </w:rPr>
            </w:pPr>
            <w:r w:rsidRPr="00A914CD">
              <w:rPr>
                <w:rFonts w:ascii="Arial" w:hAnsi="Arial"/>
                <w:b/>
                <w:bCs/>
                <w:rtl/>
              </w:rPr>
              <w:t>נגד</w:t>
            </w:r>
          </w:p>
        </w:tc>
      </w:tr>
      <w:tr w:rsidR="00B17A16" w:rsidRPr="00A914CD" w14:paraId="39948E96" w14:textId="77777777" w:rsidTr="00B17A16">
        <w:trPr>
          <w:trHeight w:val="355"/>
        </w:trPr>
        <w:tc>
          <w:tcPr>
            <w:tcW w:w="923" w:type="dxa"/>
            <w:tcBorders>
              <w:top w:val="nil"/>
              <w:left w:val="nil"/>
              <w:bottom w:val="nil"/>
              <w:right w:val="nil"/>
            </w:tcBorders>
            <w:shd w:val="clear" w:color="auto" w:fill="auto"/>
          </w:tcPr>
          <w:p w14:paraId="72309854" w14:textId="77777777" w:rsidR="00B17A16" w:rsidRPr="00A914CD" w:rsidRDefault="00B17A16" w:rsidP="00B17A16">
            <w:pPr>
              <w:spacing w:line="360" w:lineRule="auto"/>
              <w:jc w:val="both"/>
              <w:rPr>
                <w:rFonts w:ascii="Arial" w:hAnsi="Arial"/>
                <w:b/>
                <w:bCs/>
                <w:rtl/>
              </w:rPr>
            </w:pPr>
            <w:r w:rsidRPr="00A914CD">
              <w:rPr>
                <w:rFonts w:ascii="Arial" w:hAnsi="Arial" w:hint="cs"/>
                <w:b/>
                <w:bCs/>
                <w:rtl/>
              </w:rPr>
              <w:t>הנאשם:</w:t>
            </w:r>
          </w:p>
        </w:tc>
        <w:tc>
          <w:tcPr>
            <w:tcW w:w="4126" w:type="dxa"/>
            <w:tcBorders>
              <w:top w:val="nil"/>
              <w:left w:val="nil"/>
              <w:bottom w:val="nil"/>
              <w:right w:val="nil"/>
            </w:tcBorders>
            <w:shd w:val="clear" w:color="auto" w:fill="auto"/>
          </w:tcPr>
          <w:p w14:paraId="4D50C6ED" w14:textId="77777777" w:rsidR="00B17A16" w:rsidRPr="00A914CD" w:rsidRDefault="00B17A16" w:rsidP="00B17A16">
            <w:pPr>
              <w:spacing w:line="360" w:lineRule="auto"/>
              <w:jc w:val="both"/>
              <w:rPr>
                <w:rFonts w:ascii="Arial" w:hAnsi="Arial"/>
                <w:b/>
                <w:bCs/>
                <w:rtl/>
              </w:rPr>
            </w:pPr>
            <w:r w:rsidRPr="00A914CD">
              <w:rPr>
                <w:rFonts w:ascii="Arial" w:hAnsi="Arial"/>
                <w:b/>
                <w:bCs/>
                <w:rtl/>
              </w:rPr>
              <w:t>מחמוד אל עזזמה (עציר)</w:t>
            </w:r>
          </w:p>
        </w:tc>
        <w:tc>
          <w:tcPr>
            <w:tcW w:w="3771" w:type="dxa"/>
            <w:tcBorders>
              <w:top w:val="nil"/>
              <w:left w:val="nil"/>
              <w:bottom w:val="nil"/>
              <w:right w:val="nil"/>
            </w:tcBorders>
            <w:shd w:val="clear" w:color="auto" w:fill="auto"/>
          </w:tcPr>
          <w:p w14:paraId="2EEC480B" w14:textId="77777777" w:rsidR="00B17A16" w:rsidRPr="00A914CD" w:rsidRDefault="00B17A16" w:rsidP="00B17A16">
            <w:pPr>
              <w:spacing w:line="360" w:lineRule="auto"/>
              <w:jc w:val="both"/>
              <w:rPr>
                <w:rFonts w:ascii="Arial" w:hAnsi="Arial"/>
                <w:b/>
                <w:bCs/>
              </w:rPr>
            </w:pPr>
          </w:p>
        </w:tc>
      </w:tr>
      <w:tr w:rsidR="00B17A16" w:rsidRPr="00A914CD" w14:paraId="2E3CEB0F" w14:textId="77777777" w:rsidTr="00B17A16">
        <w:trPr>
          <w:trHeight w:val="355"/>
        </w:trPr>
        <w:tc>
          <w:tcPr>
            <w:tcW w:w="923" w:type="dxa"/>
            <w:tcBorders>
              <w:top w:val="nil"/>
              <w:left w:val="nil"/>
              <w:bottom w:val="nil"/>
              <w:right w:val="nil"/>
            </w:tcBorders>
            <w:shd w:val="clear" w:color="auto" w:fill="auto"/>
          </w:tcPr>
          <w:p w14:paraId="132EDA00" w14:textId="77777777" w:rsidR="00B17A16" w:rsidRPr="00A914CD" w:rsidRDefault="00B17A16" w:rsidP="00B17A16">
            <w:pPr>
              <w:spacing w:line="360" w:lineRule="auto"/>
              <w:jc w:val="both"/>
              <w:rPr>
                <w:rFonts w:ascii="Arial" w:hAnsi="Arial"/>
                <w:b/>
                <w:bCs/>
                <w:rtl/>
              </w:rPr>
            </w:pPr>
          </w:p>
        </w:tc>
        <w:tc>
          <w:tcPr>
            <w:tcW w:w="4126" w:type="dxa"/>
            <w:tcBorders>
              <w:top w:val="nil"/>
              <w:left w:val="nil"/>
              <w:bottom w:val="nil"/>
              <w:right w:val="nil"/>
            </w:tcBorders>
            <w:shd w:val="clear" w:color="auto" w:fill="auto"/>
          </w:tcPr>
          <w:p w14:paraId="076DECBF" w14:textId="77777777" w:rsidR="00B17A16" w:rsidRPr="00A914CD" w:rsidRDefault="00B17A16" w:rsidP="00B17A16">
            <w:pPr>
              <w:spacing w:line="360" w:lineRule="auto"/>
              <w:jc w:val="both"/>
              <w:rPr>
                <w:rFonts w:ascii="Arial" w:hAnsi="Arial"/>
                <w:b/>
                <w:bCs/>
                <w:rtl/>
              </w:rPr>
            </w:pPr>
          </w:p>
        </w:tc>
        <w:tc>
          <w:tcPr>
            <w:tcW w:w="3771" w:type="dxa"/>
            <w:tcBorders>
              <w:top w:val="nil"/>
              <w:left w:val="nil"/>
              <w:bottom w:val="nil"/>
              <w:right w:val="nil"/>
            </w:tcBorders>
            <w:shd w:val="clear" w:color="auto" w:fill="auto"/>
          </w:tcPr>
          <w:p w14:paraId="1F201E73" w14:textId="77777777" w:rsidR="00B17A16" w:rsidRPr="00A914CD" w:rsidRDefault="00B17A16" w:rsidP="00B17A16">
            <w:pPr>
              <w:spacing w:line="360" w:lineRule="auto"/>
              <w:jc w:val="both"/>
              <w:rPr>
                <w:rFonts w:ascii="Arial" w:hAnsi="Arial"/>
                <w:b/>
                <w:bCs/>
              </w:rPr>
            </w:pPr>
          </w:p>
        </w:tc>
      </w:tr>
    </w:tbl>
    <w:p w14:paraId="72126AA6" w14:textId="77777777" w:rsidR="00D23451" w:rsidRDefault="00D23451" w:rsidP="00B17A16">
      <w:pPr>
        <w:spacing w:line="360" w:lineRule="auto"/>
        <w:jc w:val="both"/>
        <w:rPr>
          <w:rFonts w:ascii="Arial" w:hAnsi="Arial"/>
          <w:rtl/>
        </w:rPr>
      </w:pPr>
      <w:bookmarkStart w:id="2" w:name="LawTable"/>
      <w:bookmarkEnd w:id="2"/>
    </w:p>
    <w:p w14:paraId="47925818" w14:textId="77777777" w:rsidR="00D23451" w:rsidRPr="00D23451" w:rsidRDefault="00D23451" w:rsidP="00D23451">
      <w:pPr>
        <w:spacing w:after="120" w:line="240" w:lineRule="exact"/>
        <w:ind w:left="283" w:hanging="283"/>
        <w:jc w:val="both"/>
        <w:rPr>
          <w:rFonts w:ascii="FrankRuehl" w:hAnsi="FrankRuehl" w:cs="FrankRuehl"/>
          <w:rtl/>
        </w:rPr>
      </w:pPr>
    </w:p>
    <w:p w14:paraId="544A58E0" w14:textId="77777777" w:rsidR="00D23451" w:rsidRPr="00D23451" w:rsidRDefault="00D23451" w:rsidP="00D23451">
      <w:pPr>
        <w:spacing w:after="120" w:line="240" w:lineRule="exact"/>
        <w:ind w:left="283" w:hanging="283"/>
        <w:jc w:val="both"/>
        <w:rPr>
          <w:rFonts w:ascii="FrankRuehl" w:hAnsi="FrankRuehl" w:cs="FrankRuehl"/>
          <w:rtl/>
        </w:rPr>
      </w:pPr>
      <w:r w:rsidRPr="00D23451">
        <w:rPr>
          <w:rFonts w:ascii="FrankRuehl" w:hAnsi="FrankRuehl" w:cs="FrankRuehl"/>
          <w:rtl/>
        </w:rPr>
        <w:t xml:space="preserve">חקיקה שאוזכרה: </w:t>
      </w:r>
    </w:p>
    <w:p w14:paraId="43406024" w14:textId="77777777" w:rsidR="00D23451" w:rsidRPr="00D23451" w:rsidRDefault="00D23451" w:rsidP="00D23451">
      <w:pPr>
        <w:spacing w:after="120" w:line="240" w:lineRule="exact"/>
        <w:ind w:left="283" w:hanging="283"/>
        <w:jc w:val="both"/>
        <w:rPr>
          <w:rFonts w:ascii="FrankRuehl" w:hAnsi="FrankRuehl" w:cs="FrankRuehl"/>
          <w:rtl/>
        </w:rPr>
      </w:pPr>
      <w:hyperlink r:id="rId6" w:history="1">
        <w:r w:rsidRPr="00D23451">
          <w:rPr>
            <w:rFonts w:ascii="FrankRuehl" w:hAnsi="FrankRuehl" w:cs="FrankRuehl"/>
            <w:color w:val="0000FF"/>
            <w:u w:val="single"/>
            <w:rtl/>
          </w:rPr>
          <w:t>חוק העונשין, תשל"ז-1977</w:t>
        </w:r>
      </w:hyperlink>
      <w:r w:rsidRPr="00D23451">
        <w:rPr>
          <w:rFonts w:ascii="FrankRuehl" w:hAnsi="FrankRuehl" w:cs="FrankRuehl"/>
          <w:rtl/>
        </w:rPr>
        <w:t xml:space="preserve">: סע'  </w:t>
      </w:r>
      <w:hyperlink r:id="rId7" w:history="1">
        <w:r w:rsidRPr="00D23451">
          <w:rPr>
            <w:rFonts w:ascii="FrankRuehl" w:hAnsi="FrankRuehl" w:cs="FrankRuehl"/>
            <w:color w:val="0000FF"/>
            <w:u w:val="single"/>
            <w:rtl/>
          </w:rPr>
          <w:t>499 (א)(1)</w:t>
        </w:r>
      </w:hyperlink>
    </w:p>
    <w:p w14:paraId="17B52BF5" w14:textId="77777777" w:rsidR="00D23451" w:rsidRPr="00D23451" w:rsidRDefault="00D23451" w:rsidP="00D23451">
      <w:pPr>
        <w:spacing w:after="120" w:line="240" w:lineRule="exact"/>
        <w:ind w:left="283" w:hanging="283"/>
        <w:jc w:val="both"/>
        <w:rPr>
          <w:rFonts w:ascii="FrankRuehl" w:hAnsi="FrankRuehl" w:cs="FrankRuehl"/>
          <w:rtl/>
        </w:rPr>
      </w:pPr>
      <w:hyperlink r:id="rId8" w:history="1">
        <w:r w:rsidRPr="00D23451">
          <w:rPr>
            <w:rFonts w:ascii="FrankRuehl" w:hAnsi="FrankRuehl" w:cs="FrankRuehl"/>
            <w:color w:val="0000FF"/>
            <w:u w:val="single"/>
            <w:rtl/>
          </w:rPr>
          <w:t>פקודת הסמים המסוכנים [נוסח חדש], תשל"ג-1973</w:t>
        </w:r>
      </w:hyperlink>
    </w:p>
    <w:p w14:paraId="1C64188B" w14:textId="77777777" w:rsidR="00B17A16" w:rsidRPr="00A914CD" w:rsidRDefault="00B17A16" w:rsidP="00B17A16">
      <w:pPr>
        <w:spacing w:line="360" w:lineRule="auto"/>
        <w:jc w:val="both"/>
        <w:rPr>
          <w:rFonts w:ascii="Arial" w:hAnsi="Arial" w:hint="cs"/>
          <w:b/>
          <w:bCs/>
        </w:rPr>
      </w:pPr>
      <w:bookmarkStart w:id="3" w:name="LawTable_End"/>
      <w:bookmarkEnd w:id="3"/>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17A16" w:rsidRPr="003A5A80" w14:paraId="36D57BC2" w14:textId="77777777" w:rsidTr="00B17A16">
        <w:trPr>
          <w:trHeight w:val="355"/>
          <w:jc w:val="center"/>
        </w:trPr>
        <w:tc>
          <w:tcPr>
            <w:tcW w:w="8820" w:type="dxa"/>
            <w:tcBorders>
              <w:top w:val="nil"/>
              <w:left w:val="nil"/>
              <w:bottom w:val="nil"/>
              <w:right w:val="nil"/>
            </w:tcBorders>
            <w:shd w:val="clear" w:color="auto" w:fill="auto"/>
          </w:tcPr>
          <w:p w14:paraId="470E4B5C" w14:textId="77777777" w:rsidR="00A914CD" w:rsidRPr="00A914CD" w:rsidRDefault="00A914CD" w:rsidP="00A914CD">
            <w:pPr>
              <w:spacing w:line="360" w:lineRule="auto"/>
              <w:jc w:val="center"/>
              <w:rPr>
                <w:rFonts w:ascii="Arial" w:hAnsi="Arial"/>
                <w:b/>
                <w:bCs/>
                <w:sz w:val="28"/>
                <w:szCs w:val="28"/>
                <w:u w:val="single"/>
                <w:rtl/>
              </w:rPr>
            </w:pPr>
            <w:bookmarkStart w:id="4" w:name="PsakDin" w:colFirst="0" w:colLast="0"/>
            <w:r w:rsidRPr="00A914CD">
              <w:rPr>
                <w:rFonts w:ascii="Arial" w:hAnsi="Arial"/>
                <w:b/>
                <w:bCs/>
                <w:sz w:val="28"/>
                <w:szCs w:val="28"/>
                <w:u w:val="single"/>
                <w:rtl/>
              </w:rPr>
              <w:t>גזר דין</w:t>
            </w:r>
          </w:p>
          <w:p w14:paraId="0A6DF17A" w14:textId="77777777" w:rsidR="00B17A16" w:rsidRPr="00A914CD" w:rsidRDefault="00B17A16" w:rsidP="00A914CD">
            <w:pPr>
              <w:spacing w:line="360" w:lineRule="auto"/>
              <w:jc w:val="center"/>
              <w:rPr>
                <w:rFonts w:ascii="Arial" w:hAnsi="Arial"/>
                <w:b/>
                <w:bCs/>
                <w:sz w:val="28"/>
                <w:szCs w:val="28"/>
                <w:u w:val="single"/>
                <w:rtl/>
              </w:rPr>
            </w:pPr>
          </w:p>
        </w:tc>
      </w:tr>
      <w:bookmarkEnd w:id="4"/>
    </w:tbl>
    <w:p w14:paraId="36F9A249" w14:textId="77777777" w:rsidR="00B17A16" w:rsidRDefault="00B17A16" w:rsidP="00B17A16">
      <w:pPr>
        <w:spacing w:line="360" w:lineRule="auto"/>
        <w:jc w:val="both"/>
        <w:rPr>
          <w:rFonts w:ascii="Arial" w:hAnsi="Arial"/>
          <w:b/>
          <w:bCs/>
          <w:sz w:val="28"/>
          <w:szCs w:val="28"/>
          <w:u w:val="single"/>
          <w:rtl/>
        </w:rPr>
      </w:pPr>
    </w:p>
    <w:p w14:paraId="21D39813" w14:textId="77777777" w:rsidR="00B17A16" w:rsidRDefault="00B17A16" w:rsidP="00B17A16">
      <w:pPr>
        <w:autoSpaceDE w:val="0"/>
        <w:autoSpaceDN w:val="0"/>
        <w:adjustRightInd w:val="0"/>
        <w:spacing w:after="200" w:line="360" w:lineRule="auto"/>
        <w:ind w:left="720" w:hanging="720"/>
        <w:jc w:val="both"/>
        <w:rPr>
          <w:rFonts w:ascii="Calibri" w:hAnsi="Calibri"/>
          <w:rtl/>
        </w:rPr>
      </w:pPr>
      <w:r>
        <w:rPr>
          <w:rFonts w:ascii="Calibri" w:hAnsi="Calibri" w:hint="cs"/>
          <w:rtl/>
        </w:rPr>
        <w:t>1.</w:t>
      </w:r>
      <w:r>
        <w:rPr>
          <w:rFonts w:ascii="Calibri" w:hAnsi="Calibri" w:hint="cs"/>
          <w:rtl/>
        </w:rPr>
        <w:tab/>
      </w:r>
      <w:bookmarkStart w:id="5" w:name="ABSTRACT_START"/>
      <w:bookmarkEnd w:id="5"/>
      <w:r>
        <w:rPr>
          <w:rFonts w:ascii="Calibri" w:hAnsi="Calibri" w:hint="cs"/>
          <w:rtl/>
        </w:rPr>
        <w:t xml:space="preserve">בטרם שמיעת הראיות, הגיעו הצדדים להסדר טיעון במסגרתו הודה הנאשם כי ביום 13.04.18 הוא קשר קשר עם אחרים לייבא סמים ממצרים לישראל וכי במסגרת הקשר ולשם קידומו הוא נפגש עם אחרים בקרבת גבול ישראל מצרים ושם, אחד מהאחרים שעמד בראש הקשר, חילק בין האנשים את התפקידים השונים, ועל הנאשם הוטל להיות תצפיתן באזור נחל לבן ולתצפת על שער הגבול. </w:t>
      </w:r>
    </w:p>
    <w:p w14:paraId="4D7DC44D" w14:textId="77777777" w:rsidR="00B17A16" w:rsidRDefault="00B17A16" w:rsidP="00B17A16">
      <w:pPr>
        <w:autoSpaceDE w:val="0"/>
        <w:autoSpaceDN w:val="0"/>
        <w:adjustRightInd w:val="0"/>
        <w:spacing w:after="200" w:line="360" w:lineRule="auto"/>
        <w:ind w:left="720" w:hanging="720"/>
        <w:jc w:val="both"/>
        <w:rPr>
          <w:rFonts w:ascii="Calibri" w:hAnsi="Calibri"/>
          <w:rtl/>
        </w:rPr>
      </w:pPr>
      <w:bookmarkStart w:id="6" w:name="ABSTRACT_END"/>
      <w:bookmarkEnd w:id="6"/>
      <w:r>
        <w:rPr>
          <w:rFonts w:ascii="Calibri" w:hAnsi="Calibri" w:hint="cs"/>
          <w:rtl/>
        </w:rPr>
        <w:t>2.</w:t>
      </w:r>
      <w:r>
        <w:rPr>
          <w:rFonts w:ascii="Calibri" w:hAnsi="Calibri" w:hint="cs"/>
          <w:rtl/>
        </w:rPr>
        <w:tab/>
        <w:t xml:space="preserve">על יסוד הודאת הנאשם בעובדות, כאמור, הוא הורשע בעבירה של קשירת קשר לפשע,  לפי </w:t>
      </w:r>
      <w:hyperlink r:id="rId9" w:history="1">
        <w:r w:rsidR="00D23451" w:rsidRPr="00D23451">
          <w:rPr>
            <w:rStyle w:val="Hyperlink"/>
            <w:rFonts w:ascii="Calibri" w:hAnsi="Calibri" w:hint="eastAsia"/>
            <w:color w:val="0000FF"/>
            <w:rtl/>
          </w:rPr>
          <w:t>סעיף</w:t>
        </w:r>
        <w:r w:rsidR="00D23451" w:rsidRPr="00D23451">
          <w:rPr>
            <w:rStyle w:val="Hyperlink"/>
            <w:rFonts w:ascii="Calibri" w:hAnsi="Calibri"/>
            <w:color w:val="0000FF"/>
            <w:rtl/>
          </w:rPr>
          <w:t xml:space="preserve"> 499 (</w:t>
        </w:r>
        <w:r w:rsidR="00D23451" w:rsidRPr="00D23451">
          <w:rPr>
            <w:rStyle w:val="Hyperlink"/>
            <w:rFonts w:ascii="Calibri" w:hAnsi="Calibri" w:hint="eastAsia"/>
            <w:color w:val="0000FF"/>
            <w:rtl/>
          </w:rPr>
          <w:t>א</w:t>
        </w:r>
        <w:r w:rsidR="00D23451" w:rsidRPr="00D23451">
          <w:rPr>
            <w:rStyle w:val="Hyperlink"/>
            <w:rFonts w:ascii="Calibri" w:hAnsi="Calibri"/>
            <w:color w:val="0000FF"/>
            <w:rtl/>
          </w:rPr>
          <w:t>)(1)</w:t>
        </w:r>
      </w:hyperlink>
      <w:r>
        <w:rPr>
          <w:rFonts w:ascii="Calibri" w:hAnsi="Calibri" w:hint="cs"/>
          <w:rtl/>
        </w:rPr>
        <w:t xml:space="preserve"> ל</w:t>
      </w:r>
      <w:hyperlink r:id="rId10" w:history="1">
        <w:r w:rsidR="00A914CD" w:rsidRPr="00A914CD">
          <w:rPr>
            <w:rFonts w:ascii="Calibri" w:hAnsi="Calibri" w:hint="eastAsia"/>
            <w:color w:val="0000FF"/>
            <w:u w:val="single"/>
            <w:rtl/>
          </w:rPr>
          <w:t>חוק</w:t>
        </w:r>
        <w:r w:rsidR="00A914CD" w:rsidRPr="00A914CD">
          <w:rPr>
            <w:rFonts w:ascii="Calibri" w:hAnsi="Calibri"/>
            <w:color w:val="0000FF"/>
            <w:u w:val="single"/>
            <w:rtl/>
          </w:rPr>
          <w:t xml:space="preserve"> </w:t>
        </w:r>
        <w:r w:rsidR="00A914CD" w:rsidRPr="00A914CD">
          <w:rPr>
            <w:rFonts w:ascii="Calibri" w:hAnsi="Calibri" w:hint="eastAsia"/>
            <w:color w:val="0000FF"/>
            <w:u w:val="single"/>
            <w:rtl/>
          </w:rPr>
          <w:t>העונשין</w:t>
        </w:r>
      </w:hyperlink>
      <w:r>
        <w:rPr>
          <w:rFonts w:ascii="Calibri" w:hAnsi="Calibri" w:hint="cs"/>
          <w:rtl/>
        </w:rPr>
        <w:t xml:space="preserve"> תשל"ז-1977.</w:t>
      </w:r>
    </w:p>
    <w:p w14:paraId="6CE0AF09" w14:textId="77777777" w:rsidR="00B17A16" w:rsidRDefault="00B17A16" w:rsidP="00B17A16">
      <w:pPr>
        <w:spacing w:after="200" w:line="360" w:lineRule="auto"/>
        <w:ind w:left="720" w:hanging="720"/>
        <w:jc w:val="both"/>
        <w:rPr>
          <w:rFonts w:ascii="Calibri" w:hAnsi="Calibri"/>
          <w:rtl/>
        </w:rPr>
      </w:pPr>
      <w:r>
        <w:rPr>
          <w:rFonts w:ascii="Calibri" w:hAnsi="Calibri" w:hint="cs"/>
          <w:rtl/>
        </w:rPr>
        <w:t>3.</w:t>
      </w:r>
      <w:r>
        <w:rPr>
          <w:rFonts w:ascii="Calibri" w:hAnsi="Calibri" w:hint="cs"/>
          <w:rtl/>
        </w:rPr>
        <w:tab/>
        <w:t>במסגרת הסדר הטיעון, המליצו הצדדים לבית המשפט להטיל על הנאשם 22 חודשי מאסר בפועל, מאסר על תנאי ופסילת רישיון נהיגה על תנאי.</w:t>
      </w:r>
    </w:p>
    <w:p w14:paraId="02A7F026" w14:textId="77777777" w:rsidR="00B17A16" w:rsidRDefault="00B17A16" w:rsidP="00B17A16">
      <w:pPr>
        <w:spacing w:after="200" w:line="360" w:lineRule="auto"/>
        <w:ind w:left="720" w:hanging="720"/>
        <w:jc w:val="both"/>
        <w:rPr>
          <w:rFonts w:ascii="Calibri" w:hAnsi="Calibri"/>
          <w:rtl/>
        </w:rPr>
      </w:pPr>
      <w:r>
        <w:rPr>
          <w:rFonts w:ascii="Calibri" w:hAnsi="Calibri" w:hint="cs"/>
          <w:rtl/>
        </w:rPr>
        <w:t>4.</w:t>
      </w:r>
      <w:r>
        <w:rPr>
          <w:rFonts w:ascii="Calibri" w:hAnsi="Calibri" w:hint="cs"/>
          <w:rtl/>
        </w:rPr>
        <w:tab/>
        <w:t xml:space="preserve">ב"כ המאשימה ציינה, כי כתב האישום שהוגש נגד הנאשם תוקן משמעותית, ושהתיקון נעשה בהתאמה להליכים שהתקיימו ביחס לנאשמים האחרים בפרשה ולהסדרים העונשיים שנעשו עמם, ולנוכח העובדה כי על פי הראיות הנאשם שימש כתצפיתן, שנקרא נקודתית למקום התצפית ולא היה מודע לפעולות אחרות שביצעו המעורבים האחרים בפרשה. עוד </w:t>
      </w:r>
      <w:r>
        <w:rPr>
          <w:rFonts w:ascii="Calibri" w:hAnsi="Calibri" w:hint="cs"/>
          <w:rtl/>
        </w:rPr>
        <w:lastRenderedPageBreak/>
        <w:t xml:space="preserve">ציינה, כי העונש שמומלץ להטיל על הנאשם הותאם לתפקידו של הנאשם בפרשה; כי מעורב אחר בפרשה, שתפקידו היה דומה לזה של הנאשם, נידון במסגרת הסדר טיעון לעונש אליו עותרים הצדדים; וכי הנאשם הודה במיוחס לו כבר בחקירתו במשטרה. הוסיפה, כי לדעתה העונש המומלץ נמצא במתחם הסבירות, הגם שהוא נמוך מהראוי, וביקשה לאשר את הסדר הטיעון. </w:t>
      </w:r>
    </w:p>
    <w:p w14:paraId="7FB4894A" w14:textId="77777777" w:rsidR="00B17A16" w:rsidRDefault="00B17A16" w:rsidP="00B17A16">
      <w:pPr>
        <w:spacing w:after="200" w:line="360" w:lineRule="auto"/>
        <w:ind w:left="720"/>
        <w:jc w:val="both"/>
        <w:rPr>
          <w:rFonts w:ascii="Calibri" w:hAnsi="Calibri"/>
          <w:rtl/>
        </w:rPr>
      </w:pPr>
      <w:r>
        <w:rPr>
          <w:rFonts w:ascii="Calibri" w:hAnsi="Calibri" w:hint="cs"/>
          <w:rtl/>
        </w:rPr>
        <w:t xml:space="preserve">ב"כ הנאשם ביקשה לכבד את הסדר הטיעון. ציינה שכתב האישום תוקן משמעותית ושהנאשם הורשע רק בעבירה של קשירת קשר לייבוא סמים, והדגישה שהנאשם לא ידע את פרטי הסמים שעומדים לייבא - סוגם או כמותם. ציינה כי הנאשם בן 43, נעדר עבר פלילי והוא מצר על מעשיו. </w:t>
      </w:r>
    </w:p>
    <w:p w14:paraId="4C03D186" w14:textId="77777777" w:rsidR="00B17A16" w:rsidRDefault="00B17A16" w:rsidP="00B17A16">
      <w:pPr>
        <w:spacing w:after="200" w:line="360" w:lineRule="auto"/>
        <w:ind w:left="720" w:hanging="720"/>
        <w:jc w:val="both"/>
        <w:rPr>
          <w:rFonts w:ascii="Calibri" w:hAnsi="Calibri"/>
          <w:rtl/>
        </w:rPr>
      </w:pPr>
      <w:r>
        <w:rPr>
          <w:rFonts w:ascii="Calibri" w:hAnsi="Calibri" w:hint="cs"/>
          <w:rtl/>
        </w:rPr>
        <w:t>5.</w:t>
      </w:r>
      <w:r>
        <w:rPr>
          <w:rFonts w:ascii="Calibri" w:hAnsi="Calibri" w:hint="cs"/>
          <w:rtl/>
        </w:rPr>
        <w:tab/>
        <w:t xml:space="preserve">הפרשה המתוארת באישום השלישי לכתב האישום, חמורה מאוד. על פי הנטען, קבוצת אנשים פעלה ביחד, בשיטתיות ותוך תכנון מוקדם, על מנת להוציא לפועל תכנית לייבוא סמים ממצרים לישראל. במסגרת זו, קיבלו המעורבים מידע על מיקומם של כבלי תקשורת המפעילים מצלמות צבאיות המוצבות לאורך גבול ישראל-מצרים, וחתכו אותם ובכך שיתקו את המצלמות הצהליות לאורך הגבול. והכניסו לישראל ממצרים  200 קילוגרם של סם מסוכן מסוג חשיש. </w:t>
      </w:r>
    </w:p>
    <w:p w14:paraId="4989D2FA" w14:textId="77777777" w:rsidR="00B17A16" w:rsidRDefault="00B17A16" w:rsidP="00B17A16">
      <w:pPr>
        <w:spacing w:line="360" w:lineRule="auto"/>
        <w:ind w:left="720" w:hanging="720"/>
        <w:jc w:val="both"/>
        <w:rPr>
          <w:rFonts w:ascii="Calibri" w:hAnsi="Calibri"/>
          <w:rtl/>
        </w:rPr>
      </w:pPr>
      <w:r>
        <w:rPr>
          <w:rFonts w:ascii="Calibri" w:hAnsi="Calibri" w:hint="cs"/>
          <w:rtl/>
        </w:rPr>
        <w:tab/>
        <w:t xml:space="preserve">ואולם, העונש המוטל על נאשם צריך להלום את חומרת מעשהו בנסיבותיו ואת מידת אשמו. וכאן, העובדות המיוחסות לנאשם בכתב האישום המתוקן בשלישית, בהן הודה, והעבירה בה הורשע, מתונות משמעותית מאלה שמיוחסות למעורבים האחרים ולאלה שיוחסו לו בכתב האישום המקורי שהוגש נגדו, ולא מיוחסת לנאשם מעורבות בלב הקשר וידיעת הפרטים, אלא מילוי תפקיד מוגדר, כתצפיתן, באירוע נקודתי. </w:t>
      </w:r>
    </w:p>
    <w:p w14:paraId="476F9DBB" w14:textId="77777777" w:rsidR="00B17A16" w:rsidRDefault="00B17A16" w:rsidP="00B17A16">
      <w:pPr>
        <w:spacing w:line="360" w:lineRule="auto"/>
        <w:ind w:left="720" w:hanging="720"/>
        <w:jc w:val="both"/>
        <w:rPr>
          <w:rFonts w:ascii="Calibri" w:hAnsi="Calibri"/>
          <w:rtl/>
        </w:rPr>
      </w:pPr>
    </w:p>
    <w:p w14:paraId="2002F1C4" w14:textId="77777777" w:rsidR="00B17A16" w:rsidRDefault="00B17A16" w:rsidP="00B17A16">
      <w:pPr>
        <w:spacing w:line="360" w:lineRule="auto"/>
        <w:ind w:left="720"/>
        <w:jc w:val="both"/>
        <w:rPr>
          <w:rFonts w:ascii="FrankRuehl" w:hAnsi="FrankRuehl"/>
          <w:color w:val="000000"/>
          <w:rtl/>
        </w:rPr>
      </w:pPr>
      <w:r>
        <w:rPr>
          <w:rFonts w:ascii="Calibri" w:hAnsi="Calibri" w:hint="cs"/>
          <w:rtl/>
        </w:rPr>
        <w:t xml:space="preserve">בנוסף, הנאשם הודה בעובדות כתב האישום המתוקן בשלישית במסגרת הסדר טיעון שכלל המלצה משותפת לעניין העונש, והכלל הוא לקיים הסדרי טיעון, בשל הטעמים הקשורים בחשיבותם ובמעמדם </w:t>
      </w:r>
      <w:r>
        <w:rPr>
          <w:rFonts w:ascii="FrankRuehl" w:hAnsi="FrankRuehl" w:hint="cs"/>
          <w:color w:val="000000"/>
          <w:rtl/>
        </w:rPr>
        <w:t>(ראה ע"פ 1958/98‏ פלוני נ' מדינת ישראל, פ''ד נז(1) 577));</w:t>
      </w:r>
    </w:p>
    <w:p w14:paraId="2C01B615" w14:textId="77777777" w:rsidR="00B17A16" w:rsidRDefault="00B17A16" w:rsidP="00B17A16">
      <w:pPr>
        <w:spacing w:after="200" w:line="360" w:lineRule="auto"/>
        <w:ind w:left="720"/>
        <w:jc w:val="both"/>
        <w:rPr>
          <w:rFonts w:ascii="FrankRuehl" w:hAnsi="FrankRuehl"/>
          <w:color w:val="000000"/>
          <w:rtl/>
        </w:rPr>
      </w:pPr>
    </w:p>
    <w:p w14:paraId="58B32137" w14:textId="77777777" w:rsidR="00B17A16" w:rsidRDefault="00B17A16" w:rsidP="00B17A16">
      <w:pPr>
        <w:spacing w:after="200" w:line="360" w:lineRule="auto"/>
        <w:ind w:left="720"/>
        <w:jc w:val="both"/>
        <w:rPr>
          <w:rFonts w:ascii="Calibri" w:hAnsi="Calibri"/>
          <w:rtl/>
        </w:rPr>
      </w:pPr>
      <w:r>
        <w:rPr>
          <w:rFonts w:ascii="FrankRuehl" w:hAnsi="FrankRuehl" w:hint="cs"/>
          <w:color w:val="000000"/>
          <w:rtl/>
        </w:rPr>
        <w:t xml:space="preserve">הרקע להסדר הטיעון, כמתואר בטיעוני הצדדים, ענייני וסביר ואין עילה המצדיקה את דחייתו; מעורב אחר בפרשה, שחלקו בה דומה לזה של הנאשם, נדון במסגרת הסדר טיעון ל- 22 חודשי מאסר בפועל; והנאשם כבן 43, ללא עבר פלילי. </w:t>
      </w:r>
    </w:p>
    <w:p w14:paraId="6B0E0FCC" w14:textId="77777777" w:rsidR="00B17A16" w:rsidRDefault="00B17A16" w:rsidP="00B17A16">
      <w:pPr>
        <w:spacing w:after="200"/>
        <w:ind w:left="720" w:hanging="720"/>
        <w:jc w:val="both"/>
        <w:rPr>
          <w:rFonts w:ascii="Calibri" w:hAnsi="Calibri"/>
        </w:rPr>
      </w:pPr>
      <w:r>
        <w:rPr>
          <w:rFonts w:ascii="Calibri" w:hAnsi="Calibri" w:hint="cs"/>
          <w:rtl/>
        </w:rPr>
        <w:t>6.</w:t>
      </w:r>
      <w:r>
        <w:rPr>
          <w:rFonts w:ascii="Calibri" w:hAnsi="Calibri" w:hint="cs"/>
          <w:rtl/>
        </w:rPr>
        <w:tab/>
        <w:t>נוכח כל האמור אני מקבל את הסדר הטיעון וגוזר על הנאשם את העונשים הבאים-</w:t>
      </w:r>
    </w:p>
    <w:p w14:paraId="1580F6A1" w14:textId="77777777" w:rsidR="00B17A16" w:rsidRDefault="00B17A16" w:rsidP="00B17A16">
      <w:pPr>
        <w:spacing w:after="200"/>
        <w:ind w:left="1440" w:hanging="720"/>
        <w:jc w:val="both"/>
        <w:rPr>
          <w:rFonts w:ascii="Calibri" w:hAnsi="Calibri"/>
          <w:rtl/>
        </w:rPr>
      </w:pPr>
      <w:r>
        <w:rPr>
          <w:rFonts w:ascii="Calibri" w:hAnsi="Calibri" w:hint="cs"/>
          <w:rtl/>
        </w:rPr>
        <w:t>א.</w:t>
      </w:r>
      <w:r>
        <w:rPr>
          <w:rFonts w:ascii="Calibri" w:hAnsi="Calibri" w:hint="cs"/>
          <w:rtl/>
        </w:rPr>
        <w:tab/>
        <w:t xml:space="preserve">22 חודשי מאסר בפועל, מיום מעצרו. </w:t>
      </w:r>
    </w:p>
    <w:p w14:paraId="0F823929" w14:textId="77777777" w:rsidR="00B17A16" w:rsidRDefault="00B17A16" w:rsidP="00B17A16">
      <w:pPr>
        <w:spacing w:after="200"/>
        <w:ind w:left="1440" w:hanging="720"/>
        <w:jc w:val="both"/>
        <w:rPr>
          <w:rFonts w:ascii="Calibri" w:hAnsi="Calibri"/>
          <w:rtl/>
        </w:rPr>
      </w:pPr>
      <w:r>
        <w:rPr>
          <w:rFonts w:ascii="Calibri" w:hAnsi="Calibri" w:hint="cs"/>
          <w:rtl/>
        </w:rPr>
        <w:t>ב.</w:t>
      </w:r>
      <w:r>
        <w:rPr>
          <w:rFonts w:ascii="Calibri" w:hAnsi="Calibri" w:hint="cs"/>
          <w:rtl/>
        </w:rPr>
        <w:tab/>
        <w:t>12 חודשי מאסר על תנאי למשך שלוש שנים מיום שחרורו מהמאסר, שלא יעבור עבירה מ</w:t>
      </w:r>
      <w:hyperlink r:id="rId11" w:history="1">
        <w:r w:rsidR="00A914CD" w:rsidRPr="00A914CD">
          <w:rPr>
            <w:rFonts w:ascii="Calibri" w:hAnsi="Calibri" w:hint="eastAsia"/>
            <w:color w:val="0000FF"/>
            <w:u w:val="single"/>
            <w:rtl/>
          </w:rPr>
          <w:t>פקודת</w:t>
        </w:r>
        <w:r w:rsidR="00A914CD" w:rsidRPr="00A914CD">
          <w:rPr>
            <w:rFonts w:ascii="Calibri" w:hAnsi="Calibri"/>
            <w:color w:val="0000FF"/>
            <w:u w:val="single"/>
            <w:rtl/>
          </w:rPr>
          <w:t xml:space="preserve"> </w:t>
        </w:r>
        <w:r w:rsidR="00A914CD" w:rsidRPr="00A914CD">
          <w:rPr>
            <w:rFonts w:ascii="Calibri" w:hAnsi="Calibri" w:hint="eastAsia"/>
            <w:color w:val="0000FF"/>
            <w:u w:val="single"/>
            <w:rtl/>
          </w:rPr>
          <w:t>הסמים</w:t>
        </w:r>
        <w:r w:rsidR="00A914CD" w:rsidRPr="00A914CD">
          <w:rPr>
            <w:rFonts w:ascii="Calibri" w:hAnsi="Calibri"/>
            <w:color w:val="0000FF"/>
            <w:u w:val="single"/>
            <w:rtl/>
          </w:rPr>
          <w:t xml:space="preserve"> </w:t>
        </w:r>
        <w:r w:rsidR="00A914CD" w:rsidRPr="00A914CD">
          <w:rPr>
            <w:rFonts w:ascii="Calibri" w:hAnsi="Calibri" w:hint="eastAsia"/>
            <w:color w:val="0000FF"/>
            <w:u w:val="single"/>
            <w:rtl/>
          </w:rPr>
          <w:t>המסוכנים</w:t>
        </w:r>
      </w:hyperlink>
      <w:r>
        <w:rPr>
          <w:rFonts w:ascii="Calibri" w:hAnsi="Calibri" w:hint="cs"/>
          <w:rtl/>
        </w:rPr>
        <w:t xml:space="preserve"> [נוסח חדש], התשל"ג-1973, שהיא פשע.</w:t>
      </w:r>
    </w:p>
    <w:p w14:paraId="11D795FD" w14:textId="77777777" w:rsidR="00B17A16" w:rsidRDefault="00A914CD" w:rsidP="00B17A16">
      <w:pPr>
        <w:spacing w:after="200"/>
        <w:ind w:left="1440" w:hanging="720"/>
        <w:jc w:val="both"/>
        <w:rPr>
          <w:rFonts w:ascii="Calibri" w:hAnsi="Calibri"/>
          <w:rtl/>
        </w:rPr>
      </w:pPr>
      <w:r w:rsidRPr="00A914CD">
        <w:rPr>
          <w:rFonts w:ascii="Calibri" w:hAnsi="Calibri"/>
          <w:color w:val="FFFFFF"/>
          <w:sz w:val="2"/>
          <w:szCs w:val="2"/>
          <w:rtl/>
        </w:rPr>
        <w:lastRenderedPageBreak/>
        <w:t>5129371</w:t>
      </w:r>
      <w:r w:rsidR="00B17A16">
        <w:rPr>
          <w:rFonts w:ascii="Calibri" w:hAnsi="Calibri" w:hint="cs"/>
          <w:rtl/>
        </w:rPr>
        <w:t>ג.</w:t>
      </w:r>
      <w:r w:rsidR="00B17A16">
        <w:rPr>
          <w:rFonts w:ascii="Calibri" w:hAnsi="Calibri" w:hint="cs"/>
          <w:rtl/>
        </w:rPr>
        <w:tab/>
      </w:r>
      <w:r w:rsidR="00B17A16">
        <w:rPr>
          <w:rFonts w:ascii="Calibri" w:hAnsi="Calibri" w:hint="cs"/>
          <w:color w:val="000000"/>
          <w:sz w:val="22"/>
          <w:rtl/>
        </w:rPr>
        <w:t>אני פוסל את הנאשם מלהחזיק או לקבל רישיון נהיגה למשך 6 חודשים, על תנאי, למשך שנתיים.</w:t>
      </w:r>
    </w:p>
    <w:p w14:paraId="16A1D850" w14:textId="77777777" w:rsidR="00B17A16" w:rsidRDefault="00A914CD" w:rsidP="00B17A16">
      <w:pPr>
        <w:spacing w:after="200" w:line="360" w:lineRule="auto"/>
        <w:ind w:left="1440" w:hanging="720"/>
        <w:jc w:val="both"/>
        <w:rPr>
          <w:rFonts w:ascii="Calibri" w:hAnsi="Calibri"/>
          <w:b/>
          <w:bCs/>
          <w:rtl/>
        </w:rPr>
      </w:pPr>
      <w:r w:rsidRPr="00A914CD">
        <w:rPr>
          <w:rFonts w:ascii="Calibri" w:hAnsi="Calibri"/>
          <w:b/>
          <w:bCs/>
          <w:color w:val="FFFFFF"/>
          <w:sz w:val="2"/>
          <w:szCs w:val="2"/>
          <w:rtl/>
        </w:rPr>
        <w:t>54678313</w:t>
      </w:r>
      <w:r w:rsidR="00B17A16">
        <w:rPr>
          <w:rFonts w:ascii="Calibri" w:hAnsi="Calibri" w:hint="cs"/>
          <w:b/>
          <w:bCs/>
          <w:rtl/>
        </w:rPr>
        <w:t>זכות ערעור תוך 45 יום.</w:t>
      </w:r>
    </w:p>
    <w:p w14:paraId="59F440E4" w14:textId="77777777" w:rsidR="00B17A16" w:rsidRPr="003A5A80" w:rsidRDefault="00A914CD" w:rsidP="00B17A16">
      <w:pPr>
        <w:jc w:val="both"/>
      </w:pPr>
      <w:r>
        <w:rPr>
          <w:rFonts w:ascii="Arial" w:hAnsi="Arial"/>
          <w:rtl/>
        </w:rPr>
        <w:t xml:space="preserve">ניתן היום,  כ"ב אדר א' תשע"ט, 27 פברואר 2019, בנוכחות הצדדים. </w:t>
      </w:r>
      <w:r w:rsidR="00B17A16" w:rsidRPr="003A5A80">
        <w:rPr>
          <w:rFonts w:hint="cs"/>
          <w:rtl/>
        </w:rPr>
        <w:t xml:space="preserve">   </w:t>
      </w:r>
      <w:r w:rsidR="00B17A16" w:rsidRPr="003A5A80">
        <w:rPr>
          <w:rFonts w:hint="cs"/>
          <w:rtl/>
        </w:rPr>
        <w:tab/>
      </w:r>
      <w:r w:rsidR="00B17A16" w:rsidRPr="003A5A80">
        <w:rPr>
          <w:rFonts w:hint="cs"/>
          <w:rtl/>
        </w:rPr>
        <w:tab/>
      </w:r>
      <w:r w:rsidR="00B17A16" w:rsidRPr="003A5A80">
        <w:rPr>
          <w:rFonts w:hint="cs"/>
          <w:rtl/>
        </w:rPr>
        <w:tab/>
      </w:r>
      <w:r w:rsidR="00B17A16" w:rsidRPr="003A5A80">
        <w:rPr>
          <w:rFonts w:hint="cs"/>
          <w:rtl/>
        </w:rPr>
        <w:tab/>
      </w:r>
      <w:r w:rsidR="00B17A16" w:rsidRPr="003A5A80">
        <w:rPr>
          <w:rFonts w:hint="cs"/>
          <w:rtl/>
        </w:rPr>
        <w:tab/>
      </w:r>
      <w:r w:rsidR="00B17A16">
        <w:rPr>
          <w:rtl/>
        </w:rPr>
        <w:t xml:space="preserve">     </w:t>
      </w:r>
    </w:p>
    <w:p w14:paraId="0A6A3DC7" w14:textId="77777777" w:rsidR="00B17A16" w:rsidRPr="003A5A80" w:rsidRDefault="00B17A16" w:rsidP="00B17A16">
      <w:pPr>
        <w:jc w:val="both"/>
        <w:rPr>
          <w:rFonts w:ascii="Arial" w:hAnsi="Arial"/>
          <w:rtl/>
        </w:rPr>
      </w:pPr>
    </w:p>
    <w:p w14:paraId="28D0B1B1" w14:textId="77777777" w:rsidR="00B17A16" w:rsidRPr="003A5A80" w:rsidRDefault="00B17A16" w:rsidP="00B17A16">
      <w:pPr>
        <w:jc w:val="both"/>
        <w:rPr>
          <w:rtl/>
        </w:rPr>
      </w:pPr>
    </w:p>
    <w:p w14:paraId="693DA831" w14:textId="77777777" w:rsidR="00B17A16" w:rsidRPr="003A5A80" w:rsidRDefault="00B17A16" w:rsidP="00B17A16">
      <w:pPr>
        <w:pStyle w:val="a3"/>
        <w:spacing w:line="360" w:lineRule="auto"/>
        <w:jc w:val="both"/>
        <w:rPr>
          <w:rtl/>
        </w:rPr>
      </w:pPr>
    </w:p>
    <w:p w14:paraId="7D6A5848" w14:textId="77777777" w:rsidR="00D46A05" w:rsidRPr="00A914CD" w:rsidRDefault="00D46A05" w:rsidP="00A914CD">
      <w:pPr>
        <w:keepNext/>
        <w:rPr>
          <w:rFonts w:ascii="David" w:hAnsi="David"/>
          <w:color w:val="000000"/>
          <w:sz w:val="22"/>
          <w:szCs w:val="22"/>
          <w:rtl/>
        </w:rPr>
      </w:pPr>
    </w:p>
    <w:p w14:paraId="73C9C55A" w14:textId="77777777" w:rsidR="00A914CD" w:rsidRPr="00A914CD" w:rsidRDefault="00A914CD" w:rsidP="00A914CD">
      <w:pPr>
        <w:keepNext/>
        <w:rPr>
          <w:rFonts w:ascii="David" w:hAnsi="David"/>
          <w:color w:val="000000"/>
          <w:sz w:val="22"/>
          <w:szCs w:val="22"/>
          <w:rtl/>
        </w:rPr>
      </w:pPr>
      <w:r w:rsidRPr="00A914CD">
        <w:rPr>
          <w:rFonts w:ascii="David" w:hAnsi="David"/>
          <w:color w:val="000000"/>
          <w:sz w:val="22"/>
          <w:szCs w:val="22"/>
          <w:rtl/>
        </w:rPr>
        <w:t>ס. אליהו ביתן 54678313</w:t>
      </w:r>
    </w:p>
    <w:p w14:paraId="1EA50FFF" w14:textId="77777777" w:rsidR="00A914CD" w:rsidRDefault="00A914CD" w:rsidP="00A914CD">
      <w:r w:rsidRPr="00A914CD">
        <w:rPr>
          <w:color w:val="000000"/>
          <w:rtl/>
        </w:rPr>
        <w:t>נוסח מסמך זה כפוף לשינויי ניסוח ועריכה</w:t>
      </w:r>
    </w:p>
    <w:p w14:paraId="3D637EAE" w14:textId="77777777" w:rsidR="00A914CD" w:rsidRDefault="00A914CD" w:rsidP="00A914CD">
      <w:pPr>
        <w:rPr>
          <w:rtl/>
        </w:rPr>
      </w:pPr>
    </w:p>
    <w:p w14:paraId="2CFFB945" w14:textId="77777777" w:rsidR="00A914CD" w:rsidRDefault="00A914CD" w:rsidP="00A914CD">
      <w:pPr>
        <w:jc w:val="center"/>
        <w:rPr>
          <w:color w:val="0000FF"/>
          <w:u w:val="single"/>
        </w:rPr>
      </w:pPr>
      <w:hyperlink r:id="rId12" w:history="1">
        <w:r>
          <w:rPr>
            <w:color w:val="0000FF"/>
            <w:u w:val="single"/>
            <w:rtl/>
          </w:rPr>
          <w:t>בעניין עריכה ושינויים במסמכי פסיקה, חקיקה ועוד באתר נבו – הקש כאן</w:t>
        </w:r>
      </w:hyperlink>
    </w:p>
    <w:p w14:paraId="697360A9" w14:textId="77777777" w:rsidR="00A914CD" w:rsidRPr="00A914CD" w:rsidRDefault="00A914CD" w:rsidP="00A914CD">
      <w:pPr>
        <w:jc w:val="center"/>
        <w:rPr>
          <w:color w:val="0000FF"/>
          <w:u w:val="single"/>
        </w:rPr>
      </w:pPr>
    </w:p>
    <w:sectPr w:rsidR="00A914CD" w:rsidRPr="00A914CD" w:rsidSect="00A914CD">
      <w:headerReference w:type="even" r:id="rId13"/>
      <w:headerReference w:type="default" r:id="rId14"/>
      <w:footerReference w:type="even" r:id="rId15"/>
      <w:footerReference w:type="default" r:id="rId1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BFF117" w14:textId="77777777" w:rsidR="00B327F8" w:rsidRDefault="00B327F8" w:rsidP="000C1E5F">
      <w:r>
        <w:separator/>
      </w:r>
    </w:p>
  </w:endnote>
  <w:endnote w:type="continuationSeparator" w:id="0">
    <w:p w14:paraId="79DAC57B" w14:textId="77777777" w:rsidR="00B327F8" w:rsidRDefault="00B327F8" w:rsidP="000C1E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8CEBD6" w14:textId="77777777" w:rsidR="00A914CD" w:rsidRDefault="00A914CD" w:rsidP="00A914C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74059A4" w14:textId="77777777" w:rsidR="00AD2BAC" w:rsidRPr="00A914CD" w:rsidRDefault="00A914CD" w:rsidP="00A914C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D340F7" w14:textId="77777777" w:rsidR="00A914CD" w:rsidRDefault="00A914CD" w:rsidP="00A914C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9726F">
      <w:rPr>
        <w:rFonts w:ascii="FrankRuehl" w:hAnsi="FrankRuehl" w:cs="FrankRuehl"/>
        <w:noProof/>
        <w:rtl/>
      </w:rPr>
      <w:t>1</w:t>
    </w:r>
    <w:r>
      <w:rPr>
        <w:rFonts w:ascii="FrankRuehl" w:hAnsi="FrankRuehl" w:cs="FrankRuehl"/>
        <w:rtl/>
      </w:rPr>
      <w:fldChar w:fldCharType="end"/>
    </w:r>
  </w:p>
  <w:p w14:paraId="706FF136" w14:textId="77777777" w:rsidR="00AD2BAC" w:rsidRPr="00A914CD" w:rsidRDefault="00A914CD" w:rsidP="00A914C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65A27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82E3AF" w14:textId="77777777" w:rsidR="00B327F8" w:rsidRDefault="00B327F8" w:rsidP="000C1E5F">
      <w:r>
        <w:separator/>
      </w:r>
    </w:p>
  </w:footnote>
  <w:footnote w:type="continuationSeparator" w:id="0">
    <w:p w14:paraId="468FF546" w14:textId="77777777" w:rsidR="00B327F8" w:rsidRDefault="00B327F8" w:rsidP="000C1E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68F890" w14:textId="77777777" w:rsidR="00A914CD" w:rsidRPr="00A914CD" w:rsidRDefault="00A914CD" w:rsidP="00A914C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37760-05-18</w:t>
    </w:r>
    <w:r>
      <w:rPr>
        <w:rFonts w:ascii="David" w:hAnsi="David"/>
        <w:color w:val="000000"/>
        <w:sz w:val="22"/>
        <w:szCs w:val="22"/>
        <w:rtl/>
      </w:rPr>
      <w:tab/>
      <w:t xml:space="preserve"> מדינת ישראל נ' מחמוד אל עזזמה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F271C2" w14:textId="77777777" w:rsidR="00A914CD" w:rsidRPr="00A914CD" w:rsidRDefault="00A914CD" w:rsidP="00A914C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37760-05-18</w:t>
    </w:r>
    <w:r>
      <w:rPr>
        <w:rFonts w:ascii="David" w:hAnsi="David"/>
        <w:color w:val="000000"/>
        <w:sz w:val="22"/>
        <w:szCs w:val="22"/>
        <w:rtl/>
      </w:rPr>
      <w:tab/>
      <w:t xml:space="preserve"> מדינת ישראל נ' מחמוד אל עזזמה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17A16"/>
    <w:rsid w:val="000C1E5F"/>
    <w:rsid w:val="00381020"/>
    <w:rsid w:val="004F7D62"/>
    <w:rsid w:val="00A914CD"/>
    <w:rsid w:val="00AD2BAC"/>
    <w:rsid w:val="00B17A16"/>
    <w:rsid w:val="00B327F8"/>
    <w:rsid w:val="00D23451"/>
    <w:rsid w:val="00D46A05"/>
    <w:rsid w:val="00F216D2"/>
    <w:rsid w:val="00F9726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103874F7"/>
  <w15:chartTrackingRefBased/>
  <w15:docId w15:val="{F619B5C0-9552-4E7C-9238-DD5A48C67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17A16"/>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17A16"/>
    <w:pPr>
      <w:tabs>
        <w:tab w:val="center" w:pos="4153"/>
        <w:tab w:val="right" w:pos="8306"/>
      </w:tabs>
    </w:pPr>
  </w:style>
  <w:style w:type="character" w:customStyle="1" w:styleId="a4">
    <w:name w:val="כותרת עליונה תו"/>
    <w:link w:val="a3"/>
    <w:rsid w:val="00B17A16"/>
    <w:rPr>
      <w:rFonts w:ascii="Times New Roman" w:eastAsia="Times New Roman" w:hAnsi="Times New Roman" w:cs="David"/>
      <w:sz w:val="24"/>
      <w:szCs w:val="24"/>
    </w:rPr>
  </w:style>
  <w:style w:type="paragraph" w:styleId="a5">
    <w:name w:val="footer"/>
    <w:basedOn w:val="a"/>
    <w:link w:val="a6"/>
    <w:rsid w:val="00B17A16"/>
    <w:pPr>
      <w:tabs>
        <w:tab w:val="center" w:pos="4153"/>
        <w:tab w:val="right" w:pos="8306"/>
      </w:tabs>
    </w:pPr>
  </w:style>
  <w:style w:type="character" w:customStyle="1" w:styleId="a6">
    <w:name w:val="כותרת תחתונה תו"/>
    <w:link w:val="a5"/>
    <w:rsid w:val="00B17A16"/>
    <w:rPr>
      <w:rFonts w:ascii="Times New Roman" w:eastAsia="Times New Roman" w:hAnsi="Times New Roman" w:cs="David"/>
      <w:sz w:val="24"/>
      <w:szCs w:val="24"/>
    </w:rPr>
  </w:style>
  <w:style w:type="table" w:styleId="a7">
    <w:name w:val="Table Grid"/>
    <w:basedOn w:val="a1"/>
    <w:rsid w:val="00B17A1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17A16"/>
  </w:style>
  <w:style w:type="character" w:styleId="Hyperlink">
    <w:name w:val="Hyperlink"/>
    <w:rsid w:val="00A914C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law/70301/499.a.1" TargetMode="External"/><Relationship Id="rId12" Type="http://schemas.openxmlformats.org/officeDocument/2006/relationships/hyperlink" Target="http://www.nevo.co.il/advertisements/nevo-100.doc"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4216"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www.nevo.co.il/law/70301" TargetMode="External"/><Relationship Id="rId4" Type="http://schemas.openxmlformats.org/officeDocument/2006/relationships/footnotes" Target="footnotes.xml"/><Relationship Id="rId9" Type="http://schemas.openxmlformats.org/officeDocument/2006/relationships/hyperlink" Target="http://www.nevo.co.il/law/70301/499.a.1" TargetMode="Externa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650</Words>
  <Characters>3250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3893</CharactersWithSpaces>
  <SharedDoc>false</SharedDoc>
  <HLinks>
    <vt:vector size="42" baseType="variant">
      <vt:variant>
        <vt:i4>393283</vt:i4>
      </vt:variant>
      <vt:variant>
        <vt:i4>18</vt:i4>
      </vt:variant>
      <vt:variant>
        <vt:i4>0</vt:i4>
      </vt:variant>
      <vt:variant>
        <vt:i4>5</vt:i4>
      </vt:variant>
      <vt:variant>
        <vt:lpwstr>http://www.nevo.co.il/advertisements/nevo-100.doc</vt:lpwstr>
      </vt:variant>
      <vt:variant>
        <vt:lpwstr/>
      </vt:variant>
      <vt:variant>
        <vt:i4>8257637</vt:i4>
      </vt:variant>
      <vt:variant>
        <vt:i4>15</vt:i4>
      </vt:variant>
      <vt:variant>
        <vt:i4>0</vt:i4>
      </vt:variant>
      <vt:variant>
        <vt:i4>5</vt:i4>
      </vt:variant>
      <vt:variant>
        <vt:lpwstr>http://www.nevo.co.il/law/4216</vt:lpwstr>
      </vt:variant>
      <vt:variant>
        <vt:lpwstr/>
      </vt:variant>
      <vt:variant>
        <vt:i4>7995492</vt:i4>
      </vt:variant>
      <vt:variant>
        <vt:i4>12</vt:i4>
      </vt:variant>
      <vt:variant>
        <vt:i4>0</vt:i4>
      </vt:variant>
      <vt:variant>
        <vt:i4>5</vt:i4>
      </vt:variant>
      <vt:variant>
        <vt:lpwstr>http://www.nevo.co.il/law/70301</vt:lpwstr>
      </vt:variant>
      <vt:variant>
        <vt:lpwstr/>
      </vt:variant>
      <vt:variant>
        <vt:i4>7077945</vt:i4>
      </vt:variant>
      <vt:variant>
        <vt:i4>9</vt:i4>
      </vt:variant>
      <vt:variant>
        <vt:i4>0</vt:i4>
      </vt:variant>
      <vt:variant>
        <vt:i4>5</vt:i4>
      </vt:variant>
      <vt:variant>
        <vt:lpwstr>http://www.nevo.co.il/law/70301/499.a.1</vt:lpwstr>
      </vt:variant>
      <vt:variant>
        <vt:lpwstr/>
      </vt:variant>
      <vt:variant>
        <vt:i4>8257637</vt:i4>
      </vt:variant>
      <vt:variant>
        <vt:i4>6</vt:i4>
      </vt:variant>
      <vt:variant>
        <vt:i4>0</vt:i4>
      </vt:variant>
      <vt:variant>
        <vt:i4>5</vt:i4>
      </vt:variant>
      <vt:variant>
        <vt:lpwstr>http://www.nevo.co.il/law/4216</vt:lpwstr>
      </vt:variant>
      <vt:variant>
        <vt:lpwstr/>
      </vt:variant>
      <vt:variant>
        <vt:i4>7077945</vt:i4>
      </vt:variant>
      <vt:variant>
        <vt:i4>3</vt:i4>
      </vt:variant>
      <vt:variant>
        <vt:i4>0</vt:i4>
      </vt:variant>
      <vt:variant>
        <vt:i4>5</vt:i4>
      </vt:variant>
      <vt:variant>
        <vt:lpwstr>http://www.nevo.co.il/law/70301/499.a.1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2025-04-22T20:54:00Z</dcterms:created>
  <dcterms:modified xsi:type="dcterms:W3CDTF">2025-04-22T20:54:00Z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37760</vt:lpwstr>
  </property>
  <property fmtid="{D5CDD505-2E9C-101B-9397-08002B2CF9AE}" pid="6" name="NEWPARTB">
    <vt:lpwstr>05</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מחמוד אל עזזמה</vt:lpwstr>
  </property>
  <property fmtid="{D5CDD505-2E9C-101B-9397-08002B2CF9AE}" pid="10" name="JUDGE">
    <vt:lpwstr>ס. אליהו ביתן</vt:lpwstr>
  </property>
  <property fmtid="{D5CDD505-2E9C-101B-9397-08002B2CF9AE}" pid="11" name="CITY">
    <vt:lpwstr>ב"ש</vt:lpwstr>
  </property>
  <property fmtid="{D5CDD505-2E9C-101B-9397-08002B2CF9AE}" pid="12" name="DATE">
    <vt:lpwstr>20190227</vt:lpwstr>
  </property>
  <property fmtid="{D5CDD505-2E9C-101B-9397-08002B2CF9AE}" pid="13" name="TYPE_N_DATE">
    <vt:lpwstr>39020190227</vt:lpwstr>
  </property>
  <property fmtid="{D5CDD505-2E9C-101B-9397-08002B2CF9AE}" pid="14" name="WORDNUMPAGES">
    <vt:lpwstr>3</vt:lpwstr>
  </property>
  <property fmtid="{D5CDD505-2E9C-101B-9397-08002B2CF9AE}" pid="15" name="TYPE_ABS_DATE">
    <vt:lpwstr>390020190227</vt:lpwstr>
  </property>
  <property fmtid="{D5CDD505-2E9C-101B-9397-08002B2CF9AE}" pid="16" name="ISABSTRACT">
    <vt:lpwstr>Y</vt:lpwstr>
  </property>
  <property fmtid="{D5CDD505-2E9C-101B-9397-08002B2CF9AE}" pid="17" name="LAWLISTTMP1">
    <vt:lpwstr>70301/499.a.1</vt:lpwstr>
  </property>
  <property fmtid="{D5CDD505-2E9C-101B-9397-08002B2CF9AE}" pid="18" name="LAWLISTTMP2">
    <vt:lpwstr>4216</vt:lpwstr>
  </property>
</Properties>
</file>