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224" w:type="dxa"/>
        <w:jc w:val="center"/>
        <w:tblLook w:val="0000" w:firstRow="0" w:lastRow="0" w:firstColumn="0" w:lastColumn="0" w:noHBand="0" w:noVBand="0"/>
      </w:tblPr>
      <w:tblGrid>
        <w:gridCol w:w="3671"/>
        <w:gridCol w:w="1256"/>
        <w:gridCol w:w="4297"/>
      </w:tblGrid>
      <w:tr w:rsidR="00B975DB" w:rsidRPr="00AE6493" w14:paraId="5FF67C58" w14:textId="77777777" w:rsidTr="00ED42D8">
        <w:trPr>
          <w:trHeight w:hRule="exact" w:val="339"/>
          <w:jc w:val="center"/>
        </w:trPr>
        <w:tc>
          <w:tcPr>
            <w:tcW w:w="9224" w:type="dxa"/>
            <w:gridSpan w:val="3"/>
          </w:tcPr>
          <w:p w14:paraId="07A4FFD0" w14:textId="77777777" w:rsidR="00B975DB" w:rsidRPr="00AE6493" w:rsidRDefault="00B975DB" w:rsidP="00ED42D8">
            <w:pPr>
              <w:pStyle w:val="a3"/>
              <w:jc w:val="center"/>
              <w:rPr>
                <w:rFonts w:ascii="Tahoma" w:hAnsi="Tahoma"/>
                <w:rtl/>
              </w:rPr>
            </w:pPr>
            <w:bookmarkStart w:id="0" w:name="LastJudge"/>
            <w:r w:rsidRPr="00AE6493">
              <w:rPr>
                <w:rFonts w:ascii="Tahoma" w:hAnsi="Tahoma" w:hint="cs"/>
                <w:b/>
                <w:bCs/>
                <w:rtl/>
              </w:rPr>
              <w:t>בתי המשפט</w:t>
            </w:r>
          </w:p>
        </w:tc>
      </w:tr>
      <w:tr w:rsidR="00B975DB" w:rsidRPr="00AE6493" w14:paraId="5199AF5A" w14:textId="77777777" w:rsidTr="00ED42D8">
        <w:trPr>
          <w:trHeight w:val="337"/>
          <w:jc w:val="center"/>
        </w:trPr>
        <w:tc>
          <w:tcPr>
            <w:tcW w:w="4927" w:type="dxa"/>
            <w:gridSpan w:val="2"/>
          </w:tcPr>
          <w:p w14:paraId="0E0D1523" w14:textId="77777777" w:rsidR="00B975DB" w:rsidRPr="00AE6493" w:rsidRDefault="00B975DB" w:rsidP="00ED42D8">
            <w:pPr>
              <w:pStyle w:val="a3"/>
              <w:rPr>
                <w:b/>
                <w:bCs/>
                <w:sz w:val="32"/>
                <w:szCs w:val="32"/>
                <w:rtl/>
              </w:rPr>
            </w:pPr>
            <w:r w:rsidRPr="00AE6493">
              <w:rPr>
                <w:rFonts w:hint="cs"/>
                <w:b/>
                <w:bCs/>
                <w:sz w:val="32"/>
                <w:szCs w:val="32"/>
                <w:rtl/>
              </w:rPr>
              <w:t>בבית המשפט המחוזי</w:t>
            </w:r>
          </w:p>
          <w:p w14:paraId="26F09909" w14:textId="77777777" w:rsidR="00B975DB" w:rsidRPr="00AE6493" w:rsidRDefault="00B975DB" w:rsidP="00ED42D8">
            <w:pPr>
              <w:pStyle w:val="a3"/>
              <w:rPr>
                <w:sz w:val="28"/>
                <w:szCs w:val="28"/>
                <w:rtl/>
              </w:rPr>
            </w:pPr>
            <w:r w:rsidRPr="00AE6493">
              <w:rPr>
                <w:rFonts w:hint="cs"/>
                <w:b/>
                <w:bCs/>
                <w:sz w:val="32"/>
                <w:szCs w:val="32"/>
                <w:rtl/>
              </w:rPr>
              <w:t>בירושלים</w:t>
            </w:r>
          </w:p>
        </w:tc>
        <w:tc>
          <w:tcPr>
            <w:tcW w:w="4297" w:type="dxa"/>
          </w:tcPr>
          <w:p w14:paraId="772BC662" w14:textId="77777777" w:rsidR="00B975DB" w:rsidRPr="00AE6493" w:rsidRDefault="00B975DB" w:rsidP="00ED42D8">
            <w:pPr>
              <w:jc w:val="right"/>
              <w:rPr>
                <w:b/>
                <w:bCs/>
                <w:sz w:val="32"/>
                <w:szCs w:val="32"/>
                <w:rtl/>
              </w:rPr>
            </w:pPr>
            <w:r w:rsidRPr="00AE6493">
              <w:rPr>
                <w:b/>
                <w:bCs/>
                <w:sz w:val="32"/>
                <w:szCs w:val="32"/>
                <w:rtl/>
              </w:rPr>
              <w:t>ת"פ</w:t>
            </w:r>
            <w:r w:rsidRPr="00AE6493">
              <w:rPr>
                <w:rFonts w:hint="cs"/>
                <w:b/>
                <w:bCs/>
                <w:sz w:val="32"/>
                <w:szCs w:val="32"/>
                <w:rtl/>
              </w:rPr>
              <w:t xml:space="preserve"> </w:t>
            </w:r>
            <w:r w:rsidRPr="00AE6493">
              <w:rPr>
                <w:b/>
                <w:bCs/>
                <w:sz w:val="32"/>
                <w:szCs w:val="32"/>
                <w:rtl/>
              </w:rPr>
              <w:t>5846-06-18</w:t>
            </w:r>
            <w:r w:rsidRPr="00AE6493">
              <w:rPr>
                <w:rFonts w:hint="cs"/>
                <w:b/>
                <w:bCs/>
                <w:sz w:val="32"/>
                <w:szCs w:val="32"/>
                <w:rtl/>
              </w:rPr>
              <w:t xml:space="preserve"> </w:t>
            </w:r>
          </w:p>
          <w:p w14:paraId="65668ED1" w14:textId="77777777" w:rsidR="00B975DB" w:rsidRPr="00AE6493" w:rsidRDefault="00B975DB" w:rsidP="00ED42D8">
            <w:pPr>
              <w:pStyle w:val="a3"/>
              <w:jc w:val="right"/>
              <w:rPr>
                <w:rtl/>
              </w:rPr>
            </w:pPr>
          </w:p>
          <w:p w14:paraId="2A81D373" w14:textId="77777777" w:rsidR="00B975DB" w:rsidRPr="00AE6493" w:rsidRDefault="00B975DB" w:rsidP="00ED42D8">
            <w:pPr>
              <w:pStyle w:val="a3"/>
              <w:jc w:val="right"/>
              <w:rPr>
                <w:b/>
                <w:bCs/>
                <w:sz w:val="32"/>
                <w:szCs w:val="32"/>
                <w:rtl/>
              </w:rPr>
            </w:pPr>
          </w:p>
        </w:tc>
      </w:tr>
      <w:tr w:rsidR="00B975DB" w:rsidRPr="00AE6493" w14:paraId="481A623A" w14:textId="77777777" w:rsidTr="00ED42D8">
        <w:trPr>
          <w:trHeight w:val="337"/>
          <w:jc w:val="center"/>
        </w:trPr>
        <w:tc>
          <w:tcPr>
            <w:tcW w:w="3671" w:type="dxa"/>
          </w:tcPr>
          <w:p w14:paraId="0FE901F7" w14:textId="77777777" w:rsidR="00B975DB" w:rsidRPr="00AE6493" w:rsidRDefault="00B975DB" w:rsidP="00ED42D8">
            <w:pPr>
              <w:rPr>
                <w:rFonts w:ascii="Arial" w:hAnsi="Arial"/>
                <w:b/>
                <w:bCs/>
                <w:sz w:val="28"/>
                <w:szCs w:val="28"/>
                <w:rtl/>
              </w:rPr>
            </w:pPr>
          </w:p>
          <w:p w14:paraId="78FD1447" w14:textId="77777777" w:rsidR="00B975DB" w:rsidRPr="00AE6493" w:rsidRDefault="00B975DB" w:rsidP="00ED42D8">
            <w:r w:rsidRPr="00AE6493">
              <w:rPr>
                <w:rFonts w:ascii="Arial" w:hAnsi="Arial" w:hint="cs"/>
                <w:b/>
                <w:bCs/>
                <w:sz w:val="28"/>
                <w:szCs w:val="28"/>
                <w:rtl/>
              </w:rPr>
              <w:t>ב</w:t>
            </w:r>
            <w:r w:rsidRPr="00AE6493">
              <w:rPr>
                <w:rFonts w:ascii="Arial" w:hAnsi="Arial"/>
                <w:b/>
                <w:bCs/>
                <w:sz w:val="28"/>
                <w:szCs w:val="28"/>
                <w:rtl/>
              </w:rPr>
              <w:t>פני</w:t>
            </w:r>
            <w:r w:rsidRPr="00AE6493">
              <w:rPr>
                <w:rFonts w:ascii="Arial" w:hAnsi="Arial" w:hint="cs"/>
                <w:b/>
                <w:bCs/>
                <w:sz w:val="28"/>
                <w:szCs w:val="28"/>
                <w:rtl/>
              </w:rPr>
              <w:t>: כב' ה</w:t>
            </w:r>
            <w:r w:rsidRPr="00AE6493">
              <w:rPr>
                <w:rFonts w:ascii="Arial" w:hAnsi="Arial"/>
                <w:b/>
                <w:bCs/>
                <w:sz w:val="28"/>
                <w:szCs w:val="28"/>
                <w:rtl/>
              </w:rPr>
              <w:t>שופט</w:t>
            </w:r>
            <w:r w:rsidRPr="00AE6493">
              <w:rPr>
                <w:rFonts w:ascii="Arial" w:hAnsi="Arial" w:hint="cs"/>
                <w:b/>
                <w:bCs/>
                <w:sz w:val="28"/>
                <w:szCs w:val="28"/>
                <w:rtl/>
              </w:rPr>
              <w:t xml:space="preserve"> </w:t>
            </w:r>
            <w:r w:rsidRPr="00AE6493">
              <w:rPr>
                <w:rFonts w:ascii="Arial" w:hAnsi="Arial"/>
                <w:b/>
                <w:bCs/>
                <w:sz w:val="28"/>
                <w:szCs w:val="28"/>
                <w:rtl/>
              </w:rPr>
              <w:t>אלכסנדר רון</w:t>
            </w:r>
          </w:p>
          <w:p w14:paraId="1FFFE6CC" w14:textId="77777777" w:rsidR="00B975DB" w:rsidRPr="00AE6493" w:rsidRDefault="00B975DB" w:rsidP="00ED42D8">
            <w:pPr>
              <w:jc w:val="right"/>
              <w:rPr>
                <w:b/>
                <w:bCs/>
                <w:sz w:val="32"/>
                <w:szCs w:val="32"/>
              </w:rPr>
            </w:pPr>
          </w:p>
        </w:tc>
        <w:tc>
          <w:tcPr>
            <w:tcW w:w="5553" w:type="dxa"/>
            <w:gridSpan w:val="2"/>
          </w:tcPr>
          <w:p w14:paraId="3745F574" w14:textId="77777777" w:rsidR="00B975DB" w:rsidRPr="00AE6493" w:rsidRDefault="00B975DB" w:rsidP="00ED42D8">
            <w:pPr>
              <w:jc w:val="right"/>
              <w:rPr>
                <w:b/>
                <w:bCs/>
                <w:sz w:val="28"/>
                <w:szCs w:val="28"/>
                <w:rtl/>
              </w:rPr>
            </w:pPr>
          </w:p>
          <w:p w14:paraId="11E638B6" w14:textId="77777777" w:rsidR="00B975DB" w:rsidRPr="00AE6493" w:rsidRDefault="00B975DB" w:rsidP="00ED42D8">
            <w:pPr>
              <w:jc w:val="right"/>
              <w:rPr>
                <w:b/>
                <w:bCs/>
                <w:sz w:val="32"/>
                <w:szCs w:val="32"/>
                <w:rtl/>
              </w:rPr>
            </w:pPr>
            <w:r w:rsidRPr="00AE6493">
              <w:rPr>
                <w:rFonts w:hint="cs"/>
                <w:b/>
                <w:bCs/>
                <w:sz w:val="28"/>
                <w:szCs w:val="28"/>
                <w:rtl/>
              </w:rPr>
              <w:t>תאריך: כ"ט אייר תשע"ט, 03 יוני 2019</w:t>
            </w:r>
          </w:p>
        </w:tc>
      </w:tr>
    </w:tbl>
    <w:p w14:paraId="3737292E" w14:textId="77777777" w:rsidR="00B975DB" w:rsidRPr="00AE6493" w:rsidRDefault="00B975DB" w:rsidP="00B975DB">
      <w:pPr>
        <w:pStyle w:val="a3"/>
        <w:rPr>
          <w:rtl/>
        </w:rPr>
      </w:pPr>
      <w:r w:rsidRPr="00AE6493">
        <w:rPr>
          <w:rFonts w:hint="cs"/>
          <w:rtl/>
        </w:rPr>
        <w:t xml:space="preserve"> </w:t>
      </w:r>
    </w:p>
    <w:p w14:paraId="5A33A8F2" w14:textId="77777777" w:rsidR="00B975DB" w:rsidRPr="00AE6493" w:rsidRDefault="00B975DB" w:rsidP="00B975DB">
      <w:pPr>
        <w:spacing w:line="480" w:lineRule="auto"/>
        <w:jc w:val="center"/>
        <w:rPr>
          <w:rFonts w:ascii="Arial" w:hAnsi="Arial"/>
          <w:b/>
          <w:bCs/>
          <w:sz w:val="36"/>
          <w:szCs w:val="36"/>
          <w:rtl/>
        </w:rPr>
      </w:pPr>
    </w:p>
    <w:tbl>
      <w:tblPr>
        <w:bidiVisual/>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3705"/>
        <w:gridCol w:w="4274"/>
        <w:gridCol w:w="380"/>
      </w:tblGrid>
      <w:tr w:rsidR="00B975DB" w:rsidRPr="00AE6493" w14:paraId="131FD7B6" w14:textId="77777777" w:rsidTr="00B975DB">
        <w:trPr>
          <w:trHeight w:val="395"/>
          <w:jc w:val="center"/>
        </w:trPr>
        <w:tc>
          <w:tcPr>
            <w:tcW w:w="8867" w:type="dxa"/>
            <w:gridSpan w:val="4"/>
            <w:tcBorders>
              <w:top w:val="nil"/>
              <w:left w:val="nil"/>
              <w:bottom w:val="nil"/>
              <w:right w:val="nil"/>
            </w:tcBorders>
            <w:shd w:val="clear" w:color="auto" w:fill="auto"/>
          </w:tcPr>
          <w:p w14:paraId="0AE52096" w14:textId="77777777" w:rsidR="00B975DB" w:rsidRPr="00AE6493" w:rsidRDefault="00B975DB" w:rsidP="00B975DB">
            <w:pPr>
              <w:jc w:val="right"/>
              <w:rPr>
                <w:rFonts w:ascii="Arial" w:hAnsi="Arial"/>
                <w:b/>
                <w:bCs/>
                <w:rtl/>
              </w:rPr>
            </w:pPr>
          </w:p>
        </w:tc>
      </w:tr>
      <w:tr w:rsidR="00B975DB" w:rsidRPr="00AE6493" w14:paraId="61D79C22" w14:textId="77777777" w:rsidTr="00B975DB">
        <w:trPr>
          <w:trHeight w:val="355"/>
          <w:jc w:val="center"/>
        </w:trPr>
        <w:tc>
          <w:tcPr>
            <w:tcW w:w="841" w:type="dxa"/>
            <w:tcBorders>
              <w:top w:val="nil"/>
              <w:left w:val="nil"/>
              <w:bottom w:val="nil"/>
              <w:right w:val="nil"/>
            </w:tcBorders>
            <w:shd w:val="clear" w:color="auto" w:fill="auto"/>
          </w:tcPr>
          <w:p w14:paraId="47A323F4" w14:textId="77777777" w:rsidR="00B975DB" w:rsidRPr="00AE6493" w:rsidRDefault="00B975DB" w:rsidP="00B975DB">
            <w:pPr>
              <w:jc w:val="both"/>
              <w:rPr>
                <w:rFonts w:ascii="Arial" w:hAnsi="Arial"/>
                <w:b/>
                <w:bCs/>
              </w:rPr>
            </w:pPr>
            <w:bookmarkStart w:id="1" w:name="FirstAppellant"/>
            <w:r w:rsidRPr="00AE6493">
              <w:rPr>
                <w:rFonts w:ascii="Arial" w:hAnsi="Arial" w:hint="cs"/>
                <w:b/>
                <w:bCs/>
                <w:rtl/>
              </w:rPr>
              <w:t>בעניין:</w:t>
            </w:r>
          </w:p>
        </w:tc>
        <w:tc>
          <w:tcPr>
            <w:tcW w:w="3705" w:type="dxa"/>
            <w:tcBorders>
              <w:top w:val="nil"/>
              <w:left w:val="nil"/>
              <w:bottom w:val="nil"/>
              <w:right w:val="nil"/>
            </w:tcBorders>
            <w:shd w:val="clear" w:color="auto" w:fill="auto"/>
          </w:tcPr>
          <w:p w14:paraId="58A72261" w14:textId="77777777" w:rsidR="00B975DB" w:rsidRPr="00AE6493" w:rsidRDefault="00B975DB" w:rsidP="00B975DB">
            <w:pPr>
              <w:spacing w:line="360" w:lineRule="auto"/>
              <w:rPr>
                <w:b/>
                <w:bCs/>
              </w:rPr>
            </w:pPr>
            <w:r w:rsidRPr="00AE6493">
              <w:rPr>
                <w:rFonts w:ascii="Arial" w:hAnsi="Arial"/>
                <w:b/>
                <w:bCs/>
                <w:rtl/>
              </w:rPr>
              <w:t>מדינת ישראל</w:t>
            </w:r>
          </w:p>
        </w:tc>
        <w:tc>
          <w:tcPr>
            <w:tcW w:w="4321" w:type="dxa"/>
            <w:gridSpan w:val="2"/>
            <w:tcBorders>
              <w:top w:val="nil"/>
              <w:left w:val="nil"/>
              <w:bottom w:val="nil"/>
              <w:right w:val="nil"/>
            </w:tcBorders>
            <w:shd w:val="clear" w:color="auto" w:fill="auto"/>
            <w:vAlign w:val="bottom"/>
          </w:tcPr>
          <w:p w14:paraId="1EDEBBCE" w14:textId="77777777" w:rsidR="00B975DB" w:rsidRPr="00AE6493" w:rsidRDefault="00B975DB" w:rsidP="00ED42D8">
            <w:pPr>
              <w:rPr>
                <w:rFonts w:ascii="Arial" w:hAnsi="Arial"/>
              </w:rPr>
            </w:pPr>
            <w:r w:rsidRPr="00AE6493">
              <w:rPr>
                <w:rFonts w:ascii="Arial" w:hAnsi="Arial" w:hint="cs"/>
                <w:b/>
                <w:bCs/>
                <w:rtl/>
              </w:rPr>
              <w:t>ה</w:t>
            </w:r>
            <w:r w:rsidRPr="00AE6493">
              <w:rPr>
                <w:rFonts w:ascii="Arial" w:hAnsi="Arial"/>
                <w:b/>
                <w:bCs/>
                <w:rtl/>
              </w:rPr>
              <w:t>מאשימה</w:t>
            </w:r>
          </w:p>
        </w:tc>
      </w:tr>
      <w:bookmarkEnd w:id="1"/>
      <w:tr w:rsidR="00B975DB" w:rsidRPr="00AE6493" w14:paraId="2836FC93" w14:textId="77777777" w:rsidTr="00B975DB">
        <w:trPr>
          <w:trHeight w:val="355"/>
          <w:jc w:val="center"/>
        </w:trPr>
        <w:tc>
          <w:tcPr>
            <w:tcW w:w="841" w:type="dxa"/>
            <w:tcBorders>
              <w:top w:val="nil"/>
              <w:left w:val="nil"/>
              <w:bottom w:val="nil"/>
              <w:right w:val="nil"/>
            </w:tcBorders>
            <w:shd w:val="clear" w:color="auto" w:fill="auto"/>
          </w:tcPr>
          <w:p w14:paraId="278DBD70" w14:textId="77777777" w:rsidR="00B975DB" w:rsidRPr="00AE6493" w:rsidRDefault="00B975DB" w:rsidP="00B975DB">
            <w:pPr>
              <w:jc w:val="both"/>
              <w:rPr>
                <w:rFonts w:ascii="Arial" w:hAnsi="Arial" w:cs="FrankRuehl"/>
                <w:sz w:val="28"/>
                <w:szCs w:val="28"/>
                <w:rtl/>
              </w:rPr>
            </w:pPr>
          </w:p>
        </w:tc>
        <w:tc>
          <w:tcPr>
            <w:tcW w:w="8026" w:type="dxa"/>
            <w:gridSpan w:val="3"/>
            <w:tcBorders>
              <w:top w:val="nil"/>
              <w:left w:val="nil"/>
              <w:bottom w:val="nil"/>
              <w:right w:val="nil"/>
            </w:tcBorders>
            <w:shd w:val="clear" w:color="auto" w:fill="auto"/>
          </w:tcPr>
          <w:p w14:paraId="03A9398C" w14:textId="77777777" w:rsidR="00B975DB" w:rsidRPr="00AE6493" w:rsidRDefault="00B975DB" w:rsidP="00B975DB">
            <w:pPr>
              <w:jc w:val="center"/>
              <w:rPr>
                <w:rFonts w:ascii="Arial" w:hAnsi="Arial"/>
                <w:b/>
                <w:bCs/>
                <w:rtl/>
              </w:rPr>
            </w:pPr>
          </w:p>
          <w:p w14:paraId="0E116AC2" w14:textId="77777777" w:rsidR="00B975DB" w:rsidRPr="00AE6493" w:rsidRDefault="00B975DB" w:rsidP="00B975DB">
            <w:pPr>
              <w:jc w:val="center"/>
              <w:rPr>
                <w:rFonts w:ascii="Arial" w:hAnsi="Arial"/>
                <w:b/>
                <w:bCs/>
                <w:rtl/>
              </w:rPr>
            </w:pPr>
            <w:r w:rsidRPr="00AE6493">
              <w:rPr>
                <w:rFonts w:ascii="Arial" w:hAnsi="Arial"/>
                <w:b/>
                <w:bCs/>
                <w:rtl/>
              </w:rPr>
              <w:t>נ</w:t>
            </w:r>
            <w:r w:rsidRPr="00AE6493">
              <w:rPr>
                <w:rFonts w:ascii="Arial" w:hAnsi="Arial" w:hint="cs"/>
                <w:b/>
                <w:bCs/>
                <w:rtl/>
              </w:rPr>
              <w:t xml:space="preserve"> </w:t>
            </w:r>
            <w:r w:rsidRPr="00AE6493">
              <w:rPr>
                <w:rFonts w:ascii="Arial" w:hAnsi="Arial"/>
                <w:b/>
                <w:bCs/>
                <w:rtl/>
              </w:rPr>
              <w:t>ג</w:t>
            </w:r>
            <w:r w:rsidRPr="00AE6493">
              <w:rPr>
                <w:rFonts w:ascii="Arial" w:hAnsi="Arial" w:hint="cs"/>
                <w:b/>
                <w:bCs/>
                <w:rtl/>
              </w:rPr>
              <w:t xml:space="preserve"> </w:t>
            </w:r>
            <w:r w:rsidRPr="00AE6493">
              <w:rPr>
                <w:rFonts w:ascii="Arial" w:hAnsi="Arial"/>
                <w:b/>
                <w:bCs/>
                <w:rtl/>
              </w:rPr>
              <w:t>ד</w:t>
            </w:r>
          </w:p>
          <w:p w14:paraId="4D393F1C" w14:textId="77777777" w:rsidR="00B975DB" w:rsidRPr="00AE6493" w:rsidRDefault="00B975DB" w:rsidP="00B975DB">
            <w:pPr>
              <w:jc w:val="both"/>
              <w:rPr>
                <w:rFonts w:ascii="Arial" w:hAnsi="Arial"/>
              </w:rPr>
            </w:pPr>
          </w:p>
        </w:tc>
      </w:tr>
      <w:tr w:rsidR="00B975DB" w:rsidRPr="00AE6493" w14:paraId="68EFEAEF" w14:textId="77777777" w:rsidTr="00B975DB">
        <w:trPr>
          <w:trHeight w:val="355"/>
          <w:jc w:val="center"/>
        </w:trPr>
        <w:tc>
          <w:tcPr>
            <w:tcW w:w="841" w:type="dxa"/>
            <w:tcBorders>
              <w:top w:val="nil"/>
              <w:left w:val="nil"/>
              <w:bottom w:val="nil"/>
              <w:right w:val="nil"/>
            </w:tcBorders>
            <w:shd w:val="clear" w:color="auto" w:fill="auto"/>
          </w:tcPr>
          <w:p w14:paraId="6084605A" w14:textId="77777777" w:rsidR="00B975DB" w:rsidRPr="00AE6493" w:rsidRDefault="00B975DB" w:rsidP="00B975DB">
            <w:pPr>
              <w:jc w:val="both"/>
              <w:rPr>
                <w:rFonts w:ascii="Arial" w:hAnsi="Arial" w:cs="FrankRuehl"/>
                <w:sz w:val="28"/>
                <w:szCs w:val="28"/>
                <w:rtl/>
              </w:rPr>
            </w:pPr>
          </w:p>
        </w:tc>
        <w:tc>
          <w:tcPr>
            <w:tcW w:w="3705" w:type="dxa"/>
            <w:tcBorders>
              <w:top w:val="nil"/>
              <w:left w:val="nil"/>
              <w:bottom w:val="nil"/>
              <w:right w:val="nil"/>
            </w:tcBorders>
            <w:shd w:val="clear" w:color="auto" w:fill="auto"/>
          </w:tcPr>
          <w:p w14:paraId="51714B70" w14:textId="77777777" w:rsidR="00B975DB" w:rsidRPr="00AE6493" w:rsidRDefault="00B975DB" w:rsidP="00B975DB">
            <w:pPr>
              <w:spacing w:line="360" w:lineRule="auto"/>
              <w:rPr>
                <w:b/>
                <w:bCs/>
                <w:rtl/>
              </w:rPr>
            </w:pPr>
            <w:r w:rsidRPr="00AE6493">
              <w:rPr>
                <w:rFonts w:ascii="Arial" w:hAnsi="Arial"/>
                <w:b/>
                <w:bCs/>
                <w:rtl/>
              </w:rPr>
              <w:t>דניאל פבלוב</w:t>
            </w:r>
          </w:p>
        </w:tc>
        <w:tc>
          <w:tcPr>
            <w:tcW w:w="4321" w:type="dxa"/>
            <w:gridSpan w:val="2"/>
            <w:tcBorders>
              <w:top w:val="nil"/>
              <w:left w:val="nil"/>
              <w:bottom w:val="nil"/>
              <w:right w:val="nil"/>
            </w:tcBorders>
            <w:shd w:val="clear" w:color="auto" w:fill="auto"/>
            <w:vAlign w:val="bottom"/>
          </w:tcPr>
          <w:p w14:paraId="0267F35D" w14:textId="77777777" w:rsidR="00B975DB" w:rsidRPr="00AE6493" w:rsidRDefault="00B975DB" w:rsidP="00ED42D8">
            <w:pPr>
              <w:rPr>
                <w:rFonts w:ascii="Arial" w:hAnsi="Arial"/>
              </w:rPr>
            </w:pPr>
            <w:r w:rsidRPr="00AE6493">
              <w:rPr>
                <w:rFonts w:ascii="Arial" w:hAnsi="Arial" w:hint="cs"/>
                <w:b/>
                <w:bCs/>
                <w:rtl/>
              </w:rPr>
              <w:t>הנאשם</w:t>
            </w:r>
          </w:p>
        </w:tc>
      </w:tr>
      <w:tr w:rsidR="00B975DB" w:rsidRPr="00AE6493" w14:paraId="70279170" w14:textId="77777777" w:rsidTr="00B975DB">
        <w:trPr>
          <w:gridAfter w:val="1"/>
          <w:wAfter w:w="380" w:type="dxa"/>
          <w:trHeight w:val="355"/>
          <w:jc w:val="center"/>
        </w:trPr>
        <w:tc>
          <w:tcPr>
            <w:tcW w:w="8820" w:type="dxa"/>
            <w:gridSpan w:val="3"/>
            <w:tcBorders>
              <w:top w:val="nil"/>
              <w:left w:val="nil"/>
              <w:bottom w:val="nil"/>
              <w:right w:val="nil"/>
            </w:tcBorders>
            <w:shd w:val="clear" w:color="auto" w:fill="auto"/>
          </w:tcPr>
          <w:p w14:paraId="5714BCD9" w14:textId="77777777" w:rsidR="00B975DB" w:rsidRPr="00AE6493" w:rsidRDefault="00B975DB" w:rsidP="00B975DB">
            <w:pPr>
              <w:spacing w:line="360" w:lineRule="auto"/>
              <w:rPr>
                <w:rFonts w:ascii="Arial" w:hAnsi="Arial"/>
                <w:b/>
                <w:bCs/>
                <w:rtl/>
              </w:rPr>
            </w:pPr>
            <w:bookmarkStart w:id="2" w:name="FirstLawyer"/>
          </w:p>
          <w:p w14:paraId="519DC27F" w14:textId="77777777" w:rsidR="00B975DB" w:rsidRPr="00AE6493" w:rsidRDefault="00B975DB" w:rsidP="00B975DB">
            <w:pPr>
              <w:spacing w:line="360" w:lineRule="auto"/>
              <w:rPr>
                <w:rFonts w:ascii="Arial" w:hAnsi="Arial"/>
                <w:rtl/>
              </w:rPr>
            </w:pPr>
            <w:r w:rsidRPr="00AE6493">
              <w:rPr>
                <w:rFonts w:ascii="Arial" w:hAnsi="Arial" w:hint="cs"/>
                <w:b/>
                <w:bCs/>
                <w:rtl/>
              </w:rPr>
              <w:t>נוכחים</w:t>
            </w:r>
            <w:r w:rsidRPr="00AE6493">
              <w:rPr>
                <w:rFonts w:ascii="Arial" w:hAnsi="Arial" w:hint="cs"/>
                <w:rtl/>
              </w:rPr>
              <w:t xml:space="preserve">: </w:t>
            </w:r>
          </w:p>
          <w:p w14:paraId="2C3B7108" w14:textId="77777777" w:rsidR="00B975DB" w:rsidRPr="00AE6493" w:rsidRDefault="00B975DB" w:rsidP="00B975DB">
            <w:pPr>
              <w:spacing w:line="360" w:lineRule="auto"/>
              <w:rPr>
                <w:rFonts w:ascii="Arial" w:hAnsi="Arial"/>
                <w:rtl/>
              </w:rPr>
            </w:pPr>
            <w:r w:rsidRPr="00AE6493">
              <w:rPr>
                <w:rFonts w:ascii="Arial" w:hAnsi="Arial" w:hint="cs"/>
                <w:rtl/>
              </w:rPr>
              <w:t>ב"כ המאשימה עו"ד רחל אהרוני זאבי</w:t>
            </w:r>
          </w:p>
          <w:p w14:paraId="7F6C1326" w14:textId="77777777" w:rsidR="00B975DB" w:rsidRPr="00AE6493" w:rsidRDefault="00B975DB" w:rsidP="00B975DB">
            <w:pPr>
              <w:spacing w:line="360" w:lineRule="auto"/>
              <w:rPr>
                <w:rFonts w:ascii="Arial" w:hAnsi="Arial"/>
                <w:sz w:val="36"/>
                <w:szCs w:val="36"/>
                <w:rtl/>
              </w:rPr>
            </w:pPr>
            <w:r w:rsidRPr="00AE6493">
              <w:rPr>
                <w:rFonts w:ascii="Arial" w:hAnsi="Arial" w:hint="cs"/>
                <w:rtl/>
              </w:rPr>
              <w:t>הנאשם וב"כ עו"ד זילברשלג</w:t>
            </w:r>
          </w:p>
        </w:tc>
      </w:tr>
    </w:tbl>
    <w:p w14:paraId="3903609C" w14:textId="77777777" w:rsidR="001619D9" w:rsidRDefault="001619D9" w:rsidP="00AE6493">
      <w:pPr>
        <w:spacing w:line="480" w:lineRule="auto"/>
        <w:ind w:left="510" w:hanging="510"/>
        <w:jc w:val="center"/>
        <w:rPr>
          <w:rFonts w:ascii="Arial" w:hAnsi="Arial"/>
          <w:sz w:val="36"/>
          <w:szCs w:val="36"/>
          <w:rtl/>
        </w:rPr>
      </w:pPr>
      <w:bookmarkStart w:id="3" w:name="PsakDin"/>
      <w:bookmarkStart w:id="4" w:name="LawTable"/>
      <w:bookmarkEnd w:id="0"/>
      <w:bookmarkEnd w:id="2"/>
      <w:bookmarkEnd w:id="4"/>
    </w:p>
    <w:p w14:paraId="519E224D" w14:textId="77777777" w:rsidR="001619D9" w:rsidRPr="001619D9" w:rsidRDefault="001619D9" w:rsidP="001619D9">
      <w:pPr>
        <w:spacing w:after="120" w:line="240" w:lineRule="exact"/>
        <w:ind w:left="283" w:hanging="283"/>
        <w:jc w:val="both"/>
        <w:rPr>
          <w:rFonts w:ascii="FrankRuehl" w:hAnsi="FrankRuehl" w:cs="FrankRuehl"/>
          <w:rtl/>
        </w:rPr>
      </w:pPr>
    </w:p>
    <w:p w14:paraId="3A96D7D0" w14:textId="77777777" w:rsidR="001619D9" w:rsidRPr="001619D9" w:rsidRDefault="001619D9" w:rsidP="001619D9">
      <w:pPr>
        <w:spacing w:after="120" w:line="240" w:lineRule="exact"/>
        <w:ind w:left="283" w:hanging="283"/>
        <w:jc w:val="both"/>
        <w:rPr>
          <w:rFonts w:ascii="FrankRuehl" w:hAnsi="FrankRuehl" w:cs="FrankRuehl"/>
          <w:rtl/>
        </w:rPr>
      </w:pPr>
      <w:r w:rsidRPr="001619D9">
        <w:rPr>
          <w:rFonts w:ascii="FrankRuehl" w:hAnsi="FrankRuehl" w:cs="FrankRuehl"/>
          <w:rtl/>
        </w:rPr>
        <w:t xml:space="preserve">חקיקה שאוזכרה: </w:t>
      </w:r>
    </w:p>
    <w:p w14:paraId="47E2195C" w14:textId="77777777" w:rsidR="001619D9" w:rsidRPr="001619D9" w:rsidRDefault="001619D9" w:rsidP="001619D9">
      <w:pPr>
        <w:spacing w:after="120" w:line="240" w:lineRule="exact"/>
        <w:ind w:left="283" w:hanging="283"/>
        <w:jc w:val="both"/>
        <w:rPr>
          <w:rFonts w:ascii="FrankRuehl" w:hAnsi="FrankRuehl" w:cs="FrankRuehl"/>
          <w:rtl/>
        </w:rPr>
      </w:pPr>
      <w:hyperlink r:id="rId6" w:history="1">
        <w:r w:rsidRPr="001619D9">
          <w:rPr>
            <w:rFonts w:ascii="FrankRuehl" w:hAnsi="FrankRuehl" w:cs="FrankRuehl"/>
            <w:color w:val="0000FF"/>
            <w:u w:val="single"/>
            <w:rtl/>
          </w:rPr>
          <w:t>פקודת הסמים המסוכנים [נוסח חדש], תשל"ג-1973</w:t>
        </w:r>
      </w:hyperlink>
    </w:p>
    <w:p w14:paraId="47F3AD3F" w14:textId="77777777" w:rsidR="001619D9" w:rsidRPr="001619D9" w:rsidRDefault="001619D9" w:rsidP="001619D9">
      <w:pPr>
        <w:spacing w:after="120" w:line="240" w:lineRule="exact"/>
        <w:ind w:left="283" w:hanging="283"/>
        <w:jc w:val="both"/>
        <w:rPr>
          <w:rFonts w:ascii="FrankRuehl" w:hAnsi="FrankRuehl" w:cs="FrankRuehl"/>
          <w:rtl/>
        </w:rPr>
      </w:pPr>
    </w:p>
    <w:p w14:paraId="6A4A2705" w14:textId="77777777" w:rsidR="00AE6493" w:rsidRPr="00AE6493" w:rsidRDefault="00AE6493" w:rsidP="00AE6493">
      <w:pPr>
        <w:spacing w:line="480" w:lineRule="auto"/>
        <w:ind w:left="510" w:hanging="510"/>
        <w:jc w:val="center"/>
        <w:rPr>
          <w:rFonts w:ascii="Arial" w:hAnsi="Arial"/>
          <w:b/>
          <w:bCs/>
          <w:sz w:val="36"/>
          <w:szCs w:val="36"/>
          <w:u w:val="single"/>
          <w:rtl/>
        </w:rPr>
      </w:pPr>
      <w:bookmarkStart w:id="5" w:name="LawTable_End"/>
      <w:bookmarkEnd w:id="5"/>
      <w:r w:rsidRPr="00AE6493">
        <w:rPr>
          <w:rFonts w:ascii="Arial" w:hAnsi="Arial"/>
          <w:b/>
          <w:bCs/>
          <w:sz w:val="36"/>
          <w:szCs w:val="36"/>
          <w:u w:val="single"/>
          <w:rtl/>
        </w:rPr>
        <w:t>גזר דין</w:t>
      </w:r>
    </w:p>
    <w:bookmarkEnd w:id="3"/>
    <w:p w14:paraId="39C7E28D" w14:textId="77777777" w:rsidR="00B975DB" w:rsidRPr="006B03EE" w:rsidRDefault="00B975DB" w:rsidP="00B975DB">
      <w:pPr>
        <w:spacing w:line="480" w:lineRule="auto"/>
        <w:ind w:left="510" w:hanging="510"/>
        <w:jc w:val="both"/>
        <w:rPr>
          <w:b/>
          <w:bCs/>
          <w:u w:val="single"/>
          <w:rtl/>
        </w:rPr>
      </w:pPr>
      <w:r>
        <w:rPr>
          <w:rtl/>
        </w:rPr>
        <w:t>1.</w:t>
      </w:r>
      <w:r>
        <w:rPr>
          <w:rFonts w:hint="cs"/>
          <w:rtl/>
        </w:rPr>
        <w:tab/>
      </w:r>
      <w:r w:rsidRPr="006B03EE">
        <w:rPr>
          <w:rFonts w:hint="cs"/>
          <w:b/>
          <w:bCs/>
          <w:u w:val="single"/>
          <w:rtl/>
        </w:rPr>
        <w:t xml:space="preserve">כתב האישום </w:t>
      </w:r>
    </w:p>
    <w:p w14:paraId="444B1F1A" w14:textId="77777777" w:rsidR="00B975DB" w:rsidRDefault="00B975DB" w:rsidP="00B975DB">
      <w:pPr>
        <w:spacing w:line="480" w:lineRule="auto"/>
        <w:ind w:left="510" w:hanging="510"/>
        <w:jc w:val="both"/>
        <w:rPr>
          <w:rtl/>
        </w:rPr>
      </w:pPr>
    </w:p>
    <w:p w14:paraId="10F50728" w14:textId="77777777" w:rsidR="00B975DB" w:rsidRDefault="00B975DB" w:rsidP="00B975DB">
      <w:pPr>
        <w:spacing w:line="480" w:lineRule="auto"/>
        <w:ind w:left="510"/>
        <w:jc w:val="both"/>
        <w:rPr>
          <w:rtl/>
        </w:rPr>
      </w:pPr>
      <w:bookmarkStart w:id="6" w:name="ABSTRACT_START"/>
      <w:bookmarkEnd w:id="6"/>
      <w:r>
        <w:rPr>
          <w:rFonts w:hint="cs"/>
          <w:rtl/>
        </w:rPr>
        <w:t xml:space="preserve">הנאשם, חייל בשירות סדיר בזמן ביצוע העבירה, הורשע על פי הודאתו במסגרת הסדר טיעון, בניסיון לייבוא סם מסוכן; במוקד </w:t>
      </w:r>
      <w:r>
        <w:rPr>
          <w:rtl/>
        </w:rPr>
        <w:t>–</w:t>
      </w:r>
      <w:r>
        <w:rPr>
          <w:rFonts w:hint="cs"/>
          <w:rtl/>
        </w:rPr>
        <w:t xml:space="preserve"> 951 גרם קוקאין. לא נמצא טעם לפרט את כל שנכתב בפרק העובדות של כתב האישום, אך בתמצית הדברים, הדרך שנבחרה </w:t>
      </w:r>
      <w:r>
        <w:rPr>
          <w:rtl/>
        </w:rPr>
        <w:t>–</w:t>
      </w:r>
      <w:r>
        <w:rPr>
          <w:rFonts w:hint="cs"/>
          <w:rtl/>
        </w:rPr>
        <w:t xml:space="preserve"> חבילה שנשלחה מקולומביה לישראל, עליה נכתב שהיא מכילה חלקי אופנוע. מאחר והחבילה נפסלה ע"י </w:t>
      </w:r>
      <w:r>
        <w:rPr>
          <w:rFonts w:hint="cs"/>
          <w:rtl/>
        </w:rPr>
        <w:lastRenderedPageBreak/>
        <w:t xml:space="preserve">משרד התחבורה והוחזרה לגרמניה, ניתן היה לייחס לנאשם ניסיון ייבוא בלבד, וכאמור, בכך הורשע. </w:t>
      </w:r>
    </w:p>
    <w:p w14:paraId="232053CA" w14:textId="77777777" w:rsidR="00B975DB" w:rsidRDefault="00B975DB" w:rsidP="00B975DB">
      <w:pPr>
        <w:spacing w:line="480" w:lineRule="auto"/>
        <w:jc w:val="both"/>
        <w:rPr>
          <w:rtl/>
        </w:rPr>
      </w:pPr>
      <w:bookmarkStart w:id="7" w:name="ABSTRACT_END"/>
      <w:bookmarkEnd w:id="7"/>
    </w:p>
    <w:p w14:paraId="2A3B2016" w14:textId="77777777" w:rsidR="00B975DB" w:rsidRDefault="00B975DB" w:rsidP="00B975DB">
      <w:pPr>
        <w:spacing w:line="480" w:lineRule="auto"/>
        <w:ind w:left="510" w:hanging="510"/>
        <w:jc w:val="both"/>
        <w:rPr>
          <w:rtl/>
        </w:rPr>
      </w:pPr>
      <w:r>
        <w:rPr>
          <w:rtl/>
        </w:rPr>
        <w:t>2.</w:t>
      </w:r>
      <w:r>
        <w:rPr>
          <w:rFonts w:hint="cs"/>
          <w:rtl/>
        </w:rPr>
        <w:tab/>
      </w:r>
      <w:r w:rsidRPr="006B03EE">
        <w:rPr>
          <w:rFonts w:hint="cs"/>
          <w:b/>
          <w:bCs/>
          <w:u w:val="single"/>
          <w:rtl/>
        </w:rPr>
        <w:t>הסדר הטיעון</w:t>
      </w:r>
      <w:r>
        <w:rPr>
          <w:rFonts w:hint="cs"/>
          <w:rtl/>
        </w:rPr>
        <w:t xml:space="preserve"> </w:t>
      </w:r>
    </w:p>
    <w:p w14:paraId="394AAC35" w14:textId="77777777" w:rsidR="00B975DB" w:rsidRDefault="00B975DB" w:rsidP="00B975DB">
      <w:pPr>
        <w:spacing w:line="480" w:lineRule="auto"/>
        <w:ind w:left="510" w:hanging="510"/>
        <w:jc w:val="both"/>
        <w:rPr>
          <w:rtl/>
        </w:rPr>
      </w:pPr>
    </w:p>
    <w:p w14:paraId="00BD3A49" w14:textId="77777777" w:rsidR="00B975DB" w:rsidRDefault="00B975DB" w:rsidP="00B975DB">
      <w:pPr>
        <w:spacing w:line="480" w:lineRule="auto"/>
        <w:ind w:left="510" w:hanging="510"/>
        <w:jc w:val="both"/>
        <w:rPr>
          <w:rtl/>
        </w:rPr>
      </w:pPr>
      <w:r>
        <w:rPr>
          <w:rtl/>
        </w:rPr>
        <w:tab/>
      </w:r>
      <w:r>
        <w:rPr>
          <w:rFonts w:hint="cs"/>
          <w:rtl/>
        </w:rPr>
        <w:t xml:space="preserve">הצדדים הגיעו כדי הסדר טיעון, לפיו תסתפק המאשימה בדרישה ל-24 חודשי מאסר בפועל, ונוכח זאת ועל פי </w:t>
      </w:r>
      <w:hyperlink r:id="rId7" w:history="1">
        <w:r w:rsidR="00AE6493" w:rsidRPr="00AE6493">
          <w:rPr>
            <w:color w:val="0000FF"/>
            <w:u w:val="single"/>
            <w:rtl/>
          </w:rPr>
          <w:t>ע"פ 2524/15</w:t>
        </w:r>
      </w:hyperlink>
      <w:r>
        <w:rPr>
          <w:rFonts w:hint="cs"/>
          <w:rtl/>
        </w:rPr>
        <w:t xml:space="preserve"> </w:t>
      </w:r>
      <w:r>
        <w:rPr>
          <w:rFonts w:hint="cs"/>
          <w:b/>
          <w:bCs/>
          <w:rtl/>
        </w:rPr>
        <w:t>שפרנוביץ' נגד מדינת</w:t>
      </w:r>
      <w:r w:rsidRPr="00A50DB6">
        <w:rPr>
          <w:rFonts w:hint="cs"/>
          <w:b/>
          <w:bCs/>
          <w:rtl/>
        </w:rPr>
        <w:t xml:space="preserve"> ישראל</w:t>
      </w:r>
      <w:r>
        <w:rPr>
          <w:rFonts w:hint="cs"/>
          <w:rtl/>
        </w:rPr>
        <w:t xml:space="preserve">, אף לא נדרש להתייחס לשאלת מתחם הענישה. המאשימה טוענת לתקופת המאסר המרבית בהתאם להסדר הטיעון האמור, ובמוקד דבריה, בפרט, שיקולי ההלימה וההרתעה, תוך דגש על כמות הסם וטיבו </w:t>
      </w:r>
      <w:r>
        <w:rPr>
          <w:rtl/>
        </w:rPr>
        <w:t>–</w:t>
      </w:r>
      <w:r>
        <w:rPr>
          <w:rFonts w:hint="cs"/>
          <w:rtl/>
        </w:rPr>
        <w:t xml:space="preserve"> ללא ספק סם מסוכן וקשה, בכמות מסחרית ורבה. </w:t>
      </w:r>
    </w:p>
    <w:p w14:paraId="7671AB81" w14:textId="77777777" w:rsidR="00B975DB" w:rsidRDefault="00B975DB" w:rsidP="00B975DB">
      <w:pPr>
        <w:spacing w:line="480" w:lineRule="auto"/>
        <w:jc w:val="both"/>
        <w:rPr>
          <w:rtl/>
        </w:rPr>
      </w:pPr>
    </w:p>
    <w:p w14:paraId="01CD5B6B" w14:textId="77777777" w:rsidR="00B975DB" w:rsidRDefault="00B975DB" w:rsidP="00B975DB">
      <w:pPr>
        <w:spacing w:line="480" w:lineRule="auto"/>
        <w:ind w:left="510" w:hanging="510"/>
        <w:jc w:val="both"/>
        <w:rPr>
          <w:rFonts w:hint="cs"/>
          <w:rtl/>
        </w:rPr>
      </w:pPr>
      <w:r>
        <w:rPr>
          <w:rtl/>
        </w:rPr>
        <w:t>3.</w:t>
      </w:r>
      <w:r>
        <w:rPr>
          <w:rFonts w:hint="cs"/>
          <w:rtl/>
        </w:rPr>
        <w:tab/>
      </w:r>
      <w:r w:rsidRPr="006B03EE">
        <w:rPr>
          <w:rFonts w:hint="cs"/>
          <w:b/>
          <w:bCs/>
          <w:u w:val="single"/>
          <w:rtl/>
        </w:rPr>
        <w:t>טענות ההגנה</w:t>
      </w:r>
      <w:r w:rsidR="00E8642A">
        <w:rPr>
          <w:rFonts w:hint="cs"/>
          <w:rtl/>
        </w:rPr>
        <w:t xml:space="preserve">   </w:t>
      </w:r>
    </w:p>
    <w:p w14:paraId="3E38D7EF" w14:textId="77777777" w:rsidR="00B975DB" w:rsidRDefault="00B975DB" w:rsidP="00B975DB">
      <w:pPr>
        <w:spacing w:line="480" w:lineRule="auto"/>
        <w:ind w:left="510" w:hanging="510"/>
        <w:jc w:val="both"/>
        <w:rPr>
          <w:rtl/>
        </w:rPr>
      </w:pPr>
    </w:p>
    <w:p w14:paraId="25C0D148" w14:textId="77777777" w:rsidR="00B975DB" w:rsidRDefault="00B975DB" w:rsidP="00B975DB">
      <w:pPr>
        <w:spacing w:line="480" w:lineRule="auto"/>
        <w:ind w:left="510" w:hanging="510"/>
        <w:jc w:val="both"/>
        <w:rPr>
          <w:rtl/>
        </w:rPr>
      </w:pPr>
      <w:r>
        <w:rPr>
          <w:rtl/>
        </w:rPr>
        <w:tab/>
      </w:r>
      <w:r>
        <w:rPr>
          <w:rFonts w:hint="cs"/>
          <w:rtl/>
        </w:rPr>
        <w:t>א.</w:t>
      </w:r>
      <w:r>
        <w:rPr>
          <w:rFonts w:hint="cs"/>
          <w:rtl/>
        </w:rPr>
        <w:tab/>
      </w:r>
      <w:r>
        <w:rPr>
          <w:rtl/>
        </w:rPr>
        <w:tab/>
      </w:r>
      <w:r>
        <w:rPr>
          <w:rFonts w:hint="cs"/>
          <w:rtl/>
        </w:rPr>
        <w:t xml:space="preserve">ראשית, טוען הנאשם לקבלת אחריות מלאה למעשיו; </w:t>
      </w:r>
    </w:p>
    <w:p w14:paraId="71297F62" w14:textId="77777777" w:rsidR="00B975DB" w:rsidRDefault="00B975DB" w:rsidP="00B975DB">
      <w:pPr>
        <w:spacing w:line="480" w:lineRule="auto"/>
        <w:ind w:left="510" w:hanging="510"/>
        <w:jc w:val="both"/>
        <w:rPr>
          <w:rtl/>
        </w:rPr>
      </w:pPr>
    </w:p>
    <w:p w14:paraId="6008D6B3" w14:textId="77777777" w:rsidR="00B975DB" w:rsidRDefault="00B975DB" w:rsidP="00B975DB">
      <w:pPr>
        <w:spacing w:line="480" w:lineRule="auto"/>
        <w:ind w:left="510" w:hanging="510"/>
        <w:jc w:val="both"/>
        <w:rPr>
          <w:rtl/>
        </w:rPr>
      </w:pPr>
      <w:r>
        <w:rPr>
          <w:rtl/>
        </w:rPr>
        <w:tab/>
      </w:r>
      <w:r>
        <w:rPr>
          <w:rFonts w:hint="cs"/>
          <w:rtl/>
        </w:rPr>
        <w:t>ב.</w:t>
      </w:r>
      <w:r>
        <w:rPr>
          <w:rFonts w:hint="cs"/>
          <w:rtl/>
        </w:rPr>
        <w:tab/>
      </w:r>
      <w:r>
        <w:rPr>
          <w:rFonts w:hint="cs"/>
          <w:rtl/>
        </w:rPr>
        <w:tab/>
        <w:t xml:space="preserve">עוד צוין שעל הפרק נאשם שאין לחובתו עבר פלילי קודם מכל סוג שהוא. </w:t>
      </w:r>
    </w:p>
    <w:p w14:paraId="4E2173DB" w14:textId="77777777" w:rsidR="00B975DB" w:rsidRDefault="00B975DB" w:rsidP="00B975DB">
      <w:pPr>
        <w:spacing w:line="480" w:lineRule="auto"/>
        <w:ind w:left="510" w:hanging="510"/>
        <w:jc w:val="both"/>
        <w:rPr>
          <w:rtl/>
        </w:rPr>
      </w:pPr>
    </w:p>
    <w:p w14:paraId="746688CC" w14:textId="77777777" w:rsidR="00B975DB" w:rsidRDefault="00B975DB" w:rsidP="00B975DB">
      <w:pPr>
        <w:spacing w:line="480" w:lineRule="auto"/>
        <w:ind w:left="1440" w:hanging="930"/>
        <w:jc w:val="both"/>
        <w:rPr>
          <w:rtl/>
        </w:rPr>
      </w:pPr>
      <w:r>
        <w:rPr>
          <w:rFonts w:hint="cs"/>
          <w:rtl/>
        </w:rPr>
        <w:t>ג.</w:t>
      </w:r>
      <w:r>
        <w:rPr>
          <w:rFonts w:hint="cs"/>
          <w:rtl/>
        </w:rPr>
        <w:tab/>
        <w:t xml:space="preserve">הנאשם שהה במעצר לתקופה של 105 ימים ובמעצר בית מפוקח אלקטרונית עוד ארבעה חודשים. </w:t>
      </w:r>
    </w:p>
    <w:p w14:paraId="1C9AFE10" w14:textId="77777777" w:rsidR="00B975DB" w:rsidRDefault="00B975DB" w:rsidP="00B975DB">
      <w:pPr>
        <w:spacing w:line="480" w:lineRule="auto"/>
        <w:ind w:left="1440" w:hanging="930"/>
        <w:jc w:val="both"/>
        <w:rPr>
          <w:rtl/>
        </w:rPr>
      </w:pPr>
    </w:p>
    <w:p w14:paraId="01115A59" w14:textId="77777777" w:rsidR="00B975DB" w:rsidRDefault="00B975DB" w:rsidP="00B975DB">
      <w:pPr>
        <w:spacing w:line="480" w:lineRule="auto"/>
        <w:ind w:left="1440" w:hanging="930"/>
        <w:jc w:val="both"/>
        <w:rPr>
          <w:rtl/>
        </w:rPr>
      </w:pPr>
      <w:r>
        <w:rPr>
          <w:rFonts w:hint="cs"/>
          <w:rtl/>
        </w:rPr>
        <w:t>ד.</w:t>
      </w:r>
      <w:r>
        <w:rPr>
          <w:rFonts w:hint="cs"/>
          <w:rtl/>
        </w:rPr>
        <w:tab/>
        <w:t>לצד כל האמור, אף הפנה הסנגור את בית המשפט לתסקיר שהוכן בעניינו של הנאשם, ואתייחס אליו בנפרד.</w:t>
      </w:r>
    </w:p>
    <w:p w14:paraId="11C3B418" w14:textId="77777777" w:rsidR="00B975DB" w:rsidRDefault="00B975DB" w:rsidP="00B975DB">
      <w:pPr>
        <w:spacing w:line="480" w:lineRule="auto"/>
        <w:jc w:val="both"/>
        <w:rPr>
          <w:rtl/>
        </w:rPr>
      </w:pPr>
    </w:p>
    <w:p w14:paraId="1BE0B332" w14:textId="77777777" w:rsidR="00B975DB" w:rsidRDefault="00B975DB" w:rsidP="00B975DB">
      <w:pPr>
        <w:spacing w:line="480" w:lineRule="auto"/>
        <w:ind w:left="510" w:hanging="510"/>
        <w:jc w:val="both"/>
        <w:rPr>
          <w:rtl/>
        </w:rPr>
      </w:pPr>
      <w:r>
        <w:rPr>
          <w:rtl/>
        </w:rPr>
        <w:t>4.</w:t>
      </w:r>
      <w:r>
        <w:rPr>
          <w:rFonts w:hint="cs"/>
          <w:rtl/>
        </w:rPr>
        <w:tab/>
      </w:r>
      <w:r w:rsidRPr="00973EEC">
        <w:rPr>
          <w:rFonts w:hint="cs"/>
          <w:b/>
          <w:bCs/>
          <w:u w:val="single"/>
          <w:rtl/>
        </w:rPr>
        <w:t>תסקיר שירות המבחן</w:t>
      </w:r>
      <w:r>
        <w:rPr>
          <w:rFonts w:hint="cs"/>
          <w:rtl/>
        </w:rPr>
        <w:t xml:space="preserve"> </w:t>
      </w:r>
    </w:p>
    <w:p w14:paraId="1647462B" w14:textId="77777777" w:rsidR="00B975DB" w:rsidRDefault="00B975DB" w:rsidP="00B975DB">
      <w:pPr>
        <w:spacing w:line="480" w:lineRule="auto"/>
        <w:ind w:left="510" w:hanging="510"/>
        <w:jc w:val="both"/>
        <w:rPr>
          <w:rtl/>
        </w:rPr>
      </w:pPr>
    </w:p>
    <w:p w14:paraId="475B95E8" w14:textId="77777777" w:rsidR="00B975DB" w:rsidRDefault="00B975DB" w:rsidP="00B975DB">
      <w:pPr>
        <w:spacing w:line="480" w:lineRule="auto"/>
        <w:ind w:left="510" w:hanging="510"/>
        <w:jc w:val="both"/>
        <w:rPr>
          <w:rtl/>
        </w:rPr>
      </w:pPr>
      <w:r>
        <w:rPr>
          <w:rtl/>
        </w:rPr>
        <w:tab/>
      </w:r>
      <w:r>
        <w:rPr>
          <w:rFonts w:hint="cs"/>
          <w:rtl/>
        </w:rPr>
        <w:t xml:space="preserve">במצוות המחוקק אמנע מפירוט האמור בתסקיר, ומקובל גם על המאשימה שהתסקיר חיובי בעיקרו. יש בו כדי ללמד על נאשם שהחל את שירותו הצבאי כחייל מקא"מ (חוות השומר), </w:t>
      </w:r>
      <w:r>
        <w:rPr>
          <w:rFonts w:hint="cs"/>
          <w:rtl/>
        </w:rPr>
        <w:lastRenderedPageBreak/>
        <w:t xml:space="preserve">שעשה מאמץ ומצא את דרכו למרות נסיבות חייו הקשות עד לשירות סדיר בצנחנים. ואכן, צר גם לבית המשפט על כך שמאמץ ניכר שעשה הנאשם מהמקום בו החל את חייו ועד לחטיבת הצנחנים, נקטע בשל הפרשה דנן. גם קצינת המבחן התרשמה מקבלת אחריות ומחרטה מצד הנאשם, כשלהערכתה  המניע למעשה היה כספי. לסופו של יום, ממליץ שירות המבחן על מאסר בדרך של עבודות שירות לצד ענישה נלווית וצו מבחן במגמה טיפולית/שיקומית. </w:t>
      </w:r>
    </w:p>
    <w:p w14:paraId="1F92C2E8" w14:textId="77777777" w:rsidR="00B975DB" w:rsidRDefault="00B975DB" w:rsidP="00B975DB">
      <w:pPr>
        <w:spacing w:line="480" w:lineRule="auto"/>
        <w:jc w:val="both"/>
        <w:rPr>
          <w:rtl/>
        </w:rPr>
      </w:pPr>
    </w:p>
    <w:p w14:paraId="5C4C035D" w14:textId="77777777" w:rsidR="00B975DB" w:rsidRDefault="00B975DB" w:rsidP="00B975DB">
      <w:pPr>
        <w:spacing w:line="480" w:lineRule="auto"/>
        <w:ind w:left="510" w:hanging="510"/>
        <w:jc w:val="both"/>
        <w:rPr>
          <w:rtl/>
        </w:rPr>
      </w:pPr>
      <w:r>
        <w:rPr>
          <w:rtl/>
        </w:rPr>
        <w:t>5.</w:t>
      </w:r>
      <w:r>
        <w:rPr>
          <w:rFonts w:hint="cs"/>
          <w:rtl/>
        </w:rPr>
        <w:tab/>
      </w:r>
      <w:r w:rsidRPr="00973EEC">
        <w:rPr>
          <w:rFonts w:hint="cs"/>
          <w:b/>
          <w:bCs/>
          <w:u w:val="single"/>
          <w:rtl/>
        </w:rPr>
        <w:t>פסיקת בתי המשפט</w:t>
      </w:r>
      <w:r>
        <w:rPr>
          <w:rFonts w:hint="cs"/>
          <w:rtl/>
        </w:rPr>
        <w:t xml:space="preserve"> </w:t>
      </w:r>
    </w:p>
    <w:p w14:paraId="6B29F2C1" w14:textId="77777777" w:rsidR="00B975DB" w:rsidRDefault="00B975DB" w:rsidP="00B975DB">
      <w:pPr>
        <w:spacing w:line="480" w:lineRule="auto"/>
        <w:ind w:left="510" w:hanging="510"/>
        <w:jc w:val="both"/>
        <w:rPr>
          <w:rtl/>
        </w:rPr>
      </w:pPr>
    </w:p>
    <w:p w14:paraId="4352CC80" w14:textId="77777777" w:rsidR="00B975DB" w:rsidRDefault="00B975DB" w:rsidP="00B975DB">
      <w:pPr>
        <w:spacing w:line="480" w:lineRule="auto"/>
        <w:ind w:left="510" w:hanging="510"/>
        <w:jc w:val="both"/>
        <w:rPr>
          <w:rtl/>
        </w:rPr>
      </w:pPr>
      <w:r>
        <w:rPr>
          <w:rtl/>
        </w:rPr>
        <w:tab/>
      </w:r>
      <w:r>
        <w:rPr>
          <w:rFonts w:hint="cs"/>
          <w:rtl/>
        </w:rPr>
        <w:t xml:space="preserve">ככלל, מקובלת עליי עמדת המאשימה שעבירה מן הסוג שעל הפרק טעונה מאסר בפועל לתקופה ממשית, ומקום שנועדו המעשים לייבא לישראל סם מסוג קוקאין בהיקף מסחרי, נקודת המוצא הינה מאסר בפועל ולתקופה משמעותית [ראה, למשל, </w:t>
      </w:r>
      <w:hyperlink r:id="rId8" w:history="1">
        <w:r w:rsidR="00AE6493" w:rsidRPr="00AE6493">
          <w:rPr>
            <w:color w:val="0000FF"/>
            <w:u w:val="single"/>
            <w:rtl/>
          </w:rPr>
          <w:t>ע"פ 3669/14</w:t>
        </w:r>
      </w:hyperlink>
      <w:r>
        <w:rPr>
          <w:rFonts w:hint="cs"/>
          <w:rtl/>
        </w:rPr>
        <w:t xml:space="preserve"> </w:t>
      </w:r>
      <w:r>
        <w:rPr>
          <w:rFonts w:hint="cs"/>
          <w:b/>
          <w:bCs/>
          <w:rtl/>
        </w:rPr>
        <w:t xml:space="preserve">גולן נגד מדינת ישראל </w:t>
      </w:r>
      <w:r>
        <w:rPr>
          <w:rFonts w:hint="cs"/>
          <w:rtl/>
        </w:rPr>
        <w:t>(18.12.2016)]. עם זאת, צודק ב"כ הנאשם שניתנו גם בשנים האחרונות,  לרבות על ידי מותבים אחרים של בית משפט זה, אף תוך אישור מצד בית המשפט העליון, פסיקות מקלות בהרבה, גם אם בנסיבות חריגות. בולט בכולם גזר דינו של אייל לוי, שהורשע בייבוא 400 גרם קוקאין ובעבירה נוספת של ניסיון ייבוא קוקאין, ואשר למרות עברו הרב ביותר שהסתכם בכ</w:t>
      </w:r>
      <w:r>
        <w:rPr>
          <w:rtl/>
        </w:rPr>
        <w:t>–</w:t>
      </w:r>
      <w:r>
        <w:rPr>
          <w:rFonts w:hint="cs"/>
          <w:rtl/>
        </w:rPr>
        <w:t xml:space="preserve"> 10  הרשעות וב-15 שנות מאסר בפועל (במצטבר במסגרת תיקיו השונים לאורך חייו), נדון ע"י בית משפט זה לשישה חודשי מאסר לריצוי בעבודות שירות [</w:t>
      </w:r>
      <w:hyperlink r:id="rId9" w:history="1">
        <w:r w:rsidR="00AE6493" w:rsidRPr="00AE6493">
          <w:rPr>
            <w:color w:val="0000FF"/>
            <w:u w:val="single"/>
            <w:rtl/>
          </w:rPr>
          <w:t>ת.פ. 44404-01-16</w:t>
        </w:r>
      </w:hyperlink>
      <w:r>
        <w:rPr>
          <w:rFonts w:hint="cs"/>
          <w:rtl/>
        </w:rPr>
        <w:t xml:space="preserve">; גזר דין מיום 1.2.2018]. ויתר על זאת, לאחר שנתקבל חלקית ערעור שהגיש בעצמו, הצטמצם עוד עונשו בבית משפט העליון ל-200 שעות עבודה לתועלת הציבור, לצד צו מבחן [ע"פ 2179/18]. הנימוק לכך התמקד במהלך שיקומי ממשי שעבר אותו אייל לוי. פסק הדין בעניינו בבית המשפט העליון, בהסכמת המדינה, ניתן אך לפני כארבעה חודשים. לשון אחר: גם אם גישת הפסיקה לייבוא סמים קשים בהיקף מסחרי הינה מחמירה, מכירה הפסיקה ביכולת לחרוג לקולא מקום שבו מוצדק הדבר, וקודם שאמשיך, אשוב ואזכיר, שבפרשה דנן על הפרק ניסיון בלבד ובמקרה אחד.  </w:t>
      </w:r>
    </w:p>
    <w:p w14:paraId="5A7C240A" w14:textId="77777777" w:rsidR="00B975DB" w:rsidRDefault="00B975DB" w:rsidP="00B975DB">
      <w:pPr>
        <w:spacing w:line="480" w:lineRule="auto"/>
        <w:jc w:val="both"/>
        <w:rPr>
          <w:rtl/>
        </w:rPr>
      </w:pPr>
    </w:p>
    <w:p w14:paraId="677F6FCB" w14:textId="77777777" w:rsidR="00B975DB" w:rsidRDefault="00B975DB" w:rsidP="00B975DB">
      <w:pPr>
        <w:spacing w:line="480" w:lineRule="auto"/>
        <w:ind w:left="510" w:hanging="510"/>
        <w:jc w:val="both"/>
        <w:rPr>
          <w:rtl/>
        </w:rPr>
      </w:pPr>
      <w:r>
        <w:rPr>
          <w:rtl/>
        </w:rPr>
        <w:t>6.</w:t>
      </w:r>
      <w:r>
        <w:rPr>
          <w:rFonts w:hint="cs"/>
          <w:rtl/>
        </w:rPr>
        <w:tab/>
      </w:r>
      <w:r w:rsidRPr="00D62CBF">
        <w:rPr>
          <w:rFonts w:hint="cs"/>
          <w:b/>
          <w:bCs/>
          <w:u w:val="single"/>
          <w:rtl/>
        </w:rPr>
        <w:t>הדיון המסכם</w:t>
      </w:r>
      <w:r>
        <w:rPr>
          <w:rFonts w:hint="cs"/>
          <w:rtl/>
        </w:rPr>
        <w:t xml:space="preserve"> </w:t>
      </w:r>
    </w:p>
    <w:p w14:paraId="1EF0A89F" w14:textId="77777777" w:rsidR="00B975DB" w:rsidRDefault="00B975DB" w:rsidP="00B975DB">
      <w:pPr>
        <w:spacing w:line="480" w:lineRule="auto"/>
        <w:ind w:left="510" w:hanging="510"/>
        <w:jc w:val="both"/>
        <w:rPr>
          <w:rtl/>
        </w:rPr>
      </w:pPr>
    </w:p>
    <w:p w14:paraId="1181A87E" w14:textId="77777777" w:rsidR="00B975DB" w:rsidRDefault="00B975DB" w:rsidP="00B975DB">
      <w:pPr>
        <w:spacing w:line="480" w:lineRule="auto"/>
        <w:ind w:left="1440" w:hanging="930"/>
        <w:jc w:val="both"/>
        <w:rPr>
          <w:rtl/>
        </w:rPr>
      </w:pPr>
      <w:r>
        <w:rPr>
          <w:rFonts w:hint="cs"/>
          <w:rtl/>
        </w:rPr>
        <w:t>א.</w:t>
      </w:r>
      <w:r>
        <w:rPr>
          <w:rtl/>
        </w:rPr>
        <w:tab/>
      </w:r>
      <w:r>
        <w:rPr>
          <w:rFonts w:hint="cs"/>
          <w:rtl/>
        </w:rPr>
        <w:t xml:space="preserve">נקודת המוצא לבית משפט זה הינה בהסדר הטיעון אליו הגיעו הצדדים. </w:t>
      </w:r>
    </w:p>
    <w:p w14:paraId="36299D40" w14:textId="77777777" w:rsidR="00B975DB" w:rsidRDefault="00B975DB" w:rsidP="00B975DB">
      <w:pPr>
        <w:spacing w:line="480" w:lineRule="auto"/>
        <w:ind w:left="1440" w:hanging="930"/>
        <w:jc w:val="both"/>
        <w:rPr>
          <w:rtl/>
        </w:rPr>
      </w:pPr>
    </w:p>
    <w:p w14:paraId="758271EB" w14:textId="77777777" w:rsidR="00B975DB" w:rsidRDefault="00B975DB" w:rsidP="00B975DB">
      <w:pPr>
        <w:spacing w:line="480" w:lineRule="auto"/>
        <w:ind w:left="1440" w:hanging="930"/>
        <w:jc w:val="both"/>
        <w:rPr>
          <w:rtl/>
        </w:rPr>
      </w:pPr>
      <w:r>
        <w:rPr>
          <w:rFonts w:hint="cs"/>
          <w:rtl/>
        </w:rPr>
        <w:t>ב.</w:t>
      </w:r>
      <w:r>
        <w:rPr>
          <w:rFonts w:hint="cs"/>
          <w:rtl/>
        </w:rPr>
        <w:tab/>
        <w:t xml:space="preserve">ועם כל זאת, מקבץ טיעוני ההגנה עומדים על כנם: מעידה אחת ויחידה, ניסיון שלא הבשיל לעבירה שבוצעה במלואה, קבלת אחריות וחרטה והעדר עבר פלילי קודם. </w:t>
      </w:r>
    </w:p>
    <w:p w14:paraId="28594420" w14:textId="77777777" w:rsidR="00B975DB" w:rsidRDefault="00B975DB" w:rsidP="00B975DB">
      <w:pPr>
        <w:spacing w:line="480" w:lineRule="auto"/>
        <w:ind w:left="1440" w:hanging="930"/>
        <w:jc w:val="both"/>
        <w:rPr>
          <w:rtl/>
        </w:rPr>
      </w:pPr>
    </w:p>
    <w:p w14:paraId="03974DEE" w14:textId="77777777" w:rsidR="00B975DB" w:rsidRDefault="00B975DB" w:rsidP="00B975DB">
      <w:pPr>
        <w:spacing w:line="480" w:lineRule="auto"/>
        <w:ind w:left="1440" w:hanging="930"/>
        <w:jc w:val="both"/>
        <w:rPr>
          <w:rtl/>
        </w:rPr>
      </w:pPr>
      <w:r>
        <w:rPr>
          <w:rFonts w:hint="cs"/>
          <w:rtl/>
        </w:rPr>
        <w:t>ג.</w:t>
      </w:r>
      <w:r>
        <w:rPr>
          <w:rFonts w:hint="cs"/>
          <w:rtl/>
        </w:rPr>
        <w:tab/>
        <w:t xml:space="preserve">שירות המבחן שנכנס לעבי הקורה, מצדד בעבודות שירות, והתסקיר מנומק, בין היתר, בנסיבותיו האישיות של הנאשם ובחשש להשלכות השליליות הגלומות כלפיו מתקופת מאסר ממשית מאחורי סורג ובריח. </w:t>
      </w:r>
    </w:p>
    <w:p w14:paraId="5E954FD1" w14:textId="77777777" w:rsidR="00B975DB" w:rsidRDefault="00B975DB" w:rsidP="00B975DB">
      <w:pPr>
        <w:spacing w:line="480" w:lineRule="auto"/>
        <w:ind w:left="1440" w:hanging="930"/>
        <w:jc w:val="both"/>
        <w:rPr>
          <w:rtl/>
        </w:rPr>
      </w:pPr>
    </w:p>
    <w:p w14:paraId="2123F326" w14:textId="77777777" w:rsidR="00B975DB" w:rsidRDefault="00B975DB" w:rsidP="00B975DB">
      <w:pPr>
        <w:spacing w:line="480" w:lineRule="auto"/>
        <w:ind w:left="1440" w:hanging="930"/>
        <w:jc w:val="both"/>
        <w:rPr>
          <w:rtl/>
        </w:rPr>
      </w:pPr>
      <w:r>
        <w:rPr>
          <w:rFonts w:hint="cs"/>
          <w:rtl/>
        </w:rPr>
        <w:t>ד.</w:t>
      </w:r>
      <w:r>
        <w:rPr>
          <w:rtl/>
        </w:rPr>
        <w:tab/>
      </w:r>
      <w:r>
        <w:rPr>
          <w:rFonts w:hint="cs"/>
          <w:rtl/>
        </w:rPr>
        <w:t xml:space="preserve">הנאשם שהה במעצר ממש 105 ימים, וארבעה חודשים נוספים במעצר מפוקח אלקטרונית. מכאן, שגם אם אסתפק במאסר שירוצה בעבודות שירות לתקופה המרבית האפשרית על פי החוק, בפועל, קיבלו שיקולי ההלימה וההרתעה ביטוי נוסף במעצרו הנ"ל על שני שלביו </w:t>
      </w:r>
      <w:r>
        <w:rPr>
          <w:rtl/>
        </w:rPr>
        <w:t>–</w:t>
      </w:r>
      <w:r>
        <w:rPr>
          <w:rFonts w:hint="cs"/>
          <w:rtl/>
        </w:rPr>
        <w:t xml:space="preserve"> מעצר מלא ומעצר בית בפיקוח אלקטרוני. זאת, לפרקי זמן משמעותיים.</w:t>
      </w:r>
    </w:p>
    <w:p w14:paraId="7B33B3B2" w14:textId="77777777" w:rsidR="00B975DB" w:rsidRDefault="00B975DB" w:rsidP="00B975DB">
      <w:pPr>
        <w:spacing w:line="480" w:lineRule="auto"/>
        <w:ind w:left="1440" w:hanging="930"/>
        <w:jc w:val="both"/>
        <w:rPr>
          <w:rtl/>
        </w:rPr>
      </w:pPr>
    </w:p>
    <w:p w14:paraId="0981AB07" w14:textId="77777777" w:rsidR="00B975DB" w:rsidRDefault="00B975DB" w:rsidP="00B975DB">
      <w:pPr>
        <w:spacing w:line="480" w:lineRule="auto"/>
        <w:ind w:left="1440" w:hanging="930"/>
        <w:jc w:val="both"/>
        <w:rPr>
          <w:rtl/>
        </w:rPr>
      </w:pPr>
      <w:r>
        <w:rPr>
          <w:rFonts w:hint="cs"/>
          <w:rtl/>
        </w:rPr>
        <w:t>ה.</w:t>
      </w:r>
      <w:r>
        <w:rPr>
          <w:rtl/>
        </w:rPr>
        <w:tab/>
      </w:r>
      <w:r>
        <w:rPr>
          <w:rFonts w:hint="cs"/>
          <w:rtl/>
        </w:rPr>
        <w:t xml:space="preserve">מעבר לכך, הגיעו הצדדים להסכמות ביחס לרכיבי ענישה נלווים בכללם קנס. באשר נכון אני לקבל את בקשת הנאשם למאסר שירוצה בעבודות שירות, לא אכבד את הסדר הטיעון במישור הקנס, וצודק הדבר, לא רק בשל כך שיש לאזן לחומרה את נכונותי להסתפק בעבודות שירות, אלא בשל הביטוי הנצרך לענישה ראויה דווקא במישור הכלכלי, שהרי מטעמים כספיים בוצעה העבירה. </w:t>
      </w:r>
    </w:p>
    <w:p w14:paraId="4E8AECA8" w14:textId="77777777" w:rsidR="00B975DB" w:rsidRDefault="00B975DB" w:rsidP="00B975DB">
      <w:pPr>
        <w:spacing w:line="480" w:lineRule="auto"/>
        <w:jc w:val="both"/>
        <w:rPr>
          <w:rtl/>
        </w:rPr>
      </w:pPr>
    </w:p>
    <w:p w14:paraId="42A5BCF3" w14:textId="77777777" w:rsidR="00B975DB" w:rsidRDefault="00B975DB" w:rsidP="00B975DB">
      <w:pPr>
        <w:spacing w:line="480" w:lineRule="auto"/>
        <w:ind w:left="510" w:hanging="510"/>
        <w:jc w:val="both"/>
        <w:rPr>
          <w:rtl/>
        </w:rPr>
      </w:pPr>
      <w:r>
        <w:rPr>
          <w:rtl/>
        </w:rPr>
        <w:t>7.</w:t>
      </w:r>
      <w:r>
        <w:rPr>
          <w:rFonts w:hint="cs"/>
          <w:rtl/>
        </w:rPr>
        <w:tab/>
      </w:r>
      <w:r w:rsidRPr="00CB3A8B">
        <w:rPr>
          <w:rFonts w:hint="cs"/>
          <w:u w:val="single"/>
          <w:rtl/>
        </w:rPr>
        <w:t>סוף דבר, גוזר אני כדלקמן:-</w:t>
      </w:r>
    </w:p>
    <w:p w14:paraId="6B4EA0E6" w14:textId="77777777" w:rsidR="00B975DB" w:rsidRDefault="00B975DB" w:rsidP="00B975DB">
      <w:pPr>
        <w:spacing w:line="480" w:lineRule="auto"/>
        <w:ind w:left="510" w:hanging="510"/>
        <w:jc w:val="both"/>
        <w:rPr>
          <w:rtl/>
        </w:rPr>
      </w:pPr>
    </w:p>
    <w:p w14:paraId="427F839A" w14:textId="77777777" w:rsidR="00B975DB" w:rsidRDefault="00B975DB" w:rsidP="00B975DB">
      <w:pPr>
        <w:spacing w:line="480" w:lineRule="auto"/>
        <w:ind w:left="510" w:hanging="510"/>
        <w:jc w:val="both"/>
        <w:rPr>
          <w:rtl/>
        </w:rPr>
      </w:pPr>
      <w:r>
        <w:rPr>
          <w:rtl/>
        </w:rPr>
        <w:tab/>
      </w:r>
      <w:r>
        <w:rPr>
          <w:rFonts w:hint="cs"/>
          <w:rtl/>
        </w:rPr>
        <w:t>א.</w:t>
      </w:r>
      <w:r>
        <w:rPr>
          <w:rFonts w:hint="cs"/>
          <w:rtl/>
        </w:rPr>
        <w:tab/>
      </w:r>
      <w:r>
        <w:rPr>
          <w:rFonts w:hint="cs"/>
          <w:rtl/>
        </w:rPr>
        <w:tab/>
        <w:t>מאסר לתשעה חדשים שירוצה בעבודות שירות מיום 1.8.19;</w:t>
      </w:r>
    </w:p>
    <w:p w14:paraId="30E88217" w14:textId="77777777" w:rsidR="00B975DB" w:rsidRDefault="00B975DB" w:rsidP="00B975DB">
      <w:pPr>
        <w:spacing w:line="480" w:lineRule="auto"/>
        <w:ind w:left="510" w:hanging="510"/>
        <w:jc w:val="both"/>
        <w:rPr>
          <w:rtl/>
        </w:rPr>
      </w:pPr>
    </w:p>
    <w:p w14:paraId="62D36958" w14:textId="77777777" w:rsidR="00B975DB" w:rsidRDefault="00B975DB" w:rsidP="00B975DB">
      <w:pPr>
        <w:spacing w:line="480" w:lineRule="auto"/>
        <w:ind w:left="1440" w:hanging="930"/>
        <w:jc w:val="both"/>
        <w:rPr>
          <w:rtl/>
        </w:rPr>
      </w:pPr>
      <w:r>
        <w:rPr>
          <w:rFonts w:hint="cs"/>
          <w:rtl/>
        </w:rPr>
        <w:t>ב.</w:t>
      </w:r>
      <w:r>
        <w:rPr>
          <w:rtl/>
        </w:rPr>
        <w:tab/>
      </w:r>
      <w:r>
        <w:rPr>
          <w:rFonts w:hint="cs"/>
          <w:rtl/>
        </w:rPr>
        <w:t xml:space="preserve">כמו כן ירצה הנאשם עשרה חדשי מאסר אם יעבור בשנתיים הקרובות עבירה נוספת על </w:t>
      </w:r>
      <w:hyperlink r:id="rId10" w:history="1">
        <w:r w:rsidR="00AE6493" w:rsidRPr="00AE6493">
          <w:rPr>
            <w:color w:val="0000FF"/>
            <w:u w:val="single"/>
            <w:rtl/>
          </w:rPr>
          <w:t>פקודת הסמים המסוכנים</w:t>
        </w:r>
      </w:hyperlink>
      <w:r>
        <w:rPr>
          <w:rFonts w:hint="cs"/>
          <w:rtl/>
        </w:rPr>
        <w:t>.</w:t>
      </w:r>
    </w:p>
    <w:p w14:paraId="637D4FA0" w14:textId="77777777" w:rsidR="00B975DB" w:rsidRDefault="00B975DB" w:rsidP="00B975DB">
      <w:pPr>
        <w:spacing w:line="480" w:lineRule="auto"/>
        <w:ind w:left="1440" w:hanging="930"/>
        <w:jc w:val="both"/>
        <w:rPr>
          <w:rtl/>
        </w:rPr>
      </w:pPr>
    </w:p>
    <w:p w14:paraId="5964943A" w14:textId="77777777" w:rsidR="00B975DB" w:rsidRDefault="00B975DB" w:rsidP="00B975DB">
      <w:pPr>
        <w:spacing w:line="480" w:lineRule="auto"/>
        <w:ind w:left="1440" w:hanging="930"/>
        <w:jc w:val="both"/>
        <w:rPr>
          <w:rtl/>
        </w:rPr>
      </w:pPr>
      <w:r>
        <w:rPr>
          <w:rFonts w:hint="cs"/>
          <w:rtl/>
        </w:rPr>
        <w:t>ג.</w:t>
      </w:r>
      <w:r>
        <w:rPr>
          <w:rtl/>
        </w:rPr>
        <w:tab/>
      </w:r>
      <w:r>
        <w:rPr>
          <w:rFonts w:hint="cs"/>
          <w:rtl/>
        </w:rPr>
        <w:t xml:space="preserve">קנס בסך של 20,000 ₪. הקנס יקוזז מכספים מופקדים, וביצוע הפעולה על ידי המזכירות והחזרת היתרה </w:t>
      </w:r>
      <w:r>
        <w:rPr>
          <w:rtl/>
        </w:rPr>
        <w:t>–</w:t>
      </w:r>
      <w:r>
        <w:rPr>
          <w:rFonts w:hint="cs"/>
          <w:rtl/>
        </w:rPr>
        <w:t xml:space="preserve"> לא לפני 1.8.19.</w:t>
      </w:r>
    </w:p>
    <w:p w14:paraId="02974C84" w14:textId="77777777" w:rsidR="00B975DB" w:rsidRDefault="00B975DB" w:rsidP="00B975DB">
      <w:pPr>
        <w:spacing w:line="480" w:lineRule="auto"/>
        <w:ind w:left="1440" w:hanging="930"/>
        <w:jc w:val="both"/>
        <w:rPr>
          <w:rtl/>
        </w:rPr>
      </w:pPr>
    </w:p>
    <w:p w14:paraId="015F1675" w14:textId="77777777" w:rsidR="00B975DB" w:rsidRDefault="00B975DB" w:rsidP="00B975DB">
      <w:pPr>
        <w:spacing w:line="480" w:lineRule="auto"/>
        <w:ind w:left="1440" w:hanging="930"/>
        <w:jc w:val="both"/>
        <w:rPr>
          <w:rtl/>
        </w:rPr>
      </w:pPr>
      <w:r>
        <w:rPr>
          <w:rFonts w:hint="cs"/>
          <w:rtl/>
        </w:rPr>
        <w:t>ד.</w:t>
      </w:r>
      <w:r>
        <w:rPr>
          <w:rtl/>
        </w:rPr>
        <w:tab/>
      </w:r>
      <w:r>
        <w:rPr>
          <w:rFonts w:hint="cs"/>
          <w:rtl/>
        </w:rPr>
        <w:t>צו מבחן ל- 18 חודש.</w:t>
      </w:r>
    </w:p>
    <w:p w14:paraId="37ED4A51" w14:textId="77777777" w:rsidR="00B975DB" w:rsidRPr="00AE6493" w:rsidRDefault="00AE6493" w:rsidP="00B975DB">
      <w:pPr>
        <w:spacing w:line="480" w:lineRule="auto"/>
        <w:jc w:val="both"/>
        <w:rPr>
          <w:color w:val="FFFFFF"/>
          <w:sz w:val="2"/>
          <w:szCs w:val="2"/>
          <w:rtl/>
        </w:rPr>
      </w:pPr>
      <w:r w:rsidRPr="00AE6493">
        <w:rPr>
          <w:color w:val="FFFFFF"/>
          <w:sz w:val="2"/>
          <w:szCs w:val="2"/>
          <w:rtl/>
        </w:rPr>
        <w:t>5129371</w:t>
      </w:r>
    </w:p>
    <w:p w14:paraId="2548DEA9" w14:textId="77777777" w:rsidR="00B975DB" w:rsidRPr="004B69CC" w:rsidRDefault="00AE6493" w:rsidP="00B975DB">
      <w:pPr>
        <w:spacing w:line="480" w:lineRule="auto"/>
        <w:rPr>
          <w:rFonts w:cs="FrankRuehl"/>
          <w:sz w:val="28"/>
          <w:szCs w:val="28"/>
          <w:rtl/>
        </w:rPr>
      </w:pPr>
      <w:bookmarkStart w:id="8" w:name="Nitan"/>
      <w:r w:rsidRPr="00AE6493">
        <w:rPr>
          <w:rFonts w:ascii="Arial" w:hAnsi="Arial"/>
          <w:b/>
          <w:bCs/>
          <w:color w:val="FFFFFF"/>
          <w:sz w:val="2"/>
          <w:szCs w:val="2"/>
          <w:rtl/>
        </w:rPr>
        <w:t>54678313</w:t>
      </w:r>
      <w:r>
        <w:rPr>
          <w:rFonts w:ascii="Arial" w:hAnsi="Arial"/>
          <w:b/>
          <w:bCs/>
          <w:rtl/>
        </w:rPr>
        <w:t xml:space="preserve">ניתן היום, כ"ט אייר תשע"ט, 03 יוני 2019, במעמד הצדדים. </w:t>
      </w:r>
      <w:bookmarkEnd w:id="8"/>
    </w:p>
    <w:p w14:paraId="7792CCF0" w14:textId="77777777" w:rsidR="00B975DB" w:rsidRDefault="00B975DB" w:rsidP="00B975DB">
      <w:pPr>
        <w:spacing w:line="480" w:lineRule="auto"/>
        <w:ind w:left="4320" w:firstLine="720"/>
      </w:pPr>
    </w:p>
    <w:p w14:paraId="55CD0155" w14:textId="77777777" w:rsidR="00AE6493" w:rsidRDefault="00AE6493" w:rsidP="00AE6493">
      <w:pPr>
        <w:rPr>
          <w:rtl/>
        </w:rPr>
      </w:pPr>
    </w:p>
    <w:p w14:paraId="34B8F452" w14:textId="77777777" w:rsidR="00AE6493" w:rsidRDefault="00AE6493" w:rsidP="00AE6493">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3681AA7B" w14:textId="77777777" w:rsidR="001619D9" w:rsidRPr="001619D9" w:rsidRDefault="001619D9" w:rsidP="001619D9">
      <w:pPr>
        <w:keepNext/>
        <w:rPr>
          <w:rFonts w:ascii="David" w:hAnsi="David"/>
          <w:color w:val="000000"/>
          <w:sz w:val="22"/>
          <w:szCs w:val="22"/>
          <w:rtl/>
        </w:rPr>
      </w:pPr>
    </w:p>
    <w:p w14:paraId="27760F78" w14:textId="77777777" w:rsidR="001619D9" w:rsidRPr="001619D9" w:rsidRDefault="001619D9" w:rsidP="001619D9">
      <w:pPr>
        <w:keepNext/>
        <w:rPr>
          <w:rFonts w:ascii="David" w:hAnsi="David"/>
          <w:color w:val="000000"/>
          <w:sz w:val="22"/>
          <w:szCs w:val="22"/>
          <w:rtl/>
        </w:rPr>
      </w:pPr>
      <w:r w:rsidRPr="001619D9">
        <w:rPr>
          <w:rFonts w:ascii="David" w:hAnsi="David"/>
          <w:color w:val="000000"/>
          <w:sz w:val="22"/>
          <w:szCs w:val="22"/>
          <w:rtl/>
        </w:rPr>
        <w:t>אלכסנדר רון 54678313-/</w:t>
      </w:r>
    </w:p>
    <w:p w14:paraId="773C3FD0" w14:textId="77777777" w:rsidR="00AE6493" w:rsidRPr="00AE6493" w:rsidRDefault="001619D9" w:rsidP="001619D9">
      <w:pPr>
        <w:rPr>
          <w:color w:val="0000FF"/>
          <w:u w:val="single"/>
        </w:rPr>
      </w:pPr>
      <w:r w:rsidRPr="001619D9">
        <w:rPr>
          <w:color w:val="000000"/>
          <w:u w:val="single"/>
          <w:rtl/>
        </w:rPr>
        <w:t>נוסח מסמך זה כפוף לשינויי ניסוח ועריכה</w:t>
      </w:r>
    </w:p>
    <w:sectPr w:rsidR="00AE6493" w:rsidRPr="00AE6493" w:rsidSect="001619D9">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9D0B2" w14:textId="77777777" w:rsidR="006662EA" w:rsidRDefault="006662EA" w:rsidP="003D5DA3">
      <w:r>
        <w:separator/>
      </w:r>
    </w:p>
  </w:endnote>
  <w:endnote w:type="continuationSeparator" w:id="0">
    <w:p w14:paraId="71055F81" w14:textId="77777777" w:rsidR="006662EA" w:rsidRDefault="006662EA" w:rsidP="003D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CF7A0" w14:textId="77777777" w:rsidR="001619D9" w:rsidRDefault="001619D9" w:rsidP="001619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948A05" w14:textId="77777777" w:rsidR="00AE6493" w:rsidRPr="001619D9" w:rsidRDefault="001619D9" w:rsidP="001619D9">
    <w:pPr>
      <w:pStyle w:val="a5"/>
      <w:pBdr>
        <w:top w:val="single" w:sz="4" w:space="1" w:color="auto"/>
        <w:between w:val="single" w:sz="4" w:space="0" w:color="auto"/>
      </w:pBdr>
      <w:spacing w:after="60"/>
      <w:jc w:val="center"/>
      <w:rPr>
        <w:rFonts w:ascii="FrankRuehl" w:hAnsi="FrankRuehl" w:cs="FrankRuehl"/>
        <w:color w:val="000000"/>
      </w:rPr>
    </w:pPr>
    <w:r w:rsidRPr="001619D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6DB07" w14:textId="77777777" w:rsidR="001619D9" w:rsidRDefault="001619D9" w:rsidP="001619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5057">
      <w:rPr>
        <w:rFonts w:ascii="FrankRuehl" w:hAnsi="FrankRuehl" w:cs="FrankRuehl"/>
        <w:noProof/>
        <w:rtl/>
      </w:rPr>
      <w:t>1</w:t>
    </w:r>
    <w:r>
      <w:rPr>
        <w:rFonts w:ascii="FrankRuehl" w:hAnsi="FrankRuehl" w:cs="FrankRuehl"/>
        <w:rtl/>
      </w:rPr>
      <w:fldChar w:fldCharType="end"/>
    </w:r>
  </w:p>
  <w:p w14:paraId="26AD510B" w14:textId="77777777" w:rsidR="00AE6493" w:rsidRPr="001619D9" w:rsidRDefault="001619D9" w:rsidP="001619D9">
    <w:pPr>
      <w:pStyle w:val="a5"/>
      <w:pBdr>
        <w:top w:val="single" w:sz="4" w:space="1" w:color="auto"/>
        <w:between w:val="single" w:sz="4" w:space="0" w:color="auto"/>
      </w:pBdr>
      <w:spacing w:after="60"/>
      <w:jc w:val="center"/>
      <w:rPr>
        <w:rFonts w:ascii="FrankRuehl" w:hAnsi="FrankRuehl" w:cs="FrankRuehl"/>
        <w:color w:val="000000"/>
      </w:rPr>
    </w:pPr>
    <w:r w:rsidRPr="001619D9">
      <w:rPr>
        <w:rFonts w:ascii="FrankRuehl" w:hAnsi="FrankRuehl" w:cs="FrankRuehl"/>
        <w:color w:val="000000"/>
      </w:rPr>
      <w:pict w14:anchorId="33772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2CDAD" w14:textId="77777777" w:rsidR="006662EA" w:rsidRDefault="006662EA" w:rsidP="003D5DA3">
      <w:r>
        <w:separator/>
      </w:r>
    </w:p>
  </w:footnote>
  <w:footnote w:type="continuationSeparator" w:id="0">
    <w:p w14:paraId="5B15C4C6" w14:textId="77777777" w:rsidR="006662EA" w:rsidRDefault="006662EA" w:rsidP="003D5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E97BB" w14:textId="77777777" w:rsidR="00AE6493" w:rsidRPr="001619D9" w:rsidRDefault="001619D9" w:rsidP="001619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5846-06-18</w:t>
    </w:r>
    <w:r>
      <w:rPr>
        <w:rFonts w:ascii="David" w:hAnsi="David"/>
        <w:color w:val="000000"/>
        <w:sz w:val="22"/>
        <w:szCs w:val="22"/>
        <w:rtl/>
      </w:rPr>
      <w:tab/>
      <w:t xml:space="preserve"> מדינת ישראל נ' דניאל פבלוב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FA2DC" w14:textId="77777777" w:rsidR="00AE6493" w:rsidRPr="001619D9" w:rsidRDefault="001619D9" w:rsidP="001619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5846-06-18</w:t>
    </w:r>
    <w:r>
      <w:rPr>
        <w:rFonts w:ascii="David" w:hAnsi="David"/>
        <w:color w:val="000000"/>
        <w:sz w:val="22"/>
        <w:szCs w:val="22"/>
        <w:rtl/>
      </w:rPr>
      <w:tab/>
      <w:t xml:space="preserve"> מדינת ישראל נ' דניאל פבלוב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75DB"/>
    <w:rsid w:val="001619D9"/>
    <w:rsid w:val="00381020"/>
    <w:rsid w:val="003D5DA3"/>
    <w:rsid w:val="003F5057"/>
    <w:rsid w:val="006662EA"/>
    <w:rsid w:val="00AE6493"/>
    <w:rsid w:val="00B975DB"/>
    <w:rsid w:val="00BD7055"/>
    <w:rsid w:val="00C368E4"/>
    <w:rsid w:val="00CF7DF8"/>
    <w:rsid w:val="00D51915"/>
    <w:rsid w:val="00E51ADE"/>
    <w:rsid w:val="00E8642A"/>
    <w:rsid w:val="00ED4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04D71C"/>
  <w15:chartTrackingRefBased/>
  <w15:docId w15:val="{820BF029-A396-4A1D-A0C0-DDAE8310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75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75DB"/>
    <w:pPr>
      <w:tabs>
        <w:tab w:val="center" w:pos="4153"/>
        <w:tab w:val="right" w:pos="8306"/>
      </w:tabs>
    </w:pPr>
  </w:style>
  <w:style w:type="character" w:customStyle="1" w:styleId="a4">
    <w:name w:val="כותרת עליונה תו"/>
    <w:link w:val="a3"/>
    <w:rsid w:val="00B975DB"/>
    <w:rPr>
      <w:rFonts w:ascii="Times New Roman" w:eastAsia="Times New Roman" w:hAnsi="Times New Roman" w:cs="David"/>
      <w:sz w:val="24"/>
      <w:szCs w:val="24"/>
    </w:rPr>
  </w:style>
  <w:style w:type="paragraph" w:styleId="a5">
    <w:name w:val="footer"/>
    <w:basedOn w:val="a"/>
    <w:link w:val="a6"/>
    <w:rsid w:val="00B975DB"/>
    <w:pPr>
      <w:tabs>
        <w:tab w:val="center" w:pos="4153"/>
        <w:tab w:val="right" w:pos="8306"/>
      </w:tabs>
    </w:pPr>
  </w:style>
  <w:style w:type="character" w:customStyle="1" w:styleId="a6">
    <w:name w:val="כותרת תחתונה תו"/>
    <w:link w:val="a5"/>
    <w:rsid w:val="00B975DB"/>
    <w:rPr>
      <w:rFonts w:ascii="Times New Roman" w:eastAsia="Times New Roman" w:hAnsi="Times New Roman" w:cs="David"/>
      <w:sz w:val="24"/>
      <w:szCs w:val="24"/>
    </w:rPr>
  </w:style>
  <w:style w:type="table" w:styleId="a7">
    <w:name w:val="Table Grid"/>
    <w:basedOn w:val="a1"/>
    <w:rsid w:val="00B975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rsid w:val="00B975DB"/>
  </w:style>
  <w:style w:type="character" w:styleId="a9">
    <w:name w:val="page number"/>
    <w:rsid w:val="00AE6493"/>
  </w:style>
  <w:style w:type="character" w:styleId="Hyperlink">
    <w:name w:val="Hyperlink"/>
    <w:rsid w:val="00AE64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6968058"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case/20181627"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20902194"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4253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5093</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3145845</vt:i4>
      </vt:variant>
      <vt:variant>
        <vt:i4>9</vt:i4>
      </vt:variant>
      <vt:variant>
        <vt:i4>0</vt:i4>
      </vt:variant>
      <vt:variant>
        <vt:i4>5</vt:i4>
      </vt:variant>
      <vt:variant>
        <vt:lpwstr>http://www.nevo.co.il/case/20902194</vt:lpwstr>
      </vt:variant>
      <vt:variant>
        <vt:lpwstr/>
      </vt:variant>
      <vt:variant>
        <vt:i4>3473524</vt:i4>
      </vt:variant>
      <vt:variant>
        <vt:i4>6</vt:i4>
      </vt:variant>
      <vt:variant>
        <vt:i4>0</vt:i4>
      </vt:variant>
      <vt:variant>
        <vt:i4>5</vt:i4>
      </vt:variant>
      <vt:variant>
        <vt:lpwstr>http://www.nevo.co.il/case/16968058</vt:lpwstr>
      </vt:variant>
      <vt:variant>
        <vt:lpwstr/>
      </vt:variant>
      <vt:variant>
        <vt:i4>3145850</vt:i4>
      </vt:variant>
      <vt:variant>
        <vt:i4>3</vt:i4>
      </vt:variant>
      <vt:variant>
        <vt:i4>0</vt:i4>
      </vt:variant>
      <vt:variant>
        <vt:i4>5</vt:i4>
      </vt:variant>
      <vt:variant>
        <vt:lpwstr>http://www.nevo.co.il/case/20181627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2025-04-22T20:55:00Z</dcterms:created>
  <dcterms:modified xsi:type="dcterms:W3CDTF">2025-04-22T20:55:00Z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5846</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דניאל פבלוב</vt:lpwstr>
  </property>
  <property fmtid="{D5CDD505-2E9C-101B-9397-08002B2CF9AE}" pid="10" name="LAWYER">
    <vt:lpwstr>רחל אהרוני זאבי;זילברשלג</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20190603</vt:lpwstr>
  </property>
  <property fmtid="{D5CDD505-2E9C-101B-9397-08002B2CF9AE}" pid="14" name="TYPE_N_DATE">
    <vt:lpwstr>39020190603</vt:lpwstr>
  </property>
  <property fmtid="{D5CDD505-2E9C-101B-9397-08002B2CF9AE}" pid="15" name="CASESLISTTMP1">
    <vt:lpwstr>20181627;16968058;20902194</vt:lpwstr>
  </property>
  <property fmtid="{D5CDD505-2E9C-101B-9397-08002B2CF9AE}" pid="16" name="WORDNUMPAGES">
    <vt:lpwstr>5</vt:lpwstr>
  </property>
  <property fmtid="{D5CDD505-2E9C-101B-9397-08002B2CF9AE}" pid="17" name="TYPE_ABS_DATE">
    <vt:lpwstr>390020190603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vt:lpwstr>
  </property>
</Properties>
</file>