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C424B" w:rsidRPr="008005BD" w14:paraId="710B6C8F" w14:textId="77777777" w:rsidTr="003E327C">
        <w:trPr>
          <w:trHeight w:hRule="exact" w:val="418"/>
          <w:jc w:val="center"/>
        </w:trPr>
        <w:tc>
          <w:tcPr>
            <w:tcW w:w="8721" w:type="dxa"/>
            <w:gridSpan w:val="2"/>
          </w:tcPr>
          <w:p w14:paraId="3ED0F31D" w14:textId="77777777" w:rsidR="00BC424B" w:rsidRPr="008005BD" w:rsidRDefault="00BC424B" w:rsidP="00403CFC">
            <w:pPr>
              <w:pStyle w:val="a3"/>
              <w:jc w:val="center"/>
              <w:rPr>
                <w:rFonts w:ascii="Tahoma" w:hAnsi="Tahoma" w:cs="Tahoma"/>
                <w:color w:val="000080"/>
                <w:rtl/>
              </w:rPr>
            </w:pPr>
            <w:bookmarkStart w:id="0" w:name="LastJudge"/>
            <w:r w:rsidRPr="008005BD">
              <w:rPr>
                <w:rFonts w:ascii="Tahoma" w:hAnsi="Tahoma" w:cs="Tahoma"/>
                <w:b/>
                <w:bCs/>
                <w:color w:val="000080"/>
                <w:rtl/>
              </w:rPr>
              <w:t>בית המשפט המחוזי בחיפה</w:t>
            </w:r>
          </w:p>
        </w:tc>
      </w:tr>
      <w:tr w:rsidR="00BC424B" w:rsidRPr="008005BD" w14:paraId="655E93DD" w14:textId="77777777" w:rsidTr="003E327C">
        <w:trPr>
          <w:trHeight w:val="337"/>
          <w:jc w:val="center"/>
        </w:trPr>
        <w:tc>
          <w:tcPr>
            <w:tcW w:w="5059" w:type="dxa"/>
          </w:tcPr>
          <w:p w14:paraId="5E509FA9" w14:textId="77777777" w:rsidR="00BC424B" w:rsidRPr="008005BD" w:rsidRDefault="00BC424B" w:rsidP="00403CFC">
            <w:pPr>
              <w:rPr>
                <w:rFonts w:cs="FrankRuehl"/>
                <w:sz w:val="28"/>
                <w:szCs w:val="28"/>
                <w:rtl/>
              </w:rPr>
            </w:pPr>
            <w:r w:rsidRPr="008005BD">
              <w:rPr>
                <w:b/>
                <w:bCs/>
                <w:sz w:val="26"/>
                <w:szCs w:val="26"/>
                <w:rtl/>
              </w:rPr>
              <w:t>ת"פ</w:t>
            </w:r>
            <w:r w:rsidRPr="008005BD">
              <w:rPr>
                <w:rFonts w:cs="FrankRuehl" w:hint="cs"/>
                <w:sz w:val="28"/>
                <w:szCs w:val="28"/>
                <w:rtl/>
              </w:rPr>
              <w:t xml:space="preserve"> </w:t>
            </w:r>
            <w:r w:rsidRPr="008005BD">
              <w:rPr>
                <w:b/>
                <w:bCs/>
                <w:sz w:val="26"/>
                <w:szCs w:val="26"/>
                <w:rtl/>
              </w:rPr>
              <w:t>6992-06-18</w:t>
            </w:r>
            <w:r w:rsidRPr="008005BD">
              <w:rPr>
                <w:rFonts w:cs="FrankRuehl" w:hint="cs"/>
                <w:sz w:val="28"/>
                <w:szCs w:val="28"/>
                <w:rtl/>
              </w:rPr>
              <w:t xml:space="preserve"> </w:t>
            </w:r>
            <w:r w:rsidRPr="008005BD">
              <w:rPr>
                <w:b/>
                <w:bCs/>
                <w:sz w:val="26"/>
                <w:szCs w:val="26"/>
                <w:rtl/>
              </w:rPr>
              <w:t>מדינת ישראל נ' רזילוב(עציר)</w:t>
            </w:r>
          </w:p>
          <w:p w14:paraId="5609FE05" w14:textId="77777777" w:rsidR="00BC424B" w:rsidRPr="008005BD" w:rsidRDefault="00BC424B" w:rsidP="00403CFC">
            <w:pPr>
              <w:pStyle w:val="a3"/>
              <w:rPr>
                <w:rFonts w:cs="FrankRuehl"/>
                <w:sz w:val="28"/>
                <w:szCs w:val="28"/>
                <w:rtl/>
              </w:rPr>
            </w:pPr>
          </w:p>
        </w:tc>
        <w:tc>
          <w:tcPr>
            <w:tcW w:w="3662" w:type="dxa"/>
          </w:tcPr>
          <w:p w14:paraId="5862E7AC" w14:textId="77777777" w:rsidR="00BC424B" w:rsidRPr="008005BD" w:rsidRDefault="00BC424B" w:rsidP="00403CFC">
            <w:pPr>
              <w:pStyle w:val="a3"/>
              <w:jc w:val="right"/>
              <w:rPr>
                <w:rFonts w:cs="FrankRuehl"/>
                <w:sz w:val="28"/>
                <w:szCs w:val="28"/>
                <w:rtl/>
              </w:rPr>
            </w:pPr>
          </w:p>
        </w:tc>
      </w:tr>
    </w:tbl>
    <w:p w14:paraId="785B7214" w14:textId="77777777" w:rsidR="00BC424B" w:rsidRPr="008005BD" w:rsidRDefault="00BC424B" w:rsidP="00BC424B">
      <w:pPr>
        <w:pStyle w:val="a3"/>
        <w:rPr>
          <w:rtl/>
        </w:rPr>
      </w:pPr>
      <w:r w:rsidRPr="008005BD">
        <w:rPr>
          <w:rFonts w:hint="cs"/>
          <w:rtl/>
        </w:rPr>
        <w:t xml:space="preserve"> </w:t>
      </w:r>
    </w:p>
    <w:p w14:paraId="67345F93" w14:textId="77777777" w:rsidR="00BC424B" w:rsidRPr="008005BD" w:rsidRDefault="00BC424B" w:rsidP="00BC424B">
      <w:pPr>
        <w:rPr>
          <w:rtl/>
        </w:rPr>
      </w:pPr>
    </w:p>
    <w:tbl>
      <w:tblPr>
        <w:bidiVisual/>
        <w:tblW w:w="8802" w:type="dxa"/>
        <w:tblInd w:w="-28" w:type="dxa"/>
        <w:tblLook w:val="01E0" w:firstRow="1" w:lastRow="1" w:firstColumn="1" w:lastColumn="1" w:noHBand="0" w:noVBand="0"/>
      </w:tblPr>
      <w:tblGrid>
        <w:gridCol w:w="2880"/>
        <w:gridCol w:w="5838"/>
        <w:gridCol w:w="84"/>
      </w:tblGrid>
      <w:tr w:rsidR="00BC424B" w:rsidRPr="008005BD" w14:paraId="156E1A13" w14:textId="77777777" w:rsidTr="00BC424B">
        <w:trPr>
          <w:gridAfter w:val="1"/>
          <w:wAfter w:w="56" w:type="dxa"/>
        </w:trPr>
        <w:tc>
          <w:tcPr>
            <w:tcW w:w="8718" w:type="dxa"/>
            <w:gridSpan w:val="2"/>
            <w:shd w:val="clear" w:color="auto" w:fill="auto"/>
          </w:tcPr>
          <w:p w14:paraId="5F438369" w14:textId="77777777" w:rsidR="00BC424B" w:rsidRPr="008005BD" w:rsidRDefault="00BC424B" w:rsidP="00403CFC">
            <w:pPr>
              <w:rPr>
                <w:sz w:val="26"/>
                <w:szCs w:val="26"/>
                <w:rtl/>
              </w:rPr>
            </w:pPr>
            <w:r w:rsidRPr="008005BD">
              <w:rPr>
                <w:rFonts w:ascii="Arial" w:hAnsi="Arial" w:hint="cs"/>
                <w:b/>
                <w:bCs/>
                <w:sz w:val="26"/>
                <w:szCs w:val="26"/>
                <w:rtl/>
              </w:rPr>
              <w:t>בפני כב' הנשיא רון שפירא</w:t>
            </w:r>
          </w:p>
          <w:p w14:paraId="3C153A65" w14:textId="77777777" w:rsidR="00BC424B" w:rsidRPr="008005BD" w:rsidRDefault="00BC424B" w:rsidP="00403CFC">
            <w:pPr>
              <w:rPr>
                <w:b/>
                <w:bCs/>
                <w:sz w:val="26"/>
                <w:szCs w:val="26"/>
                <w:rtl/>
              </w:rPr>
            </w:pPr>
          </w:p>
        </w:tc>
      </w:tr>
      <w:tr w:rsidR="00BC424B" w:rsidRPr="008005BD" w14:paraId="26848B51" w14:textId="77777777" w:rsidTr="00BC424B">
        <w:trPr>
          <w:cantSplit/>
          <w:trHeight w:val="591"/>
        </w:trPr>
        <w:tc>
          <w:tcPr>
            <w:tcW w:w="2880" w:type="dxa"/>
            <w:shd w:val="clear" w:color="auto" w:fill="auto"/>
          </w:tcPr>
          <w:p w14:paraId="3BEAF52A" w14:textId="77777777" w:rsidR="00BC424B" w:rsidRPr="008005BD" w:rsidRDefault="00BC424B" w:rsidP="00BC424B">
            <w:pPr>
              <w:ind w:left="26"/>
              <w:rPr>
                <w:b/>
                <w:bCs/>
                <w:sz w:val="26"/>
                <w:szCs w:val="26"/>
                <w:rtl/>
              </w:rPr>
            </w:pPr>
            <w:bookmarkStart w:id="1" w:name="FirstAppellant"/>
          </w:p>
          <w:p w14:paraId="3FCC10D1" w14:textId="77777777" w:rsidR="00BC424B" w:rsidRPr="008005BD" w:rsidRDefault="00BC424B" w:rsidP="00BC424B">
            <w:pPr>
              <w:ind w:left="26"/>
              <w:rPr>
                <w:b/>
                <w:bCs/>
                <w:sz w:val="26"/>
                <w:szCs w:val="26"/>
                <w:rtl/>
              </w:rPr>
            </w:pPr>
            <w:r w:rsidRPr="008005BD">
              <w:rPr>
                <w:rFonts w:hint="cs"/>
                <w:b/>
                <w:bCs/>
                <w:sz w:val="26"/>
                <w:szCs w:val="26"/>
                <w:rtl/>
              </w:rPr>
              <w:t>ה</w:t>
            </w:r>
            <w:r w:rsidRPr="008005BD">
              <w:rPr>
                <w:b/>
                <w:bCs/>
                <w:sz w:val="26"/>
                <w:szCs w:val="26"/>
                <w:rtl/>
              </w:rPr>
              <w:t>מאשימה</w:t>
            </w:r>
          </w:p>
        </w:tc>
        <w:tc>
          <w:tcPr>
            <w:tcW w:w="5922" w:type="dxa"/>
            <w:gridSpan w:val="2"/>
            <w:shd w:val="clear" w:color="auto" w:fill="auto"/>
          </w:tcPr>
          <w:p w14:paraId="12AE037C" w14:textId="77777777" w:rsidR="00BC424B" w:rsidRPr="008005BD" w:rsidRDefault="00BC424B" w:rsidP="00403CFC">
            <w:pPr>
              <w:rPr>
                <w:rtl/>
              </w:rPr>
            </w:pPr>
          </w:p>
          <w:p w14:paraId="38C8728E" w14:textId="77777777" w:rsidR="00BC424B" w:rsidRPr="008005BD" w:rsidRDefault="00BC424B" w:rsidP="00403CFC">
            <w:pPr>
              <w:rPr>
                <w:rtl/>
              </w:rPr>
            </w:pPr>
            <w:r w:rsidRPr="008005BD">
              <w:rPr>
                <w:b/>
                <w:bCs/>
                <w:sz w:val="26"/>
                <w:szCs w:val="26"/>
                <w:rtl/>
              </w:rPr>
              <w:t>מדינת ישראל</w:t>
            </w:r>
          </w:p>
          <w:p w14:paraId="7CDF8880" w14:textId="77777777" w:rsidR="00BC424B" w:rsidRPr="008005BD" w:rsidRDefault="00BC424B" w:rsidP="00403CFC">
            <w:pPr>
              <w:rPr>
                <w:sz w:val="26"/>
                <w:szCs w:val="26"/>
                <w:rtl/>
              </w:rPr>
            </w:pPr>
            <w:r w:rsidRPr="008005BD">
              <w:rPr>
                <w:rFonts w:hint="cs"/>
                <w:rtl/>
              </w:rPr>
              <w:t>ע"י פרקליטות מחוז חיפה - פלילי</w:t>
            </w:r>
          </w:p>
        </w:tc>
      </w:tr>
      <w:bookmarkEnd w:id="1"/>
      <w:tr w:rsidR="00BC424B" w:rsidRPr="008005BD" w14:paraId="0F8233D8" w14:textId="77777777" w:rsidTr="00BC424B">
        <w:tc>
          <w:tcPr>
            <w:tcW w:w="8802" w:type="dxa"/>
            <w:gridSpan w:val="3"/>
            <w:shd w:val="clear" w:color="auto" w:fill="auto"/>
            <w:vAlign w:val="center"/>
          </w:tcPr>
          <w:p w14:paraId="45E15CCB" w14:textId="77777777" w:rsidR="00BC424B" w:rsidRPr="008005BD" w:rsidRDefault="00BC424B" w:rsidP="00BC424B">
            <w:pPr>
              <w:jc w:val="center"/>
              <w:rPr>
                <w:rFonts w:ascii="Arial" w:hAnsi="Arial"/>
                <w:b/>
                <w:bCs/>
                <w:sz w:val="26"/>
                <w:szCs w:val="26"/>
                <w:rtl/>
              </w:rPr>
            </w:pPr>
          </w:p>
          <w:p w14:paraId="71B1C4B0" w14:textId="77777777" w:rsidR="00BC424B" w:rsidRPr="008005BD" w:rsidRDefault="00BC424B" w:rsidP="00BC424B">
            <w:pPr>
              <w:jc w:val="center"/>
              <w:rPr>
                <w:rFonts w:ascii="Arial" w:hAnsi="Arial"/>
                <w:b/>
                <w:bCs/>
                <w:sz w:val="26"/>
                <w:szCs w:val="26"/>
                <w:rtl/>
              </w:rPr>
            </w:pPr>
            <w:r w:rsidRPr="008005BD">
              <w:rPr>
                <w:rFonts w:ascii="Arial" w:hAnsi="Arial"/>
                <w:b/>
                <w:bCs/>
                <w:sz w:val="26"/>
                <w:szCs w:val="26"/>
                <w:rtl/>
              </w:rPr>
              <w:t>נגד</w:t>
            </w:r>
          </w:p>
          <w:p w14:paraId="4BD3982F" w14:textId="77777777" w:rsidR="00BC424B" w:rsidRPr="008005BD" w:rsidRDefault="00BC424B" w:rsidP="00403CFC">
            <w:pPr>
              <w:rPr>
                <w:rFonts w:ascii="Arial" w:hAnsi="Arial"/>
                <w:b/>
                <w:bCs/>
                <w:sz w:val="26"/>
                <w:szCs w:val="26"/>
              </w:rPr>
            </w:pPr>
          </w:p>
        </w:tc>
      </w:tr>
      <w:tr w:rsidR="00BC424B" w:rsidRPr="008005BD" w14:paraId="11B17EA7" w14:textId="77777777" w:rsidTr="00BC424B">
        <w:trPr>
          <w:trHeight w:val="327"/>
        </w:trPr>
        <w:tc>
          <w:tcPr>
            <w:tcW w:w="2880" w:type="dxa"/>
            <w:shd w:val="clear" w:color="auto" w:fill="auto"/>
          </w:tcPr>
          <w:p w14:paraId="110BA71C" w14:textId="77777777" w:rsidR="00BC424B" w:rsidRPr="008005BD" w:rsidRDefault="00BC424B" w:rsidP="00BC424B">
            <w:pPr>
              <w:ind w:left="26"/>
              <w:rPr>
                <w:b/>
                <w:bCs/>
                <w:sz w:val="26"/>
                <w:szCs w:val="26"/>
                <w:rtl/>
              </w:rPr>
            </w:pPr>
            <w:bookmarkStart w:id="2" w:name="FirstLawyer"/>
            <w:r w:rsidRPr="008005BD">
              <w:rPr>
                <w:rFonts w:hint="cs"/>
                <w:b/>
                <w:bCs/>
                <w:sz w:val="26"/>
                <w:szCs w:val="26"/>
                <w:rtl/>
              </w:rPr>
              <w:t>ה</w:t>
            </w:r>
            <w:r w:rsidRPr="008005BD">
              <w:rPr>
                <w:b/>
                <w:bCs/>
                <w:sz w:val="26"/>
                <w:szCs w:val="26"/>
                <w:rtl/>
              </w:rPr>
              <w:t>נאשם</w:t>
            </w:r>
          </w:p>
        </w:tc>
        <w:tc>
          <w:tcPr>
            <w:tcW w:w="5922" w:type="dxa"/>
            <w:gridSpan w:val="2"/>
            <w:shd w:val="clear" w:color="auto" w:fill="auto"/>
          </w:tcPr>
          <w:p w14:paraId="07169526" w14:textId="77777777" w:rsidR="00BC424B" w:rsidRPr="008005BD" w:rsidRDefault="00BC424B" w:rsidP="00403CFC">
            <w:pPr>
              <w:rPr>
                <w:b/>
                <w:bCs/>
                <w:sz w:val="26"/>
                <w:szCs w:val="26"/>
                <w:rtl/>
              </w:rPr>
            </w:pPr>
            <w:r w:rsidRPr="008005BD">
              <w:rPr>
                <w:rFonts w:hint="cs"/>
                <w:rtl/>
              </w:rPr>
              <w:t xml:space="preserve"> </w:t>
            </w:r>
            <w:r w:rsidRPr="008005BD">
              <w:rPr>
                <w:b/>
                <w:bCs/>
                <w:sz w:val="26"/>
                <w:szCs w:val="26"/>
                <w:rtl/>
              </w:rPr>
              <w:t>ולדימיר רזילוב (עציר)</w:t>
            </w:r>
            <w:r w:rsidRPr="008005BD">
              <w:rPr>
                <w:rFonts w:hint="cs"/>
                <w:rtl/>
              </w:rPr>
              <w:t xml:space="preserve"> </w:t>
            </w:r>
            <w:r w:rsidRPr="008005BD">
              <w:rPr>
                <w:rFonts w:hint="eastAsia"/>
                <w:b/>
                <w:bCs/>
                <w:sz w:val="26"/>
                <w:szCs w:val="26"/>
                <w:rtl/>
              </w:rPr>
              <w:t>ת.ז.</w:t>
            </w:r>
            <w:r w:rsidRPr="008005BD">
              <w:rPr>
                <w:b/>
                <w:bCs/>
                <w:sz w:val="26"/>
                <w:szCs w:val="26"/>
                <w:rtl/>
              </w:rPr>
              <w:t xml:space="preserve"> </w:t>
            </w:r>
            <w:r w:rsidRPr="008005BD">
              <w:rPr>
                <w:rFonts w:hint="cs"/>
                <w:b/>
                <w:bCs/>
                <w:sz w:val="26"/>
                <w:szCs w:val="26"/>
                <w:rtl/>
              </w:rPr>
              <w:t xml:space="preserve"> </w:t>
            </w:r>
            <w:r w:rsidR="008005BD">
              <w:rPr>
                <w:b/>
                <w:bCs/>
                <w:sz w:val="26"/>
                <w:szCs w:val="26"/>
              </w:rPr>
              <w:t>xxxxxxxxxx</w:t>
            </w:r>
          </w:p>
          <w:p w14:paraId="08647A38" w14:textId="77777777" w:rsidR="00BC424B" w:rsidRPr="008005BD" w:rsidRDefault="00BC424B" w:rsidP="00403CFC">
            <w:pPr>
              <w:rPr>
                <w:sz w:val="26"/>
                <w:szCs w:val="26"/>
                <w:rtl/>
              </w:rPr>
            </w:pPr>
            <w:r w:rsidRPr="008005BD">
              <w:rPr>
                <w:rFonts w:hint="cs"/>
                <w:sz w:val="26"/>
                <w:szCs w:val="26"/>
                <w:rtl/>
              </w:rPr>
              <w:t>ע"י ב"כ עו"ד בוריס שרמן (סניגוריה ציבורית)</w:t>
            </w:r>
          </w:p>
        </w:tc>
      </w:tr>
    </w:tbl>
    <w:p w14:paraId="61548B02" w14:textId="77777777" w:rsidR="003E327C" w:rsidRDefault="003E327C" w:rsidP="00BC424B">
      <w:pPr>
        <w:rPr>
          <w:sz w:val="26"/>
          <w:szCs w:val="26"/>
          <w:rtl/>
        </w:rPr>
      </w:pPr>
      <w:bookmarkStart w:id="3" w:name="LawTable"/>
      <w:bookmarkEnd w:id="2"/>
      <w:bookmarkEnd w:id="3"/>
    </w:p>
    <w:p w14:paraId="0365AA5D" w14:textId="77777777" w:rsidR="003E327C" w:rsidRPr="003E327C" w:rsidRDefault="003E327C" w:rsidP="003E327C">
      <w:pPr>
        <w:spacing w:after="120" w:line="240" w:lineRule="exact"/>
        <w:ind w:left="283" w:hanging="283"/>
        <w:jc w:val="both"/>
        <w:rPr>
          <w:rFonts w:ascii="FrankRuehl" w:hAnsi="FrankRuehl" w:cs="FrankRuehl"/>
          <w:rtl/>
        </w:rPr>
      </w:pPr>
    </w:p>
    <w:p w14:paraId="6E457511" w14:textId="77777777" w:rsidR="003E327C" w:rsidRPr="003E327C" w:rsidRDefault="003E327C" w:rsidP="003E327C">
      <w:pPr>
        <w:spacing w:after="120" w:line="240" w:lineRule="exact"/>
        <w:ind w:left="283" w:hanging="283"/>
        <w:jc w:val="both"/>
        <w:rPr>
          <w:rFonts w:ascii="FrankRuehl" w:hAnsi="FrankRuehl" w:cs="FrankRuehl"/>
          <w:rtl/>
        </w:rPr>
      </w:pPr>
      <w:r w:rsidRPr="003E327C">
        <w:rPr>
          <w:rFonts w:ascii="FrankRuehl" w:hAnsi="FrankRuehl" w:cs="FrankRuehl"/>
          <w:rtl/>
        </w:rPr>
        <w:t xml:space="preserve">חקיקה שאוזכרה: </w:t>
      </w:r>
    </w:p>
    <w:p w14:paraId="79A911B9" w14:textId="77777777" w:rsidR="003E327C" w:rsidRPr="003E327C" w:rsidRDefault="003E327C" w:rsidP="003E327C">
      <w:pPr>
        <w:spacing w:after="120" w:line="240" w:lineRule="exact"/>
        <w:ind w:left="283" w:hanging="283"/>
        <w:jc w:val="both"/>
        <w:rPr>
          <w:rFonts w:ascii="FrankRuehl" w:hAnsi="FrankRuehl" w:cs="FrankRuehl"/>
          <w:rtl/>
        </w:rPr>
      </w:pPr>
      <w:hyperlink r:id="rId6" w:history="1">
        <w:r w:rsidRPr="003E327C">
          <w:rPr>
            <w:rFonts w:ascii="FrankRuehl" w:hAnsi="FrankRuehl" w:cs="FrankRuehl"/>
            <w:color w:val="0000FF"/>
            <w:u w:val="single"/>
            <w:rtl/>
          </w:rPr>
          <w:t>פקודת הסמים המסוכנים [נוסח חדש], תשל"ג-1973</w:t>
        </w:r>
      </w:hyperlink>
      <w:r w:rsidRPr="003E327C">
        <w:rPr>
          <w:rFonts w:ascii="FrankRuehl" w:hAnsi="FrankRuehl" w:cs="FrankRuehl"/>
          <w:rtl/>
        </w:rPr>
        <w:t xml:space="preserve">: סע'  </w:t>
      </w:r>
      <w:hyperlink r:id="rId7" w:history="1">
        <w:r w:rsidRPr="003E327C">
          <w:rPr>
            <w:rFonts w:ascii="FrankRuehl" w:hAnsi="FrankRuehl" w:cs="FrankRuehl"/>
            <w:color w:val="0000FF"/>
            <w:u w:val="single"/>
            <w:rtl/>
          </w:rPr>
          <w:t>7(א)</w:t>
        </w:r>
      </w:hyperlink>
      <w:r w:rsidRPr="003E327C">
        <w:rPr>
          <w:rFonts w:ascii="FrankRuehl" w:hAnsi="FrankRuehl" w:cs="FrankRuehl"/>
          <w:rtl/>
        </w:rPr>
        <w:t xml:space="preserve">, </w:t>
      </w:r>
      <w:hyperlink r:id="rId8" w:history="1">
        <w:r w:rsidRPr="003E327C">
          <w:rPr>
            <w:rFonts w:ascii="FrankRuehl" w:hAnsi="FrankRuehl" w:cs="FrankRuehl"/>
            <w:color w:val="0000FF"/>
            <w:u w:val="single"/>
            <w:rtl/>
          </w:rPr>
          <w:t>7(ג)</w:t>
        </w:r>
      </w:hyperlink>
    </w:p>
    <w:p w14:paraId="6619CC7B" w14:textId="77777777" w:rsidR="003E327C" w:rsidRPr="003E327C" w:rsidRDefault="003E327C" w:rsidP="003E327C">
      <w:pPr>
        <w:spacing w:after="120" w:line="240" w:lineRule="exact"/>
        <w:ind w:left="283" w:hanging="283"/>
        <w:jc w:val="both"/>
        <w:rPr>
          <w:rFonts w:ascii="FrankRuehl" w:hAnsi="FrankRuehl" w:cs="FrankRuehl"/>
          <w:rtl/>
        </w:rPr>
      </w:pPr>
      <w:hyperlink r:id="rId9" w:history="1">
        <w:r w:rsidRPr="003E327C">
          <w:rPr>
            <w:rFonts w:ascii="FrankRuehl" w:hAnsi="FrankRuehl" w:cs="FrankRuehl"/>
            <w:color w:val="0000FF"/>
            <w:u w:val="single"/>
            <w:rtl/>
          </w:rPr>
          <w:t>חוק העונשין, תשל"ז-1977</w:t>
        </w:r>
      </w:hyperlink>
      <w:r w:rsidRPr="003E327C">
        <w:rPr>
          <w:rFonts w:ascii="FrankRuehl" w:hAnsi="FrankRuehl" w:cs="FrankRuehl"/>
          <w:rtl/>
        </w:rPr>
        <w:t xml:space="preserve">: סע'  </w:t>
      </w:r>
      <w:hyperlink r:id="rId10" w:history="1">
        <w:r w:rsidRPr="003E327C">
          <w:rPr>
            <w:rFonts w:ascii="FrankRuehl" w:hAnsi="FrankRuehl" w:cs="FrankRuehl"/>
            <w:color w:val="0000FF"/>
            <w:u w:val="single"/>
            <w:rtl/>
          </w:rPr>
          <w:t>31</w:t>
        </w:r>
      </w:hyperlink>
      <w:r w:rsidRPr="003E327C">
        <w:rPr>
          <w:rFonts w:ascii="FrankRuehl" w:hAnsi="FrankRuehl" w:cs="FrankRuehl"/>
          <w:rtl/>
        </w:rPr>
        <w:t xml:space="preserve">, </w:t>
      </w:r>
      <w:hyperlink r:id="rId11" w:history="1">
        <w:r w:rsidRPr="003E327C">
          <w:rPr>
            <w:rFonts w:ascii="FrankRuehl" w:hAnsi="FrankRuehl" w:cs="FrankRuehl"/>
            <w:color w:val="0000FF"/>
            <w:u w:val="single"/>
            <w:rtl/>
          </w:rPr>
          <w:t>32</w:t>
        </w:r>
      </w:hyperlink>
    </w:p>
    <w:p w14:paraId="06C688A4" w14:textId="77777777" w:rsidR="003E327C" w:rsidRPr="003E327C" w:rsidRDefault="003E327C" w:rsidP="003E32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424B" w:rsidRPr="00D1743A" w14:paraId="4EB6E3F3" w14:textId="77777777" w:rsidTr="00BC424B">
        <w:trPr>
          <w:trHeight w:val="355"/>
          <w:jc w:val="center"/>
        </w:trPr>
        <w:tc>
          <w:tcPr>
            <w:tcW w:w="8820" w:type="dxa"/>
            <w:tcBorders>
              <w:top w:val="nil"/>
              <w:left w:val="nil"/>
              <w:bottom w:val="nil"/>
              <w:right w:val="nil"/>
            </w:tcBorders>
            <w:shd w:val="clear" w:color="auto" w:fill="auto"/>
          </w:tcPr>
          <w:p w14:paraId="0974BC05" w14:textId="77777777" w:rsidR="008005BD" w:rsidRPr="008005BD" w:rsidRDefault="008005BD" w:rsidP="008005BD">
            <w:pPr>
              <w:jc w:val="center"/>
              <w:rPr>
                <w:rFonts w:ascii="Arial" w:hAnsi="Arial"/>
                <w:b/>
                <w:bCs/>
                <w:sz w:val="26"/>
                <w:szCs w:val="26"/>
                <w:u w:val="single"/>
                <w:rtl/>
              </w:rPr>
            </w:pPr>
            <w:bookmarkStart w:id="4" w:name="LawTable_End"/>
            <w:bookmarkStart w:id="5" w:name="PsakDin" w:colFirst="0" w:colLast="0"/>
            <w:bookmarkEnd w:id="0"/>
            <w:bookmarkEnd w:id="4"/>
            <w:r w:rsidRPr="008005BD">
              <w:rPr>
                <w:rFonts w:ascii="Arial" w:hAnsi="Arial"/>
                <w:b/>
                <w:bCs/>
                <w:sz w:val="26"/>
                <w:szCs w:val="26"/>
                <w:u w:val="single"/>
                <w:rtl/>
              </w:rPr>
              <w:t>גזר דין</w:t>
            </w:r>
          </w:p>
          <w:p w14:paraId="5E5DC762" w14:textId="77777777" w:rsidR="00BC424B" w:rsidRPr="008005BD" w:rsidRDefault="00BC424B" w:rsidP="008005BD">
            <w:pPr>
              <w:jc w:val="center"/>
              <w:rPr>
                <w:rFonts w:ascii="Arial" w:hAnsi="Arial"/>
                <w:b/>
                <w:bCs/>
                <w:sz w:val="26"/>
                <w:szCs w:val="26"/>
                <w:u w:val="single"/>
                <w:rtl/>
              </w:rPr>
            </w:pPr>
          </w:p>
        </w:tc>
      </w:tr>
      <w:bookmarkEnd w:id="5"/>
    </w:tbl>
    <w:p w14:paraId="5953C9F3" w14:textId="77777777" w:rsidR="00BC424B" w:rsidRPr="00333171" w:rsidRDefault="00BC424B" w:rsidP="00BC424B">
      <w:pPr>
        <w:autoSpaceDE w:val="0"/>
        <w:autoSpaceDN w:val="0"/>
        <w:spacing w:line="360" w:lineRule="auto"/>
        <w:jc w:val="center"/>
        <w:rPr>
          <w:b/>
          <w:bCs/>
          <w:u w:val="single"/>
          <w:rtl/>
          <w:lang w:eastAsia="he-IL"/>
        </w:rPr>
      </w:pPr>
    </w:p>
    <w:p w14:paraId="7E7765F6" w14:textId="77777777" w:rsidR="00BC424B" w:rsidRPr="00333171" w:rsidRDefault="00BC424B" w:rsidP="00BC424B">
      <w:pPr>
        <w:spacing w:line="360" w:lineRule="auto"/>
        <w:jc w:val="both"/>
        <w:rPr>
          <w:b/>
          <w:bCs/>
          <w:u w:val="single"/>
          <w:rtl/>
        </w:rPr>
      </w:pPr>
      <w:r w:rsidRPr="00333171">
        <w:rPr>
          <w:b/>
          <w:bCs/>
          <w:u w:val="single"/>
          <w:rtl/>
        </w:rPr>
        <w:t>הקדמה</w:t>
      </w:r>
    </w:p>
    <w:p w14:paraId="458F83C8" w14:textId="77777777" w:rsidR="00BC424B" w:rsidRPr="00333171" w:rsidRDefault="00BC424B" w:rsidP="00BC424B">
      <w:pPr>
        <w:spacing w:line="360" w:lineRule="auto"/>
        <w:jc w:val="both"/>
        <w:rPr>
          <w:rtl/>
        </w:rPr>
      </w:pPr>
      <w:bookmarkStart w:id="6" w:name="ABSTRACT_START"/>
      <w:bookmarkEnd w:id="6"/>
      <w:r w:rsidRPr="00333171">
        <w:rPr>
          <w:rtl/>
        </w:rPr>
        <w:t xml:space="preserve">תיק זה נשמע </w:t>
      </w:r>
      <w:r>
        <w:rPr>
          <w:rFonts w:hint="cs"/>
          <w:rtl/>
        </w:rPr>
        <w:t xml:space="preserve">בראשיתו </w:t>
      </w:r>
      <w:r w:rsidRPr="00333171">
        <w:rPr>
          <w:rtl/>
        </w:rPr>
        <w:t>בפני כב' השופט קוטון. לאחר שהנאשם כפר בעובדות כתב האישום ואף נשמעו חלק מהעדים בתיק, הגיעו הצדדים להסדר</w:t>
      </w:r>
      <w:r>
        <w:rPr>
          <w:rFonts w:hint="cs"/>
          <w:rtl/>
        </w:rPr>
        <w:t xml:space="preserve"> שלא כלל הסכמה בעניין העונש.</w:t>
      </w:r>
      <w:r w:rsidRPr="00333171">
        <w:rPr>
          <w:rtl/>
        </w:rPr>
        <w:t xml:space="preserve"> הנאשם חזר בו מן הכפירה, כתב האישום תוקן והנאשם הודה בפני כב' השופט קוטון בעובדות כתב האישום המתוקן והורשע על פי הודאתו. </w:t>
      </w:r>
    </w:p>
    <w:p w14:paraId="2DBF5B69" w14:textId="77777777" w:rsidR="00BC424B" w:rsidRPr="00333171" w:rsidRDefault="00BC424B" w:rsidP="00BC424B">
      <w:pPr>
        <w:spacing w:line="360" w:lineRule="auto"/>
        <w:jc w:val="both"/>
        <w:rPr>
          <w:rtl/>
        </w:rPr>
      </w:pPr>
      <w:bookmarkStart w:id="7" w:name="ABSTRACT_END"/>
      <w:bookmarkEnd w:id="7"/>
    </w:p>
    <w:p w14:paraId="21229720" w14:textId="77777777" w:rsidR="00BC424B" w:rsidRPr="00333171" w:rsidRDefault="00BC424B" w:rsidP="00BC424B">
      <w:pPr>
        <w:spacing w:line="360" w:lineRule="auto"/>
        <w:jc w:val="both"/>
        <w:rPr>
          <w:rtl/>
        </w:rPr>
      </w:pPr>
      <w:r w:rsidRPr="00333171">
        <w:rPr>
          <w:rtl/>
        </w:rPr>
        <w:t xml:space="preserve">על פי החלטה שניתנה על ידי כב' השופט קוטון ביום 6.12.18, עם תם הדיון בו הודה והורשע הנאשם על פי הודאתו, ולאחר שהנאשם הוצא מאולם הדיונים, התקיימה שיחה בין ביהמ"ש וב"כ הצדדים, ומאחר שהצדדים לא הגיעו להסכמה, כב' השופט קוטון סבר שאין זה נכון שישמע את הטיעונים לעונש ויגזור את הדין. על כן, הועבר התיק לעיוני כנשיא והוריתי על המשך שמיעת התיק בפני. יצוין כי בדיון שהתקיים לפני הוגש כתב אישום מתוקן, בשל טעות שנפלה בסעיף 7 לכתב האישום הקודם, הנאשם הודה בעובדות כתב האישום המתוקן והורשע על פי הודאתו. </w:t>
      </w:r>
    </w:p>
    <w:p w14:paraId="470C6125" w14:textId="77777777" w:rsidR="00BC424B" w:rsidRPr="00333171" w:rsidRDefault="00BC424B" w:rsidP="00BC424B">
      <w:pPr>
        <w:spacing w:line="360" w:lineRule="auto"/>
        <w:jc w:val="both"/>
        <w:rPr>
          <w:b/>
          <w:bCs/>
          <w:u w:val="single"/>
          <w:rtl/>
        </w:rPr>
      </w:pPr>
    </w:p>
    <w:p w14:paraId="40F79CF6" w14:textId="77777777" w:rsidR="00BC424B" w:rsidRPr="00333171" w:rsidRDefault="00BC424B" w:rsidP="00BC424B">
      <w:pPr>
        <w:spacing w:line="360" w:lineRule="auto"/>
        <w:jc w:val="both"/>
        <w:rPr>
          <w:b/>
          <w:bCs/>
          <w:u w:val="single"/>
          <w:rtl/>
        </w:rPr>
      </w:pPr>
      <w:r w:rsidRPr="00333171">
        <w:rPr>
          <w:b/>
          <w:bCs/>
          <w:u w:val="single"/>
          <w:rtl/>
        </w:rPr>
        <w:t>העבירות בהן הורשע הנאשם</w:t>
      </w:r>
    </w:p>
    <w:p w14:paraId="764D5F02" w14:textId="77777777" w:rsidR="00BC424B" w:rsidRPr="00333171" w:rsidRDefault="00BC424B" w:rsidP="00BC424B">
      <w:pPr>
        <w:autoSpaceDE w:val="0"/>
        <w:autoSpaceDN w:val="0"/>
        <w:spacing w:line="360" w:lineRule="auto"/>
        <w:jc w:val="both"/>
        <w:rPr>
          <w:rtl/>
          <w:lang w:eastAsia="he-IL"/>
        </w:rPr>
      </w:pPr>
      <w:r w:rsidRPr="00333171">
        <w:rPr>
          <w:rtl/>
          <w:lang w:eastAsia="he-IL"/>
        </w:rPr>
        <w:t xml:space="preserve">הנאשם הודה בעובדות כתב האישום המתוקן במסגרת הסדר טיעון והורשע על פי הודאתו בביצוע עבירה של סיוע החזקת סם מסוכן שלא לצריכה עצמית בלבד, עבירה לפי </w:t>
      </w:r>
      <w:hyperlink r:id="rId12" w:history="1">
        <w:r w:rsidR="003E327C" w:rsidRPr="003E327C">
          <w:rPr>
            <w:color w:val="0000FF"/>
            <w:u w:val="single"/>
            <w:rtl/>
            <w:lang w:eastAsia="he-IL"/>
          </w:rPr>
          <w:t>סעיפים 7(א)</w:t>
        </w:r>
      </w:hyperlink>
      <w:r w:rsidRPr="00333171">
        <w:rPr>
          <w:rtl/>
          <w:lang w:eastAsia="he-IL"/>
        </w:rPr>
        <w:t xml:space="preserve"> + </w:t>
      </w:r>
      <w:hyperlink r:id="rId13" w:history="1">
        <w:r w:rsidR="003E327C" w:rsidRPr="003E327C">
          <w:rPr>
            <w:color w:val="0000FF"/>
            <w:u w:val="single"/>
            <w:rtl/>
            <w:lang w:eastAsia="he-IL"/>
          </w:rPr>
          <w:t>7(ג)</w:t>
        </w:r>
      </w:hyperlink>
      <w:r w:rsidRPr="00333171">
        <w:rPr>
          <w:rtl/>
          <w:lang w:eastAsia="he-IL"/>
        </w:rPr>
        <w:t xml:space="preserve"> רישא ל</w:t>
      </w:r>
      <w:hyperlink r:id="rId14" w:history="1">
        <w:r w:rsidR="008005BD" w:rsidRPr="008005BD">
          <w:rPr>
            <w:color w:val="0000FF"/>
            <w:u w:val="single"/>
            <w:rtl/>
            <w:lang w:eastAsia="he-IL"/>
          </w:rPr>
          <w:t>פקודת הסמים המסוכנים</w:t>
        </w:r>
      </w:hyperlink>
      <w:r w:rsidRPr="00333171">
        <w:rPr>
          <w:rtl/>
          <w:lang w:eastAsia="he-IL"/>
        </w:rPr>
        <w:t xml:space="preserve"> [נוסח חדש], התשל"ג – 1973 (להלן: "פקודת הסמים המסוכנים") </w:t>
      </w:r>
      <w:hyperlink r:id="rId15" w:history="1">
        <w:r w:rsidR="003E327C" w:rsidRPr="003E327C">
          <w:rPr>
            <w:color w:val="0000FF"/>
            <w:u w:val="single"/>
            <w:rtl/>
            <w:lang w:eastAsia="he-IL"/>
          </w:rPr>
          <w:t>וסעיף 31</w:t>
        </w:r>
      </w:hyperlink>
      <w:r w:rsidRPr="00333171">
        <w:rPr>
          <w:rtl/>
          <w:lang w:eastAsia="he-IL"/>
        </w:rPr>
        <w:t xml:space="preserve"> ל</w:t>
      </w:r>
      <w:hyperlink r:id="rId16" w:history="1">
        <w:r w:rsidR="008005BD" w:rsidRPr="008005BD">
          <w:rPr>
            <w:color w:val="0000FF"/>
            <w:u w:val="single"/>
            <w:rtl/>
            <w:lang w:eastAsia="he-IL"/>
          </w:rPr>
          <w:t>חוק העונשין</w:t>
        </w:r>
      </w:hyperlink>
      <w:r w:rsidRPr="00333171">
        <w:rPr>
          <w:rtl/>
          <w:lang w:eastAsia="he-IL"/>
        </w:rPr>
        <w:t xml:space="preserve">, התשל"ז – 1977 (להלן: "חוק העונשין"). </w:t>
      </w:r>
    </w:p>
    <w:p w14:paraId="1142C12C" w14:textId="77777777" w:rsidR="00BC424B" w:rsidRPr="00333171" w:rsidRDefault="00BC424B" w:rsidP="00BC424B">
      <w:pPr>
        <w:autoSpaceDE w:val="0"/>
        <w:autoSpaceDN w:val="0"/>
        <w:spacing w:line="360" w:lineRule="auto"/>
        <w:jc w:val="both"/>
        <w:rPr>
          <w:rtl/>
          <w:lang w:eastAsia="he-IL"/>
        </w:rPr>
      </w:pPr>
    </w:p>
    <w:p w14:paraId="48F968C2" w14:textId="77777777" w:rsidR="00BC424B" w:rsidRPr="00333171" w:rsidRDefault="00BC424B" w:rsidP="00BC424B">
      <w:pPr>
        <w:autoSpaceDE w:val="0"/>
        <w:autoSpaceDN w:val="0"/>
        <w:spacing w:line="360" w:lineRule="auto"/>
        <w:jc w:val="both"/>
        <w:rPr>
          <w:rtl/>
          <w:lang w:eastAsia="he-IL"/>
        </w:rPr>
      </w:pPr>
      <w:r w:rsidRPr="00333171">
        <w:rPr>
          <w:rtl/>
          <w:lang w:eastAsia="he-IL"/>
        </w:rPr>
        <w:lastRenderedPageBreak/>
        <w:t>על פי עובדות כתב האישום המתוקן שהוגש במסגרת הסדר טיעון, בבעלות משה פרידמן דירה בקומת הקרקע, דירה בחלק האחורי ומחסן, בבניין הנמצא בחיפה. החל מיום 31.12.17 שכר הנאשם ממשה פרידמן את הדירה שבקומת הקרקע. במהלך חודש אפריל 2018 ביקש הנאשם ממש</w:t>
      </w:r>
      <w:r>
        <w:rPr>
          <w:rFonts w:hint="cs"/>
          <w:rtl/>
          <w:lang w:eastAsia="he-IL"/>
        </w:rPr>
        <w:t>ה</w:t>
      </w:r>
      <w:r w:rsidRPr="00333171">
        <w:rPr>
          <w:rtl/>
          <w:lang w:eastAsia="he-IL"/>
        </w:rPr>
        <w:t xml:space="preserve"> מפתח לדירה השנייה, שבחלק האחורי של הבניין. משה הסכים ונתן לנאשם מפתח לדירה השנייה. החל ממועד זה הנאשם השתמש בדירה השנייה ובמחסן לצרכיו. ביום 22.5.18 במהלך חיפוש שהתקיים בדירה השנייה נתפסו בתוך ציפית כרית סם מסוכן מסוג הרואין במשקל נטו של כ-120 גרם, אותם החזיק אדם שזהותו לא ידועה למאשימה והנאשם סייע לו בהחזקת הסם בכך שאפשר החזקתו בדירה השנייה ובמחסן ללא היתר כדין. כמו כן, נתפס בדירה השנייה משקל אלקטרוני. במחסן נתפס סם במשקל 0.2360 גרם נטו אותו סייע להחזיק הנאשם ללא היתר כדין עבור אדם אחר שזהותו לא ידועה למאשימה. במעשיו המתוארים לעיל, סייע הנאשם להחזקת סם מסוכן מסוג הרואין במשקל כולל של כ-120 גרם נטו שלא לצריכה עצמית, ללא היתר וללא רישיון מאת המנהל. </w:t>
      </w:r>
    </w:p>
    <w:p w14:paraId="2334C806" w14:textId="77777777" w:rsidR="00BC424B" w:rsidRPr="00333171" w:rsidRDefault="00BC424B" w:rsidP="00BC424B">
      <w:pPr>
        <w:autoSpaceDE w:val="0"/>
        <w:autoSpaceDN w:val="0"/>
        <w:spacing w:line="360" w:lineRule="auto"/>
        <w:jc w:val="both"/>
        <w:rPr>
          <w:rtl/>
          <w:lang w:eastAsia="he-IL"/>
        </w:rPr>
      </w:pPr>
    </w:p>
    <w:p w14:paraId="3AEA5716" w14:textId="77777777" w:rsidR="00BC424B" w:rsidRPr="00333171" w:rsidRDefault="00BC424B" w:rsidP="00BC424B">
      <w:pPr>
        <w:autoSpaceDE w:val="0"/>
        <w:autoSpaceDN w:val="0"/>
        <w:spacing w:line="360" w:lineRule="auto"/>
        <w:jc w:val="both"/>
        <w:rPr>
          <w:rtl/>
          <w:lang w:eastAsia="he-IL"/>
        </w:rPr>
      </w:pPr>
      <w:r w:rsidRPr="00333171">
        <w:rPr>
          <w:rtl/>
          <w:lang w:eastAsia="he-IL"/>
        </w:rPr>
        <w:t xml:space="preserve">יצוין כי הצדדים לא הגיעו להסדר לעניין העונש ולכן טענו בפני, כאמור לעיל. </w:t>
      </w:r>
    </w:p>
    <w:p w14:paraId="4B1BB6B7" w14:textId="77777777" w:rsidR="00BC424B" w:rsidRPr="00333171" w:rsidRDefault="00BC424B" w:rsidP="00BC424B">
      <w:pPr>
        <w:autoSpaceDE w:val="0"/>
        <w:autoSpaceDN w:val="0"/>
        <w:spacing w:line="360" w:lineRule="auto"/>
        <w:jc w:val="both"/>
        <w:rPr>
          <w:rtl/>
          <w:lang w:eastAsia="he-IL"/>
        </w:rPr>
      </w:pPr>
    </w:p>
    <w:p w14:paraId="013D6E84" w14:textId="77777777" w:rsidR="00BC424B" w:rsidRPr="00333171" w:rsidRDefault="00BC424B" w:rsidP="00BC424B">
      <w:pPr>
        <w:autoSpaceDE w:val="0"/>
        <w:autoSpaceDN w:val="0"/>
        <w:spacing w:line="360" w:lineRule="auto"/>
        <w:jc w:val="both"/>
        <w:rPr>
          <w:rFonts w:hint="cs"/>
          <w:b/>
          <w:bCs/>
          <w:u w:val="single"/>
          <w:rtl/>
          <w:lang w:eastAsia="he-IL"/>
        </w:rPr>
      </w:pPr>
      <w:r w:rsidRPr="00333171">
        <w:rPr>
          <w:b/>
          <w:bCs/>
          <w:u w:val="single"/>
          <w:rtl/>
          <w:lang w:eastAsia="he-IL"/>
        </w:rPr>
        <w:t>הראיות והטיעון לעונש</w:t>
      </w:r>
      <w:r w:rsidR="001A2386">
        <w:rPr>
          <w:rFonts w:hint="cs"/>
          <w:b/>
          <w:bCs/>
          <w:u w:val="single"/>
          <w:rtl/>
          <w:lang w:eastAsia="he-IL"/>
        </w:rPr>
        <w:t xml:space="preserve">   </w:t>
      </w:r>
    </w:p>
    <w:p w14:paraId="2CC55DE0" w14:textId="77777777" w:rsidR="00BC424B" w:rsidRPr="00333171" w:rsidRDefault="00BC424B" w:rsidP="00BC424B">
      <w:pPr>
        <w:spacing w:line="360" w:lineRule="auto"/>
        <w:jc w:val="both"/>
        <w:rPr>
          <w:rtl/>
        </w:rPr>
      </w:pPr>
      <w:r w:rsidRPr="00333171">
        <w:rPr>
          <w:rtl/>
        </w:rPr>
        <w:t xml:space="preserve">מטעם המאשימה הוגש המרשם הפלילי של הנאשם ופלט המאסרים בעניינו. </w:t>
      </w:r>
    </w:p>
    <w:p w14:paraId="2AAF1C64" w14:textId="77777777" w:rsidR="00BC424B" w:rsidRPr="00333171" w:rsidRDefault="00BC424B" w:rsidP="00BC424B">
      <w:pPr>
        <w:spacing w:line="360" w:lineRule="auto"/>
        <w:jc w:val="both"/>
        <w:rPr>
          <w:rtl/>
        </w:rPr>
      </w:pPr>
    </w:p>
    <w:p w14:paraId="1AE0E848" w14:textId="77777777" w:rsidR="00BC424B" w:rsidRPr="00333171" w:rsidRDefault="00BC424B" w:rsidP="00BC424B">
      <w:pPr>
        <w:spacing w:line="360" w:lineRule="auto"/>
        <w:jc w:val="both"/>
        <w:rPr>
          <w:rtl/>
        </w:rPr>
      </w:pPr>
      <w:r w:rsidRPr="00333171">
        <w:rPr>
          <w:rtl/>
        </w:rPr>
        <w:t xml:space="preserve">המאשימה טענה כי מדובר במי שהודה במסגרת כתב אישום מתוקן בעבירה של סיוע להחזקת סם שלא לצריכה עצמית בכמות לא מבוטלת של כ-120 גרם נטו. לחובתו עבר פלילי הכולל עשר הרשעות ב-15 תיקים שונים, בין השנים 2006 ועד 2014, בעבירות רכוש, איומים וסמים. הרשעה אחרונה בעבירת סמים משנת 2007 על עבירה שהייתה בשנת 2003. בנוסף גם הורשע בעבירות סחיטה באיומים, התפרצות, הפרת הוראה חוקית, אלימות, עבירות רכוש בקשר לרכב והחזקת סמים במטרה לא כשרה. לטענת המאשימה, המעורבות של הנאשם באירוע כמסייע אינה ברף הנמוך אלא מדובר בסיוע מהותי שיש בו כדי לשלוט בכל הנוגע לסמים, מיקומם וכיוצ"ב. נטען כי בתיק נשמעו לא מעט ראיות. כן נטען כי פסיקת ביהמ"ש העליון בכל הנוגע לעבירת החזקת סם מסוכן מסוג הרואין וקוקאין שלא לצריכה עצמית בכמויות של עשרות גרמים הינה בטווח ענישה שבין 3 ל-5 שנות מאסר. נטען כי המסר בהינתן אופי הסם, כמות הסם וחלקו של הנאשם הוא כי מדובר במאסר של שנים. כן נטען כי בנסיבות תיק זה, בהתחשב בפגיעה בערך החברתי המוגן והמעגלים של הנפגעים משימוש בסם ובהתחשב בפסיקה הרלוונטית שהוגשה, יש לקבוע מתחם עונש הולם שנע בין 18 ל- 30 חודשי מאסר. עוד נטען כי בתוך המתחם, בהינתן העבר הפלילי של הנאשם, יש להשית עונש במחצית העליונה של המתחם. כן מבוקש להורות על השמדת הסם בכפוף להיות פסק הדין חלוט ועל השתת עונשי מאסר על תנאי ארוכים ומרתיעים. </w:t>
      </w:r>
    </w:p>
    <w:p w14:paraId="413BD9FA" w14:textId="77777777" w:rsidR="00BC424B" w:rsidRPr="00333171" w:rsidRDefault="00BC424B" w:rsidP="00BC424B">
      <w:pPr>
        <w:spacing w:line="360" w:lineRule="auto"/>
        <w:jc w:val="both"/>
        <w:rPr>
          <w:rtl/>
        </w:rPr>
      </w:pPr>
    </w:p>
    <w:p w14:paraId="3026166A" w14:textId="77777777" w:rsidR="00BC424B" w:rsidRPr="00333171" w:rsidRDefault="00BC424B" w:rsidP="00BC424B">
      <w:pPr>
        <w:spacing w:line="360" w:lineRule="auto"/>
        <w:jc w:val="both"/>
        <w:rPr>
          <w:rtl/>
        </w:rPr>
      </w:pPr>
      <w:r w:rsidRPr="00333171">
        <w:rPr>
          <w:rtl/>
        </w:rPr>
        <w:t xml:space="preserve">ב"כ הנאשם טען כי אין לגזור גזירה שווה מהפסיקה שהגישה המאשימה שכן היא אינה רלוונטית לנסיבות העניין. נטען כי הנאשם ביקש מבעל הדירה מפתח לדירה נוספת והעביר את המפתח לאדם אחר שהחזיק בתוך הדירה את הסמים. זה הסיוע שמיוחס לנאשם. נטען כי לנאשם לא היה מפתח לדירה הנוספת ואותו אדם החזיק את הסמים בדירה, אך הוא שוחרר ולא ידוע מדוע לא הועמד לדין. נטען כי מדובר בעבירת סיוע ברף נמוך מאוד ורמת הענישה צריכה להיות החל ממאסר על תנאי ועד מספר חודשי מאסר ואפילו שנת מאסר, אבל עונשים שלא מתקרבים לגבול התחתון של </w:t>
      </w:r>
      <w:r w:rsidRPr="00333171">
        <w:rPr>
          <w:rtl/>
        </w:rPr>
        <w:lastRenderedPageBreak/>
        <w:t xml:space="preserve">המתחם שמציגה המאשימה. על כן, מבוקש לקבוע מתחם שנע בין מאסר על תנאי ועד 15 חודשי מאסר בפועל. לעניין העונש בתוך המתחם נטען כי מדובר בנאשם יליד 1974, אשר עלה לארץ בגפו בגיל 19. אכן לחובתו מספר הרשעות וממאסר אחרון השתחרר בחודש יולי 2014. הנאשם רווק, התגורר לבד ועבד בשיפוצים. מאז שחרורו בשנת 2014 לא הסתבך עד המעצר הנוכחי. באשר להרשעה מספר ארבע בגיליון ההרשעות הפליליות של הנאשם נטען כי הוא הורשע בהחזקת סכין ונדון למאסר בפועל למשך 12 חודשים, אך אם הלכת פרשת בן חיים הייתה באה לעולם לפני הרשעה זו, הנאשם היה מזוכה ולא היה מרצה מאסר על תנאי. נטען כי הודייתו של הנאשם, גם אם לא בפתח משפטו, אך לפני סיום פרשת התביעה, חסכה מזמנו של ביהמ"ש. יש תיקון גם בכמות הסם, שבא אחרי חקירה של מומחים ואחרי שהסם עצמו הוצג בפני ביהמ"ש. מבוקש למקם את העונש ההולם בחלק התחתון של המתחם. נטען כי מדובר באדם בודד שלא הייתה בידו חלופת מעצר להציע ומבוקש להסתפק בימי המעצר נוכח הפסיקה הנוהגת, נוכח חלקו של הנאשם במעשים ושיקולי הצדק, בשל אי העמדתו לדין של העבריין העיקרי ואי מיצוי החקירה נגדו. </w:t>
      </w:r>
    </w:p>
    <w:p w14:paraId="4036A059" w14:textId="77777777" w:rsidR="00BC424B" w:rsidRPr="00333171" w:rsidRDefault="00BC424B" w:rsidP="00BC424B">
      <w:pPr>
        <w:spacing w:line="360" w:lineRule="auto"/>
        <w:jc w:val="both"/>
        <w:rPr>
          <w:rtl/>
        </w:rPr>
      </w:pPr>
    </w:p>
    <w:p w14:paraId="0AB246E2" w14:textId="77777777" w:rsidR="00BC424B" w:rsidRPr="00333171" w:rsidRDefault="00BC424B" w:rsidP="00BC424B">
      <w:pPr>
        <w:spacing w:line="360" w:lineRule="auto"/>
        <w:jc w:val="both"/>
        <w:rPr>
          <w:b/>
          <w:bCs/>
          <w:u w:val="single"/>
          <w:rtl/>
        </w:rPr>
      </w:pPr>
      <w:r w:rsidRPr="00333171">
        <w:rPr>
          <w:b/>
          <w:bCs/>
          <w:u w:val="single"/>
          <w:rtl/>
        </w:rPr>
        <w:t>שיקולי בית המשפט לעניין הענישה</w:t>
      </w:r>
    </w:p>
    <w:p w14:paraId="745609B1" w14:textId="77777777" w:rsidR="00BC424B" w:rsidRPr="00333171" w:rsidRDefault="00BC424B" w:rsidP="00BC424B">
      <w:pPr>
        <w:spacing w:line="360" w:lineRule="auto"/>
        <w:jc w:val="both"/>
        <w:rPr>
          <w:u w:val="single"/>
          <w:rtl/>
        </w:rPr>
      </w:pPr>
      <w:r w:rsidRPr="00333171">
        <w:rPr>
          <w:u w:val="single"/>
          <w:rtl/>
        </w:rPr>
        <w:t>קביעת מתחם העונש ההולם</w:t>
      </w:r>
    </w:p>
    <w:p w14:paraId="23BEB0FB" w14:textId="77777777" w:rsidR="00BC424B" w:rsidRPr="00333171" w:rsidRDefault="00BC424B" w:rsidP="00BC424B">
      <w:pPr>
        <w:spacing w:line="360" w:lineRule="auto"/>
        <w:jc w:val="both"/>
      </w:pPr>
      <w:r w:rsidRPr="00333171">
        <w:rPr>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7" w:history="1">
        <w:r w:rsidR="008005BD" w:rsidRPr="008005BD">
          <w:rPr>
            <w:color w:val="0000FF"/>
            <w:u w:val="single"/>
            <w:rtl/>
          </w:rPr>
          <w:t>חוק העונשין</w:t>
        </w:r>
      </w:hyperlink>
      <w:r w:rsidRPr="00333171">
        <w:rPr>
          <w:rtl/>
        </w:rPr>
        <w:t xml:space="preserve">. </w:t>
      </w:r>
    </w:p>
    <w:p w14:paraId="65985364" w14:textId="77777777" w:rsidR="00BC424B" w:rsidRPr="00333171" w:rsidRDefault="00BC424B" w:rsidP="00BC424B">
      <w:pPr>
        <w:spacing w:line="360" w:lineRule="auto"/>
        <w:jc w:val="both"/>
        <w:rPr>
          <w:rtl/>
        </w:rPr>
      </w:pPr>
    </w:p>
    <w:p w14:paraId="1FC404BD" w14:textId="77777777" w:rsidR="00BC424B" w:rsidRPr="00333171" w:rsidRDefault="00BC424B" w:rsidP="00BC424B">
      <w:pPr>
        <w:spacing w:line="360" w:lineRule="auto"/>
        <w:rPr>
          <w:u w:val="single"/>
          <w:rtl/>
        </w:rPr>
      </w:pPr>
      <w:r w:rsidRPr="00333171">
        <w:rPr>
          <w:u w:val="single"/>
          <w:rtl/>
        </w:rPr>
        <w:t>הערך החברתי שנפגע</w:t>
      </w:r>
    </w:p>
    <w:p w14:paraId="3DF67F3B" w14:textId="77777777" w:rsidR="00BC424B" w:rsidRPr="00333171" w:rsidRDefault="00BC424B" w:rsidP="00BC424B">
      <w:pPr>
        <w:spacing w:line="360" w:lineRule="auto"/>
        <w:jc w:val="both"/>
        <w:rPr>
          <w:rFonts w:ascii="Arial" w:hAnsi="Arial"/>
          <w:rtl/>
        </w:rPr>
      </w:pPr>
      <w:r w:rsidRPr="00333171">
        <w:rPr>
          <w:rFonts w:ascii="Arial" w:hAnsi="Arial"/>
          <w:rtl/>
        </w:rPr>
        <w:t xml:space="preserve">במקרה זה מדובר בעבירה של סיוע בהחזקת סם מסוכן שלא לצריכה עצמית בכמות משמעותית. בתי המשפט נקראים תדיר להחמרת הענישה בעבירות סמים, במיוחד בעבירות של החזקת סמים קשים שלא לצריכה עצמית ומנעד הענישה הוא רחב והוא תלוי נסיבות המקרה הספציפי – סוג הסם, כמות הסם, נסיבות ההחזקה ועוד [ראו: </w:t>
      </w:r>
      <w:hyperlink r:id="rId18" w:history="1">
        <w:r w:rsidR="008005BD" w:rsidRPr="008005BD">
          <w:rPr>
            <w:rFonts w:ascii="Arial" w:hAnsi="Arial"/>
            <w:color w:val="0000FF"/>
            <w:u w:val="single"/>
            <w:rtl/>
          </w:rPr>
          <w:t>ע"פ 9910/17</w:t>
        </w:r>
      </w:hyperlink>
      <w:r w:rsidRPr="00333171">
        <w:rPr>
          <w:rFonts w:ascii="Arial" w:hAnsi="Arial"/>
          <w:rtl/>
        </w:rPr>
        <w:t xml:space="preserve"> </w:t>
      </w:r>
      <w:r w:rsidRPr="00333171">
        <w:rPr>
          <w:rFonts w:ascii="Arial" w:hAnsi="Arial"/>
          <w:b/>
          <w:bCs/>
          <w:rtl/>
        </w:rPr>
        <w:t>אלבטינה גריפולינה נ' מדינת ישראל</w:t>
      </w:r>
      <w:r w:rsidRPr="00333171">
        <w:rPr>
          <w:rFonts w:ascii="Arial" w:hAnsi="Arial"/>
          <w:rtl/>
        </w:rPr>
        <w:t xml:space="preserve"> (3.5.2018)]. </w:t>
      </w:r>
    </w:p>
    <w:p w14:paraId="347BD998" w14:textId="77777777" w:rsidR="00BC424B" w:rsidRPr="00333171" w:rsidRDefault="00BC424B" w:rsidP="00BC424B">
      <w:pPr>
        <w:spacing w:line="360" w:lineRule="auto"/>
        <w:jc w:val="both"/>
        <w:rPr>
          <w:rFonts w:ascii="Arial" w:hAnsi="Arial"/>
          <w:rtl/>
        </w:rPr>
      </w:pPr>
    </w:p>
    <w:p w14:paraId="0E5769EC" w14:textId="77777777" w:rsidR="00BC424B" w:rsidRPr="00333171" w:rsidRDefault="00BC424B" w:rsidP="00BC424B">
      <w:pPr>
        <w:spacing w:line="360" w:lineRule="auto"/>
        <w:jc w:val="both"/>
        <w:rPr>
          <w:rFonts w:ascii="Arial" w:hAnsi="Arial"/>
          <w:rtl/>
        </w:rPr>
      </w:pPr>
      <w:r w:rsidRPr="00333171">
        <w:rPr>
          <w:rFonts w:ascii="Arial" w:hAnsi="Arial"/>
          <w:rtl/>
        </w:rPr>
        <w:t xml:space="preserve">אין צורך להכביר במילים בחשיבות הערך החברתי שנפגע בעקבות עבירות הסמים ובחשיבות ההגנה על ערכים אלה. עבירות הסמים חומרתן מיוחדת וקיים צורך להיאבק בהן באמצעות ענישה משמעותית ומרתיעה, אך כאמור, בהתאם לנסיבות המקרה הספציפי. </w:t>
      </w:r>
    </w:p>
    <w:p w14:paraId="4A874412" w14:textId="77777777" w:rsidR="00BC424B" w:rsidRPr="00333171" w:rsidRDefault="00BC424B" w:rsidP="00BC424B">
      <w:pPr>
        <w:spacing w:line="360" w:lineRule="auto"/>
        <w:jc w:val="both"/>
        <w:rPr>
          <w:rFonts w:ascii="Arial" w:hAnsi="Arial"/>
        </w:rPr>
      </w:pPr>
    </w:p>
    <w:p w14:paraId="424B4F5D" w14:textId="77777777" w:rsidR="00BC424B" w:rsidRPr="00333171" w:rsidRDefault="00BC424B" w:rsidP="00BC424B">
      <w:pPr>
        <w:spacing w:line="360" w:lineRule="auto"/>
        <w:jc w:val="both"/>
        <w:rPr>
          <w:rtl/>
        </w:rPr>
      </w:pPr>
      <w:r w:rsidRPr="00333171">
        <w:rPr>
          <w:rFonts w:ascii="Arial" w:hAnsi="Arial"/>
          <w:rtl/>
        </w:rPr>
        <w:t xml:space="preserve">העבירה בה הורשע הנאשם היא עבירה </w:t>
      </w:r>
      <w:r w:rsidRPr="00333171">
        <w:rPr>
          <w:rtl/>
          <w:lang w:eastAsia="he-IL"/>
        </w:rPr>
        <w:t xml:space="preserve">של סיוע החזקת סם מסוכן שלא לצריכה עצמית בלבד, עבירה לפי </w:t>
      </w:r>
      <w:hyperlink r:id="rId19" w:history="1">
        <w:r w:rsidR="003E327C" w:rsidRPr="003E327C">
          <w:rPr>
            <w:color w:val="0000FF"/>
            <w:u w:val="single"/>
            <w:rtl/>
            <w:lang w:eastAsia="he-IL"/>
          </w:rPr>
          <w:t>סעיפים 7(א)</w:t>
        </w:r>
      </w:hyperlink>
      <w:r w:rsidRPr="00333171">
        <w:rPr>
          <w:rtl/>
          <w:lang w:eastAsia="he-IL"/>
        </w:rPr>
        <w:t xml:space="preserve"> + </w:t>
      </w:r>
      <w:hyperlink r:id="rId20" w:history="1">
        <w:r w:rsidR="003E327C" w:rsidRPr="003E327C">
          <w:rPr>
            <w:color w:val="0000FF"/>
            <w:u w:val="single"/>
            <w:rtl/>
            <w:lang w:eastAsia="he-IL"/>
          </w:rPr>
          <w:t>7(ג)</w:t>
        </w:r>
      </w:hyperlink>
      <w:r w:rsidRPr="00333171">
        <w:rPr>
          <w:rtl/>
          <w:lang w:eastAsia="he-IL"/>
        </w:rPr>
        <w:t xml:space="preserve"> רישא ל</w:t>
      </w:r>
      <w:hyperlink r:id="rId21" w:history="1">
        <w:r w:rsidR="008005BD" w:rsidRPr="008005BD">
          <w:rPr>
            <w:color w:val="0000FF"/>
            <w:u w:val="single"/>
            <w:rtl/>
            <w:lang w:eastAsia="he-IL"/>
          </w:rPr>
          <w:t>פקודת הסמים המסוכנים</w:t>
        </w:r>
      </w:hyperlink>
      <w:r w:rsidRPr="00333171">
        <w:rPr>
          <w:rtl/>
          <w:lang w:eastAsia="he-IL"/>
        </w:rPr>
        <w:t xml:space="preserve"> </w:t>
      </w:r>
      <w:hyperlink r:id="rId22" w:history="1">
        <w:r w:rsidR="003E327C" w:rsidRPr="003E327C">
          <w:rPr>
            <w:color w:val="0000FF"/>
            <w:u w:val="single"/>
            <w:rtl/>
            <w:lang w:eastAsia="he-IL"/>
          </w:rPr>
          <w:t>וסעיף 31</w:t>
        </w:r>
      </w:hyperlink>
      <w:r w:rsidRPr="00333171">
        <w:rPr>
          <w:rtl/>
          <w:lang w:eastAsia="he-IL"/>
        </w:rPr>
        <w:t xml:space="preserve"> ל</w:t>
      </w:r>
      <w:hyperlink r:id="rId23" w:history="1">
        <w:r w:rsidR="008005BD" w:rsidRPr="008005BD">
          <w:rPr>
            <w:color w:val="0000FF"/>
            <w:u w:val="single"/>
            <w:rtl/>
            <w:lang w:eastAsia="he-IL"/>
          </w:rPr>
          <w:t>חוק העונשין</w:t>
        </w:r>
      </w:hyperlink>
      <w:r w:rsidRPr="00333171">
        <w:rPr>
          <w:rtl/>
          <w:lang w:eastAsia="he-IL"/>
        </w:rPr>
        <w:t>. כידוע עבירה של החזקת סם מסוכן שלא לצריכה עצמית בלבד היא עבירה שהעונש המרבי הקבוע בחוק לצידה הוא מאסר לתקופה של 20 שנה</w:t>
      </w:r>
      <w:r w:rsidRPr="00333171">
        <w:rPr>
          <w:rFonts w:ascii="Arial" w:hAnsi="Arial"/>
          <w:rtl/>
        </w:rPr>
        <w:t xml:space="preserve">, אך בהתאם </w:t>
      </w:r>
      <w:hyperlink r:id="rId24" w:history="1">
        <w:r w:rsidR="003E327C" w:rsidRPr="003E327C">
          <w:rPr>
            <w:rFonts w:ascii="Arial" w:hAnsi="Arial"/>
            <w:color w:val="0000FF"/>
            <w:u w:val="single"/>
            <w:rtl/>
          </w:rPr>
          <w:t>לסעיף 32</w:t>
        </w:r>
      </w:hyperlink>
      <w:r w:rsidRPr="00333171">
        <w:rPr>
          <w:rFonts w:ascii="Arial" w:hAnsi="Arial"/>
          <w:rtl/>
        </w:rPr>
        <w:t xml:space="preserve"> ל</w:t>
      </w:r>
      <w:hyperlink r:id="rId25" w:history="1">
        <w:r w:rsidR="008005BD" w:rsidRPr="008005BD">
          <w:rPr>
            <w:rFonts w:ascii="Arial" w:hAnsi="Arial"/>
            <w:color w:val="0000FF"/>
            <w:u w:val="single"/>
            <w:rtl/>
          </w:rPr>
          <w:t>חוק העונשין</w:t>
        </w:r>
      </w:hyperlink>
      <w:r w:rsidRPr="00333171">
        <w:rPr>
          <w:rFonts w:ascii="Arial" w:hAnsi="Arial"/>
          <w:rtl/>
        </w:rPr>
        <w:t xml:space="preserve"> עונשו של המסייע היא מחצית העונש שנקבע בחיקוק בשל ביצועה העיקרי. </w:t>
      </w:r>
      <w:r w:rsidRPr="00333171">
        <w:rPr>
          <w:spacing w:val="10"/>
          <w:rtl/>
        </w:rPr>
        <w:t xml:space="preserve">העונש הקבוע בחוק מנחה את בית המשפט בבואו לקבוע את מתחם הענישה ההולם.  </w:t>
      </w:r>
    </w:p>
    <w:p w14:paraId="5E30810B" w14:textId="77777777" w:rsidR="00BC424B" w:rsidRPr="00333171" w:rsidRDefault="00BC424B" w:rsidP="00BC424B">
      <w:pPr>
        <w:spacing w:line="360" w:lineRule="auto"/>
        <w:jc w:val="both"/>
        <w:rPr>
          <w:rtl/>
        </w:rPr>
      </w:pPr>
    </w:p>
    <w:p w14:paraId="05D3702C" w14:textId="77777777" w:rsidR="00BC424B" w:rsidRDefault="00BC424B" w:rsidP="00BC424B">
      <w:pPr>
        <w:spacing w:line="360" w:lineRule="auto"/>
        <w:rPr>
          <w:u w:val="single"/>
          <w:rtl/>
        </w:rPr>
      </w:pPr>
    </w:p>
    <w:p w14:paraId="1B82EE0D" w14:textId="77777777" w:rsidR="00BC424B" w:rsidRPr="00333171" w:rsidRDefault="00BC424B" w:rsidP="00BC424B">
      <w:pPr>
        <w:spacing w:line="360" w:lineRule="auto"/>
        <w:rPr>
          <w:u w:val="single"/>
          <w:rtl/>
        </w:rPr>
      </w:pPr>
      <w:r w:rsidRPr="00333171">
        <w:rPr>
          <w:u w:val="single"/>
          <w:rtl/>
        </w:rPr>
        <w:t>נסיבות הקשורות בביצוע העבירה</w:t>
      </w:r>
    </w:p>
    <w:p w14:paraId="08F326B1" w14:textId="77777777" w:rsidR="00BC424B" w:rsidRPr="00333171" w:rsidRDefault="00BC424B" w:rsidP="00BC424B">
      <w:pPr>
        <w:spacing w:line="360" w:lineRule="auto"/>
        <w:jc w:val="both"/>
        <w:rPr>
          <w:rtl/>
        </w:rPr>
      </w:pPr>
      <w:r w:rsidRPr="00333171">
        <w:rPr>
          <w:rtl/>
        </w:rPr>
        <w:t>באשר לנסיבות ביצוע העבירה, כאמור, מדובר בעבירה חמורה, אך נראה כי חלקו של הנאשם בביצוע העבירות הוא פחות משמעותי משל המבצע העיקרי אשר בשל סיבה כלשהי</w:t>
      </w:r>
      <w:r>
        <w:rPr>
          <w:rFonts w:hint="cs"/>
          <w:rtl/>
        </w:rPr>
        <w:t>, שלא הובהרה לבית המשפט,</w:t>
      </w:r>
      <w:r w:rsidRPr="00333171">
        <w:rPr>
          <w:rtl/>
        </w:rPr>
        <w:t xml:space="preserve"> לא הועמד לדין.  </w:t>
      </w:r>
    </w:p>
    <w:p w14:paraId="73201017" w14:textId="77777777" w:rsidR="00BC424B" w:rsidRPr="00333171" w:rsidRDefault="00BC424B" w:rsidP="00BC424B">
      <w:pPr>
        <w:spacing w:line="360" w:lineRule="auto"/>
        <w:jc w:val="both"/>
        <w:rPr>
          <w:rtl/>
        </w:rPr>
      </w:pPr>
    </w:p>
    <w:p w14:paraId="3016409C" w14:textId="77777777" w:rsidR="00BC424B" w:rsidRPr="00333171" w:rsidRDefault="00BC424B" w:rsidP="00BC424B">
      <w:pPr>
        <w:spacing w:line="360" w:lineRule="auto"/>
        <w:rPr>
          <w:u w:val="single"/>
          <w:rtl/>
        </w:rPr>
      </w:pPr>
      <w:r w:rsidRPr="00333171">
        <w:rPr>
          <w:u w:val="single"/>
          <w:rtl/>
        </w:rPr>
        <w:t>נסיבות שאינן קשורות בביצוע העבירה</w:t>
      </w:r>
    </w:p>
    <w:p w14:paraId="60B97D0F" w14:textId="77777777" w:rsidR="00BC424B" w:rsidRPr="00333171" w:rsidRDefault="00BC424B" w:rsidP="00BC424B">
      <w:pPr>
        <w:spacing w:line="360" w:lineRule="auto"/>
        <w:jc w:val="both"/>
        <w:rPr>
          <w:rtl/>
        </w:rPr>
      </w:pPr>
      <w:r w:rsidRPr="00333171">
        <w:rPr>
          <w:rtl/>
        </w:rPr>
        <w:t xml:space="preserve">כפי שפורט לעיל, מדובר בנאשם בעל עבר פלילי בעבירות אלימות, רכוש וסמים, אך מאז שהשתחרר ממאסר בשנת 2014 זו הסתבכותו הראשונה. הנאשם הודה, אמנם לאחר שמיעת חלק מהעדויות והראיות בתיק, אך גם שהה במעצר תקופה משמעותית בשל העדר חלופה מכיוון שהוא בודד. </w:t>
      </w:r>
    </w:p>
    <w:p w14:paraId="46FF80DD" w14:textId="77777777" w:rsidR="00BC424B" w:rsidRPr="00333171" w:rsidRDefault="00BC424B" w:rsidP="00BC424B">
      <w:pPr>
        <w:spacing w:line="360" w:lineRule="auto"/>
        <w:rPr>
          <w:u w:val="single"/>
          <w:rtl/>
        </w:rPr>
      </w:pPr>
    </w:p>
    <w:p w14:paraId="52FF8503" w14:textId="77777777" w:rsidR="00BC424B" w:rsidRPr="00333171" w:rsidRDefault="00BC424B" w:rsidP="00BC424B">
      <w:pPr>
        <w:spacing w:line="360" w:lineRule="auto"/>
        <w:rPr>
          <w:u w:val="single"/>
          <w:rtl/>
        </w:rPr>
      </w:pPr>
      <w:r w:rsidRPr="00333171">
        <w:rPr>
          <w:u w:val="single"/>
          <w:rtl/>
        </w:rPr>
        <w:t>מתחם העונש ההולם וקביעת העונש ההולם לנאשם</w:t>
      </w:r>
    </w:p>
    <w:p w14:paraId="2F9E9F0E" w14:textId="77777777" w:rsidR="00BC424B" w:rsidRPr="00333171" w:rsidRDefault="00BC424B" w:rsidP="00BC424B">
      <w:pPr>
        <w:spacing w:line="360" w:lineRule="auto"/>
        <w:jc w:val="both"/>
        <w:rPr>
          <w:rtl/>
        </w:rPr>
      </w:pPr>
      <w:r w:rsidRPr="00333171">
        <w:rPr>
          <w:rtl/>
        </w:rPr>
        <w:t xml:space="preserve">הפסיקה אליה הפנתה המאשימה ברובה אינה משקפת מקרים בעלי נסיבות דומות ויש להביא בחשבון נסיבותיו הספציפיות של הנאשם והמקרה בעת קביעת העונש ההולם לנאשם. </w:t>
      </w:r>
    </w:p>
    <w:p w14:paraId="7348A331" w14:textId="77777777" w:rsidR="00BC424B" w:rsidRPr="00333171" w:rsidRDefault="00BC424B" w:rsidP="00BC424B">
      <w:pPr>
        <w:spacing w:line="360" w:lineRule="auto"/>
        <w:jc w:val="both"/>
        <w:rPr>
          <w:rtl/>
        </w:rPr>
      </w:pPr>
    </w:p>
    <w:p w14:paraId="44A9771A" w14:textId="77777777" w:rsidR="00BC424B" w:rsidRPr="00333171" w:rsidRDefault="00BC424B" w:rsidP="00BC424B">
      <w:pPr>
        <w:spacing w:line="360" w:lineRule="auto"/>
        <w:jc w:val="both"/>
        <w:rPr>
          <w:rtl/>
        </w:rPr>
      </w:pPr>
      <w:r w:rsidRPr="00333171">
        <w:rPr>
          <w:rtl/>
        </w:rPr>
        <w:t xml:space="preserve">לאחר שבחנתי את הענישה בעבירות דומות ובפסיקה שהוצגה בפני סבורני כי יש להעמיד את מתחם הענישה במקרה זה בין </w:t>
      </w:r>
      <w:r>
        <w:rPr>
          <w:rFonts w:hint="cs"/>
          <w:rtl/>
        </w:rPr>
        <w:t>10</w:t>
      </w:r>
      <w:r w:rsidRPr="00333171">
        <w:rPr>
          <w:rtl/>
        </w:rPr>
        <w:t xml:space="preserve"> חודשי מאסר ל-24 חודשי מאסר, בלוויית עונשים נלווים כדוגמת מאסר על תנאי. </w:t>
      </w:r>
    </w:p>
    <w:p w14:paraId="344AF44B" w14:textId="77777777" w:rsidR="00BC424B" w:rsidRPr="00333171" w:rsidRDefault="00BC424B" w:rsidP="00BC424B">
      <w:pPr>
        <w:spacing w:line="360" w:lineRule="auto"/>
        <w:jc w:val="both"/>
        <w:rPr>
          <w:rtl/>
        </w:rPr>
      </w:pPr>
    </w:p>
    <w:p w14:paraId="3A8A9E8A" w14:textId="77777777" w:rsidR="00BC424B" w:rsidRDefault="00BC424B" w:rsidP="00BC424B">
      <w:pPr>
        <w:spacing w:line="360" w:lineRule="auto"/>
        <w:jc w:val="both"/>
        <w:rPr>
          <w:rtl/>
        </w:rPr>
      </w:pPr>
      <w:r w:rsidRPr="00333171">
        <w:rPr>
          <w:rtl/>
        </w:rPr>
        <w:t xml:space="preserve">עם זאת, במקרה זה, בנסיבותיו של הנאשם, אשר כאמור, אמנם הינו בעל עבר פלילי, אך הודה, גם אם לאחר שמיעת חלק מהעדויות והראיות, ושהה במעצר תקופה די משמעותית, ובנסיבות המקרה, סבורני, מבלי להקל ראש בחומרת העבירה שביצע הנאשם, כי יש לקבוע את העונש קרוב יותר לרף הנמוך של מתחם הענישה שנקבע. </w:t>
      </w:r>
    </w:p>
    <w:p w14:paraId="72F0DDEF" w14:textId="77777777" w:rsidR="00BC424B" w:rsidRDefault="00BC424B" w:rsidP="00BC424B">
      <w:pPr>
        <w:spacing w:line="360" w:lineRule="auto"/>
        <w:jc w:val="both"/>
        <w:rPr>
          <w:rtl/>
        </w:rPr>
      </w:pPr>
    </w:p>
    <w:p w14:paraId="1D7F16CF" w14:textId="77777777" w:rsidR="00BC424B" w:rsidRPr="00BE394E" w:rsidRDefault="00BC424B" w:rsidP="00BC424B">
      <w:pPr>
        <w:spacing w:line="360" w:lineRule="auto"/>
        <w:jc w:val="both"/>
        <w:rPr>
          <w:b/>
          <w:bCs/>
          <w:u w:val="single"/>
          <w:rtl/>
        </w:rPr>
      </w:pPr>
      <w:r w:rsidRPr="00BE394E">
        <w:rPr>
          <w:rFonts w:hint="cs"/>
          <w:b/>
          <w:bCs/>
          <w:u w:val="single"/>
          <w:rtl/>
        </w:rPr>
        <w:t xml:space="preserve">הערות לעניין הרשעה מס' 4 וההתפתחות הפסיקתית שאחריה: </w:t>
      </w:r>
    </w:p>
    <w:p w14:paraId="2F9AB5C7" w14:textId="77777777" w:rsidR="00BC424B" w:rsidRDefault="00BC424B" w:rsidP="00BC424B">
      <w:pPr>
        <w:spacing w:line="360" w:lineRule="auto"/>
        <w:jc w:val="both"/>
        <w:rPr>
          <w:rtl/>
        </w:rPr>
      </w:pPr>
      <w:r>
        <w:rPr>
          <w:rFonts w:hint="cs"/>
          <w:rtl/>
        </w:rPr>
        <w:t xml:space="preserve">לא מצאתי מקום לתת משקל לטעונים שנשמעו בעניין הרשעה מס' 4 והאפשרות שלו הלכת בר חיים הייתה נפסקת קודם להכרעת הדין בהרשעה מס' 4, כי אז היה הנאשם מזוכה. מעת שפסק דין הופך לחלוט יש לראותו ככזה. יש מקרים שבהן נסיבות חדשות מצדיקות פניה בבקשה למשפט חוזר ובדרך זו משתנה פסק דין שהיה, כך לכאורה, חלוט. ואולם כל עוד לא ננקט הליך של בקשה לקיום משפט חוזר והתוצאה לא שונתה, אין אלא להתייחס להרשעת עבר כפי שהיא.   </w:t>
      </w:r>
    </w:p>
    <w:p w14:paraId="5D3C5E12" w14:textId="77777777" w:rsidR="00BC424B" w:rsidRDefault="00BC424B" w:rsidP="00BC424B">
      <w:pPr>
        <w:spacing w:line="360" w:lineRule="auto"/>
        <w:jc w:val="both"/>
        <w:rPr>
          <w:rtl/>
        </w:rPr>
      </w:pPr>
    </w:p>
    <w:p w14:paraId="6FF1BD04" w14:textId="77777777" w:rsidR="00BC424B" w:rsidRDefault="00BC424B" w:rsidP="00BC424B">
      <w:pPr>
        <w:spacing w:line="360" w:lineRule="auto"/>
        <w:jc w:val="both"/>
        <w:rPr>
          <w:rtl/>
        </w:rPr>
      </w:pPr>
      <w:r>
        <w:rPr>
          <w:rFonts w:hint="cs"/>
          <w:rtl/>
        </w:rPr>
        <w:t>אוסיף עוד כי גם לאחר כניסתו של תיקון 113 ל</w:t>
      </w:r>
      <w:hyperlink r:id="rId26" w:history="1">
        <w:r w:rsidR="008005BD" w:rsidRPr="008005BD">
          <w:rPr>
            <w:color w:val="0000FF"/>
            <w:u w:val="single"/>
            <w:rtl/>
          </w:rPr>
          <w:t>חוק העונשין</w:t>
        </w:r>
      </w:hyperlink>
      <w:r>
        <w:rPr>
          <w:rFonts w:hint="cs"/>
          <w:rtl/>
        </w:rPr>
        <w:t xml:space="preserve"> לתוקפו, ענישה עדיין אינה בגדר של נוסחה מתמטית וכך גם ההכרעה בשאלת אשמתו של הנאשם. בהחלט יתכן שמותב אחר שידון באותו כתב אישום ייתן משקל שונה לעדויות שהובאו בפניו בשלב בירור האשמה, כמו גם משקל שונה לרכיבים שנשקלים לעניין הענישה. לכן אין מקום לניתוח בראיה כלפי העבר ובהנחת הנחות כאלו או אחרות לגבי פסק דין שיכול היה להינתן לו הנסיבות המשפטיות ואחרות היו שונות בעת שנדון עניין.  </w:t>
      </w:r>
    </w:p>
    <w:p w14:paraId="27ED328C" w14:textId="77777777" w:rsidR="00BC424B" w:rsidRDefault="00BC424B" w:rsidP="00BC424B">
      <w:pPr>
        <w:spacing w:line="360" w:lineRule="auto"/>
        <w:jc w:val="both"/>
        <w:rPr>
          <w:rtl/>
        </w:rPr>
      </w:pPr>
      <w:r>
        <w:rPr>
          <w:rFonts w:hint="cs"/>
          <w:rtl/>
        </w:rPr>
        <w:t xml:space="preserve">מוכן אני להניח מראש שיתכן לו עו"ד מוכשר אחר היה מייצג את התביעה, או את הנאשם, ושופט אחר היה יושב בדין, יתכן שהתוצאה הייתה שונה. כך גם לגבי שינויי פסיקה או חקיקה (למעט, אולי, תיקון חקיקה המבטל עבירה באופן מוחלט). כל אלו הן הערכות שאין לתת להן משקל כעת. </w:t>
      </w:r>
    </w:p>
    <w:p w14:paraId="51B8F482" w14:textId="77777777" w:rsidR="00BC424B" w:rsidRDefault="00BC424B" w:rsidP="00BC424B">
      <w:pPr>
        <w:spacing w:line="360" w:lineRule="auto"/>
        <w:jc w:val="both"/>
        <w:rPr>
          <w:rtl/>
        </w:rPr>
      </w:pPr>
    </w:p>
    <w:p w14:paraId="3F88FC4A" w14:textId="77777777" w:rsidR="00BC424B" w:rsidRDefault="00BC424B" w:rsidP="00BC424B">
      <w:pPr>
        <w:spacing w:line="360" w:lineRule="auto"/>
        <w:jc w:val="both"/>
        <w:rPr>
          <w:rtl/>
        </w:rPr>
      </w:pPr>
      <w:r>
        <w:rPr>
          <w:rFonts w:hint="cs"/>
          <w:rtl/>
        </w:rPr>
        <w:t xml:space="preserve">מטעמים אלו לא מצאתי  מקום לתת משקל להרשעה מס' 4 על רקע הפסיקה שבאה לאחריה והטענות, כפי שהושמעו בפני. גזר הדין מבוסס, כפי שפורט, על הנתונים שהובאו בפני לרבות הרשעות עבר שהפכו להיות חלוטות.     </w:t>
      </w:r>
    </w:p>
    <w:p w14:paraId="05436D4A" w14:textId="77777777" w:rsidR="00BC424B" w:rsidRPr="00333171" w:rsidRDefault="00BC424B" w:rsidP="00BC424B">
      <w:pPr>
        <w:spacing w:line="480" w:lineRule="auto"/>
        <w:jc w:val="both"/>
        <w:rPr>
          <w:rtl/>
        </w:rPr>
      </w:pPr>
    </w:p>
    <w:p w14:paraId="06C47186" w14:textId="77777777" w:rsidR="00BC424B" w:rsidRPr="00333171" w:rsidRDefault="00BC424B" w:rsidP="00BC424B">
      <w:pPr>
        <w:spacing w:line="360" w:lineRule="auto"/>
        <w:jc w:val="both"/>
        <w:rPr>
          <w:b/>
          <w:bCs/>
          <w:u w:val="single"/>
          <w:rtl/>
        </w:rPr>
      </w:pPr>
      <w:r w:rsidRPr="00333171">
        <w:rPr>
          <w:b/>
          <w:bCs/>
          <w:u w:val="single"/>
          <w:rtl/>
        </w:rPr>
        <w:t>סיכום הענישה וגזר הדין</w:t>
      </w:r>
    </w:p>
    <w:p w14:paraId="3943D9A7" w14:textId="77777777" w:rsidR="00BC424B" w:rsidRDefault="00BC424B" w:rsidP="00BC424B">
      <w:pPr>
        <w:spacing w:line="360" w:lineRule="auto"/>
        <w:jc w:val="both"/>
        <w:rPr>
          <w:rtl/>
        </w:rPr>
      </w:pPr>
    </w:p>
    <w:p w14:paraId="7B01A971" w14:textId="77777777" w:rsidR="00BC424B" w:rsidRPr="00333171" w:rsidRDefault="00BC424B" w:rsidP="00BC424B">
      <w:pPr>
        <w:spacing w:line="360" w:lineRule="auto"/>
        <w:jc w:val="both"/>
        <w:rPr>
          <w:rtl/>
        </w:rPr>
      </w:pPr>
      <w:r w:rsidRPr="00333171">
        <w:rPr>
          <w:rtl/>
        </w:rPr>
        <w:t xml:space="preserve">אשר על כן, ומכל הטעמים שפורטו, </w:t>
      </w:r>
      <w:r>
        <w:rPr>
          <w:rFonts w:hint="cs"/>
          <w:rtl/>
        </w:rPr>
        <w:t>א</w:t>
      </w:r>
      <w:r w:rsidRPr="00333171">
        <w:rPr>
          <w:rtl/>
        </w:rPr>
        <w:t xml:space="preserve">ני </w:t>
      </w:r>
      <w:r>
        <w:rPr>
          <w:rFonts w:hint="cs"/>
          <w:rtl/>
        </w:rPr>
        <w:t>גוזר</w:t>
      </w:r>
      <w:r w:rsidRPr="00333171">
        <w:rPr>
          <w:rtl/>
        </w:rPr>
        <w:t xml:space="preserve"> על הנאשם את העונשים הבאים: </w:t>
      </w:r>
    </w:p>
    <w:p w14:paraId="09CE42B9" w14:textId="77777777" w:rsidR="00BC424B" w:rsidRDefault="00BC424B" w:rsidP="00BC424B">
      <w:pPr>
        <w:autoSpaceDE w:val="0"/>
        <w:autoSpaceDN w:val="0"/>
        <w:spacing w:line="360" w:lineRule="auto"/>
        <w:jc w:val="both"/>
        <w:rPr>
          <w:sz w:val="22"/>
          <w:rtl/>
          <w:lang w:eastAsia="he-IL"/>
        </w:rPr>
      </w:pPr>
    </w:p>
    <w:p w14:paraId="48E2719F" w14:textId="77777777" w:rsidR="00BC424B" w:rsidRPr="00333171" w:rsidRDefault="00BC424B" w:rsidP="00BC424B">
      <w:pPr>
        <w:autoSpaceDE w:val="0"/>
        <w:autoSpaceDN w:val="0"/>
        <w:spacing w:line="360" w:lineRule="auto"/>
        <w:jc w:val="both"/>
        <w:rPr>
          <w:sz w:val="22"/>
          <w:rtl/>
          <w:lang w:eastAsia="he-IL"/>
        </w:rPr>
      </w:pPr>
      <w:r w:rsidRPr="00333171">
        <w:rPr>
          <w:sz w:val="22"/>
          <w:rtl/>
          <w:lang w:eastAsia="he-IL"/>
        </w:rPr>
        <w:t xml:space="preserve">מאסר בפועל </w:t>
      </w:r>
      <w:r>
        <w:rPr>
          <w:rFonts w:hint="cs"/>
          <w:sz w:val="22"/>
          <w:rtl/>
          <w:lang w:eastAsia="he-IL"/>
        </w:rPr>
        <w:t xml:space="preserve">לתקופה של </w:t>
      </w:r>
      <w:r w:rsidRPr="00333171">
        <w:rPr>
          <w:sz w:val="22"/>
          <w:rtl/>
          <w:lang w:eastAsia="he-IL"/>
        </w:rPr>
        <w:t>1</w:t>
      </w:r>
      <w:r>
        <w:rPr>
          <w:rFonts w:hint="cs"/>
          <w:sz w:val="22"/>
          <w:rtl/>
          <w:lang w:eastAsia="he-IL"/>
        </w:rPr>
        <w:t>4</w:t>
      </w:r>
      <w:r w:rsidRPr="00333171">
        <w:rPr>
          <w:sz w:val="22"/>
          <w:rtl/>
          <w:lang w:eastAsia="he-IL"/>
        </w:rPr>
        <w:t xml:space="preserve"> חודשים בניכוי ימי מעצרו החל מיום 02.05.2018 ועד היום; </w:t>
      </w:r>
    </w:p>
    <w:p w14:paraId="322DC65E" w14:textId="77777777" w:rsidR="00BC424B" w:rsidRDefault="00BC424B" w:rsidP="00BC424B">
      <w:pPr>
        <w:autoSpaceDE w:val="0"/>
        <w:autoSpaceDN w:val="0"/>
        <w:spacing w:line="360" w:lineRule="auto"/>
        <w:jc w:val="both"/>
        <w:rPr>
          <w:sz w:val="22"/>
          <w:rtl/>
          <w:lang w:eastAsia="he-IL"/>
        </w:rPr>
      </w:pPr>
    </w:p>
    <w:p w14:paraId="211FC351" w14:textId="77777777" w:rsidR="00BC424B" w:rsidRDefault="00BC424B" w:rsidP="00BC424B">
      <w:pPr>
        <w:autoSpaceDE w:val="0"/>
        <w:autoSpaceDN w:val="0"/>
        <w:spacing w:line="360" w:lineRule="auto"/>
        <w:jc w:val="both"/>
        <w:rPr>
          <w:sz w:val="22"/>
          <w:rtl/>
          <w:lang w:eastAsia="he-IL"/>
        </w:rPr>
      </w:pPr>
      <w:r w:rsidRPr="00333171">
        <w:rPr>
          <w:sz w:val="22"/>
          <w:rtl/>
          <w:lang w:eastAsia="he-IL"/>
        </w:rPr>
        <w:t xml:space="preserve">מאסר מותנה </w:t>
      </w:r>
      <w:r>
        <w:rPr>
          <w:rFonts w:hint="cs"/>
          <w:sz w:val="22"/>
          <w:rtl/>
          <w:lang w:eastAsia="he-IL"/>
        </w:rPr>
        <w:t>לתקופה של 8</w:t>
      </w:r>
      <w:r w:rsidRPr="00333171">
        <w:rPr>
          <w:sz w:val="22"/>
          <w:rtl/>
          <w:lang w:eastAsia="he-IL"/>
        </w:rPr>
        <w:t xml:space="preserve"> חודשים, והתנאי שהנאשם לא יעבור עבירה לפי </w:t>
      </w:r>
      <w:hyperlink r:id="rId27" w:history="1">
        <w:r w:rsidR="003E327C" w:rsidRPr="003E327C">
          <w:rPr>
            <w:color w:val="0000FF"/>
            <w:u w:val="single"/>
            <w:rtl/>
            <w:lang w:eastAsia="he-IL"/>
          </w:rPr>
          <w:t>סעיפים 7(א)</w:t>
        </w:r>
      </w:hyperlink>
      <w:r w:rsidRPr="00333171">
        <w:rPr>
          <w:rtl/>
          <w:lang w:eastAsia="he-IL"/>
        </w:rPr>
        <w:t xml:space="preserve"> + </w:t>
      </w:r>
      <w:hyperlink r:id="rId28" w:history="1">
        <w:r w:rsidR="003E327C" w:rsidRPr="003E327C">
          <w:rPr>
            <w:color w:val="0000FF"/>
            <w:u w:val="single"/>
            <w:rtl/>
            <w:lang w:eastAsia="he-IL"/>
          </w:rPr>
          <w:t>7(ג)</w:t>
        </w:r>
      </w:hyperlink>
      <w:r w:rsidRPr="00333171">
        <w:rPr>
          <w:rtl/>
          <w:lang w:eastAsia="he-IL"/>
        </w:rPr>
        <w:t xml:space="preserve"> רישא ל</w:t>
      </w:r>
      <w:hyperlink r:id="rId29" w:history="1">
        <w:r w:rsidR="008005BD" w:rsidRPr="008005BD">
          <w:rPr>
            <w:color w:val="0000FF"/>
            <w:u w:val="single"/>
            <w:rtl/>
            <w:lang w:eastAsia="he-IL"/>
          </w:rPr>
          <w:t>פקודת הסמים המסוכנים</w:t>
        </w:r>
      </w:hyperlink>
      <w:r>
        <w:rPr>
          <w:rFonts w:hint="cs"/>
          <w:rtl/>
          <w:lang w:eastAsia="he-IL"/>
        </w:rPr>
        <w:t xml:space="preserve">, לרבות עבירה של סיוע לביצוע עבירה, וכן כל עבירה על פקודת הסמים שאינה עבירה של החזקת סם לצריכה עצמית, </w:t>
      </w:r>
      <w:r w:rsidRPr="00333171">
        <w:rPr>
          <w:sz w:val="22"/>
          <w:rtl/>
          <w:lang w:eastAsia="he-IL"/>
        </w:rPr>
        <w:t xml:space="preserve"> וזאת בתוך שלוש שנים ממועד שחרורו ממאסר ויורשע בגינה;</w:t>
      </w:r>
    </w:p>
    <w:p w14:paraId="5A94B29F" w14:textId="77777777" w:rsidR="00BC424B" w:rsidRDefault="00BC424B" w:rsidP="00BC424B">
      <w:pPr>
        <w:autoSpaceDE w:val="0"/>
        <w:autoSpaceDN w:val="0"/>
        <w:spacing w:line="360" w:lineRule="auto"/>
        <w:jc w:val="both"/>
        <w:rPr>
          <w:sz w:val="22"/>
          <w:rtl/>
          <w:lang w:eastAsia="he-IL"/>
        </w:rPr>
      </w:pPr>
    </w:p>
    <w:p w14:paraId="15956072" w14:textId="77777777" w:rsidR="00BC424B" w:rsidRPr="00333171" w:rsidRDefault="00BC424B" w:rsidP="00BC424B">
      <w:pPr>
        <w:spacing w:line="360" w:lineRule="auto"/>
        <w:jc w:val="both"/>
        <w:rPr>
          <w:rFonts w:ascii="David" w:hAnsi="David"/>
          <w:rtl/>
        </w:rPr>
      </w:pPr>
      <w:r>
        <w:rPr>
          <w:rFonts w:hint="cs"/>
          <w:rtl/>
        </w:rPr>
        <w:t>א</w:t>
      </w:r>
      <w:r w:rsidRPr="00333171">
        <w:rPr>
          <w:rtl/>
        </w:rPr>
        <w:t>ני מורה על השמדת הסם</w:t>
      </w:r>
      <w:r>
        <w:rPr>
          <w:rFonts w:hint="cs"/>
          <w:rtl/>
        </w:rPr>
        <w:t xml:space="preserve"> שנתפס</w:t>
      </w:r>
      <w:r w:rsidRPr="00333171">
        <w:rPr>
          <w:rtl/>
        </w:rPr>
        <w:t xml:space="preserve"> בכפוף להיות פסק הדין חלוט. </w:t>
      </w:r>
    </w:p>
    <w:p w14:paraId="1EA1B15C" w14:textId="77777777" w:rsidR="00BC424B" w:rsidRPr="00333171" w:rsidRDefault="00BC424B" w:rsidP="00BC424B">
      <w:pPr>
        <w:spacing w:line="360" w:lineRule="auto"/>
        <w:jc w:val="both"/>
        <w:rPr>
          <w:rFonts w:ascii="David" w:hAnsi="David"/>
          <w:rtl/>
        </w:rPr>
      </w:pPr>
    </w:p>
    <w:p w14:paraId="3C1DD5E3" w14:textId="77777777" w:rsidR="00BC424B" w:rsidRDefault="00BC424B" w:rsidP="00BC424B">
      <w:pPr>
        <w:spacing w:line="360" w:lineRule="auto"/>
        <w:jc w:val="both"/>
        <w:rPr>
          <w:rtl/>
        </w:rPr>
      </w:pPr>
      <w:r w:rsidRPr="00333171">
        <w:rPr>
          <w:rFonts w:ascii="David" w:hAnsi="David" w:hint="eastAsia"/>
          <w:b/>
          <w:bCs/>
          <w:u w:val="single"/>
          <w:rtl/>
        </w:rPr>
        <w:t>זכות</w:t>
      </w:r>
      <w:r w:rsidRPr="00333171">
        <w:rPr>
          <w:rFonts w:ascii="David" w:hAnsi="David"/>
          <w:b/>
          <w:bCs/>
          <w:u w:val="single"/>
          <w:rtl/>
        </w:rPr>
        <w:t xml:space="preserve"> </w:t>
      </w:r>
      <w:r w:rsidRPr="00333171">
        <w:rPr>
          <w:rFonts w:ascii="David" w:hAnsi="David" w:hint="eastAsia"/>
          <w:b/>
          <w:bCs/>
          <w:u w:val="single"/>
          <w:rtl/>
        </w:rPr>
        <w:t>ערעור</w:t>
      </w:r>
      <w:r w:rsidRPr="00333171">
        <w:rPr>
          <w:rFonts w:ascii="David" w:hAnsi="David"/>
          <w:b/>
          <w:bCs/>
          <w:u w:val="single"/>
          <w:rtl/>
        </w:rPr>
        <w:t xml:space="preserve"> </w:t>
      </w:r>
      <w:r w:rsidRPr="00333171">
        <w:rPr>
          <w:rFonts w:ascii="David" w:hAnsi="David" w:hint="eastAsia"/>
          <w:b/>
          <w:bCs/>
          <w:u w:val="single"/>
          <w:rtl/>
        </w:rPr>
        <w:t>לבית</w:t>
      </w:r>
      <w:r w:rsidRPr="00333171">
        <w:rPr>
          <w:rFonts w:ascii="David" w:hAnsi="David"/>
          <w:b/>
          <w:bCs/>
          <w:u w:val="single"/>
          <w:rtl/>
        </w:rPr>
        <w:t xml:space="preserve"> </w:t>
      </w:r>
      <w:r w:rsidRPr="00333171">
        <w:rPr>
          <w:rFonts w:ascii="David" w:hAnsi="David" w:hint="eastAsia"/>
          <w:b/>
          <w:bCs/>
          <w:u w:val="single"/>
          <w:rtl/>
        </w:rPr>
        <w:t>המשפט</w:t>
      </w:r>
      <w:r w:rsidRPr="00333171">
        <w:rPr>
          <w:rFonts w:ascii="David" w:hAnsi="David"/>
          <w:b/>
          <w:bCs/>
          <w:u w:val="single"/>
          <w:rtl/>
        </w:rPr>
        <w:t xml:space="preserve"> </w:t>
      </w:r>
      <w:r w:rsidRPr="00333171">
        <w:rPr>
          <w:rFonts w:ascii="David" w:hAnsi="David" w:hint="eastAsia"/>
          <w:b/>
          <w:bCs/>
          <w:u w:val="single"/>
          <w:rtl/>
        </w:rPr>
        <w:t>העליון</w:t>
      </w:r>
      <w:r w:rsidRPr="00333171">
        <w:rPr>
          <w:rFonts w:ascii="David" w:hAnsi="David"/>
          <w:b/>
          <w:bCs/>
          <w:u w:val="single"/>
          <w:rtl/>
        </w:rPr>
        <w:t xml:space="preserve"> </w:t>
      </w:r>
      <w:r w:rsidRPr="00333171">
        <w:rPr>
          <w:rFonts w:ascii="David" w:hAnsi="David" w:hint="eastAsia"/>
          <w:b/>
          <w:bCs/>
          <w:u w:val="single"/>
          <w:rtl/>
        </w:rPr>
        <w:t>תוך</w:t>
      </w:r>
      <w:r w:rsidRPr="00333171">
        <w:rPr>
          <w:rFonts w:ascii="David" w:hAnsi="David"/>
          <w:b/>
          <w:bCs/>
          <w:u w:val="single"/>
          <w:rtl/>
        </w:rPr>
        <w:t xml:space="preserve"> 45 </w:t>
      </w:r>
      <w:r w:rsidRPr="00333171">
        <w:rPr>
          <w:rFonts w:ascii="David" w:hAnsi="David" w:hint="eastAsia"/>
          <w:b/>
          <w:bCs/>
          <w:u w:val="single"/>
          <w:rtl/>
        </w:rPr>
        <w:t>ימים</w:t>
      </w:r>
      <w:r w:rsidRPr="00333171">
        <w:rPr>
          <w:rFonts w:ascii="David" w:hAnsi="David"/>
          <w:b/>
          <w:bCs/>
          <w:u w:val="single"/>
          <w:rtl/>
        </w:rPr>
        <w:t xml:space="preserve"> </w:t>
      </w:r>
      <w:r w:rsidRPr="00333171">
        <w:rPr>
          <w:rFonts w:ascii="David" w:hAnsi="David" w:hint="eastAsia"/>
          <w:b/>
          <w:bCs/>
          <w:u w:val="single"/>
          <w:rtl/>
        </w:rPr>
        <w:t>מהיום</w:t>
      </w:r>
      <w:r w:rsidRPr="00333171">
        <w:rPr>
          <w:rtl/>
        </w:rPr>
        <w:t>.</w:t>
      </w:r>
    </w:p>
    <w:p w14:paraId="5FA33988" w14:textId="77777777" w:rsidR="00BC424B" w:rsidRPr="00333171" w:rsidRDefault="00BC424B" w:rsidP="00BC424B">
      <w:pPr>
        <w:spacing w:line="360" w:lineRule="auto"/>
        <w:jc w:val="both"/>
        <w:rPr>
          <w:rFonts w:ascii="David" w:hAnsi="David"/>
          <w:b/>
          <w:bCs/>
          <w:u w:val="single"/>
          <w:rtl/>
        </w:rPr>
      </w:pPr>
    </w:p>
    <w:p w14:paraId="13E30EF8" w14:textId="77777777" w:rsidR="00BC424B" w:rsidRPr="008005BD" w:rsidRDefault="008005BD" w:rsidP="00BC424B">
      <w:pPr>
        <w:spacing w:line="360" w:lineRule="auto"/>
        <w:jc w:val="both"/>
        <w:rPr>
          <w:color w:val="FFFFFF"/>
          <w:sz w:val="2"/>
          <w:szCs w:val="2"/>
          <w:rtl/>
        </w:rPr>
      </w:pPr>
      <w:r w:rsidRPr="008005BD">
        <w:rPr>
          <w:color w:val="FFFFFF"/>
          <w:sz w:val="2"/>
          <w:szCs w:val="2"/>
          <w:rtl/>
        </w:rPr>
        <w:t>5129371</w:t>
      </w:r>
    </w:p>
    <w:tbl>
      <w:tblPr>
        <w:bidiVisual/>
        <w:tblW w:w="3258" w:type="dxa"/>
        <w:tblInd w:w="5839" w:type="dxa"/>
        <w:tblBorders>
          <w:insideH w:val="single" w:sz="4" w:space="0" w:color="auto"/>
          <w:insideV w:val="single" w:sz="4" w:space="0" w:color="auto"/>
        </w:tblBorders>
        <w:tblLook w:val="01E0" w:firstRow="1" w:lastRow="1" w:firstColumn="1" w:lastColumn="1" w:noHBand="0" w:noVBand="0"/>
      </w:tblPr>
      <w:tblGrid>
        <w:gridCol w:w="3258"/>
      </w:tblGrid>
      <w:tr w:rsidR="00BC424B" w14:paraId="15284883" w14:textId="77777777" w:rsidTr="00BC424B">
        <w:trPr>
          <w:trHeight w:val="364"/>
        </w:trPr>
        <w:tc>
          <w:tcPr>
            <w:tcW w:w="3258" w:type="dxa"/>
            <w:tcBorders>
              <w:top w:val="nil"/>
              <w:left w:val="nil"/>
              <w:bottom w:val="single" w:sz="4" w:space="0" w:color="auto"/>
              <w:right w:val="nil"/>
            </w:tcBorders>
            <w:shd w:val="clear" w:color="auto" w:fill="auto"/>
          </w:tcPr>
          <w:p w14:paraId="08C1FD8A" w14:textId="77777777" w:rsidR="00BC424B" w:rsidRDefault="008005BD" w:rsidP="00BC424B">
            <w:pPr>
              <w:bidi w:val="0"/>
              <w:jc w:val="center"/>
            </w:pPr>
            <w:r w:rsidRPr="008005BD">
              <w:rPr>
                <w:rFonts w:ascii="Arial" w:hAnsi="Arial"/>
                <w:color w:val="FFFFFF"/>
                <w:sz w:val="2"/>
                <w:szCs w:val="2"/>
                <w:rtl/>
              </w:rPr>
              <w:t>54678313</w:t>
            </w:r>
            <w:r>
              <w:rPr>
                <w:rFonts w:ascii="Arial" w:hAnsi="Arial"/>
                <w:rtl/>
              </w:rPr>
              <w:t xml:space="preserve">ניתן היום,  ט"ו טבת תשע"ט, 23 דצמבר 2018, בהעדר הצדדים. </w:t>
            </w:r>
          </w:p>
        </w:tc>
      </w:tr>
      <w:tr w:rsidR="00BC424B" w14:paraId="583CB86B" w14:textId="77777777" w:rsidTr="00BC424B">
        <w:trPr>
          <w:trHeight w:val="415"/>
        </w:trPr>
        <w:tc>
          <w:tcPr>
            <w:tcW w:w="3258" w:type="dxa"/>
            <w:tcBorders>
              <w:top w:val="single" w:sz="4" w:space="0" w:color="auto"/>
              <w:left w:val="nil"/>
              <w:bottom w:val="nil"/>
              <w:right w:val="nil"/>
            </w:tcBorders>
            <w:shd w:val="clear" w:color="auto" w:fill="auto"/>
          </w:tcPr>
          <w:p w14:paraId="457297F7" w14:textId="77777777" w:rsidR="00BC424B" w:rsidRPr="00BC424B" w:rsidRDefault="00BC424B" w:rsidP="00BC424B">
            <w:pPr>
              <w:jc w:val="center"/>
              <w:rPr>
                <w:b/>
                <w:bCs/>
                <w:rtl/>
              </w:rPr>
            </w:pPr>
            <w:r w:rsidRPr="00BC424B">
              <w:rPr>
                <w:rFonts w:hint="cs"/>
                <w:b/>
                <w:bCs/>
                <w:rtl/>
              </w:rPr>
              <w:t xml:space="preserve"> רון שפירא, נשיא</w:t>
            </w:r>
          </w:p>
        </w:tc>
      </w:tr>
    </w:tbl>
    <w:p w14:paraId="2C7BCAF9" w14:textId="77777777" w:rsidR="00BC424B" w:rsidRPr="003E327C" w:rsidRDefault="003E327C" w:rsidP="00BC424B">
      <w:pPr>
        <w:rPr>
          <w:color w:val="FFFFFF"/>
          <w:sz w:val="2"/>
          <w:szCs w:val="2"/>
          <w:rtl/>
        </w:rPr>
      </w:pPr>
      <w:r w:rsidRPr="003E327C">
        <w:rPr>
          <w:color w:val="FFFFFF"/>
          <w:sz w:val="2"/>
          <w:szCs w:val="2"/>
          <w:rtl/>
        </w:rPr>
        <w:t>5129371</w:t>
      </w:r>
    </w:p>
    <w:p w14:paraId="24266DBA" w14:textId="77777777" w:rsidR="00366A53" w:rsidRPr="003E327C" w:rsidRDefault="003E327C" w:rsidP="008005BD">
      <w:pPr>
        <w:keepNext/>
        <w:rPr>
          <w:rFonts w:ascii="David" w:hAnsi="David"/>
          <w:color w:val="FFFFFF"/>
          <w:sz w:val="2"/>
          <w:szCs w:val="2"/>
          <w:rtl/>
        </w:rPr>
      </w:pPr>
      <w:r w:rsidRPr="003E327C">
        <w:rPr>
          <w:rFonts w:ascii="David" w:hAnsi="David"/>
          <w:color w:val="FFFFFF"/>
          <w:sz w:val="2"/>
          <w:szCs w:val="2"/>
          <w:rtl/>
        </w:rPr>
        <w:t>54678313</w:t>
      </w:r>
    </w:p>
    <w:p w14:paraId="714C460B" w14:textId="77777777" w:rsidR="008005BD" w:rsidRDefault="008005BD" w:rsidP="008005BD">
      <w:pPr>
        <w:rPr>
          <w:rtl/>
        </w:rPr>
      </w:pPr>
    </w:p>
    <w:p w14:paraId="16280D28" w14:textId="77777777" w:rsidR="008005BD" w:rsidRDefault="008005BD" w:rsidP="008005B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98D866F" w14:textId="77777777" w:rsidR="003E327C" w:rsidRPr="003E327C" w:rsidRDefault="003E327C" w:rsidP="003E327C">
      <w:pPr>
        <w:keepNext/>
        <w:rPr>
          <w:rFonts w:ascii="David" w:hAnsi="David"/>
          <w:color w:val="000000"/>
          <w:sz w:val="22"/>
          <w:szCs w:val="22"/>
          <w:rtl/>
        </w:rPr>
      </w:pPr>
    </w:p>
    <w:p w14:paraId="656B0E10" w14:textId="77777777" w:rsidR="003E327C" w:rsidRPr="003E327C" w:rsidRDefault="003E327C" w:rsidP="003E327C">
      <w:pPr>
        <w:keepNext/>
        <w:rPr>
          <w:rFonts w:ascii="David" w:hAnsi="David"/>
          <w:color w:val="000000"/>
          <w:sz w:val="22"/>
          <w:szCs w:val="22"/>
          <w:rtl/>
        </w:rPr>
      </w:pPr>
      <w:r w:rsidRPr="003E327C">
        <w:rPr>
          <w:rFonts w:ascii="David" w:hAnsi="David"/>
          <w:color w:val="000000"/>
          <w:sz w:val="22"/>
          <w:szCs w:val="22"/>
          <w:rtl/>
        </w:rPr>
        <w:t>רון שפירא 54678313-/</w:t>
      </w:r>
    </w:p>
    <w:p w14:paraId="57076F6D" w14:textId="77777777" w:rsidR="008005BD" w:rsidRPr="008005BD" w:rsidRDefault="003E327C" w:rsidP="003E327C">
      <w:pPr>
        <w:rPr>
          <w:color w:val="0000FF"/>
          <w:u w:val="single"/>
        </w:rPr>
      </w:pPr>
      <w:r w:rsidRPr="003E327C">
        <w:rPr>
          <w:color w:val="000000"/>
          <w:u w:val="single"/>
          <w:rtl/>
        </w:rPr>
        <w:t>נוסח מסמך זה כפוף לשינויי ניסוח ועריכה</w:t>
      </w:r>
    </w:p>
    <w:sectPr w:rsidR="008005BD" w:rsidRPr="008005BD" w:rsidSect="003E327C">
      <w:headerReference w:type="even" r:id="rId31"/>
      <w:headerReference w:type="default" r:id="rId32"/>
      <w:footerReference w:type="even" r:id="rId33"/>
      <w:footerReference w:type="default" r:id="rId3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74AB1" w14:textId="77777777" w:rsidR="007F5D92" w:rsidRDefault="007F5D92" w:rsidP="007F7ED3">
      <w:r>
        <w:separator/>
      </w:r>
    </w:p>
  </w:endnote>
  <w:endnote w:type="continuationSeparator" w:id="0">
    <w:p w14:paraId="16D054E8" w14:textId="77777777" w:rsidR="007F5D92" w:rsidRDefault="007F5D92" w:rsidP="007F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6BBE3" w14:textId="77777777" w:rsidR="003E327C" w:rsidRDefault="003E327C" w:rsidP="003E3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72AD9B" w14:textId="77777777" w:rsidR="00403CFC" w:rsidRPr="003E327C" w:rsidRDefault="003E327C" w:rsidP="003E327C">
    <w:pPr>
      <w:pStyle w:val="a5"/>
      <w:pBdr>
        <w:top w:val="single" w:sz="4" w:space="1" w:color="auto"/>
        <w:between w:val="single" w:sz="4" w:space="0" w:color="auto"/>
      </w:pBdr>
      <w:spacing w:after="60"/>
      <w:jc w:val="center"/>
      <w:rPr>
        <w:rFonts w:ascii="FrankRuehl" w:hAnsi="FrankRuehl" w:cs="FrankRuehl"/>
        <w:color w:val="000000"/>
      </w:rPr>
    </w:pPr>
    <w:r w:rsidRPr="003E32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368FA" w14:textId="77777777" w:rsidR="003E327C" w:rsidRDefault="003E327C" w:rsidP="003E3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51C3">
      <w:rPr>
        <w:rFonts w:ascii="FrankRuehl" w:hAnsi="FrankRuehl" w:cs="FrankRuehl"/>
        <w:noProof/>
        <w:rtl/>
      </w:rPr>
      <w:t>1</w:t>
    </w:r>
    <w:r>
      <w:rPr>
        <w:rFonts w:ascii="FrankRuehl" w:hAnsi="FrankRuehl" w:cs="FrankRuehl"/>
        <w:rtl/>
      </w:rPr>
      <w:fldChar w:fldCharType="end"/>
    </w:r>
  </w:p>
  <w:p w14:paraId="49BF344F" w14:textId="77777777" w:rsidR="00403CFC" w:rsidRPr="003E327C" w:rsidRDefault="003E327C" w:rsidP="003E327C">
    <w:pPr>
      <w:pStyle w:val="a5"/>
      <w:pBdr>
        <w:top w:val="single" w:sz="4" w:space="1" w:color="auto"/>
        <w:between w:val="single" w:sz="4" w:space="0" w:color="auto"/>
      </w:pBdr>
      <w:spacing w:after="60"/>
      <w:jc w:val="center"/>
      <w:rPr>
        <w:rFonts w:ascii="FrankRuehl" w:hAnsi="FrankRuehl" w:cs="FrankRuehl"/>
        <w:color w:val="000000"/>
      </w:rPr>
    </w:pPr>
    <w:r w:rsidRPr="003E327C">
      <w:rPr>
        <w:rFonts w:ascii="FrankRuehl" w:hAnsi="FrankRuehl" w:cs="FrankRuehl"/>
        <w:color w:val="000000"/>
      </w:rPr>
      <w:pict w14:anchorId="12775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A6261" w14:textId="77777777" w:rsidR="007F5D92" w:rsidRDefault="007F5D92" w:rsidP="007F7ED3">
      <w:r>
        <w:separator/>
      </w:r>
    </w:p>
  </w:footnote>
  <w:footnote w:type="continuationSeparator" w:id="0">
    <w:p w14:paraId="3948D3F9" w14:textId="77777777" w:rsidR="007F5D92" w:rsidRDefault="007F5D92" w:rsidP="007F7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A8B71" w14:textId="77777777" w:rsidR="008005BD" w:rsidRPr="003E327C" w:rsidRDefault="003E327C" w:rsidP="003E3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6992-06-18</w:t>
    </w:r>
    <w:r>
      <w:rPr>
        <w:rFonts w:ascii="David" w:hAnsi="David"/>
        <w:color w:val="000000"/>
        <w:sz w:val="22"/>
        <w:szCs w:val="22"/>
        <w:rtl/>
      </w:rPr>
      <w:tab/>
      <w:t xml:space="preserve"> מדינת ישראל נ' ולדימיר רזילוב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4E4A4" w14:textId="77777777" w:rsidR="008005BD" w:rsidRPr="003E327C" w:rsidRDefault="003E327C" w:rsidP="003E3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6992-06-18</w:t>
    </w:r>
    <w:r>
      <w:rPr>
        <w:rFonts w:ascii="David" w:hAnsi="David"/>
        <w:color w:val="000000"/>
        <w:sz w:val="22"/>
        <w:szCs w:val="22"/>
        <w:rtl/>
      </w:rPr>
      <w:tab/>
      <w:t xml:space="preserve"> מדינת ישראל נ' ולדימיר רזילוב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424B"/>
    <w:rsid w:val="001A2386"/>
    <w:rsid w:val="00366A53"/>
    <w:rsid w:val="00381020"/>
    <w:rsid w:val="003E327C"/>
    <w:rsid w:val="00403CFC"/>
    <w:rsid w:val="004426E6"/>
    <w:rsid w:val="005951C3"/>
    <w:rsid w:val="007D40FE"/>
    <w:rsid w:val="007F5D92"/>
    <w:rsid w:val="007F7ED3"/>
    <w:rsid w:val="008005BD"/>
    <w:rsid w:val="00AB054E"/>
    <w:rsid w:val="00BC424B"/>
    <w:rsid w:val="00CA6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A935D0"/>
  <w15:chartTrackingRefBased/>
  <w15:docId w15:val="{CFFA6364-2932-4949-8D72-023D756B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42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424B"/>
    <w:pPr>
      <w:tabs>
        <w:tab w:val="center" w:pos="4153"/>
        <w:tab w:val="right" w:pos="8306"/>
      </w:tabs>
    </w:pPr>
  </w:style>
  <w:style w:type="character" w:customStyle="1" w:styleId="a4">
    <w:name w:val="כותרת עליונה תו"/>
    <w:link w:val="a3"/>
    <w:rsid w:val="00BC424B"/>
    <w:rPr>
      <w:rFonts w:ascii="Times New Roman" w:eastAsia="Times New Roman" w:hAnsi="Times New Roman" w:cs="David"/>
      <w:sz w:val="24"/>
      <w:szCs w:val="24"/>
    </w:rPr>
  </w:style>
  <w:style w:type="paragraph" w:styleId="a5">
    <w:name w:val="footer"/>
    <w:basedOn w:val="a"/>
    <w:link w:val="a6"/>
    <w:rsid w:val="00BC424B"/>
    <w:pPr>
      <w:tabs>
        <w:tab w:val="center" w:pos="4153"/>
        <w:tab w:val="right" w:pos="8306"/>
      </w:tabs>
    </w:pPr>
  </w:style>
  <w:style w:type="character" w:customStyle="1" w:styleId="a6">
    <w:name w:val="כותרת תחתונה תו"/>
    <w:link w:val="a5"/>
    <w:rsid w:val="00BC424B"/>
    <w:rPr>
      <w:rFonts w:ascii="Times New Roman" w:eastAsia="Times New Roman" w:hAnsi="Times New Roman" w:cs="David"/>
      <w:sz w:val="24"/>
      <w:szCs w:val="24"/>
    </w:rPr>
  </w:style>
  <w:style w:type="table" w:styleId="a7">
    <w:name w:val="Table Grid"/>
    <w:basedOn w:val="a1"/>
    <w:rsid w:val="00BC42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424B"/>
  </w:style>
  <w:style w:type="character" w:styleId="Hyperlink">
    <w:name w:val="Hyperlink"/>
    <w:rsid w:val="008005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3751286"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4216" TargetMode="External"/><Relationship Id="rId34"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32" TargetMode="External"/><Relationship Id="rId24" Type="http://schemas.openxmlformats.org/officeDocument/2006/relationships/hyperlink" Target="http://www.nevo.co.il/law/70301/32"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c" TargetMode="External"/><Relationship Id="rId36" Type="http://schemas.openxmlformats.org/officeDocument/2006/relationships/theme" Target="theme/theme1.xml"/><Relationship Id="rId10" Type="http://schemas.openxmlformats.org/officeDocument/2006/relationships/hyperlink" Target="http://www.nevo.co.il/law/70301/31" TargetMode="External"/><Relationship Id="rId19" Type="http://schemas.openxmlformats.org/officeDocument/2006/relationships/hyperlink" Target="http://www.nevo.co.il/law/4216/7.a"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4216/7.a"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9302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11140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6750310</vt:i4>
      </vt:variant>
      <vt:variant>
        <vt:i4>54</vt:i4>
      </vt:variant>
      <vt:variant>
        <vt:i4>0</vt:i4>
      </vt:variant>
      <vt:variant>
        <vt:i4>5</vt:i4>
      </vt:variant>
      <vt:variant>
        <vt:lpwstr>http://www.nevo.co.il/law/70301/32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3932272</vt:i4>
      </vt:variant>
      <vt:variant>
        <vt:i4>36</vt:i4>
      </vt:variant>
      <vt:variant>
        <vt:i4>0</vt:i4>
      </vt:variant>
      <vt:variant>
        <vt:i4>5</vt:i4>
      </vt:variant>
      <vt:variant>
        <vt:lpwstr>http://www.nevo.co.il/case/23751286</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6750310</vt:i4>
      </vt:variant>
      <vt:variant>
        <vt:i4>15</vt:i4>
      </vt:variant>
      <vt:variant>
        <vt:i4>0</vt:i4>
      </vt:variant>
      <vt:variant>
        <vt:i4>5</vt:i4>
      </vt:variant>
      <vt:variant>
        <vt:lpwstr>http://www.nevo.co.il/law/70301/32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6992</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ולדימיר רזילוב</vt:lpwstr>
  </property>
  <property fmtid="{D5CDD505-2E9C-101B-9397-08002B2CF9AE}" pid="10" name="LAWYER">
    <vt:lpwstr>בוריס שרמן</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20181223</vt:lpwstr>
  </property>
  <property fmtid="{D5CDD505-2E9C-101B-9397-08002B2CF9AE}" pid="14" name="TYPE_N_DATE">
    <vt:lpwstr>39020181223</vt:lpwstr>
  </property>
  <property fmtid="{D5CDD505-2E9C-101B-9397-08002B2CF9AE}" pid="15" name="CASESLISTTMP1">
    <vt:lpwstr>23751286</vt:lpwstr>
  </property>
  <property fmtid="{D5CDD505-2E9C-101B-9397-08002B2CF9AE}" pid="16" name="WORDNUMPAGES">
    <vt:lpwstr>5</vt:lpwstr>
  </property>
  <property fmtid="{D5CDD505-2E9C-101B-9397-08002B2CF9AE}" pid="17" name="TYPE_ABS_DATE">
    <vt:lpwstr>390020181223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4216/007.a:3;007.c:3</vt:lpwstr>
  </property>
  <property fmtid="{D5CDD505-2E9C-101B-9397-08002B2CF9AE}" pid="37" name="LAWLISTTMP2">
    <vt:lpwstr>70301/031:2;032</vt:lpwstr>
  </property>
</Properties>
</file>