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774" w:type="dxa"/>
        <w:jc w:val="center"/>
        <w:tblLook w:val="0000" w:firstRow="0" w:lastRow="0" w:firstColumn="0" w:lastColumn="0" w:noHBand="0" w:noVBand="0"/>
      </w:tblPr>
      <w:tblGrid>
        <w:gridCol w:w="245"/>
        <w:gridCol w:w="2606"/>
        <w:gridCol w:w="2201"/>
        <w:gridCol w:w="3666"/>
        <w:gridCol w:w="56"/>
      </w:tblGrid>
      <w:tr w:rsidR="00265A0A" w:rsidRPr="005B3EC6" w14:paraId="0DE64618" w14:textId="77777777" w:rsidTr="001955BF">
        <w:trPr>
          <w:gridAfter w:val="1"/>
          <w:wAfter w:w="53" w:type="dxa"/>
          <w:trHeight w:hRule="exact" w:val="418"/>
          <w:jc w:val="center"/>
        </w:trPr>
        <w:tc>
          <w:tcPr>
            <w:tcW w:w="8721" w:type="dxa"/>
            <w:gridSpan w:val="4"/>
          </w:tcPr>
          <w:p w14:paraId="33383216" w14:textId="77777777" w:rsidR="00265A0A" w:rsidRPr="005B3EC6" w:rsidRDefault="00265A0A" w:rsidP="000C04FD">
            <w:pPr>
              <w:pStyle w:val="a3"/>
              <w:jc w:val="center"/>
              <w:rPr>
                <w:rFonts w:ascii="Tahoma" w:hAnsi="Tahoma" w:cs="Tahoma"/>
                <w:color w:val="000080"/>
                <w:rtl/>
              </w:rPr>
            </w:pPr>
            <w:bookmarkStart w:id="0" w:name="LastJudge"/>
            <w:r w:rsidRPr="005B3EC6">
              <w:rPr>
                <w:rFonts w:ascii="Tahoma" w:hAnsi="Tahoma" w:cs="Tahoma"/>
                <w:b/>
                <w:bCs/>
                <w:color w:val="000080"/>
                <w:rtl/>
              </w:rPr>
              <w:t>בית המשפט המחוזי בחיפה</w:t>
            </w:r>
          </w:p>
        </w:tc>
      </w:tr>
      <w:tr w:rsidR="00265A0A" w:rsidRPr="005B3EC6" w14:paraId="22ECD0A1" w14:textId="77777777" w:rsidTr="001955BF">
        <w:trPr>
          <w:gridAfter w:val="1"/>
          <w:wAfter w:w="53" w:type="dxa"/>
          <w:trHeight w:val="337"/>
          <w:jc w:val="center"/>
        </w:trPr>
        <w:tc>
          <w:tcPr>
            <w:tcW w:w="5054" w:type="dxa"/>
            <w:gridSpan w:val="3"/>
          </w:tcPr>
          <w:p w14:paraId="561BC0DD" w14:textId="77777777" w:rsidR="00265A0A" w:rsidRPr="005B3EC6" w:rsidRDefault="00265A0A" w:rsidP="000C04FD">
            <w:pPr>
              <w:rPr>
                <w:rFonts w:cs="FrankRuehl"/>
                <w:sz w:val="28"/>
                <w:szCs w:val="28"/>
                <w:rtl/>
              </w:rPr>
            </w:pPr>
            <w:r w:rsidRPr="005B3EC6">
              <w:rPr>
                <w:rFonts w:cs="FrankRuehl"/>
                <w:sz w:val="28"/>
                <w:szCs w:val="28"/>
                <w:rtl/>
              </w:rPr>
              <w:t>ת"פ</w:t>
            </w:r>
            <w:r w:rsidRPr="005B3EC6">
              <w:rPr>
                <w:rFonts w:cs="FrankRuehl" w:hint="cs"/>
                <w:sz w:val="28"/>
                <w:szCs w:val="28"/>
                <w:rtl/>
              </w:rPr>
              <w:t xml:space="preserve"> </w:t>
            </w:r>
            <w:r w:rsidRPr="005B3EC6">
              <w:rPr>
                <w:rFonts w:cs="FrankRuehl"/>
                <w:sz w:val="28"/>
                <w:szCs w:val="28"/>
                <w:rtl/>
              </w:rPr>
              <w:t>39573-10-18</w:t>
            </w:r>
            <w:r w:rsidRPr="005B3EC6">
              <w:rPr>
                <w:rFonts w:cs="FrankRuehl" w:hint="cs"/>
                <w:sz w:val="28"/>
                <w:szCs w:val="28"/>
                <w:rtl/>
              </w:rPr>
              <w:t xml:space="preserve"> </w:t>
            </w:r>
            <w:r w:rsidRPr="005B3EC6">
              <w:rPr>
                <w:rFonts w:cs="FrankRuehl"/>
                <w:sz w:val="28"/>
                <w:szCs w:val="28"/>
                <w:rtl/>
              </w:rPr>
              <w:t>מדינת ישראל נ' נדאף</w:t>
            </w:r>
          </w:p>
          <w:p w14:paraId="01C2B654" w14:textId="77777777" w:rsidR="00265A0A" w:rsidRPr="005B3EC6" w:rsidRDefault="00265A0A" w:rsidP="000C04FD">
            <w:pPr>
              <w:pStyle w:val="a3"/>
              <w:rPr>
                <w:rFonts w:cs="FrankRuehl"/>
                <w:sz w:val="28"/>
                <w:szCs w:val="28"/>
                <w:rtl/>
              </w:rPr>
            </w:pPr>
          </w:p>
        </w:tc>
        <w:tc>
          <w:tcPr>
            <w:tcW w:w="3667" w:type="dxa"/>
          </w:tcPr>
          <w:p w14:paraId="25D97867" w14:textId="77777777" w:rsidR="00265A0A" w:rsidRPr="005B3EC6" w:rsidRDefault="00265A0A" w:rsidP="000C04FD">
            <w:pPr>
              <w:pStyle w:val="a3"/>
              <w:jc w:val="right"/>
              <w:rPr>
                <w:rFonts w:cs="FrankRuehl"/>
                <w:sz w:val="28"/>
                <w:szCs w:val="28"/>
                <w:rtl/>
              </w:rPr>
            </w:pPr>
          </w:p>
        </w:tc>
      </w:tr>
      <w:tr w:rsidR="00265A0A" w:rsidRPr="005B3EC6" w14:paraId="60BFC843" w14:textId="77777777" w:rsidTr="001955BF">
        <w:tblPrEx>
          <w:jc w:val="left"/>
          <w:tblLook w:val="01E0" w:firstRow="1" w:lastRow="1" w:firstColumn="1" w:lastColumn="1" w:noHBand="0" w:noVBand="0"/>
        </w:tblPrEx>
        <w:trPr>
          <w:gridBefore w:val="1"/>
          <w:gridAfter w:val="1"/>
          <w:wBefore w:w="245" w:type="dxa"/>
          <w:wAfter w:w="56" w:type="dxa"/>
        </w:trPr>
        <w:tc>
          <w:tcPr>
            <w:tcW w:w="8473" w:type="dxa"/>
            <w:gridSpan w:val="3"/>
            <w:shd w:val="clear" w:color="auto" w:fill="auto"/>
          </w:tcPr>
          <w:p w14:paraId="720C665C" w14:textId="77777777" w:rsidR="00265A0A" w:rsidRPr="005B3EC6" w:rsidRDefault="00265A0A" w:rsidP="000C04FD">
            <w:pPr>
              <w:rPr>
                <w:b/>
                <w:bCs/>
                <w:sz w:val="26"/>
                <w:szCs w:val="26"/>
                <w:rtl/>
              </w:rPr>
            </w:pPr>
            <w:r w:rsidRPr="005B3EC6">
              <w:rPr>
                <w:rFonts w:hint="cs"/>
                <w:rtl/>
              </w:rPr>
              <w:t xml:space="preserve"> </w:t>
            </w:r>
            <w:r w:rsidRPr="005B3EC6">
              <w:rPr>
                <w:rFonts w:hint="cs"/>
                <w:b/>
                <w:bCs/>
                <w:sz w:val="26"/>
                <w:szCs w:val="26"/>
                <w:rtl/>
              </w:rPr>
              <w:t>לפני כבוד ה</w:t>
            </w:r>
            <w:r w:rsidRPr="005B3EC6">
              <w:rPr>
                <w:b/>
                <w:bCs/>
                <w:sz w:val="26"/>
                <w:szCs w:val="26"/>
                <w:rtl/>
              </w:rPr>
              <w:t>שופט דניאל פיש</w:t>
            </w:r>
            <w:r w:rsidRPr="005B3EC6">
              <w:rPr>
                <w:rStyle w:val="TimesNewRomanTimesNewRoman"/>
                <w:rtl/>
              </w:rPr>
              <w:t xml:space="preserve"> </w:t>
            </w:r>
          </w:p>
        </w:tc>
      </w:tr>
      <w:tr w:rsidR="00265A0A" w:rsidRPr="005B3EC6" w14:paraId="136E2F0D" w14:textId="77777777" w:rsidTr="001955BF">
        <w:tblPrEx>
          <w:jc w:val="left"/>
          <w:tblLook w:val="01E0" w:firstRow="1" w:lastRow="1" w:firstColumn="1" w:lastColumn="1" w:noHBand="0" w:noVBand="0"/>
        </w:tblPrEx>
        <w:trPr>
          <w:gridBefore w:val="1"/>
          <w:wBefore w:w="245" w:type="dxa"/>
          <w:cantSplit/>
          <w:trHeight w:val="544"/>
        </w:trPr>
        <w:tc>
          <w:tcPr>
            <w:tcW w:w="2607" w:type="dxa"/>
            <w:shd w:val="clear" w:color="auto" w:fill="auto"/>
          </w:tcPr>
          <w:p w14:paraId="3872A176" w14:textId="77777777" w:rsidR="00265A0A" w:rsidRPr="005B3EC6" w:rsidRDefault="00265A0A" w:rsidP="00265A0A">
            <w:pPr>
              <w:ind w:left="26"/>
              <w:rPr>
                <w:b/>
                <w:bCs/>
                <w:sz w:val="26"/>
                <w:szCs w:val="26"/>
                <w:rtl/>
              </w:rPr>
            </w:pPr>
            <w:bookmarkStart w:id="1" w:name="FirstAppellant"/>
          </w:p>
          <w:p w14:paraId="20A8EDA8" w14:textId="77777777" w:rsidR="00265A0A" w:rsidRPr="005B3EC6" w:rsidRDefault="00265A0A" w:rsidP="00265A0A">
            <w:pPr>
              <w:ind w:left="26"/>
              <w:rPr>
                <w:b/>
                <w:bCs/>
                <w:sz w:val="26"/>
                <w:szCs w:val="26"/>
                <w:rtl/>
              </w:rPr>
            </w:pPr>
            <w:r w:rsidRPr="005B3EC6">
              <w:rPr>
                <w:rFonts w:hint="cs"/>
                <w:b/>
                <w:bCs/>
                <w:sz w:val="26"/>
                <w:szCs w:val="26"/>
                <w:rtl/>
              </w:rPr>
              <w:t>ה</w:t>
            </w:r>
            <w:r w:rsidRPr="005B3EC6">
              <w:rPr>
                <w:b/>
                <w:bCs/>
                <w:sz w:val="26"/>
                <w:szCs w:val="26"/>
                <w:rtl/>
              </w:rPr>
              <w:t>מאשימה</w:t>
            </w:r>
          </w:p>
        </w:tc>
        <w:tc>
          <w:tcPr>
            <w:tcW w:w="5922" w:type="dxa"/>
            <w:gridSpan w:val="3"/>
            <w:shd w:val="clear" w:color="auto" w:fill="auto"/>
          </w:tcPr>
          <w:p w14:paraId="0BB20BF1" w14:textId="77777777" w:rsidR="00265A0A" w:rsidRPr="005B3EC6" w:rsidRDefault="00265A0A" w:rsidP="000C04FD">
            <w:pPr>
              <w:rPr>
                <w:rFonts w:cs="Times New Roman"/>
                <w:rtl/>
              </w:rPr>
            </w:pPr>
          </w:p>
          <w:p w14:paraId="4880E216" w14:textId="77777777" w:rsidR="00265A0A" w:rsidRPr="005B3EC6" w:rsidRDefault="00265A0A" w:rsidP="000C04FD">
            <w:pPr>
              <w:rPr>
                <w:b/>
                <w:bCs/>
                <w:sz w:val="26"/>
                <w:szCs w:val="26"/>
                <w:rtl/>
              </w:rPr>
            </w:pPr>
            <w:r w:rsidRPr="005B3EC6">
              <w:rPr>
                <w:rtl/>
              </w:rPr>
              <w:t xml:space="preserve"> </w:t>
            </w:r>
            <w:r w:rsidRPr="005B3EC6">
              <w:rPr>
                <w:b/>
                <w:bCs/>
                <w:sz w:val="26"/>
                <w:szCs w:val="26"/>
                <w:rtl/>
              </w:rPr>
              <w:t>מדינת ישראל</w:t>
            </w:r>
            <w:r w:rsidRPr="005B3EC6">
              <w:rPr>
                <w:rFonts w:hint="cs"/>
                <w:b/>
                <w:bCs/>
                <w:sz w:val="26"/>
                <w:szCs w:val="26"/>
                <w:rtl/>
              </w:rPr>
              <w:t xml:space="preserve">  </w:t>
            </w:r>
          </w:p>
        </w:tc>
      </w:tr>
      <w:bookmarkEnd w:id="1"/>
      <w:tr w:rsidR="00265A0A" w:rsidRPr="005B3EC6" w14:paraId="6968ABEF" w14:textId="77777777" w:rsidTr="001955BF">
        <w:tblPrEx>
          <w:jc w:val="left"/>
          <w:tblLook w:val="01E0" w:firstRow="1" w:lastRow="1" w:firstColumn="1" w:lastColumn="1" w:noHBand="0" w:noVBand="0"/>
        </w:tblPrEx>
        <w:trPr>
          <w:gridBefore w:val="1"/>
          <w:wBefore w:w="245" w:type="dxa"/>
        </w:trPr>
        <w:tc>
          <w:tcPr>
            <w:tcW w:w="8529" w:type="dxa"/>
            <w:gridSpan w:val="4"/>
            <w:shd w:val="clear" w:color="auto" w:fill="auto"/>
            <w:vAlign w:val="center"/>
          </w:tcPr>
          <w:p w14:paraId="050FBD06" w14:textId="77777777" w:rsidR="00265A0A" w:rsidRPr="005B3EC6" w:rsidRDefault="00265A0A" w:rsidP="00265A0A">
            <w:pPr>
              <w:jc w:val="center"/>
              <w:rPr>
                <w:rFonts w:ascii="Arial" w:hAnsi="Arial"/>
                <w:b/>
                <w:bCs/>
                <w:sz w:val="26"/>
                <w:szCs w:val="26"/>
                <w:rtl/>
              </w:rPr>
            </w:pPr>
          </w:p>
          <w:p w14:paraId="47D3449A" w14:textId="77777777" w:rsidR="00265A0A" w:rsidRPr="005B3EC6" w:rsidRDefault="00265A0A" w:rsidP="00265A0A">
            <w:pPr>
              <w:jc w:val="center"/>
              <w:rPr>
                <w:rFonts w:ascii="Arial" w:hAnsi="Arial"/>
                <w:b/>
                <w:bCs/>
                <w:sz w:val="26"/>
                <w:szCs w:val="26"/>
                <w:rtl/>
              </w:rPr>
            </w:pPr>
            <w:r w:rsidRPr="005B3EC6">
              <w:rPr>
                <w:rFonts w:ascii="Arial" w:hAnsi="Arial" w:hint="cs"/>
                <w:b/>
                <w:bCs/>
                <w:sz w:val="26"/>
                <w:szCs w:val="26"/>
                <w:rtl/>
              </w:rPr>
              <w:t>נגד</w:t>
            </w:r>
          </w:p>
          <w:p w14:paraId="0EFBB558" w14:textId="77777777" w:rsidR="00265A0A" w:rsidRPr="005B3EC6" w:rsidRDefault="00265A0A" w:rsidP="000C04FD">
            <w:pPr>
              <w:rPr>
                <w:rFonts w:ascii="Arial" w:hAnsi="Arial"/>
                <w:b/>
                <w:bCs/>
                <w:sz w:val="26"/>
                <w:szCs w:val="26"/>
                <w:rtl/>
              </w:rPr>
            </w:pPr>
          </w:p>
        </w:tc>
      </w:tr>
      <w:tr w:rsidR="00265A0A" w:rsidRPr="005B3EC6" w14:paraId="5176D62D" w14:textId="77777777" w:rsidTr="001955BF">
        <w:tblPrEx>
          <w:jc w:val="left"/>
          <w:tblLook w:val="01E0" w:firstRow="1" w:lastRow="1" w:firstColumn="1" w:lastColumn="1" w:noHBand="0" w:noVBand="0"/>
        </w:tblPrEx>
        <w:trPr>
          <w:gridBefore w:val="1"/>
          <w:wBefore w:w="245" w:type="dxa"/>
        </w:trPr>
        <w:tc>
          <w:tcPr>
            <w:tcW w:w="2607" w:type="dxa"/>
            <w:shd w:val="clear" w:color="auto" w:fill="auto"/>
          </w:tcPr>
          <w:p w14:paraId="6F98EE27" w14:textId="77777777" w:rsidR="00265A0A" w:rsidRPr="005B3EC6" w:rsidRDefault="00265A0A" w:rsidP="00265A0A">
            <w:pPr>
              <w:ind w:left="26"/>
              <w:rPr>
                <w:b/>
                <w:bCs/>
                <w:sz w:val="26"/>
                <w:szCs w:val="26"/>
              </w:rPr>
            </w:pPr>
            <w:r w:rsidRPr="005B3EC6">
              <w:rPr>
                <w:rFonts w:hint="cs"/>
                <w:b/>
                <w:bCs/>
                <w:sz w:val="26"/>
                <w:szCs w:val="26"/>
                <w:rtl/>
              </w:rPr>
              <w:t>ה</w:t>
            </w:r>
            <w:r w:rsidRPr="005B3EC6">
              <w:rPr>
                <w:b/>
                <w:bCs/>
                <w:sz w:val="26"/>
                <w:szCs w:val="26"/>
                <w:rtl/>
              </w:rPr>
              <w:t>נאשם</w:t>
            </w:r>
          </w:p>
        </w:tc>
        <w:tc>
          <w:tcPr>
            <w:tcW w:w="5922" w:type="dxa"/>
            <w:gridSpan w:val="3"/>
            <w:shd w:val="clear" w:color="auto" w:fill="auto"/>
          </w:tcPr>
          <w:p w14:paraId="58F53172" w14:textId="77777777" w:rsidR="00265A0A" w:rsidRPr="005B3EC6" w:rsidRDefault="00265A0A" w:rsidP="000C04FD">
            <w:pPr>
              <w:rPr>
                <w:b/>
                <w:bCs/>
                <w:sz w:val="26"/>
                <w:szCs w:val="26"/>
                <w:rtl/>
              </w:rPr>
            </w:pPr>
            <w:r w:rsidRPr="005B3EC6">
              <w:rPr>
                <w:rtl/>
              </w:rPr>
              <w:t xml:space="preserve"> </w:t>
            </w:r>
            <w:r w:rsidRPr="005B3EC6">
              <w:rPr>
                <w:b/>
                <w:bCs/>
                <w:sz w:val="26"/>
                <w:szCs w:val="26"/>
                <w:rtl/>
              </w:rPr>
              <w:t>מייסרא נדאף</w:t>
            </w:r>
            <w:r w:rsidRPr="005B3EC6">
              <w:rPr>
                <w:rFonts w:cs="Times New Roman"/>
                <w:rtl/>
              </w:rPr>
              <w:t xml:space="preserve"> </w:t>
            </w:r>
            <w:r w:rsidRPr="005B3EC6">
              <w:rPr>
                <w:b/>
                <w:bCs/>
                <w:sz w:val="26"/>
                <w:szCs w:val="26"/>
                <w:rtl/>
              </w:rPr>
              <w:t>ת"ז</w:t>
            </w:r>
            <w:r w:rsidRPr="005B3EC6">
              <w:rPr>
                <w:rFonts w:hint="cs"/>
                <w:b/>
                <w:bCs/>
                <w:sz w:val="26"/>
                <w:szCs w:val="26"/>
                <w:rtl/>
              </w:rPr>
              <w:t xml:space="preserve">  </w:t>
            </w:r>
            <w:r w:rsidR="005B3EC6">
              <w:rPr>
                <w:b/>
                <w:bCs/>
                <w:sz w:val="26"/>
                <w:szCs w:val="26"/>
              </w:rPr>
              <w:t>xxxxxxxxxx</w:t>
            </w:r>
          </w:p>
        </w:tc>
      </w:tr>
    </w:tbl>
    <w:p w14:paraId="57036E8A" w14:textId="77777777" w:rsidR="00265A0A" w:rsidRPr="005B3EC6" w:rsidRDefault="00265A0A" w:rsidP="00265A0A">
      <w:pPr>
        <w:pStyle w:val="12"/>
        <w:rPr>
          <w:u w:val="none"/>
          <w:rtl/>
        </w:rPr>
      </w:pPr>
    </w:p>
    <w:p w14:paraId="39B47714" w14:textId="77777777" w:rsidR="00265A0A" w:rsidRPr="005B3EC6" w:rsidRDefault="00265A0A" w:rsidP="00265A0A">
      <w:pPr>
        <w:pStyle w:val="12"/>
        <w:rPr>
          <w:b w:val="0"/>
          <w:bCs w:val="0"/>
          <w:u w:val="none"/>
          <w:rtl/>
        </w:rPr>
      </w:pPr>
      <w:bookmarkStart w:id="2" w:name="FirstLawyer"/>
      <w:r w:rsidRPr="005B3EC6">
        <w:rPr>
          <w:rFonts w:hint="cs"/>
          <w:b w:val="0"/>
          <w:bCs w:val="0"/>
          <w:u w:val="none"/>
          <w:rtl/>
        </w:rPr>
        <w:t>בשם</w:t>
      </w:r>
      <w:bookmarkEnd w:id="2"/>
      <w:r w:rsidRPr="005B3EC6">
        <w:rPr>
          <w:b w:val="0"/>
          <w:bCs w:val="0"/>
          <w:u w:val="none"/>
          <w:rtl/>
        </w:rPr>
        <w:t xml:space="preserve"> המאשימה: עו"ד </w:t>
      </w:r>
      <w:r w:rsidRPr="005B3EC6">
        <w:rPr>
          <w:rFonts w:hint="cs"/>
          <w:b w:val="0"/>
          <w:bCs w:val="0"/>
          <w:u w:val="none"/>
          <w:rtl/>
        </w:rPr>
        <w:t>יאיר גויכמן</w:t>
      </w:r>
    </w:p>
    <w:p w14:paraId="5B491707" w14:textId="77777777" w:rsidR="00265A0A" w:rsidRPr="005B3EC6" w:rsidRDefault="00265A0A" w:rsidP="00265A0A">
      <w:pPr>
        <w:pStyle w:val="12"/>
        <w:rPr>
          <w:b w:val="0"/>
          <w:bCs w:val="0"/>
          <w:u w:val="none"/>
          <w:rtl/>
        </w:rPr>
      </w:pPr>
      <w:r w:rsidRPr="005B3EC6">
        <w:rPr>
          <w:b w:val="0"/>
          <w:bCs w:val="0"/>
          <w:u w:val="none"/>
          <w:rtl/>
        </w:rPr>
        <w:t>ב</w:t>
      </w:r>
      <w:r w:rsidRPr="005B3EC6">
        <w:rPr>
          <w:rFonts w:hint="cs"/>
          <w:b w:val="0"/>
          <w:bCs w:val="0"/>
          <w:u w:val="none"/>
          <w:rtl/>
        </w:rPr>
        <w:t>שם</w:t>
      </w:r>
      <w:r w:rsidRPr="005B3EC6">
        <w:rPr>
          <w:b w:val="0"/>
          <w:bCs w:val="0"/>
          <w:u w:val="none"/>
          <w:rtl/>
        </w:rPr>
        <w:t xml:space="preserve"> הנאשם: עו"ד שאדי דבאח</w:t>
      </w:r>
    </w:p>
    <w:p w14:paraId="1E053C70" w14:textId="77777777" w:rsidR="00265A0A" w:rsidRPr="005B3EC6" w:rsidRDefault="00265A0A" w:rsidP="00265A0A">
      <w:pPr>
        <w:rPr>
          <w:sz w:val="26"/>
          <w:szCs w:val="26"/>
          <w:rtl/>
        </w:rPr>
      </w:pPr>
    </w:p>
    <w:p w14:paraId="49EC66CF" w14:textId="77777777" w:rsidR="00265A0A" w:rsidRPr="005B3EC6" w:rsidRDefault="00265A0A" w:rsidP="00265A0A">
      <w:pPr>
        <w:rPr>
          <w:sz w:val="26"/>
          <w:szCs w:val="26"/>
        </w:rPr>
      </w:pPr>
    </w:p>
    <w:p w14:paraId="0D30F00A" w14:textId="77777777" w:rsidR="005B3EC6" w:rsidRPr="005B3EC6" w:rsidRDefault="005B3EC6" w:rsidP="005B3EC6">
      <w:pPr>
        <w:spacing w:before="120" w:after="120" w:line="240" w:lineRule="exact"/>
        <w:ind w:left="283" w:hanging="283"/>
        <w:jc w:val="both"/>
        <w:rPr>
          <w:rFonts w:ascii="FrankRuehl" w:hAnsi="FrankRuehl" w:cs="FrankRuehl"/>
          <w:rtl/>
        </w:rPr>
      </w:pPr>
    </w:p>
    <w:p w14:paraId="29756522" w14:textId="77777777" w:rsidR="005B3EC6" w:rsidRPr="005B3EC6" w:rsidRDefault="005B3EC6" w:rsidP="005B3EC6">
      <w:pPr>
        <w:rPr>
          <w:rFonts w:ascii="Arial" w:hAnsi="Arial"/>
          <w:sz w:val="26"/>
          <w:szCs w:val="26"/>
          <w:rtl/>
        </w:rPr>
      </w:pPr>
    </w:p>
    <w:p w14:paraId="17B5975B" w14:textId="77777777" w:rsidR="001955BF" w:rsidRPr="001955BF" w:rsidRDefault="001955BF" w:rsidP="001955BF">
      <w:pPr>
        <w:spacing w:before="120" w:after="120" w:line="240" w:lineRule="exact"/>
        <w:ind w:left="283" w:hanging="283"/>
        <w:jc w:val="both"/>
        <w:rPr>
          <w:rFonts w:ascii="FrankRuehl" w:hAnsi="FrankRuehl" w:cs="FrankRuehl"/>
          <w:rtl/>
        </w:rPr>
      </w:pPr>
      <w:bookmarkStart w:id="3" w:name="LawTable"/>
      <w:bookmarkEnd w:id="3"/>
    </w:p>
    <w:p w14:paraId="2C7C34E8" w14:textId="77777777" w:rsidR="001955BF" w:rsidRPr="001955BF" w:rsidRDefault="001955BF" w:rsidP="001955BF">
      <w:pPr>
        <w:spacing w:before="120" w:after="120" w:line="240" w:lineRule="exact"/>
        <w:ind w:left="283" w:hanging="283"/>
        <w:jc w:val="both"/>
        <w:rPr>
          <w:rFonts w:ascii="FrankRuehl" w:hAnsi="FrankRuehl" w:cs="FrankRuehl"/>
          <w:rtl/>
        </w:rPr>
      </w:pPr>
      <w:r w:rsidRPr="001955BF">
        <w:rPr>
          <w:rFonts w:ascii="FrankRuehl" w:hAnsi="FrankRuehl" w:cs="FrankRuehl"/>
          <w:rtl/>
        </w:rPr>
        <w:t xml:space="preserve">חקיקה שאוזכרה: </w:t>
      </w:r>
    </w:p>
    <w:p w14:paraId="3406809F" w14:textId="77777777" w:rsidR="001955BF" w:rsidRPr="001955BF" w:rsidRDefault="001955BF" w:rsidP="001955BF">
      <w:pPr>
        <w:spacing w:before="120" w:after="120" w:line="240" w:lineRule="exact"/>
        <w:ind w:left="283" w:hanging="283"/>
        <w:jc w:val="both"/>
        <w:rPr>
          <w:rFonts w:ascii="FrankRuehl" w:hAnsi="FrankRuehl" w:cs="FrankRuehl"/>
          <w:color w:val="0000FF"/>
          <w:rtl/>
        </w:rPr>
      </w:pPr>
      <w:hyperlink r:id="rId6" w:history="1">
        <w:r w:rsidRPr="001955BF">
          <w:rPr>
            <w:rStyle w:val="Hyperlink"/>
            <w:rFonts w:ascii="FrankRuehl" w:hAnsi="FrankRuehl" w:cs="FrankRuehl"/>
            <w:u w:val="none"/>
            <w:rtl/>
          </w:rPr>
          <w:t>פקודת הסמים המסוכנים [נוסח חדש], תשל"ג-1973</w:t>
        </w:r>
      </w:hyperlink>
      <w:r w:rsidRPr="001955BF">
        <w:rPr>
          <w:rFonts w:ascii="FrankRuehl" w:hAnsi="FrankRuehl" w:cs="FrankRuehl"/>
          <w:color w:val="0000FF"/>
          <w:rtl/>
        </w:rPr>
        <w:t xml:space="preserve">: סע'  </w:t>
      </w:r>
      <w:hyperlink r:id="rId7" w:history="1">
        <w:r w:rsidRPr="001955BF">
          <w:rPr>
            <w:rStyle w:val="Hyperlink"/>
            <w:rFonts w:ascii="FrankRuehl" w:hAnsi="FrankRuehl" w:cs="FrankRuehl"/>
            <w:u w:val="none"/>
          </w:rPr>
          <w:t>7</w:t>
        </w:r>
      </w:hyperlink>
      <w:r w:rsidRPr="001955BF">
        <w:rPr>
          <w:rFonts w:ascii="FrankRuehl" w:hAnsi="FrankRuehl" w:cs="FrankRuehl"/>
          <w:color w:val="0000FF"/>
          <w:rtl/>
        </w:rPr>
        <w:t xml:space="preserve">(א), </w:t>
      </w:r>
      <w:hyperlink r:id="rId8" w:history="1">
        <w:r w:rsidRPr="001955BF">
          <w:rPr>
            <w:rStyle w:val="Hyperlink"/>
            <w:rFonts w:ascii="FrankRuehl" w:hAnsi="FrankRuehl" w:cs="FrankRuehl"/>
            <w:u w:val="none"/>
            <w:rtl/>
          </w:rPr>
          <w:t>ג</w:t>
        </w:r>
      </w:hyperlink>
    </w:p>
    <w:p w14:paraId="78813384" w14:textId="77777777" w:rsidR="001955BF" w:rsidRPr="001955BF" w:rsidRDefault="001955BF" w:rsidP="001955BF">
      <w:pPr>
        <w:spacing w:before="120" w:after="120" w:line="240" w:lineRule="exact"/>
        <w:ind w:left="283" w:hanging="283"/>
        <w:jc w:val="both"/>
        <w:rPr>
          <w:rFonts w:ascii="FrankRuehl" w:hAnsi="FrankRuehl" w:cs="FrankRuehl"/>
          <w:color w:val="0000FF"/>
          <w:rtl/>
        </w:rPr>
      </w:pPr>
      <w:hyperlink r:id="rId9" w:history="1">
        <w:r w:rsidRPr="001955BF">
          <w:rPr>
            <w:rStyle w:val="Hyperlink"/>
            <w:rFonts w:ascii="FrankRuehl" w:hAnsi="FrankRuehl" w:cs="FrankRuehl"/>
            <w:u w:val="none"/>
            <w:rtl/>
          </w:rPr>
          <w:t>פקודת המבחן [נוסח חדש], תשכ"ט-1969</w:t>
        </w:r>
      </w:hyperlink>
      <w:r w:rsidRPr="001955BF">
        <w:rPr>
          <w:rFonts w:ascii="FrankRuehl" w:hAnsi="FrankRuehl" w:cs="FrankRuehl"/>
          <w:color w:val="0000FF"/>
          <w:rtl/>
        </w:rPr>
        <w:t xml:space="preserve">: סע'  </w:t>
      </w:r>
      <w:hyperlink r:id="rId10" w:history="1">
        <w:r w:rsidRPr="001955BF">
          <w:rPr>
            <w:rStyle w:val="Hyperlink"/>
            <w:rFonts w:ascii="FrankRuehl" w:hAnsi="FrankRuehl" w:cs="FrankRuehl"/>
            <w:u w:val="none"/>
          </w:rPr>
          <w:t>20</w:t>
        </w:r>
      </w:hyperlink>
      <w:r w:rsidRPr="001955BF">
        <w:rPr>
          <w:rFonts w:ascii="FrankRuehl" w:hAnsi="FrankRuehl" w:cs="FrankRuehl"/>
          <w:color w:val="0000FF"/>
          <w:rtl/>
        </w:rPr>
        <w:t>(4)</w:t>
      </w:r>
    </w:p>
    <w:p w14:paraId="0FA25467" w14:textId="77777777" w:rsidR="00265A0A" w:rsidRDefault="00265A0A" w:rsidP="001955BF">
      <w:pPr>
        <w:rPr>
          <w:rFonts w:ascii="Arial" w:hAnsi="Arial" w:hint="cs"/>
          <w:sz w:val="26"/>
          <w:szCs w:val="26"/>
          <w:rtl/>
        </w:rPr>
      </w:pPr>
      <w:bookmarkStart w:id="4" w:name="LawTable_End"/>
      <w:bookmarkEnd w:id="4"/>
    </w:p>
    <w:p w14:paraId="618CBA39" w14:textId="77777777" w:rsidR="001955BF" w:rsidRDefault="001955BF" w:rsidP="001955BF">
      <w:pPr>
        <w:rPr>
          <w:rFonts w:ascii="Arial" w:hAnsi="Arial" w:hint="cs"/>
          <w:sz w:val="26"/>
          <w:szCs w:val="26"/>
          <w:rtl/>
        </w:rPr>
      </w:pPr>
    </w:p>
    <w:p w14:paraId="6ED10F7F" w14:textId="77777777" w:rsidR="001955BF" w:rsidRPr="001955BF" w:rsidRDefault="001955BF" w:rsidP="001955BF">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65A0A" w14:paraId="508A9FBA" w14:textId="77777777" w:rsidTr="00265A0A">
        <w:trPr>
          <w:trHeight w:val="355"/>
          <w:jc w:val="center"/>
        </w:trPr>
        <w:tc>
          <w:tcPr>
            <w:tcW w:w="8820" w:type="dxa"/>
            <w:tcBorders>
              <w:top w:val="nil"/>
              <w:left w:val="nil"/>
              <w:bottom w:val="nil"/>
              <w:right w:val="nil"/>
            </w:tcBorders>
            <w:shd w:val="clear" w:color="auto" w:fill="auto"/>
          </w:tcPr>
          <w:p w14:paraId="654C5F77" w14:textId="77777777" w:rsidR="005B3EC6" w:rsidRPr="005B3EC6" w:rsidRDefault="005B3EC6" w:rsidP="005B3EC6">
            <w:pPr>
              <w:jc w:val="center"/>
              <w:rPr>
                <w:rFonts w:ascii="David" w:hAnsi="David"/>
                <w:b/>
                <w:bCs/>
                <w:sz w:val="32"/>
                <w:szCs w:val="32"/>
                <w:u w:val="single"/>
                <w:rtl/>
              </w:rPr>
            </w:pPr>
            <w:bookmarkStart w:id="5" w:name="PsakDin" w:colFirst="0" w:colLast="0"/>
            <w:bookmarkEnd w:id="0"/>
            <w:r w:rsidRPr="005B3EC6">
              <w:rPr>
                <w:rFonts w:ascii="David" w:hAnsi="David"/>
                <w:b/>
                <w:bCs/>
                <w:sz w:val="32"/>
                <w:szCs w:val="32"/>
                <w:u w:val="single"/>
                <w:rtl/>
              </w:rPr>
              <w:t>גזר דין</w:t>
            </w:r>
          </w:p>
          <w:p w14:paraId="3DF73A76" w14:textId="77777777" w:rsidR="00265A0A" w:rsidRPr="005B3EC6" w:rsidRDefault="00265A0A" w:rsidP="005B3EC6">
            <w:pPr>
              <w:jc w:val="center"/>
              <w:rPr>
                <w:rFonts w:ascii="David" w:hAnsi="David"/>
                <w:bCs/>
                <w:sz w:val="32"/>
                <w:szCs w:val="32"/>
                <w:u w:val="single"/>
                <w:rtl/>
              </w:rPr>
            </w:pPr>
          </w:p>
        </w:tc>
      </w:tr>
      <w:bookmarkEnd w:id="5"/>
    </w:tbl>
    <w:p w14:paraId="711E7AC2" w14:textId="77777777" w:rsidR="00265A0A" w:rsidRDefault="00265A0A" w:rsidP="00265A0A">
      <w:pPr>
        <w:rPr>
          <w:rFonts w:ascii="Arial" w:hAnsi="Arial"/>
          <w:b/>
          <w:bCs/>
          <w:sz w:val="26"/>
          <w:szCs w:val="26"/>
          <w:rtl/>
        </w:rPr>
      </w:pPr>
    </w:p>
    <w:p w14:paraId="39585CAA" w14:textId="77777777" w:rsidR="00265A0A" w:rsidRDefault="00265A0A" w:rsidP="00265A0A">
      <w:pPr>
        <w:rPr>
          <w:rFonts w:ascii="Arial" w:hAnsi="Arial"/>
          <w:b/>
          <w:bCs/>
          <w:sz w:val="26"/>
          <w:szCs w:val="26"/>
          <w:rtl/>
        </w:rPr>
      </w:pPr>
      <w:bookmarkStart w:id="6" w:name="ABSTRACT_START"/>
      <w:bookmarkEnd w:id="6"/>
    </w:p>
    <w:p w14:paraId="0DE7A6B9" w14:textId="77777777" w:rsidR="00265A0A" w:rsidRDefault="00265A0A" w:rsidP="00265A0A">
      <w:pPr>
        <w:spacing w:line="360" w:lineRule="auto"/>
        <w:ind w:left="720" w:hanging="720"/>
        <w:jc w:val="both"/>
        <w:rPr>
          <w:rFonts w:ascii="Arial" w:hAnsi="Arial"/>
          <w:sz w:val="26"/>
          <w:szCs w:val="26"/>
          <w:rtl/>
        </w:rPr>
      </w:pPr>
      <w:r>
        <w:rPr>
          <w:rFonts w:ascii="Arial" w:hAnsi="Arial" w:hint="cs"/>
          <w:sz w:val="26"/>
          <w:szCs w:val="26"/>
          <w:rtl/>
        </w:rPr>
        <w:t>1.</w:t>
      </w:r>
      <w:r>
        <w:rPr>
          <w:rFonts w:ascii="Arial" w:hAnsi="Arial" w:hint="cs"/>
          <w:sz w:val="26"/>
          <w:szCs w:val="26"/>
          <w:rtl/>
        </w:rPr>
        <w:tab/>
      </w:r>
      <w:r w:rsidRPr="0097389E">
        <w:rPr>
          <w:rFonts w:ascii="Arial" w:hAnsi="Arial" w:hint="cs"/>
          <w:sz w:val="26"/>
          <w:szCs w:val="26"/>
          <w:rtl/>
        </w:rPr>
        <w:t>ביום 06.02.2022 נידון הנאשם למאסר בפועל ש</w:t>
      </w:r>
      <w:r>
        <w:rPr>
          <w:rFonts w:ascii="Arial" w:hAnsi="Arial" w:hint="cs"/>
          <w:sz w:val="26"/>
          <w:szCs w:val="26"/>
          <w:rtl/>
        </w:rPr>
        <w:t>ל 9 חודשים לריצוי בעבודות שירות,</w:t>
      </w:r>
      <w:r w:rsidRPr="0097389E">
        <w:rPr>
          <w:rFonts w:ascii="Arial" w:hAnsi="Arial" w:hint="cs"/>
          <w:sz w:val="26"/>
          <w:szCs w:val="26"/>
          <w:rtl/>
        </w:rPr>
        <w:t xml:space="preserve"> מאסר על תנאי וצו מבחן למשך 18 חוד</w:t>
      </w:r>
      <w:r>
        <w:rPr>
          <w:rFonts w:ascii="Arial" w:hAnsi="Arial" w:hint="cs"/>
          <w:sz w:val="26"/>
          <w:szCs w:val="26"/>
          <w:rtl/>
        </w:rPr>
        <w:t>שים. זאת בגין עבירות בהן הורשע ש</w:t>
      </w:r>
      <w:r w:rsidRPr="0097389E">
        <w:rPr>
          <w:rFonts w:ascii="Arial" w:hAnsi="Arial" w:hint="cs"/>
          <w:sz w:val="26"/>
          <w:szCs w:val="26"/>
          <w:rtl/>
        </w:rPr>
        <w:t xml:space="preserve">ל </w:t>
      </w:r>
      <w:r>
        <w:rPr>
          <w:rFonts w:ascii="Arial" w:hAnsi="Arial" w:hint="cs"/>
          <w:sz w:val="26"/>
          <w:szCs w:val="26"/>
          <w:rtl/>
        </w:rPr>
        <w:t>החזקת סם מסוכן שלא לצריכה עצמית</w:t>
      </w:r>
      <w:r w:rsidRPr="0097389E">
        <w:rPr>
          <w:rFonts w:ascii="Arial" w:hAnsi="Arial" w:hint="cs"/>
          <w:sz w:val="26"/>
          <w:szCs w:val="26"/>
          <w:rtl/>
        </w:rPr>
        <w:t xml:space="preserve"> לפי </w:t>
      </w:r>
      <w:hyperlink r:id="rId11" w:history="1">
        <w:r w:rsidR="001955BF" w:rsidRPr="001955BF">
          <w:rPr>
            <w:rStyle w:val="Hyperlink"/>
            <w:rFonts w:ascii="Arial" w:hAnsi="Arial" w:hint="eastAsia"/>
            <w:color w:val="0000FF"/>
            <w:sz w:val="26"/>
            <w:szCs w:val="26"/>
            <w:rtl/>
          </w:rPr>
          <w:t>סעיף</w:t>
        </w:r>
        <w:r w:rsidR="001955BF" w:rsidRPr="001955BF">
          <w:rPr>
            <w:rStyle w:val="Hyperlink"/>
            <w:rFonts w:ascii="Arial" w:hAnsi="Arial"/>
            <w:color w:val="0000FF"/>
            <w:sz w:val="26"/>
            <w:szCs w:val="26"/>
            <w:rtl/>
          </w:rPr>
          <w:t xml:space="preserve"> 7(א)</w:t>
        </w:r>
      </w:hyperlink>
      <w:r w:rsidRPr="0097389E">
        <w:rPr>
          <w:rFonts w:ascii="Arial" w:hAnsi="Arial" w:hint="cs"/>
          <w:sz w:val="26"/>
          <w:szCs w:val="26"/>
          <w:rtl/>
        </w:rPr>
        <w:t xml:space="preserve"> + (</w:t>
      </w:r>
      <w:hyperlink r:id="rId12" w:history="1">
        <w:r w:rsidR="001955BF" w:rsidRPr="001955BF">
          <w:rPr>
            <w:rStyle w:val="Hyperlink"/>
            <w:rFonts w:ascii="Arial" w:hAnsi="Arial" w:hint="eastAsia"/>
            <w:color w:val="0000FF"/>
            <w:sz w:val="26"/>
            <w:szCs w:val="26"/>
            <w:rtl/>
          </w:rPr>
          <w:t>ג</w:t>
        </w:r>
      </w:hyperlink>
      <w:r w:rsidRPr="0097389E">
        <w:rPr>
          <w:rFonts w:ascii="Arial" w:hAnsi="Arial" w:hint="cs"/>
          <w:sz w:val="26"/>
          <w:szCs w:val="26"/>
          <w:rtl/>
        </w:rPr>
        <w:t>) רישא ל</w:t>
      </w:r>
      <w:hyperlink r:id="rId13" w:history="1">
        <w:r w:rsidR="005B3EC6" w:rsidRPr="005B3EC6">
          <w:rPr>
            <w:rFonts w:ascii="Arial" w:hAnsi="Arial"/>
            <w:color w:val="0000FF"/>
            <w:sz w:val="26"/>
            <w:szCs w:val="26"/>
            <w:u w:val="single"/>
            <w:rtl/>
          </w:rPr>
          <w:t>פקודת הסמים המסוכנים</w:t>
        </w:r>
      </w:hyperlink>
      <w:r w:rsidRPr="0097389E">
        <w:rPr>
          <w:rFonts w:ascii="Arial" w:hAnsi="Arial" w:hint="cs"/>
          <w:sz w:val="26"/>
          <w:szCs w:val="26"/>
          <w:rtl/>
        </w:rPr>
        <w:t xml:space="preserve"> [נוסח חדש] תשל"ג-1973. </w:t>
      </w:r>
    </w:p>
    <w:p w14:paraId="0AF3CD32" w14:textId="77777777" w:rsidR="00265A0A" w:rsidRDefault="00265A0A" w:rsidP="00265A0A">
      <w:pPr>
        <w:spacing w:line="360" w:lineRule="auto"/>
        <w:jc w:val="both"/>
        <w:rPr>
          <w:rFonts w:ascii="Arial" w:hAnsi="Arial"/>
          <w:sz w:val="26"/>
          <w:szCs w:val="26"/>
          <w:rtl/>
        </w:rPr>
      </w:pPr>
      <w:bookmarkStart w:id="7" w:name="ABSTRACT_END"/>
      <w:bookmarkEnd w:id="7"/>
    </w:p>
    <w:p w14:paraId="46139D4D" w14:textId="77777777" w:rsidR="00265A0A" w:rsidRPr="0097389E" w:rsidRDefault="00265A0A" w:rsidP="00265A0A">
      <w:pPr>
        <w:spacing w:line="360" w:lineRule="auto"/>
        <w:ind w:left="720"/>
        <w:jc w:val="both"/>
        <w:rPr>
          <w:rFonts w:ascii="Arial" w:hAnsi="Arial"/>
          <w:sz w:val="26"/>
          <w:szCs w:val="26"/>
          <w:rtl/>
        </w:rPr>
      </w:pPr>
      <w:r>
        <w:rPr>
          <w:rFonts w:ascii="Arial" w:hAnsi="Arial" w:hint="cs"/>
          <w:sz w:val="26"/>
          <w:szCs w:val="26"/>
          <w:rtl/>
        </w:rPr>
        <w:t xml:space="preserve">בהמשך, לאחר שהנאשם הפסיק לשתף פעולה הוגשה בקשה על ידי שירות המבחן לדון מחדש בצו המבחן. </w:t>
      </w:r>
    </w:p>
    <w:p w14:paraId="79867E44" w14:textId="77777777" w:rsidR="00265A0A" w:rsidRPr="0097389E" w:rsidRDefault="00265A0A" w:rsidP="00265A0A">
      <w:pPr>
        <w:spacing w:line="360" w:lineRule="auto"/>
        <w:jc w:val="both"/>
        <w:rPr>
          <w:rFonts w:ascii="Arial" w:hAnsi="Arial"/>
          <w:sz w:val="26"/>
          <w:szCs w:val="26"/>
          <w:rtl/>
        </w:rPr>
      </w:pPr>
    </w:p>
    <w:p w14:paraId="37A6FB1A" w14:textId="77777777" w:rsidR="00265A0A" w:rsidRDefault="00265A0A" w:rsidP="00265A0A">
      <w:pPr>
        <w:spacing w:line="360" w:lineRule="auto"/>
        <w:jc w:val="both"/>
        <w:rPr>
          <w:rFonts w:ascii="Arial" w:hAnsi="Arial"/>
          <w:b/>
          <w:bCs/>
          <w:sz w:val="26"/>
          <w:szCs w:val="26"/>
          <w:rtl/>
        </w:rPr>
      </w:pPr>
      <w:r>
        <w:rPr>
          <w:rFonts w:ascii="Arial" w:hAnsi="Arial" w:hint="cs"/>
          <w:b/>
          <w:bCs/>
          <w:sz w:val="26"/>
          <w:szCs w:val="26"/>
          <w:u w:val="single"/>
          <w:rtl/>
        </w:rPr>
        <w:t>עמדת</w:t>
      </w:r>
      <w:r w:rsidRPr="0097389E">
        <w:rPr>
          <w:rFonts w:ascii="Arial" w:hAnsi="Arial" w:hint="cs"/>
          <w:b/>
          <w:bCs/>
          <w:sz w:val="26"/>
          <w:szCs w:val="26"/>
          <w:u w:val="single"/>
          <w:rtl/>
        </w:rPr>
        <w:t xml:space="preserve"> </w:t>
      </w:r>
      <w:r>
        <w:rPr>
          <w:rFonts w:ascii="Arial" w:hAnsi="Arial" w:hint="cs"/>
          <w:b/>
          <w:bCs/>
          <w:sz w:val="26"/>
          <w:szCs w:val="26"/>
          <w:u w:val="single"/>
          <w:rtl/>
        </w:rPr>
        <w:t>המדינה</w:t>
      </w:r>
      <w:r>
        <w:rPr>
          <w:rFonts w:ascii="Arial" w:hAnsi="Arial" w:hint="cs"/>
          <w:b/>
          <w:bCs/>
          <w:sz w:val="26"/>
          <w:szCs w:val="26"/>
          <w:rtl/>
        </w:rPr>
        <w:t>:</w:t>
      </w:r>
    </w:p>
    <w:p w14:paraId="1BFBECCA" w14:textId="77777777" w:rsidR="00265A0A" w:rsidRPr="007318ED" w:rsidRDefault="00265A0A" w:rsidP="00265A0A">
      <w:pPr>
        <w:spacing w:line="360" w:lineRule="auto"/>
        <w:jc w:val="both"/>
        <w:rPr>
          <w:rFonts w:ascii="Arial" w:hAnsi="Arial"/>
          <w:b/>
          <w:bCs/>
          <w:sz w:val="26"/>
          <w:szCs w:val="26"/>
          <w:rtl/>
        </w:rPr>
      </w:pPr>
    </w:p>
    <w:p w14:paraId="2AB7BAC8" w14:textId="77777777" w:rsidR="00265A0A" w:rsidRDefault="00265A0A" w:rsidP="00265A0A">
      <w:pPr>
        <w:spacing w:line="360" w:lineRule="auto"/>
        <w:ind w:left="720" w:hanging="720"/>
        <w:jc w:val="both"/>
        <w:rPr>
          <w:rFonts w:ascii="Arial" w:hAnsi="Arial"/>
          <w:sz w:val="26"/>
          <w:szCs w:val="26"/>
          <w:rtl/>
        </w:rPr>
      </w:pPr>
      <w:r>
        <w:rPr>
          <w:rFonts w:ascii="Arial" w:hAnsi="Arial" w:hint="cs"/>
          <w:sz w:val="26"/>
          <w:szCs w:val="26"/>
          <w:rtl/>
        </w:rPr>
        <w:lastRenderedPageBreak/>
        <w:t>2.</w:t>
      </w:r>
      <w:r>
        <w:rPr>
          <w:rFonts w:ascii="Arial" w:hAnsi="Arial" w:hint="cs"/>
          <w:sz w:val="26"/>
          <w:szCs w:val="26"/>
          <w:rtl/>
        </w:rPr>
        <w:tab/>
        <w:t>המדינה טענה שהבקשה הראשונה של שירות המבחן לדון מחדש בצו המבחן הוגשה בספטמבר 2022, ומאז למשך שנה שלמה הנאשם התחמק מהתייצבות לדיונים ובהמשך אשתו הגיעה לבית המשפט והעניין התעכב תקופה נוספת כתוצאה מבעיות הקשורות לייצוג כאשר בפועל הדיון המהותי הראשון בבקשה התקיים בספטמבר 2023. הודגש שבאותה שנה, בין ספטמבר 2022 לספטמבר 2023, הנאשם כשל בביצוע העונש של עבודות השירות והוא ביצע 34 ימים בלבד מתוך 9 חודשים שהוטלו עליו. ההתייצבות שלו לריצוי עבודות שירות הייתה לא סדירה, עד שבסופו של דבר ב-28.02.2023, חמישה חודשים לאחר בקשת שירות המבחן, הוחלט להפקיע את עבודות השירות וניתנה החלטה שהנאשם ירצה את יתרת העונש במאסר של ממש. אז הוא ריצה את יתרת עונשו מפברואר ועד אוקטובר 2023.</w:t>
      </w:r>
    </w:p>
    <w:p w14:paraId="65854360" w14:textId="77777777" w:rsidR="00265A0A" w:rsidRDefault="00265A0A" w:rsidP="00265A0A">
      <w:pPr>
        <w:spacing w:line="360" w:lineRule="auto"/>
        <w:jc w:val="both"/>
        <w:rPr>
          <w:rFonts w:ascii="Arial" w:hAnsi="Arial"/>
          <w:sz w:val="26"/>
          <w:szCs w:val="26"/>
          <w:rtl/>
        </w:rPr>
      </w:pPr>
    </w:p>
    <w:p w14:paraId="4476A6F8" w14:textId="77777777" w:rsidR="00265A0A" w:rsidRDefault="00265A0A" w:rsidP="00265A0A">
      <w:pPr>
        <w:spacing w:line="360" w:lineRule="auto"/>
        <w:ind w:left="720" w:hanging="720"/>
        <w:jc w:val="both"/>
        <w:rPr>
          <w:rFonts w:ascii="Arial" w:hAnsi="Arial"/>
          <w:sz w:val="26"/>
          <w:szCs w:val="26"/>
          <w:rtl/>
        </w:rPr>
      </w:pPr>
      <w:r>
        <w:rPr>
          <w:rFonts w:ascii="Arial" w:hAnsi="Arial" w:hint="cs"/>
          <w:sz w:val="26"/>
          <w:szCs w:val="26"/>
          <w:rtl/>
        </w:rPr>
        <w:t>3.</w:t>
      </w:r>
      <w:r>
        <w:rPr>
          <w:rFonts w:ascii="Arial" w:hAnsi="Arial" w:hint="cs"/>
          <w:sz w:val="26"/>
          <w:szCs w:val="26"/>
          <w:rtl/>
        </w:rPr>
        <w:tab/>
        <w:t xml:space="preserve">נטען שהשאלה המונחת בפני בית המשפט כעת הינה כיצד לנהוג בצו מבחן שבאופן אמיתי לא קוים והסתיים באוקטובר 2023. בקשת המדינה הינה שייגזר על הנאשם עונש נוסף בהתאם </w:t>
      </w:r>
      <w:hyperlink r:id="rId14" w:history="1">
        <w:r w:rsidR="001955BF" w:rsidRPr="001955BF">
          <w:rPr>
            <w:rStyle w:val="Hyperlink"/>
            <w:rFonts w:ascii="Arial" w:hAnsi="Arial" w:hint="eastAsia"/>
            <w:color w:val="0000FF"/>
            <w:sz w:val="26"/>
            <w:szCs w:val="26"/>
            <w:rtl/>
          </w:rPr>
          <w:t>לסעיף</w:t>
        </w:r>
        <w:r w:rsidR="001955BF" w:rsidRPr="001955BF">
          <w:rPr>
            <w:rStyle w:val="Hyperlink"/>
            <w:rFonts w:ascii="Arial" w:hAnsi="Arial"/>
            <w:color w:val="0000FF"/>
            <w:sz w:val="26"/>
            <w:szCs w:val="26"/>
            <w:rtl/>
          </w:rPr>
          <w:t xml:space="preserve"> 20(4)</w:t>
        </w:r>
      </w:hyperlink>
      <w:r>
        <w:rPr>
          <w:rFonts w:ascii="Arial" w:hAnsi="Arial" w:hint="cs"/>
          <w:sz w:val="26"/>
          <w:szCs w:val="26"/>
          <w:rtl/>
        </w:rPr>
        <w:t xml:space="preserve"> ל</w:t>
      </w:r>
      <w:hyperlink r:id="rId15" w:history="1">
        <w:r w:rsidR="005B3EC6" w:rsidRPr="005B3EC6">
          <w:rPr>
            <w:rFonts w:ascii="Arial" w:hAnsi="Arial"/>
            <w:color w:val="0000FF"/>
            <w:sz w:val="26"/>
            <w:szCs w:val="26"/>
            <w:u w:val="single"/>
            <w:rtl/>
          </w:rPr>
          <w:t>פקודת המבחן</w:t>
        </w:r>
      </w:hyperlink>
      <w:r>
        <w:rPr>
          <w:rFonts w:ascii="Arial" w:hAnsi="Arial" w:hint="cs"/>
          <w:sz w:val="26"/>
          <w:szCs w:val="26"/>
          <w:rtl/>
        </w:rPr>
        <w:t xml:space="preserve">. נטען שהרציונל שעמד בפני בית המשפט בעת גזירת הדין שהוביל לסטייה ניכרת ממתחם הענישה בעת שנקבע מתחם ענישה של 4-6 שנות מאסר היה שהנאשם נמצא בתוך הליך שיקומי שבית המשפט ראה אותו כמשמעותי. </w:t>
      </w:r>
    </w:p>
    <w:p w14:paraId="16F063EB" w14:textId="77777777" w:rsidR="00265A0A" w:rsidRDefault="00265A0A" w:rsidP="00265A0A">
      <w:pPr>
        <w:spacing w:line="360" w:lineRule="auto"/>
        <w:jc w:val="both"/>
        <w:rPr>
          <w:rFonts w:ascii="Arial" w:hAnsi="Arial"/>
          <w:sz w:val="26"/>
          <w:szCs w:val="26"/>
          <w:rtl/>
        </w:rPr>
      </w:pPr>
    </w:p>
    <w:p w14:paraId="1F35F076" w14:textId="77777777" w:rsidR="00265A0A" w:rsidRDefault="00265A0A" w:rsidP="00265A0A">
      <w:pPr>
        <w:spacing w:line="360" w:lineRule="auto"/>
        <w:ind w:left="720" w:hanging="720"/>
        <w:jc w:val="both"/>
        <w:rPr>
          <w:rFonts w:ascii="Arial" w:hAnsi="Arial"/>
          <w:sz w:val="26"/>
          <w:szCs w:val="26"/>
          <w:rtl/>
        </w:rPr>
      </w:pPr>
      <w:r>
        <w:rPr>
          <w:rFonts w:ascii="Arial" w:hAnsi="Arial" w:hint="cs"/>
          <w:sz w:val="26"/>
          <w:szCs w:val="26"/>
          <w:rtl/>
        </w:rPr>
        <w:t>4.</w:t>
      </w:r>
      <w:r>
        <w:rPr>
          <w:rFonts w:ascii="Arial" w:hAnsi="Arial" w:hint="cs"/>
          <w:sz w:val="26"/>
          <w:szCs w:val="26"/>
          <w:rtl/>
        </w:rPr>
        <w:tab/>
        <w:t xml:space="preserve">נטען שמאז גזר הדין הנאשם הוריד לטמיון את ההליך השיקומי והפר בצורה בוטה את האמון שניתן בו. לא רק שלא ביצע את עבודות השירות אלא הוא חזר להשתמש בסמים וחזר לבצע מניפולציות בפני גורמי הטיפול. נטען שמאז ספטמבר 2023 עת שוחרר ממאסר עשה מספר צעדים שנראים לכאורה כחזרה לכיוון השיקומי, אך המדינה טענה שמדובר בצעדים לכאוריים בלבד על רקע ניסיון העבר. </w:t>
      </w:r>
    </w:p>
    <w:p w14:paraId="73569A48" w14:textId="77777777" w:rsidR="00265A0A" w:rsidRDefault="00265A0A" w:rsidP="00265A0A">
      <w:pPr>
        <w:spacing w:line="360" w:lineRule="auto"/>
        <w:jc w:val="both"/>
        <w:rPr>
          <w:rFonts w:ascii="Arial" w:hAnsi="Arial"/>
          <w:sz w:val="26"/>
          <w:szCs w:val="26"/>
          <w:rtl/>
        </w:rPr>
      </w:pPr>
    </w:p>
    <w:p w14:paraId="5C69BDEE" w14:textId="77777777" w:rsidR="00265A0A" w:rsidRDefault="00265A0A" w:rsidP="00265A0A">
      <w:pPr>
        <w:spacing w:line="360" w:lineRule="auto"/>
        <w:ind w:left="720" w:hanging="720"/>
        <w:jc w:val="both"/>
        <w:rPr>
          <w:rFonts w:ascii="Arial" w:hAnsi="Arial"/>
          <w:sz w:val="26"/>
          <w:szCs w:val="26"/>
          <w:rtl/>
        </w:rPr>
      </w:pPr>
      <w:r>
        <w:rPr>
          <w:rFonts w:ascii="Arial" w:hAnsi="Arial" w:hint="cs"/>
          <w:sz w:val="26"/>
          <w:szCs w:val="26"/>
          <w:rtl/>
        </w:rPr>
        <w:t>5.</w:t>
      </w:r>
      <w:r>
        <w:rPr>
          <w:rFonts w:ascii="Arial" w:hAnsi="Arial" w:hint="cs"/>
          <w:sz w:val="26"/>
          <w:szCs w:val="26"/>
          <w:rtl/>
        </w:rPr>
        <w:tab/>
        <w:t xml:space="preserve">נטען שבתסקיר האחרון מחודש ינואר שירות המבחן ציין שהנאשם אינו מעוניין בהמשך קשר טיפולי וחושב שהוא מסוגל להצליח בהליך גמילה בכוחות עצמו. נטען שחוסר הרצון שלו בפיקוח מהווה נקודה מרכזית שלדעת המדינה מצביעה על כך שההליך אינו בר סיכויים טובים להצליח ללא פיקוח מחייב. נטען ששירות המבחן לא הביע עמדה או המלצה להמשך טיפול. נטען שעצם הבקשה של הנאשם שאינו מעוניין בהמשך הקשר עם שירות המבחן מעידה שכוונותיו אינן כנות. נטען שאם בית המשפט יקבל את גישת שירות המבחן ויסיים את הדיון בכך שאין על הנאשם שום פיקוח או מגבלות או שום חרב מעל ראשו הוא יראה את עצמו חופשי ומשוחרר מכל ההליכים ולא יהיה אפשרות לעשות כלפיו צעדי אכיפה כלשהו. נטען שלאור </w:t>
      </w:r>
      <w:r>
        <w:rPr>
          <w:rFonts w:ascii="Arial" w:hAnsi="Arial" w:hint="cs"/>
          <w:sz w:val="26"/>
          <w:szCs w:val="26"/>
          <w:rtl/>
        </w:rPr>
        <w:lastRenderedPageBreak/>
        <w:t xml:space="preserve">השתלשלות העניינים עד כה הדבר אינו רצוי ומעלה חשש שיוביל לנזק לנאשם עצמו ולהישנות מעשה עבירה. </w:t>
      </w:r>
    </w:p>
    <w:p w14:paraId="5FA84460" w14:textId="77777777" w:rsidR="00265A0A" w:rsidRDefault="00265A0A" w:rsidP="00265A0A">
      <w:pPr>
        <w:spacing w:line="360" w:lineRule="auto"/>
        <w:jc w:val="both"/>
        <w:rPr>
          <w:rFonts w:ascii="Arial" w:hAnsi="Arial"/>
          <w:sz w:val="26"/>
          <w:szCs w:val="26"/>
          <w:rtl/>
        </w:rPr>
      </w:pPr>
    </w:p>
    <w:p w14:paraId="55540CD0" w14:textId="77777777" w:rsidR="00265A0A" w:rsidRDefault="00265A0A" w:rsidP="00265A0A">
      <w:pPr>
        <w:spacing w:line="360" w:lineRule="auto"/>
        <w:ind w:left="720" w:hanging="720"/>
        <w:jc w:val="both"/>
        <w:rPr>
          <w:rFonts w:ascii="Arial" w:hAnsi="Arial"/>
          <w:sz w:val="26"/>
          <w:szCs w:val="26"/>
          <w:rtl/>
        </w:rPr>
      </w:pPr>
      <w:r>
        <w:rPr>
          <w:rFonts w:ascii="Arial" w:hAnsi="Arial" w:hint="cs"/>
          <w:sz w:val="26"/>
          <w:szCs w:val="26"/>
          <w:rtl/>
        </w:rPr>
        <w:t>6.</w:t>
      </w:r>
      <w:r>
        <w:rPr>
          <w:rFonts w:ascii="Arial" w:hAnsi="Arial" w:hint="cs"/>
          <w:sz w:val="26"/>
          <w:szCs w:val="26"/>
          <w:rtl/>
        </w:rPr>
        <w:tab/>
        <w:t xml:space="preserve">נטען שישנן שלוש אפשרויות: (1) שחרור הנאשם מכל מחויבות להליך של קשר טיפולי, (2) הארכת צו המבחן שאינו ישים כיוון שאין הסכמת הנאשם, או (3) הטלת עונש. לטענת המדינה הכיוון האפקטיבי היחיד הינו לגזור את עונשו של הנאשם מחדש ולהטיל עליו עונש מאסר בהתאם למתחם שנקבע בגזר הדין מאחר שהסטייה לקולא כשלה בשל התנהגותו. נטען שיש להתחשב בכך שהוא ריצה עונש מאסר של 9 חודשים עד כה. </w:t>
      </w:r>
    </w:p>
    <w:p w14:paraId="147C5DA8" w14:textId="77777777" w:rsidR="00265A0A" w:rsidRDefault="00265A0A" w:rsidP="00265A0A">
      <w:pPr>
        <w:spacing w:line="360" w:lineRule="auto"/>
        <w:jc w:val="both"/>
        <w:rPr>
          <w:rFonts w:ascii="Arial" w:hAnsi="Arial"/>
          <w:sz w:val="26"/>
          <w:szCs w:val="26"/>
          <w:rtl/>
        </w:rPr>
      </w:pPr>
    </w:p>
    <w:p w14:paraId="0221C48F" w14:textId="77777777" w:rsidR="00265A0A" w:rsidRDefault="00265A0A" w:rsidP="00265A0A">
      <w:pPr>
        <w:spacing w:line="360" w:lineRule="auto"/>
        <w:jc w:val="both"/>
        <w:rPr>
          <w:rFonts w:ascii="Arial" w:hAnsi="Arial"/>
          <w:b/>
          <w:bCs/>
          <w:sz w:val="26"/>
          <w:szCs w:val="26"/>
          <w:u w:val="single"/>
          <w:rtl/>
        </w:rPr>
      </w:pPr>
      <w:r w:rsidRPr="006F4A3F">
        <w:rPr>
          <w:rFonts w:ascii="Arial" w:hAnsi="Arial" w:hint="cs"/>
          <w:b/>
          <w:bCs/>
          <w:sz w:val="26"/>
          <w:szCs w:val="26"/>
          <w:u w:val="single"/>
          <w:rtl/>
        </w:rPr>
        <w:t>עמדת ההגנה</w:t>
      </w:r>
    </w:p>
    <w:p w14:paraId="647E6336" w14:textId="77777777" w:rsidR="00265A0A" w:rsidRPr="006F4A3F" w:rsidRDefault="00265A0A" w:rsidP="00265A0A">
      <w:pPr>
        <w:spacing w:line="360" w:lineRule="auto"/>
        <w:jc w:val="both"/>
        <w:rPr>
          <w:rFonts w:ascii="Arial" w:hAnsi="Arial"/>
          <w:b/>
          <w:bCs/>
          <w:sz w:val="26"/>
          <w:szCs w:val="26"/>
          <w:u w:val="single"/>
          <w:rtl/>
        </w:rPr>
      </w:pPr>
    </w:p>
    <w:p w14:paraId="5FB0F079" w14:textId="77777777" w:rsidR="00265A0A" w:rsidRDefault="00265A0A" w:rsidP="00265A0A">
      <w:pPr>
        <w:spacing w:line="360" w:lineRule="auto"/>
        <w:ind w:left="720" w:hanging="720"/>
        <w:jc w:val="both"/>
        <w:rPr>
          <w:rFonts w:ascii="Arial" w:hAnsi="Arial"/>
          <w:sz w:val="26"/>
          <w:szCs w:val="26"/>
          <w:rtl/>
        </w:rPr>
      </w:pPr>
      <w:r>
        <w:rPr>
          <w:rFonts w:ascii="Arial" w:hAnsi="Arial" w:hint="cs"/>
          <w:sz w:val="26"/>
          <w:szCs w:val="26"/>
          <w:rtl/>
        </w:rPr>
        <w:t>7.</w:t>
      </w:r>
      <w:r>
        <w:rPr>
          <w:rFonts w:ascii="Arial" w:hAnsi="Arial" w:hint="cs"/>
          <w:sz w:val="26"/>
          <w:szCs w:val="26"/>
          <w:rtl/>
        </w:rPr>
        <w:tab/>
        <w:t xml:space="preserve">ב"כ הנאשם טען שאין לנאשם שום בעיה להיות בקשר עם שירות המבחן ושאין מקום להפקיע צו מבחן כאשר שירות המבחן לא מבקש להפקיע את המבחן אלא ביקשו רק להבטיח  שהנאשם ילך לטיפול. </w:t>
      </w:r>
    </w:p>
    <w:p w14:paraId="22064B58" w14:textId="77777777" w:rsidR="00265A0A" w:rsidRDefault="00265A0A" w:rsidP="00265A0A">
      <w:pPr>
        <w:spacing w:line="360" w:lineRule="auto"/>
        <w:jc w:val="both"/>
        <w:rPr>
          <w:rFonts w:ascii="Arial" w:hAnsi="Arial"/>
          <w:sz w:val="26"/>
          <w:szCs w:val="26"/>
          <w:rtl/>
        </w:rPr>
      </w:pPr>
    </w:p>
    <w:p w14:paraId="66852C55" w14:textId="77777777" w:rsidR="00265A0A" w:rsidRPr="006F4A3F" w:rsidRDefault="00265A0A" w:rsidP="00265A0A">
      <w:pPr>
        <w:spacing w:line="360" w:lineRule="auto"/>
        <w:ind w:left="720" w:hanging="720"/>
        <w:jc w:val="both"/>
        <w:rPr>
          <w:rFonts w:ascii="Arial" w:hAnsi="Arial"/>
          <w:sz w:val="26"/>
          <w:szCs w:val="26"/>
          <w:rtl/>
        </w:rPr>
      </w:pPr>
      <w:r>
        <w:rPr>
          <w:rFonts w:ascii="Arial" w:hAnsi="Arial" w:hint="cs"/>
          <w:sz w:val="26"/>
          <w:szCs w:val="26"/>
          <w:rtl/>
        </w:rPr>
        <w:t>8.</w:t>
      </w:r>
      <w:r>
        <w:rPr>
          <w:rFonts w:ascii="Arial" w:hAnsi="Arial" w:hint="cs"/>
          <w:sz w:val="26"/>
          <w:szCs w:val="26"/>
          <w:rtl/>
        </w:rPr>
        <w:tab/>
        <w:t xml:space="preserve">ב"כ הנאשם טען שהנאשם היה תקופה ארוכה תחת פיקוח שירות המבחן. נטען שהוסבר לנאשם בסופו של עניין שהוא חייב להשתלב בטיפול דרך שירות המבחן. נטען שבסופו של עניין הנאשם ביקש להשתלב בצו מבחן ואינו יודע מדוע הוחלט מה שהוחלט אצל שירות המבחן. נטען שהנאשם עבר טיפול תקופה ארוכה, אשתו נמצאת בהריון והוא חי מקצבת נכות כאשר יש לו עיוורון בעין אחת וגם יש לו ילד נכה. נטען שהנאשם משולב עד היום בתוכנית </w:t>
      </w:r>
      <w:r>
        <w:rPr>
          <w:rFonts w:ascii="Arial" w:hAnsi="Arial" w:hint="cs"/>
          <w:sz w:val="26"/>
          <w:szCs w:val="26"/>
        </w:rPr>
        <w:t>NA</w:t>
      </w:r>
      <w:r>
        <w:rPr>
          <w:rFonts w:ascii="Arial" w:hAnsi="Arial" w:hint="cs"/>
          <w:sz w:val="26"/>
          <w:szCs w:val="26"/>
          <w:rtl/>
        </w:rPr>
        <w:t xml:space="preserve"> והתבקש שהוא ישולב בצו מבחן. נטען שהנאשם ישב במעצר מספר חודשים וגם עשה עבודות שירות חודש וחצי. התבקש לתת לו הזדמנות אחרונה למצוא מסגרת.</w:t>
      </w:r>
    </w:p>
    <w:p w14:paraId="1E02B004" w14:textId="77777777" w:rsidR="00265A0A" w:rsidRDefault="00265A0A" w:rsidP="00265A0A">
      <w:pPr>
        <w:spacing w:line="360" w:lineRule="auto"/>
        <w:jc w:val="both"/>
        <w:rPr>
          <w:rFonts w:ascii="Arial" w:hAnsi="Arial"/>
          <w:sz w:val="26"/>
          <w:szCs w:val="26"/>
          <w:rtl/>
        </w:rPr>
      </w:pPr>
    </w:p>
    <w:p w14:paraId="68275BF2" w14:textId="77777777" w:rsidR="00265A0A" w:rsidRDefault="00265A0A" w:rsidP="00265A0A">
      <w:pPr>
        <w:tabs>
          <w:tab w:val="left" w:pos="2407"/>
        </w:tabs>
        <w:spacing w:line="360" w:lineRule="auto"/>
        <w:jc w:val="both"/>
        <w:rPr>
          <w:rFonts w:ascii="Arial" w:hAnsi="Arial"/>
          <w:b/>
          <w:bCs/>
          <w:sz w:val="26"/>
          <w:szCs w:val="26"/>
          <w:u w:val="single"/>
          <w:rtl/>
        </w:rPr>
      </w:pPr>
      <w:r>
        <w:rPr>
          <w:rFonts w:ascii="Arial" w:hAnsi="Arial" w:hint="cs"/>
          <w:b/>
          <w:bCs/>
          <w:sz w:val="26"/>
          <w:szCs w:val="26"/>
          <w:u w:val="single"/>
          <w:rtl/>
        </w:rPr>
        <w:t>עמדת</w:t>
      </w:r>
      <w:r w:rsidRPr="00B30F27">
        <w:rPr>
          <w:rFonts w:ascii="Arial" w:hAnsi="Arial" w:hint="cs"/>
          <w:b/>
          <w:bCs/>
          <w:sz w:val="26"/>
          <w:szCs w:val="26"/>
          <w:u w:val="single"/>
          <w:rtl/>
        </w:rPr>
        <w:t xml:space="preserve"> שירות המבחן</w:t>
      </w:r>
    </w:p>
    <w:p w14:paraId="48FF5297" w14:textId="77777777" w:rsidR="00265A0A" w:rsidRPr="00B30F27" w:rsidRDefault="00265A0A" w:rsidP="00265A0A">
      <w:pPr>
        <w:tabs>
          <w:tab w:val="left" w:pos="2407"/>
        </w:tabs>
        <w:spacing w:line="360" w:lineRule="auto"/>
        <w:jc w:val="both"/>
        <w:rPr>
          <w:rFonts w:ascii="Arial" w:hAnsi="Arial"/>
          <w:b/>
          <w:bCs/>
          <w:sz w:val="26"/>
          <w:szCs w:val="26"/>
          <w:u w:val="single"/>
          <w:rtl/>
        </w:rPr>
      </w:pPr>
    </w:p>
    <w:p w14:paraId="0610587B" w14:textId="77777777" w:rsidR="00265A0A" w:rsidRDefault="00265A0A" w:rsidP="00265A0A">
      <w:pPr>
        <w:spacing w:line="360" w:lineRule="auto"/>
        <w:ind w:left="720" w:hanging="720"/>
        <w:jc w:val="both"/>
        <w:rPr>
          <w:rFonts w:ascii="Arial" w:hAnsi="Arial"/>
          <w:sz w:val="26"/>
          <w:szCs w:val="26"/>
          <w:rtl/>
        </w:rPr>
      </w:pPr>
      <w:r>
        <w:rPr>
          <w:rFonts w:ascii="Arial" w:hAnsi="Arial" w:hint="cs"/>
          <w:sz w:val="26"/>
          <w:szCs w:val="26"/>
          <w:rtl/>
        </w:rPr>
        <w:t>9.</w:t>
      </w:r>
      <w:r>
        <w:rPr>
          <w:rFonts w:ascii="Arial" w:hAnsi="Arial" w:hint="cs"/>
          <w:sz w:val="26"/>
          <w:szCs w:val="26"/>
          <w:rtl/>
        </w:rPr>
        <w:tab/>
        <w:t xml:space="preserve">בתסקיר מיום 18.01.2024 הוזכר שתואר בתסקיר הקודם הקשיים של הנאשם לשתף פעולה במסגרת צו המבחן הן עם שירות המבחן והן עם במסגרת טיפול בה שולב ביחידת ההתמכרויות בחיפה. תוארו ניסיונותיו להתחמק מבדיקות. הוזכר שבעקבות זאת הוגש תסקיר נוסף בניסיון לגייסו מחדש להליך הטיפול וצו המבחן המקורי הסתיים באוגוסט 2023. בהמשך תואר העדר שיתוף פעולה מצד הנאשם אך צוין שהוא פנה לתוכנית גמילה פיזית במסגרת בית חם. הוא עבר תהליך גמילה פיזית ובהמשך השתתף בקבוצות טיפוליות. בהמשך התקשה להמשיך בטיפול ולבצע עבודות שירות. הוא נעצר למשך 5 וחצי חודשים כאשר השתחרר בחודש אוקטובר 2023. בהמשך נמסרו דיווחים נוספים אודות מצבו והליכים טיפולים שננקטו כלפיו. שירות המבחן התרשם בסופו של דבר כי הנאשם מבטא כיום אחריות ורצינות בקשר לטיפול ומבטא נכונות להשתלבות להליך טיפולי ארוך טווח. עם זאת צוין שהנאשם אינו מעוניין בהארכת צו המבחן או המשך פיקוח, ומעדיף להמשיך טיפול באופן עצמאי. </w:t>
      </w:r>
    </w:p>
    <w:p w14:paraId="3C1F1032" w14:textId="77777777" w:rsidR="00265A0A" w:rsidRDefault="00265A0A" w:rsidP="00265A0A">
      <w:pPr>
        <w:spacing w:line="360" w:lineRule="auto"/>
        <w:jc w:val="both"/>
        <w:rPr>
          <w:rFonts w:ascii="Arial" w:hAnsi="Arial"/>
          <w:sz w:val="26"/>
          <w:szCs w:val="26"/>
          <w:rtl/>
        </w:rPr>
      </w:pPr>
    </w:p>
    <w:p w14:paraId="0EBD19C5" w14:textId="77777777" w:rsidR="00265A0A" w:rsidRDefault="00265A0A" w:rsidP="00265A0A">
      <w:pPr>
        <w:spacing w:line="360" w:lineRule="auto"/>
        <w:jc w:val="both"/>
        <w:rPr>
          <w:rFonts w:ascii="Arial" w:hAnsi="Arial"/>
          <w:b/>
          <w:bCs/>
          <w:sz w:val="26"/>
          <w:szCs w:val="26"/>
          <w:u w:val="single"/>
          <w:rtl/>
        </w:rPr>
      </w:pPr>
      <w:r w:rsidRPr="00910AD5">
        <w:rPr>
          <w:rFonts w:ascii="Arial" w:hAnsi="Arial" w:hint="cs"/>
          <w:b/>
          <w:bCs/>
          <w:sz w:val="26"/>
          <w:szCs w:val="26"/>
          <w:u w:val="single"/>
          <w:rtl/>
        </w:rPr>
        <w:t>דיון</w:t>
      </w:r>
    </w:p>
    <w:p w14:paraId="0792589C" w14:textId="77777777" w:rsidR="00265A0A" w:rsidRDefault="00265A0A" w:rsidP="00265A0A">
      <w:pPr>
        <w:spacing w:line="360" w:lineRule="auto"/>
        <w:jc w:val="both"/>
        <w:rPr>
          <w:rFonts w:ascii="Arial" w:hAnsi="Arial"/>
          <w:b/>
          <w:bCs/>
          <w:sz w:val="26"/>
          <w:szCs w:val="26"/>
          <w:u w:val="single"/>
          <w:rtl/>
        </w:rPr>
      </w:pPr>
    </w:p>
    <w:p w14:paraId="145E1B70" w14:textId="77777777" w:rsidR="00265A0A" w:rsidRDefault="00265A0A" w:rsidP="00265A0A">
      <w:pPr>
        <w:spacing w:line="360" w:lineRule="auto"/>
        <w:ind w:left="720" w:hanging="720"/>
        <w:jc w:val="both"/>
        <w:rPr>
          <w:rFonts w:ascii="Arial" w:hAnsi="Arial"/>
          <w:sz w:val="26"/>
          <w:szCs w:val="26"/>
          <w:rtl/>
        </w:rPr>
      </w:pPr>
      <w:r>
        <w:rPr>
          <w:rFonts w:ascii="Arial" w:hAnsi="Arial" w:hint="cs"/>
          <w:sz w:val="26"/>
          <w:szCs w:val="26"/>
          <w:rtl/>
        </w:rPr>
        <w:t>10.</w:t>
      </w:r>
      <w:r>
        <w:rPr>
          <w:rFonts w:ascii="Arial" w:hAnsi="Arial" w:hint="cs"/>
          <w:sz w:val="26"/>
          <w:szCs w:val="26"/>
          <w:rtl/>
        </w:rPr>
        <w:tab/>
        <w:t>הדיון בתיק זה התעכב מסיבות שונות, חלקן באשמת הנאשם וחלקן מסיבות אחרות. כעת ישנן שתי חלופות: או הטלת עונש נוסף על הנאשם במקום צו המבחן (שכבר פקע) או ניסיון שיקומי נוסף במסגרת הארכתו של צו המבחן.</w:t>
      </w:r>
    </w:p>
    <w:p w14:paraId="794F4517" w14:textId="77777777" w:rsidR="00265A0A" w:rsidRDefault="00265A0A" w:rsidP="00265A0A">
      <w:pPr>
        <w:spacing w:line="360" w:lineRule="auto"/>
        <w:jc w:val="both"/>
        <w:rPr>
          <w:rFonts w:ascii="Arial" w:hAnsi="Arial"/>
          <w:sz w:val="26"/>
          <w:szCs w:val="26"/>
          <w:rtl/>
        </w:rPr>
      </w:pPr>
    </w:p>
    <w:p w14:paraId="711A8667" w14:textId="77777777" w:rsidR="00265A0A" w:rsidRDefault="00265A0A" w:rsidP="00265A0A">
      <w:pPr>
        <w:spacing w:line="360" w:lineRule="auto"/>
        <w:ind w:left="720" w:hanging="720"/>
        <w:jc w:val="both"/>
        <w:rPr>
          <w:rFonts w:ascii="Arial" w:hAnsi="Arial"/>
          <w:sz w:val="26"/>
          <w:szCs w:val="26"/>
          <w:rtl/>
        </w:rPr>
      </w:pPr>
      <w:r>
        <w:rPr>
          <w:rFonts w:ascii="Arial" w:hAnsi="Arial" w:hint="cs"/>
          <w:sz w:val="26"/>
          <w:szCs w:val="26"/>
          <w:rtl/>
        </w:rPr>
        <w:t>11.</w:t>
      </w:r>
      <w:r>
        <w:rPr>
          <w:rFonts w:ascii="Arial" w:hAnsi="Arial" w:hint="cs"/>
          <w:sz w:val="26"/>
          <w:szCs w:val="26"/>
          <w:rtl/>
        </w:rPr>
        <w:tab/>
        <w:t xml:space="preserve">על בסיס האמור בתסקירים ובדיון שוכנעתי כי למרות הבעיות שחלו, הנאשם עושה כעת מאמצים להשתקם ולאחר הדיון הוצגה תכנית טיפולית במסגרת בית חם. במאזן הכולל יש מקום עדיין להעדיף את מיצוי הנתיב השיקומי על פני מיצוי המסלול העונשי. </w:t>
      </w:r>
    </w:p>
    <w:p w14:paraId="21A311C9" w14:textId="77777777" w:rsidR="00265A0A" w:rsidRDefault="00265A0A" w:rsidP="00265A0A">
      <w:pPr>
        <w:spacing w:line="360" w:lineRule="auto"/>
        <w:jc w:val="both"/>
        <w:rPr>
          <w:rFonts w:ascii="Arial" w:hAnsi="Arial"/>
          <w:sz w:val="26"/>
          <w:szCs w:val="26"/>
          <w:rtl/>
        </w:rPr>
      </w:pPr>
    </w:p>
    <w:p w14:paraId="07EE02F2" w14:textId="77777777" w:rsidR="00265A0A" w:rsidRDefault="00265A0A" w:rsidP="00265A0A">
      <w:pPr>
        <w:spacing w:line="360" w:lineRule="auto"/>
        <w:ind w:left="720" w:hanging="720"/>
        <w:jc w:val="both"/>
        <w:rPr>
          <w:rFonts w:ascii="Arial" w:hAnsi="Arial"/>
          <w:sz w:val="26"/>
          <w:szCs w:val="26"/>
          <w:rtl/>
        </w:rPr>
      </w:pPr>
      <w:r>
        <w:rPr>
          <w:rFonts w:ascii="Arial" w:hAnsi="Arial" w:hint="cs"/>
          <w:sz w:val="26"/>
          <w:szCs w:val="26"/>
          <w:rtl/>
        </w:rPr>
        <w:t>12.</w:t>
      </w:r>
      <w:r>
        <w:rPr>
          <w:rFonts w:ascii="Arial" w:hAnsi="Arial" w:hint="cs"/>
          <w:sz w:val="26"/>
          <w:szCs w:val="26"/>
          <w:rtl/>
        </w:rPr>
        <w:tab/>
        <w:t>אשר על כן הנני מאריך את צו המבחן עד לשלוש שנים מיום מתן גזר הדין, עד ליום 6.2.25 כאשר במסגרת זו יבצע הנאשם את התכנית הטיפולית מיום 12.5.24 שהוצגה ו/או כל תכנית אחרת שיוחלט עליה על ידי שירות המבחן.</w:t>
      </w:r>
    </w:p>
    <w:p w14:paraId="50F3B6DC" w14:textId="77777777" w:rsidR="00265A0A" w:rsidRDefault="00265A0A" w:rsidP="00265A0A">
      <w:pPr>
        <w:spacing w:line="360" w:lineRule="auto"/>
        <w:ind w:left="720" w:hanging="720"/>
        <w:jc w:val="both"/>
        <w:rPr>
          <w:rFonts w:ascii="Arial" w:hAnsi="Arial"/>
          <w:sz w:val="26"/>
          <w:szCs w:val="26"/>
          <w:rtl/>
        </w:rPr>
      </w:pPr>
    </w:p>
    <w:p w14:paraId="30BAF18F" w14:textId="77777777" w:rsidR="00265A0A" w:rsidRDefault="005B3EC6" w:rsidP="00265A0A">
      <w:pPr>
        <w:spacing w:line="360" w:lineRule="auto"/>
        <w:jc w:val="both"/>
        <w:rPr>
          <w:rFonts w:ascii="Arial" w:hAnsi="Arial"/>
          <w:sz w:val="26"/>
          <w:szCs w:val="26"/>
          <w:rtl/>
        </w:rPr>
      </w:pPr>
      <w:r w:rsidRPr="005B3EC6">
        <w:rPr>
          <w:rFonts w:ascii="Arial" w:hAnsi="Arial"/>
          <w:b/>
          <w:bCs/>
          <w:color w:val="FFFFFF"/>
          <w:sz w:val="2"/>
          <w:szCs w:val="2"/>
          <w:u w:val="single"/>
          <w:rtl/>
        </w:rPr>
        <w:t>5129371</w:t>
      </w:r>
      <w:r w:rsidR="00265A0A" w:rsidRPr="007318ED">
        <w:rPr>
          <w:rFonts w:ascii="Arial" w:hAnsi="Arial" w:hint="cs"/>
          <w:b/>
          <w:bCs/>
          <w:sz w:val="26"/>
          <w:szCs w:val="26"/>
          <w:u w:val="single"/>
          <w:rtl/>
        </w:rPr>
        <w:t>זכות ערעור כדין</w:t>
      </w:r>
      <w:r w:rsidR="00265A0A">
        <w:rPr>
          <w:rFonts w:ascii="Arial" w:hAnsi="Arial" w:hint="cs"/>
          <w:sz w:val="26"/>
          <w:szCs w:val="26"/>
          <w:rtl/>
        </w:rPr>
        <w:t>.</w:t>
      </w:r>
    </w:p>
    <w:p w14:paraId="0ED1DA69" w14:textId="77777777" w:rsidR="00265A0A" w:rsidRPr="005B3EC6" w:rsidRDefault="005B3EC6" w:rsidP="00265A0A">
      <w:pPr>
        <w:spacing w:line="360" w:lineRule="auto"/>
        <w:jc w:val="both"/>
        <w:rPr>
          <w:rFonts w:ascii="Arial" w:hAnsi="Arial"/>
          <w:color w:val="FFFFFF"/>
          <w:sz w:val="2"/>
          <w:szCs w:val="2"/>
          <w:rtl/>
        </w:rPr>
      </w:pPr>
      <w:r w:rsidRPr="005B3EC6">
        <w:rPr>
          <w:rFonts w:ascii="Arial" w:hAnsi="Arial"/>
          <w:color w:val="FFFFFF"/>
          <w:sz w:val="2"/>
          <w:szCs w:val="2"/>
          <w:rtl/>
        </w:rPr>
        <w:t>54678313</w:t>
      </w:r>
    </w:p>
    <w:p w14:paraId="23B4B15B" w14:textId="77777777" w:rsidR="00265A0A" w:rsidRPr="006F4A3F" w:rsidRDefault="00265A0A" w:rsidP="00265A0A">
      <w:pPr>
        <w:spacing w:line="360" w:lineRule="auto"/>
        <w:jc w:val="both"/>
        <w:rPr>
          <w:rFonts w:ascii="Arial" w:hAnsi="Arial"/>
          <w:sz w:val="26"/>
          <w:szCs w:val="26"/>
          <w:rtl/>
        </w:rPr>
      </w:pPr>
    </w:p>
    <w:p w14:paraId="6604C746" w14:textId="77777777" w:rsidR="00265A0A" w:rsidRPr="000F2247" w:rsidRDefault="005B3EC6" w:rsidP="00265A0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י"ז סיוון תשפ"ד, 23 יוני 2024, בהעדר הצדדים. </w:t>
      </w:r>
      <w:bookmarkEnd w:id="8"/>
      <w:r w:rsidR="00265A0A">
        <w:rPr>
          <w:rFonts w:ascii="Arial" w:hAnsi="Arial"/>
          <w:b/>
          <w:bCs/>
          <w:sz w:val="26"/>
          <w:szCs w:val="26"/>
          <w:rtl/>
        </w:rPr>
        <w:tab/>
      </w:r>
      <w:r w:rsidR="00265A0A">
        <w:rPr>
          <w:rFonts w:ascii="Arial" w:hAnsi="Arial"/>
          <w:b/>
          <w:bCs/>
          <w:sz w:val="26"/>
          <w:szCs w:val="26"/>
          <w:rtl/>
        </w:rPr>
        <w:tab/>
      </w:r>
      <w:r w:rsidR="00265A0A">
        <w:rPr>
          <w:rFonts w:ascii="Arial" w:hAnsi="Arial"/>
          <w:b/>
          <w:bCs/>
          <w:sz w:val="26"/>
          <w:szCs w:val="26"/>
          <w:rtl/>
        </w:rPr>
        <w:tab/>
      </w:r>
      <w:r w:rsidR="00265A0A">
        <w:rPr>
          <w:rFonts w:ascii="Arial" w:hAnsi="Arial"/>
          <w:b/>
          <w:bCs/>
          <w:sz w:val="26"/>
          <w:szCs w:val="26"/>
          <w:rtl/>
        </w:rPr>
        <w:tab/>
      </w:r>
      <w:r w:rsidR="00265A0A">
        <w:rPr>
          <w:rFonts w:ascii="Arial" w:hAnsi="Arial"/>
          <w:b/>
          <w:bCs/>
          <w:sz w:val="26"/>
          <w:szCs w:val="26"/>
          <w:rtl/>
        </w:rPr>
        <w:tab/>
      </w:r>
      <w:r w:rsidR="00265A0A">
        <w:rPr>
          <w:rFonts w:ascii="Arial" w:hAnsi="Arial"/>
          <w:b/>
          <w:bCs/>
          <w:sz w:val="26"/>
          <w:szCs w:val="26"/>
          <w:rtl/>
        </w:rPr>
        <w:tab/>
      </w:r>
      <w:r w:rsidR="00265A0A">
        <w:rPr>
          <w:rFonts w:ascii="Arial" w:hAnsi="Arial"/>
          <w:b/>
          <w:bCs/>
          <w:sz w:val="26"/>
          <w:szCs w:val="26"/>
          <w:rtl/>
        </w:rPr>
        <w:tab/>
      </w:r>
      <w:r w:rsidR="00265A0A">
        <w:rPr>
          <w:rFonts w:ascii="Arial" w:hAnsi="Arial" w:hint="cs"/>
          <w:b/>
          <w:bCs/>
          <w:sz w:val="26"/>
          <w:szCs w:val="26"/>
          <w:rtl/>
        </w:rPr>
        <w:t xml:space="preserve">         </w:t>
      </w:r>
    </w:p>
    <w:p w14:paraId="605DB2C0" w14:textId="77777777" w:rsidR="005B3EC6" w:rsidRDefault="005B3EC6" w:rsidP="005B3EC6">
      <w:pPr>
        <w:rPr>
          <w:rtl/>
        </w:rPr>
      </w:pPr>
    </w:p>
    <w:p w14:paraId="059F664A" w14:textId="77777777" w:rsidR="005B3EC6" w:rsidRDefault="005B3EC6" w:rsidP="005B3EC6">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4F23E5FF" w14:textId="77777777" w:rsidR="001955BF" w:rsidRPr="001955BF" w:rsidRDefault="001955BF" w:rsidP="001955BF">
      <w:pPr>
        <w:keepNext/>
        <w:rPr>
          <w:rFonts w:ascii="David" w:hAnsi="David"/>
          <w:color w:val="000000"/>
          <w:sz w:val="22"/>
          <w:szCs w:val="22"/>
          <w:rtl/>
        </w:rPr>
      </w:pPr>
    </w:p>
    <w:p w14:paraId="2F3B3B8F" w14:textId="77777777" w:rsidR="001955BF" w:rsidRPr="001955BF" w:rsidRDefault="001955BF" w:rsidP="001955BF">
      <w:pPr>
        <w:keepNext/>
        <w:rPr>
          <w:rFonts w:ascii="David" w:hAnsi="David"/>
          <w:color w:val="000000"/>
          <w:sz w:val="22"/>
          <w:szCs w:val="22"/>
          <w:rtl/>
        </w:rPr>
      </w:pPr>
      <w:r w:rsidRPr="001955BF">
        <w:rPr>
          <w:rFonts w:ascii="David" w:hAnsi="David"/>
          <w:color w:val="000000"/>
          <w:sz w:val="22"/>
          <w:szCs w:val="22"/>
          <w:rtl/>
        </w:rPr>
        <w:t>דניאל פיש 54678313-/</w:t>
      </w:r>
    </w:p>
    <w:p w14:paraId="0E68A136" w14:textId="77777777" w:rsidR="005B3EC6" w:rsidRPr="005B3EC6" w:rsidRDefault="001955BF" w:rsidP="001955BF">
      <w:pPr>
        <w:rPr>
          <w:color w:val="0000FF"/>
          <w:u w:val="single"/>
        </w:rPr>
      </w:pPr>
      <w:r w:rsidRPr="001955BF">
        <w:rPr>
          <w:color w:val="000000"/>
          <w:u w:val="single"/>
          <w:rtl/>
        </w:rPr>
        <w:t>נוסח מסמך זה כפוף לשינויי ניסוח ועריכה</w:t>
      </w:r>
    </w:p>
    <w:sectPr w:rsidR="005B3EC6" w:rsidRPr="005B3EC6" w:rsidSect="001955BF">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AD57E" w14:textId="77777777" w:rsidR="00DE747E" w:rsidRDefault="00DE747E" w:rsidP="00BD4656">
      <w:r>
        <w:separator/>
      </w:r>
    </w:p>
  </w:endnote>
  <w:endnote w:type="continuationSeparator" w:id="0">
    <w:p w14:paraId="71D7A3B0" w14:textId="77777777" w:rsidR="00DE747E" w:rsidRDefault="00DE747E" w:rsidP="00BD4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A6C90" w14:textId="77777777" w:rsidR="001955BF" w:rsidRDefault="001955BF" w:rsidP="001955B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43C101" w14:textId="77777777" w:rsidR="000C04FD" w:rsidRPr="001955BF" w:rsidRDefault="001955BF" w:rsidP="001955BF">
    <w:pPr>
      <w:pStyle w:val="a5"/>
      <w:pBdr>
        <w:top w:val="single" w:sz="4" w:space="1" w:color="auto"/>
        <w:between w:val="single" w:sz="4" w:space="0" w:color="auto"/>
      </w:pBdr>
      <w:spacing w:after="60"/>
      <w:jc w:val="center"/>
      <w:rPr>
        <w:rFonts w:ascii="FrankRuehl" w:hAnsi="FrankRuehl" w:cs="FrankRuehl"/>
        <w:color w:val="000000"/>
      </w:rPr>
    </w:pPr>
    <w:r w:rsidRPr="001955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11926" w14:textId="77777777" w:rsidR="001955BF" w:rsidRDefault="001955BF" w:rsidP="001955B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A0462">
      <w:rPr>
        <w:rFonts w:ascii="FrankRuehl" w:hAnsi="FrankRuehl" w:cs="FrankRuehl"/>
        <w:noProof/>
        <w:rtl/>
      </w:rPr>
      <w:t>1</w:t>
    </w:r>
    <w:r>
      <w:rPr>
        <w:rFonts w:ascii="FrankRuehl" w:hAnsi="FrankRuehl" w:cs="FrankRuehl"/>
        <w:rtl/>
      </w:rPr>
      <w:fldChar w:fldCharType="end"/>
    </w:r>
  </w:p>
  <w:p w14:paraId="307E9435" w14:textId="77777777" w:rsidR="000C04FD" w:rsidRPr="001955BF" w:rsidRDefault="001955BF" w:rsidP="001955BF">
    <w:pPr>
      <w:pStyle w:val="a5"/>
      <w:pBdr>
        <w:top w:val="single" w:sz="4" w:space="1" w:color="auto"/>
        <w:between w:val="single" w:sz="4" w:space="0" w:color="auto"/>
      </w:pBdr>
      <w:spacing w:after="60"/>
      <w:jc w:val="center"/>
      <w:rPr>
        <w:rFonts w:ascii="FrankRuehl" w:hAnsi="FrankRuehl" w:cs="FrankRuehl"/>
        <w:color w:val="000000"/>
      </w:rPr>
    </w:pPr>
    <w:r w:rsidRPr="001955BF">
      <w:rPr>
        <w:rFonts w:ascii="FrankRuehl" w:hAnsi="FrankRuehl" w:cs="FrankRuehl"/>
        <w:color w:val="000000"/>
      </w:rPr>
      <w:pict w14:anchorId="36AA45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E12F7" w14:textId="77777777" w:rsidR="00DE747E" w:rsidRDefault="00DE747E" w:rsidP="00BD4656">
      <w:r>
        <w:separator/>
      </w:r>
    </w:p>
  </w:footnote>
  <w:footnote w:type="continuationSeparator" w:id="0">
    <w:p w14:paraId="3EAA8557" w14:textId="77777777" w:rsidR="00DE747E" w:rsidRDefault="00DE747E" w:rsidP="00BD4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3E011" w14:textId="77777777" w:rsidR="005B3EC6" w:rsidRPr="001955BF" w:rsidRDefault="001955BF" w:rsidP="001955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39573-10-18</w:t>
    </w:r>
    <w:r>
      <w:rPr>
        <w:rFonts w:ascii="David" w:hAnsi="David"/>
        <w:color w:val="000000"/>
        <w:sz w:val="22"/>
        <w:szCs w:val="22"/>
        <w:rtl/>
      </w:rPr>
      <w:tab/>
      <w:t xml:space="preserve"> מדינת ישראל נ' מייסרא נדאף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F2AA4" w14:textId="77777777" w:rsidR="005B3EC6" w:rsidRPr="001955BF" w:rsidRDefault="001955BF" w:rsidP="001955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39573-10-18</w:t>
    </w:r>
    <w:r>
      <w:rPr>
        <w:rFonts w:ascii="David" w:hAnsi="David"/>
        <w:color w:val="000000"/>
        <w:sz w:val="22"/>
        <w:szCs w:val="22"/>
        <w:rtl/>
      </w:rPr>
      <w:tab/>
      <w:t xml:space="preserve"> מדינת ישראל נ' מייסרא נדאף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5A0A"/>
    <w:rsid w:val="000A0462"/>
    <w:rsid w:val="000C04FD"/>
    <w:rsid w:val="001955BF"/>
    <w:rsid w:val="001B5A3B"/>
    <w:rsid w:val="00265A0A"/>
    <w:rsid w:val="00433758"/>
    <w:rsid w:val="005B3EC6"/>
    <w:rsid w:val="00BD4656"/>
    <w:rsid w:val="00C2239B"/>
    <w:rsid w:val="00DE7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DBCF74"/>
  <w15:chartTrackingRefBased/>
  <w15:docId w15:val="{E078F8E9-74E4-48EE-AA57-03531D02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5A0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65A0A"/>
    <w:pPr>
      <w:tabs>
        <w:tab w:val="center" w:pos="4153"/>
        <w:tab w:val="right" w:pos="8306"/>
      </w:tabs>
    </w:pPr>
  </w:style>
  <w:style w:type="character" w:customStyle="1" w:styleId="a4">
    <w:name w:val="כותרת עליונה תו"/>
    <w:link w:val="a3"/>
    <w:rsid w:val="00265A0A"/>
    <w:rPr>
      <w:rFonts w:ascii="Times New Roman" w:eastAsia="Times New Roman" w:hAnsi="Times New Roman" w:cs="David"/>
      <w:sz w:val="24"/>
      <w:szCs w:val="24"/>
    </w:rPr>
  </w:style>
  <w:style w:type="paragraph" w:styleId="a5">
    <w:name w:val="footer"/>
    <w:basedOn w:val="a"/>
    <w:link w:val="a6"/>
    <w:rsid w:val="00265A0A"/>
    <w:pPr>
      <w:tabs>
        <w:tab w:val="center" w:pos="4153"/>
        <w:tab w:val="right" w:pos="8306"/>
      </w:tabs>
    </w:pPr>
  </w:style>
  <w:style w:type="character" w:customStyle="1" w:styleId="a6">
    <w:name w:val="כותרת תחתונה תו"/>
    <w:link w:val="a5"/>
    <w:rsid w:val="00265A0A"/>
    <w:rPr>
      <w:rFonts w:ascii="Times New Roman" w:eastAsia="Times New Roman" w:hAnsi="Times New Roman" w:cs="David"/>
      <w:sz w:val="24"/>
      <w:szCs w:val="24"/>
    </w:rPr>
  </w:style>
  <w:style w:type="table" w:styleId="a7">
    <w:name w:val="Table Grid"/>
    <w:basedOn w:val="a1"/>
    <w:rsid w:val="00265A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65A0A"/>
  </w:style>
  <w:style w:type="paragraph" w:customStyle="1" w:styleId="12">
    <w:name w:val="רגיל + ‏12 נק'"/>
    <w:aliases w:val="מיושר לשני הצדדים,מרווח בין שורות:  שורה וחצי"/>
    <w:basedOn w:val="a"/>
    <w:rsid w:val="00265A0A"/>
    <w:rPr>
      <w:b/>
      <w:bCs/>
      <w:u w:val="single"/>
    </w:rPr>
  </w:style>
  <w:style w:type="character" w:customStyle="1" w:styleId="TimesNewRomanTimesNewRoman">
    <w:name w:val="סגנון (לטיני) Times New Roman (עברית ושפות אחרות) Times New Roman..."/>
    <w:rsid w:val="00265A0A"/>
    <w:rPr>
      <w:rFonts w:ascii="Times New Roman" w:hAnsi="Times New Roman" w:cs="David" w:hint="default"/>
      <w:b/>
      <w:bCs/>
      <w:sz w:val="26"/>
      <w:szCs w:val="26"/>
    </w:rPr>
  </w:style>
  <w:style w:type="character" w:styleId="Hyperlink">
    <w:name w:val="Hyperlink"/>
    <w:rsid w:val="005B3EC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4216/7.a" TargetMode="External"/><Relationship Id="rId12" Type="http://schemas.openxmlformats.org/officeDocument/2006/relationships/hyperlink" Target="http://www.nevo.co.il/law/4216/7.c"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 TargetMode="External"/><Relationship Id="rId5" Type="http://schemas.openxmlformats.org/officeDocument/2006/relationships/endnotes" Target="endnotes.xml"/><Relationship Id="rId15" Type="http://schemas.openxmlformats.org/officeDocument/2006/relationships/hyperlink" Target="http://www.nevo.co.il/law/71553" TargetMode="External"/><Relationship Id="rId10" Type="http://schemas.openxmlformats.org/officeDocument/2006/relationships/hyperlink" Target="http://www.nevo.co.il/law/71553/20.4"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1553" TargetMode="External"/><Relationship Id="rId14" Type="http://schemas.openxmlformats.org/officeDocument/2006/relationships/hyperlink" Target="http://www.nevo.co.il/law/71553/20.4"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1033</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6187</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8257634</vt:i4>
      </vt:variant>
      <vt:variant>
        <vt:i4>27</vt:i4>
      </vt:variant>
      <vt:variant>
        <vt:i4>0</vt:i4>
      </vt:variant>
      <vt:variant>
        <vt:i4>5</vt:i4>
      </vt:variant>
      <vt:variant>
        <vt:lpwstr>http://www.nevo.co.il/law/71553</vt:lpwstr>
      </vt:variant>
      <vt:variant>
        <vt:lpwstr/>
      </vt:variant>
      <vt:variant>
        <vt:i4>5570637</vt:i4>
      </vt:variant>
      <vt:variant>
        <vt:i4>24</vt:i4>
      </vt:variant>
      <vt:variant>
        <vt:i4>0</vt:i4>
      </vt:variant>
      <vt:variant>
        <vt:i4>5</vt:i4>
      </vt:variant>
      <vt:variant>
        <vt:lpwstr>http://www.nevo.co.il/law/71553/20.4</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5570637</vt:i4>
      </vt:variant>
      <vt:variant>
        <vt:i4>12</vt:i4>
      </vt:variant>
      <vt:variant>
        <vt:i4>0</vt:i4>
      </vt:variant>
      <vt:variant>
        <vt:i4>5</vt:i4>
      </vt:variant>
      <vt:variant>
        <vt:lpwstr>http://www.nevo.co.il/law/71553/20.4</vt:lpwstr>
      </vt:variant>
      <vt:variant>
        <vt:lpwstr/>
      </vt:variant>
      <vt:variant>
        <vt:i4>8257634</vt:i4>
      </vt:variant>
      <vt:variant>
        <vt:i4>9</vt:i4>
      </vt:variant>
      <vt:variant>
        <vt:i4>0</vt:i4>
      </vt:variant>
      <vt:variant>
        <vt:i4>5</vt:i4>
      </vt:variant>
      <vt:variant>
        <vt:lpwstr>http://www.nevo.co.il/law/71553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2025-04-22T20:57:00Z</dcterms:created>
  <dcterms:modified xsi:type="dcterms:W3CDTF">2025-04-22T20:57:00Z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39573</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מייסרא נדאף </vt:lpwstr>
  </property>
  <property fmtid="{D5CDD505-2E9C-101B-9397-08002B2CF9AE}" pid="10" name="LAWYER">
    <vt:lpwstr>יאיר גויכמן;שאדי דבאח</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20240623</vt:lpwstr>
  </property>
  <property fmtid="{D5CDD505-2E9C-101B-9397-08002B2CF9AE}" pid="14" name="TYPE_N_DATE">
    <vt:lpwstr>39020240623</vt:lpwstr>
  </property>
  <property fmtid="{D5CDD505-2E9C-101B-9397-08002B2CF9AE}" pid="15" name="WORDNUMPAGES">
    <vt:lpwstr>4</vt:lpwstr>
  </property>
  <property fmtid="{D5CDD505-2E9C-101B-9397-08002B2CF9AE}" pid="16" name="TYPE_ABS_DATE">
    <vt:lpwstr>390020240623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4216/007.a;007.c</vt:lpwstr>
  </property>
  <property fmtid="{D5CDD505-2E9C-101B-9397-08002B2CF9AE}" pid="36" name="LAWLISTTMP2">
    <vt:lpwstr>71553/020.4</vt:lpwstr>
  </property>
</Properties>
</file>