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5E43A5" w:rsidRPr="00AD5B8B" w14:paraId="05C3EBE7" w14:textId="77777777" w:rsidTr="008713A9">
        <w:trPr>
          <w:trHeight w:hRule="exact" w:val="418"/>
          <w:jc w:val="center"/>
        </w:trPr>
        <w:tc>
          <w:tcPr>
            <w:tcW w:w="8861" w:type="dxa"/>
            <w:gridSpan w:val="2"/>
          </w:tcPr>
          <w:p w14:paraId="72E99346" w14:textId="77777777" w:rsidR="005E43A5" w:rsidRPr="00AD5B8B" w:rsidRDefault="005E43A5" w:rsidP="008713A9">
            <w:pPr>
              <w:pStyle w:val="a3"/>
              <w:jc w:val="center"/>
              <w:rPr>
                <w:rFonts w:ascii="Tahoma" w:hAnsi="Tahoma"/>
                <w:color w:val="000080"/>
                <w:sz w:val="32"/>
                <w:szCs w:val="32"/>
                <w:rtl/>
              </w:rPr>
            </w:pPr>
            <w:bookmarkStart w:id="0" w:name="LastJudge"/>
            <w:r w:rsidRPr="00AD5B8B">
              <w:rPr>
                <w:rFonts w:ascii="Tahoma" w:hAnsi="Tahoma"/>
                <w:b/>
                <w:bCs/>
                <w:color w:val="000080"/>
                <w:sz w:val="32"/>
                <w:szCs w:val="32"/>
                <w:rtl/>
              </w:rPr>
              <w:t>בית המשפט המחוזי בתל אביב - יפו</w:t>
            </w:r>
          </w:p>
        </w:tc>
      </w:tr>
      <w:tr w:rsidR="005E43A5" w:rsidRPr="00AD5B8B" w14:paraId="3E70BFC0" w14:textId="77777777" w:rsidTr="008713A9">
        <w:trPr>
          <w:trHeight w:val="337"/>
          <w:jc w:val="center"/>
        </w:trPr>
        <w:tc>
          <w:tcPr>
            <w:tcW w:w="5131" w:type="dxa"/>
          </w:tcPr>
          <w:p w14:paraId="483DBFFB" w14:textId="77777777" w:rsidR="005E43A5" w:rsidRPr="00AD5B8B" w:rsidRDefault="005E43A5" w:rsidP="008713A9">
            <w:pPr>
              <w:rPr>
                <w:b/>
                <w:bCs/>
                <w:sz w:val="26"/>
                <w:szCs w:val="26"/>
                <w:rtl/>
              </w:rPr>
            </w:pPr>
            <w:r w:rsidRPr="00AD5B8B">
              <w:rPr>
                <w:b/>
                <w:bCs/>
                <w:sz w:val="26"/>
                <w:szCs w:val="26"/>
                <w:rtl/>
              </w:rPr>
              <w:t>ת"פ</w:t>
            </w:r>
            <w:r w:rsidRPr="00AD5B8B">
              <w:rPr>
                <w:rFonts w:hint="cs"/>
                <w:b/>
                <w:bCs/>
                <w:sz w:val="26"/>
                <w:szCs w:val="26"/>
                <w:rtl/>
              </w:rPr>
              <w:t xml:space="preserve"> </w:t>
            </w:r>
            <w:r w:rsidRPr="00AD5B8B">
              <w:rPr>
                <w:b/>
                <w:bCs/>
                <w:sz w:val="26"/>
                <w:szCs w:val="26"/>
                <w:rtl/>
              </w:rPr>
              <w:t>4760-10-18</w:t>
            </w:r>
            <w:r w:rsidRPr="00AD5B8B">
              <w:rPr>
                <w:rFonts w:hint="cs"/>
                <w:b/>
                <w:bCs/>
                <w:sz w:val="26"/>
                <w:szCs w:val="26"/>
                <w:rtl/>
              </w:rPr>
              <w:t xml:space="preserve"> </w:t>
            </w:r>
            <w:r w:rsidRPr="00AD5B8B">
              <w:rPr>
                <w:b/>
                <w:bCs/>
                <w:sz w:val="26"/>
                <w:szCs w:val="26"/>
                <w:rtl/>
              </w:rPr>
              <w:t xml:space="preserve">מדינת ישראל נ' ונגס גיל </w:t>
            </w:r>
          </w:p>
          <w:p w14:paraId="03FAC978" w14:textId="77777777" w:rsidR="005E43A5" w:rsidRPr="00AD5B8B" w:rsidRDefault="005E43A5" w:rsidP="008713A9">
            <w:pPr>
              <w:pStyle w:val="a3"/>
              <w:rPr>
                <w:b/>
                <w:bCs/>
                <w:sz w:val="26"/>
                <w:szCs w:val="26"/>
                <w:rtl/>
              </w:rPr>
            </w:pPr>
          </w:p>
        </w:tc>
        <w:tc>
          <w:tcPr>
            <w:tcW w:w="3730" w:type="dxa"/>
          </w:tcPr>
          <w:p w14:paraId="470FA66F" w14:textId="77777777" w:rsidR="005E43A5" w:rsidRPr="00AD5B8B" w:rsidRDefault="005E43A5" w:rsidP="008713A9">
            <w:pPr>
              <w:pStyle w:val="a3"/>
              <w:jc w:val="right"/>
              <w:rPr>
                <w:b/>
                <w:bCs/>
                <w:sz w:val="26"/>
                <w:szCs w:val="26"/>
                <w:rtl/>
              </w:rPr>
            </w:pPr>
            <w:r w:rsidRPr="00AD5B8B">
              <w:rPr>
                <w:rFonts w:hint="cs"/>
                <w:b/>
                <w:bCs/>
                <w:sz w:val="26"/>
                <w:szCs w:val="26"/>
                <w:rtl/>
              </w:rPr>
              <w:t>16 יוני 2019</w:t>
            </w:r>
          </w:p>
        </w:tc>
      </w:tr>
    </w:tbl>
    <w:p w14:paraId="0678F0E9" w14:textId="77777777" w:rsidR="005E43A5" w:rsidRPr="00AD5B8B" w:rsidRDefault="005E43A5" w:rsidP="005E43A5">
      <w:pPr>
        <w:pStyle w:val="a3"/>
        <w:rPr>
          <w:rtl/>
        </w:rPr>
      </w:pPr>
      <w:r w:rsidRPr="00AD5B8B">
        <w:rPr>
          <w:rFonts w:hint="cs"/>
          <w:rtl/>
        </w:rPr>
        <w:t xml:space="preserve"> </w:t>
      </w:r>
    </w:p>
    <w:p w14:paraId="68BECB0C" w14:textId="77777777" w:rsidR="005E43A5" w:rsidRPr="00AD5B8B" w:rsidRDefault="005E43A5" w:rsidP="005E43A5">
      <w:pPr>
        <w:spacing w:line="360" w:lineRule="auto"/>
        <w:jc w:val="both"/>
        <w:rPr>
          <w:rFonts w:ascii="David" w:hAnsi="David"/>
          <w:rtl/>
        </w:rPr>
      </w:pPr>
    </w:p>
    <w:p w14:paraId="7A80723C" w14:textId="77777777" w:rsidR="005E43A5" w:rsidRPr="00AD5B8B" w:rsidRDefault="005E43A5" w:rsidP="005E43A5">
      <w:pPr>
        <w:spacing w:line="360" w:lineRule="auto"/>
        <w:jc w:val="both"/>
        <w:rPr>
          <w:rFonts w:ascii="David" w:hAnsi="David"/>
          <w:rtl/>
        </w:rPr>
      </w:pPr>
    </w:p>
    <w:tbl>
      <w:tblPr>
        <w:bidiVisual/>
        <w:tblW w:w="8361" w:type="dxa"/>
        <w:tblInd w:w="413" w:type="dxa"/>
        <w:tblLook w:val="01E0" w:firstRow="1" w:lastRow="1" w:firstColumn="1" w:lastColumn="1" w:noHBand="0" w:noVBand="0"/>
      </w:tblPr>
      <w:tblGrid>
        <w:gridCol w:w="2439"/>
        <w:gridCol w:w="5922"/>
      </w:tblGrid>
      <w:tr w:rsidR="005E43A5" w:rsidRPr="00AD5B8B" w14:paraId="4343A1E4" w14:textId="77777777" w:rsidTr="005E43A5">
        <w:trPr>
          <w:cantSplit/>
          <w:trHeight w:val="724"/>
        </w:trPr>
        <w:tc>
          <w:tcPr>
            <w:tcW w:w="8361" w:type="dxa"/>
            <w:gridSpan w:val="2"/>
            <w:shd w:val="clear" w:color="auto" w:fill="auto"/>
          </w:tcPr>
          <w:p w14:paraId="2CAB50B3" w14:textId="77777777" w:rsidR="005E43A5" w:rsidRPr="00AD5B8B" w:rsidRDefault="005E43A5" w:rsidP="008713A9">
            <w:pPr>
              <w:rPr>
                <w:b/>
                <w:bCs/>
                <w:rtl/>
              </w:rPr>
            </w:pPr>
            <w:r w:rsidRPr="00AD5B8B">
              <w:rPr>
                <w:rFonts w:hint="cs"/>
                <w:b/>
                <w:bCs/>
                <w:rtl/>
              </w:rPr>
              <w:t>לפני כבוד השופט בני שגיא</w:t>
            </w:r>
          </w:p>
        </w:tc>
      </w:tr>
      <w:tr w:rsidR="005E43A5" w:rsidRPr="00AD5B8B" w14:paraId="382E7999" w14:textId="77777777" w:rsidTr="005E43A5">
        <w:trPr>
          <w:cantSplit/>
          <w:trHeight w:val="724"/>
        </w:trPr>
        <w:tc>
          <w:tcPr>
            <w:tcW w:w="2439" w:type="dxa"/>
            <w:shd w:val="clear" w:color="auto" w:fill="auto"/>
          </w:tcPr>
          <w:p w14:paraId="14A690E1" w14:textId="77777777" w:rsidR="005E43A5" w:rsidRPr="00AD5B8B" w:rsidRDefault="005E43A5" w:rsidP="005E43A5">
            <w:pPr>
              <w:jc w:val="both"/>
              <w:rPr>
                <w:b/>
                <w:bCs/>
              </w:rPr>
            </w:pPr>
            <w:bookmarkStart w:id="1" w:name="FirstAppellant"/>
            <w:bookmarkStart w:id="2" w:name="FirstLawyer"/>
          </w:p>
          <w:p w14:paraId="5510D48A" w14:textId="77777777" w:rsidR="005E43A5" w:rsidRPr="00AD5B8B" w:rsidRDefault="005E43A5" w:rsidP="005E43A5">
            <w:pPr>
              <w:jc w:val="both"/>
              <w:rPr>
                <w:b/>
                <w:bCs/>
                <w:rtl/>
              </w:rPr>
            </w:pPr>
            <w:r w:rsidRPr="00AD5B8B">
              <w:rPr>
                <w:rFonts w:hint="cs"/>
                <w:b/>
                <w:bCs/>
                <w:rtl/>
              </w:rPr>
              <w:t>המאשימה</w:t>
            </w:r>
          </w:p>
        </w:tc>
        <w:tc>
          <w:tcPr>
            <w:tcW w:w="5922" w:type="dxa"/>
            <w:shd w:val="clear" w:color="auto" w:fill="auto"/>
          </w:tcPr>
          <w:p w14:paraId="01B692F2" w14:textId="77777777" w:rsidR="005E43A5" w:rsidRPr="00AD5B8B" w:rsidRDefault="005E43A5" w:rsidP="005E43A5">
            <w:pPr>
              <w:jc w:val="both"/>
              <w:rPr>
                <w:b/>
                <w:bCs/>
                <w:rtl/>
              </w:rPr>
            </w:pPr>
          </w:p>
          <w:p w14:paraId="542FF51A" w14:textId="77777777" w:rsidR="005E43A5" w:rsidRPr="00AD5B8B" w:rsidRDefault="005E43A5" w:rsidP="005E43A5">
            <w:pPr>
              <w:spacing w:line="360" w:lineRule="auto"/>
              <w:jc w:val="both"/>
              <w:rPr>
                <w:rtl/>
              </w:rPr>
            </w:pPr>
            <w:r w:rsidRPr="00AD5B8B">
              <w:rPr>
                <w:rFonts w:hint="cs"/>
                <w:b/>
                <w:bCs/>
                <w:rtl/>
              </w:rPr>
              <w:t>מדינת ישראל</w:t>
            </w:r>
          </w:p>
          <w:p w14:paraId="4EDAC036" w14:textId="77777777" w:rsidR="005E43A5" w:rsidRPr="00AD5B8B" w:rsidRDefault="005E43A5" w:rsidP="005E43A5">
            <w:pPr>
              <w:jc w:val="both"/>
              <w:rPr>
                <w:rtl/>
              </w:rPr>
            </w:pPr>
            <w:r w:rsidRPr="00AD5B8B">
              <w:rPr>
                <w:rFonts w:hint="cs"/>
                <w:rtl/>
              </w:rPr>
              <w:t>על-ידי ב"כ עו"ד שרית ארונוב</w:t>
            </w:r>
          </w:p>
          <w:p w14:paraId="390CB953" w14:textId="77777777" w:rsidR="005E43A5" w:rsidRPr="00AD5B8B" w:rsidRDefault="005E43A5" w:rsidP="005E43A5">
            <w:pPr>
              <w:jc w:val="both"/>
              <w:rPr>
                <w:b/>
                <w:bCs/>
              </w:rPr>
            </w:pPr>
          </w:p>
        </w:tc>
      </w:tr>
      <w:bookmarkEnd w:id="1"/>
      <w:bookmarkEnd w:id="2"/>
      <w:tr w:rsidR="005E43A5" w:rsidRPr="00AD5B8B" w14:paraId="04E59B80" w14:textId="77777777" w:rsidTr="005E43A5">
        <w:tc>
          <w:tcPr>
            <w:tcW w:w="8361" w:type="dxa"/>
            <w:gridSpan w:val="2"/>
            <w:shd w:val="clear" w:color="auto" w:fill="auto"/>
            <w:vAlign w:val="center"/>
          </w:tcPr>
          <w:p w14:paraId="69FBB141" w14:textId="77777777" w:rsidR="005E43A5" w:rsidRPr="00AD5B8B" w:rsidRDefault="005E43A5" w:rsidP="005E43A5">
            <w:pPr>
              <w:jc w:val="both"/>
              <w:rPr>
                <w:rFonts w:ascii="David" w:hAnsi="David"/>
                <w:b/>
                <w:bCs/>
              </w:rPr>
            </w:pPr>
          </w:p>
          <w:p w14:paraId="77CC002C" w14:textId="77777777" w:rsidR="005E43A5" w:rsidRPr="00AD5B8B" w:rsidRDefault="005E43A5" w:rsidP="005E43A5">
            <w:pPr>
              <w:jc w:val="center"/>
              <w:rPr>
                <w:rFonts w:ascii="David" w:hAnsi="David"/>
                <w:b/>
                <w:bCs/>
              </w:rPr>
            </w:pPr>
            <w:r w:rsidRPr="00AD5B8B">
              <w:rPr>
                <w:rFonts w:ascii="David" w:hAnsi="David" w:hint="cs"/>
                <w:b/>
                <w:bCs/>
                <w:rtl/>
              </w:rPr>
              <w:t>נגד</w:t>
            </w:r>
          </w:p>
          <w:p w14:paraId="682F97F6" w14:textId="77777777" w:rsidR="005E43A5" w:rsidRPr="00AD5B8B" w:rsidRDefault="005E43A5" w:rsidP="005E43A5">
            <w:pPr>
              <w:jc w:val="both"/>
              <w:rPr>
                <w:rFonts w:ascii="David" w:hAnsi="David"/>
                <w:b/>
                <w:bCs/>
                <w:rtl/>
              </w:rPr>
            </w:pPr>
          </w:p>
        </w:tc>
      </w:tr>
      <w:tr w:rsidR="005E43A5" w:rsidRPr="00AD5B8B" w14:paraId="52180E5C" w14:textId="77777777" w:rsidTr="005E43A5">
        <w:tc>
          <w:tcPr>
            <w:tcW w:w="2439" w:type="dxa"/>
            <w:shd w:val="clear" w:color="auto" w:fill="auto"/>
          </w:tcPr>
          <w:p w14:paraId="778B3CE3" w14:textId="77777777" w:rsidR="005E43A5" w:rsidRPr="00AD5B8B" w:rsidRDefault="005E43A5" w:rsidP="005E43A5">
            <w:pPr>
              <w:jc w:val="both"/>
              <w:rPr>
                <w:rFonts w:ascii="David" w:hAnsi="David"/>
                <w:b/>
                <w:bCs/>
                <w:rtl/>
              </w:rPr>
            </w:pPr>
            <w:r w:rsidRPr="00AD5B8B">
              <w:rPr>
                <w:rFonts w:hint="cs"/>
                <w:b/>
                <w:bCs/>
                <w:rtl/>
              </w:rPr>
              <w:t>הנאשם</w:t>
            </w:r>
          </w:p>
        </w:tc>
        <w:tc>
          <w:tcPr>
            <w:tcW w:w="5922" w:type="dxa"/>
            <w:shd w:val="clear" w:color="auto" w:fill="auto"/>
          </w:tcPr>
          <w:p w14:paraId="33ABC3EE" w14:textId="77777777" w:rsidR="005E43A5" w:rsidRPr="00AD5B8B" w:rsidRDefault="005E43A5" w:rsidP="00B478D7">
            <w:pPr>
              <w:spacing w:line="360" w:lineRule="auto"/>
              <w:jc w:val="both"/>
              <w:rPr>
                <w:b/>
                <w:bCs/>
                <w:rtl/>
              </w:rPr>
            </w:pPr>
            <w:r w:rsidRPr="00AD5B8B">
              <w:rPr>
                <w:rFonts w:hint="cs"/>
                <w:b/>
                <w:bCs/>
                <w:rtl/>
              </w:rPr>
              <w:t xml:space="preserve">חוזה אדגר ונגס גיל </w:t>
            </w:r>
          </w:p>
          <w:p w14:paraId="5F8857DA" w14:textId="77777777" w:rsidR="005E43A5" w:rsidRPr="00AD5B8B" w:rsidRDefault="005E43A5" w:rsidP="005E43A5">
            <w:pPr>
              <w:jc w:val="both"/>
              <w:rPr>
                <w:rtl/>
              </w:rPr>
            </w:pPr>
            <w:r w:rsidRPr="00AD5B8B">
              <w:rPr>
                <w:rFonts w:hint="cs"/>
                <w:rtl/>
              </w:rPr>
              <w:t>על-ידי ב"כ עו"ד ענבר קינן</w:t>
            </w:r>
          </w:p>
          <w:p w14:paraId="0C9F3099" w14:textId="77777777" w:rsidR="005E43A5" w:rsidRPr="00AD5B8B" w:rsidRDefault="005E43A5" w:rsidP="005E43A5">
            <w:pPr>
              <w:jc w:val="both"/>
              <w:rPr>
                <w:b/>
                <w:bCs/>
                <w:rtl/>
              </w:rPr>
            </w:pPr>
          </w:p>
        </w:tc>
      </w:tr>
    </w:tbl>
    <w:p w14:paraId="7FEBC2C6" w14:textId="77777777" w:rsidR="00F950D9" w:rsidRPr="00F950D9" w:rsidRDefault="00F950D9" w:rsidP="00F950D9">
      <w:pPr>
        <w:spacing w:after="120" w:line="240" w:lineRule="exact"/>
        <w:ind w:left="283" w:hanging="283"/>
        <w:jc w:val="both"/>
        <w:rPr>
          <w:rFonts w:ascii="FrankRuehl" w:hAnsi="FrankRuehl" w:cs="FrankRuehl"/>
          <w:rtl/>
        </w:rPr>
      </w:pPr>
      <w:bookmarkStart w:id="3" w:name="LawTable"/>
      <w:bookmarkEnd w:id="3"/>
    </w:p>
    <w:p w14:paraId="129C2097" w14:textId="77777777" w:rsidR="00F950D9" w:rsidRPr="00F950D9" w:rsidRDefault="00F950D9" w:rsidP="00F950D9">
      <w:pPr>
        <w:spacing w:after="120" w:line="240" w:lineRule="exact"/>
        <w:ind w:left="283" w:hanging="283"/>
        <w:jc w:val="both"/>
        <w:rPr>
          <w:rFonts w:ascii="FrankRuehl" w:hAnsi="FrankRuehl" w:cs="FrankRuehl"/>
          <w:rtl/>
        </w:rPr>
      </w:pPr>
      <w:r w:rsidRPr="00F950D9">
        <w:rPr>
          <w:rFonts w:ascii="FrankRuehl" w:hAnsi="FrankRuehl" w:cs="FrankRuehl"/>
          <w:rtl/>
        </w:rPr>
        <w:t xml:space="preserve">חקיקה שאוזכרה: </w:t>
      </w:r>
    </w:p>
    <w:p w14:paraId="0A9B01AC" w14:textId="77777777" w:rsidR="00F950D9" w:rsidRPr="00F950D9" w:rsidRDefault="00F950D9" w:rsidP="00F950D9">
      <w:pPr>
        <w:spacing w:after="120" w:line="240" w:lineRule="exact"/>
        <w:ind w:left="283" w:hanging="283"/>
        <w:jc w:val="both"/>
        <w:rPr>
          <w:rFonts w:ascii="FrankRuehl" w:hAnsi="FrankRuehl" w:cs="FrankRuehl"/>
          <w:rtl/>
        </w:rPr>
      </w:pPr>
      <w:hyperlink r:id="rId6" w:history="1">
        <w:r w:rsidRPr="00F950D9">
          <w:rPr>
            <w:rFonts w:ascii="FrankRuehl" w:hAnsi="FrankRuehl" w:cs="FrankRuehl"/>
            <w:color w:val="0000FF"/>
            <w:u w:val="single"/>
            <w:rtl/>
          </w:rPr>
          <w:t>פקודת הסמים המסוכנים [נוסח חדש], תשל"ג-1973</w:t>
        </w:r>
      </w:hyperlink>
      <w:r w:rsidRPr="00F950D9">
        <w:rPr>
          <w:rFonts w:ascii="FrankRuehl" w:hAnsi="FrankRuehl" w:cs="FrankRuehl"/>
          <w:rtl/>
        </w:rPr>
        <w:t xml:space="preserve">: סע'  </w:t>
      </w:r>
      <w:hyperlink r:id="rId7" w:history="1">
        <w:r w:rsidRPr="00F950D9">
          <w:rPr>
            <w:rFonts w:ascii="FrankRuehl" w:hAnsi="FrankRuehl" w:cs="FrankRuehl"/>
            <w:color w:val="0000FF"/>
            <w:u w:val="single"/>
            <w:rtl/>
          </w:rPr>
          <w:t>13</w:t>
        </w:r>
      </w:hyperlink>
    </w:p>
    <w:p w14:paraId="779BDB87" w14:textId="77777777" w:rsidR="00F950D9" w:rsidRPr="00F950D9" w:rsidRDefault="00F950D9" w:rsidP="00F950D9">
      <w:pPr>
        <w:spacing w:after="120" w:line="240" w:lineRule="exact"/>
        <w:ind w:left="283" w:hanging="283"/>
        <w:jc w:val="both"/>
        <w:rPr>
          <w:rFonts w:ascii="FrankRuehl" w:hAnsi="FrankRuehl" w:cs="FrankRuehl"/>
          <w:rtl/>
        </w:rPr>
      </w:pPr>
      <w:hyperlink r:id="rId8" w:history="1">
        <w:r w:rsidRPr="00F950D9">
          <w:rPr>
            <w:rFonts w:ascii="FrankRuehl" w:hAnsi="FrankRuehl" w:cs="FrankRuehl"/>
            <w:color w:val="0000FF"/>
            <w:u w:val="single"/>
            <w:rtl/>
          </w:rPr>
          <w:t>חוק העונשין, תשל"ז-1977</w:t>
        </w:r>
      </w:hyperlink>
      <w:r w:rsidRPr="00F950D9">
        <w:rPr>
          <w:rFonts w:ascii="FrankRuehl" w:hAnsi="FrankRuehl" w:cs="FrankRuehl"/>
          <w:rtl/>
        </w:rPr>
        <w:t xml:space="preserve">: סע'  </w:t>
      </w:r>
      <w:hyperlink r:id="rId9" w:history="1">
        <w:r w:rsidRPr="00F950D9">
          <w:rPr>
            <w:rFonts w:ascii="FrankRuehl" w:hAnsi="FrankRuehl" w:cs="FrankRuehl"/>
            <w:color w:val="0000FF"/>
            <w:u w:val="single"/>
            <w:rtl/>
          </w:rPr>
          <w:t>40ט</w:t>
        </w:r>
      </w:hyperlink>
      <w:r w:rsidRPr="00F950D9">
        <w:rPr>
          <w:rFonts w:ascii="FrankRuehl" w:hAnsi="FrankRuehl" w:cs="FrankRuehl"/>
          <w:rtl/>
        </w:rPr>
        <w:t xml:space="preserve">, </w:t>
      </w:r>
      <w:hyperlink r:id="rId10" w:history="1">
        <w:r w:rsidRPr="00F950D9">
          <w:rPr>
            <w:rFonts w:ascii="FrankRuehl" w:hAnsi="FrankRuehl" w:cs="FrankRuehl"/>
            <w:color w:val="0000FF"/>
            <w:u w:val="single"/>
            <w:rtl/>
          </w:rPr>
          <w:t>40יא</w:t>
        </w:r>
      </w:hyperlink>
      <w:r w:rsidRPr="00F950D9">
        <w:rPr>
          <w:rFonts w:ascii="FrankRuehl" w:hAnsi="FrankRuehl" w:cs="FrankRuehl"/>
          <w:rtl/>
        </w:rPr>
        <w:t xml:space="preserve">, </w:t>
      </w:r>
      <w:hyperlink r:id="rId11" w:history="1">
        <w:r w:rsidRPr="00F950D9">
          <w:rPr>
            <w:rFonts w:ascii="FrankRuehl" w:hAnsi="FrankRuehl" w:cs="FrankRuehl"/>
            <w:color w:val="0000FF"/>
            <w:u w:val="single"/>
            <w:rtl/>
          </w:rPr>
          <w:t>(9)</w:t>
        </w:r>
      </w:hyperlink>
      <w:r w:rsidRPr="00F950D9">
        <w:rPr>
          <w:rFonts w:ascii="FrankRuehl" w:hAnsi="FrankRuehl" w:cs="FrankRuehl"/>
          <w:rtl/>
        </w:rPr>
        <w:t xml:space="preserve">, </w:t>
      </w:r>
      <w:hyperlink r:id="rId12" w:history="1">
        <w:r w:rsidRPr="00F950D9">
          <w:rPr>
            <w:rFonts w:ascii="FrankRuehl" w:hAnsi="FrankRuehl" w:cs="FrankRuehl"/>
            <w:color w:val="0000FF"/>
            <w:u w:val="single"/>
            <w:rtl/>
          </w:rPr>
          <w:t>499(א)</w:t>
        </w:r>
      </w:hyperlink>
    </w:p>
    <w:p w14:paraId="3141C527" w14:textId="77777777" w:rsidR="005E43A5" w:rsidRPr="00F950D9" w:rsidRDefault="005E43A5" w:rsidP="005E43A5">
      <w:pPr>
        <w:rPr>
          <w:rtl/>
        </w:rPr>
      </w:pPr>
    </w:p>
    <w:p w14:paraId="43352D6E" w14:textId="77777777" w:rsidR="005E43A5" w:rsidRPr="00AD5B8B" w:rsidRDefault="005E43A5" w:rsidP="005E43A5">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E43A5" w14:paraId="5F5CE03E" w14:textId="77777777" w:rsidTr="005E43A5">
        <w:trPr>
          <w:trHeight w:val="355"/>
          <w:jc w:val="center"/>
        </w:trPr>
        <w:tc>
          <w:tcPr>
            <w:tcW w:w="8820" w:type="dxa"/>
            <w:tcBorders>
              <w:top w:val="nil"/>
              <w:left w:val="nil"/>
              <w:bottom w:val="nil"/>
              <w:right w:val="nil"/>
            </w:tcBorders>
            <w:shd w:val="clear" w:color="auto" w:fill="auto"/>
          </w:tcPr>
          <w:p w14:paraId="6A1C9AA4" w14:textId="77777777" w:rsidR="00AD5B8B" w:rsidRPr="00AD5B8B" w:rsidRDefault="00AD5B8B" w:rsidP="00AD5B8B">
            <w:pPr>
              <w:jc w:val="center"/>
              <w:rPr>
                <w:rFonts w:ascii="Arial" w:hAnsi="Arial"/>
                <w:b/>
                <w:bCs/>
                <w:sz w:val="28"/>
                <w:szCs w:val="28"/>
                <w:u w:val="single"/>
                <w:rtl/>
              </w:rPr>
            </w:pPr>
            <w:bookmarkStart w:id="4" w:name="PsakDin" w:colFirst="0" w:colLast="0"/>
            <w:bookmarkEnd w:id="0"/>
            <w:r w:rsidRPr="00AD5B8B">
              <w:rPr>
                <w:rFonts w:ascii="Arial" w:hAnsi="Arial"/>
                <w:b/>
                <w:bCs/>
                <w:sz w:val="28"/>
                <w:szCs w:val="28"/>
                <w:u w:val="single"/>
                <w:rtl/>
              </w:rPr>
              <w:t>גזר דין</w:t>
            </w:r>
          </w:p>
          <w:p w14:paraId="666582EE" w14:textId="77777777" w:rsidR="005E43A5" w:rsidRPr="00AD5B8B" w:rsidRDefault="005E43A5" w:rsidP="00AD5B8B">
            <w:pPr>
              <w:jc w:val="center"/>
              <w:rPr>
                <w:rFonts w:ascii="Arial" w:hAnsi="Arial"/>
                <w:bCs/>
                <w:sz w:val="28"/>
                <w:szCs w:val="28"/>
                <w:u w:val="single"/>
                <w:rtl/>
              </w:rPr>
            </w:pPr>
          </w:p>
        </w:tc>
      </w:tr>
      <w:bookmarkEnd w:id="4"/>
    </w:tbl>
    <w:p w14:paraId="09138710" w14:textId="77777777" w:rsidR="005E43A5" w:rsidRDefault="005E43A5" w:rsidP="005E43A5">
      <w:pPr>
        <w:spacing w:line="360" w:lineRule="auto"/>
        <w:rPr>
          <w:rFonts w:ascii="Arial" w:hAnsi="Arial"/>
          <w:rtl/>
        </w:rPr>
      </w:pPr>
    </w:p>
    <w:p w14:paraId="4D3130CD" w14:textId="77777777" w:rsidR="005E43A5" w:rsidRDefault="005E43A5" w:rsidP="005E43A5">
      <w:pPr>
        <w:spacing w:line="360" w:lineRule="auto"/>
        <w:rPr>
          <w:rFonts w:ascii="Arial" w:hAnsi="Arial" w:hint="cs"/>
          <w:rtl/>
        </w:rPr>
      </w:pPr>
      <w:r>
        <w:rPr>
          <w:rFonts w:ascii="Arial" w:hAnsi="Arial"/>
          <w:rtl/>
        </w:rPr>
        <w:tab/>
      </w:r>
      <w:r>
        <w:rPr>
          <w:rFonts w:ascii="Arial" w:hAnsi="Arial" w:hint="cs"/>
          <w:u w:val="single"/>
          <w:rtl/>
        </w:rPr>
        <w:t>כללי</w:t>
      </w:r>
      <w:r w:rsidR="00CC4A32">
        <w:rPr>
          <w:rFonts w:ascii="Arial" w:hAnsi="Arial" w:hint="cs"/>
          <w:rtl/>
        </w:rPr>
        <w:t xml:space="preserve">    </w:t>
      </w:r>
    </w:p>
    <w:p w14:paraId="732A06F4" w14:textId="77777777" w:rsidR="005E43A5" w:rsidRDefault="005E43A5" w:rsidP="005E43A5">
      <w:pPr>
        <w:spacing w:line="360" w:lineRule="auto"/>
        <w:rPr>
          <w:rFonts w:ascii="Arial" w:hAnsi="Arial"/>
          <w:rtl/>
        </w:rPr>
      </w:pPr>
    </w:p>
    <w:p w14:paraId="2E59C0B8" w14:textId="77777777" w:rsidR="005E43A5" w:rsidRDefault="005E43A5" w:rsidP="005E43A5">
      <w:pPr>
        <w:spacing w:line="360" w:lineRule="auto"/>
        <w:ind w:left="720" w:hanging="720"/>
        <w:rPr>
          <w:rFonts w:ascii="Arial" w:hAnsi="Arial"/>
          <w:rtl/>
        </w:rPr>
      </w:pPr>
      <w:r>
        <w:rPr>
          <w:rFonts w:ascii="Arial" w:hAnsi="Arial" w:hint="cs"/>
          <w:rtl/>
        </w:rPr>
        <w:t>1.</w:t>
      </w:r>
      <w:r>
        <w:rPr>
          <w:rFonts w:ascii="Arial" w:hAnsi="Arial" w:hint="cs"/>
          <w:rtl/>
        </w:rPr>
        <w:tab/>
      </w:r>
      <w:bookmarkStart w:id="5" w:name="ABSTRACT_START"/>
      <w:bookmarkEnd w:id="5"/>
      <w:r>
        <w:rPr>
          <w:rFonts w:ascii="Arial" w:hAnsi="Arial" w:hint="cs"/>
          <w:rtl/>
        </w:rPr>
        <w:t xml:space="preserve">הנאשם הורשע על יסוד הודאתו בעבירות של ייבוא סם מסוכן, לפי </w:t>
      </w:r>
      <w:hyperlink r:id="rId13" w:history="1">
        <w:r w:rsidR="00F950D9" w:rsidRPr="00F950D9">
          <w:rPr>
            <w:rFonts w:ascii="Arial" w:hAnsi="Arial"/>
            <w:color w:val="0000FF"/>
            <w:u w:val="single"/>
            <w:rtl/>
          </w:rPr>
          <w:t>סעיף 13</w:t>
        </w:r>
      </w:hyperlink>
      <w:r>
        <w:rPr>
          <w:rFonts w:ascii="Arial" w:hAnsi="Arial" w:hint="cs"/>
          <w:rtl/>
        </w:rPr>
        <w:t xml:space="preserve"> </w:t>
      </w:r>
      <w:hyperlink r:id="rId14" w:history="1">
        <w:r w:rsidR="00F950D9" w:rsidRPr="00F950D9">
          <w:rPr>
            <w:rFonts w:ascii="Arial" w:hAnsi="Arial"/>
            <w:color w:val="0000FF"/>
            <w:u w:val="single"/>
            <w:rtl/>
          </w:rPr>
          <w:t>לפקודת</w:t>
        </w:r>
      </w:hyperlink>
      <w:r>
        <w:rPr>
          <w:rFonts w:ascii="Arial" w:hAnsi="Arial" w:hint="cs"/>
          <w:rtl/>
        </w:rPr>
        <w:t xml:space="preserve"> הסמים וקשירת קשר לביצוע פשע, לפי </w:t>
      </w:r>
      <w:hyperlink r:id="rId15" w:history="1">
        <w:r w:rsidR="00F950D9" w:rsidRPr="00F950D9">
          <w:rPr>
            <w:rFonts w:ascii="Arial" w:hAnsi="Arial"/>
            <w:color w:val="0000FF"/>
            <w:u w:val="single"/>
            <w:rtl/>
          </w:rPr>
          <w:t>סעיף 499(א)</w:t>
        </w:r>
      </w:hyperlink>
      <w:r>
        <w:rPr>
          <w:rFonts w:ascii="Arial" w:hAnsi="Arial" w:hint="cs"/>
          <w:rtl/>
        </w:rPr>
        <w:t xml:space="preserve"> ל</w:t>
      </w:r>
      <w:hyperlink r:id="rId16" w:history="1">
        <w:r w:rsidR="00AD5B8B" w:rsidRPr="00AD5B8B">
          <w:rPr>
            <w:rFonts w:ascii="Arial" w:hAnsi="Arial"/>
            <w:color w:val="0000FF"/>
            <w:u w:val="single"/>
            <w:rtl/>
          </w:rPr>
          <w:t>חוק העונשין</w:t>
        </w:r>
      </w:hyperlink>
      <w:r>
        <w:rPr>
          <w:rFonts w:ascii="Arial" w:hAnsi="Arial" w:hint="cs"/>
          <w:rtl/>
        </w:rPr>
        <w:t xml:space="preserve">. </w:t>
      </w:r>
    </w:p>
    <w:p w14:paraId="444312E8" w14:textId="77777777" w:rsidR="005E43A5" w:rsidRDefault="005E43A5" w:rsidP="005E43A5">
      <w:pPr>
        <w:spacing w:line="360" w:lineRule="auto"/>
        <w:ind w:left="720" w:hanging="720"/>
        <w:rPr>
          <w:rFonts w:ascii="Arial" w:hAnsi="Arial"/>
          <w:rtl/>
        </w:rPr>
      </w:pPr>
    </w:p>
    <w:p w14:paraId="5C3933BC" w14:textId="77777777" w:rsidR="005E43A5" w:rsidRDefault="005E43A5" w:rsidP="005E43A5">
      <w:pPr>
        <w:spacing w:line="360" w:lineRule="auto"/>
        <w:ind w:left="720" w:hanging="720"/>
        <w:rPr>
          <w:rFonts w:ascii="Arial" w:hAnsi="Arial"/>
          <w:rtl/>
        </w:rPr>
      </w:pPr>
      <w:r>
        <w:rPr>
          <w:rFonts w:ascii="Arial" w:hAnsi="Arial" w:hint="cs"/>
          <w:rtl/>
        </w:rPr>
        <w:t>2.</w:t>
      </w:r>
      <w:r>
        <w:rPr>
          <w:rFonts w:ascii="Arial" w:hAnsi="Arial" w:hint="cs"/>
          <w:rtl/>
        </w:rPr>
        <w:tab/>
        <w:t xml:space="preserve">הצדדים לא הגיעו להסדר לעניין העונש, אולם גובש הסדר דיוני, במסגרתו הוגשו מסמכים שונים מתוך תיק החקירה, אליהם התייחסו הצדדים במהלך הטיעונים לעונש. </w:t>
      </w:r>
    </w:p>
    <w:p w14:paraId="19828AE4" w14:textId="77777777" w:rsidR="005E43A5" w:rsidRDefault="005E43A5" w:rsidP="005E43A5">
      <w:pPr>
        <w:spacing w:line="360" w:lineRule="auto"/>
        <w:ind w:left="720" w:hanging="720"/>
        <w:rPr>
          <w:rFonts w:ascii="Arial" w:hAnsi="Arial"/>
          <w:rtl/>
        </w:rPr>
      </w:pPr>
    </w:p>
    <w:p w14:paraId="40170D44" w14:textId="77777777" w:rsidR="005E43A5" w:rsidRDefault="005E43A5" w:rsidP="005E43A5">
      <w:pPr>
        <w:spacing w:line="360" w:lineRule="auto"/>
        <w:ind w:left="720" w:hanging="720"/>
        <w:rPr>
          <w:rFonts w:ascii="Arial" w:hAnsi="Arial"/>
          <w:rtl/>
        </w:rPr>
      </w:pPr>
      <w:r>
        <w:rPr>
          <w:rFonts w:ascii="Arial" w:hAnsi="Arial"/>
          <w:rtl/>
        </w:rPr>
        <w:tab/>
      </w:r>
      <w:r>
        <w:rPr>
          <w:rFonts w:ascii="Arial" w:hAnsi="Arial" w:hint="cs"/>
          <w:u w:val="single"/>
          <w:rtl/>
        </w:rPr>
        <w:t>עובדות כתב האישום המתוקן</w:t>
      </w:r>
    </w:p>
    <w:p w14:paraId="4F64CBA2" w14:textId="77777777" w:rsidR="005E43A5" w:rsidRDefault="005E43A5" w:rsidP="005E43A5">
      <w:pPr>
        <w:spacing w:line="360" w:lineRule="auto"/>
        <w:ind w:left="720" w:hanging="720"/>
        <w:rPr>
          <w:rFonts w:ascii="Arial" w:hAnsi="Arial"/>
          <w:rtl/>
        </w:rPr>
      </w:pPr>
    </w:p>
    <w:p w14:paraId="68E4EF33" w14:textId="77777777" w:rsidR="005E43A5" w:rsidRDefault="005E43A5" w:rsidP="005E43A5">
      <w:pPr>
        <w:spacing w:line="360" w:lineRule="auto"/>
        <w:ind w:left="720" w:hanging="720"/>
        <w:jc w:val="both"/>
        <w:rPr>
          <w:rFonts w:ascii="Arial" w:hAnsi="Arial"/>
          <w:rtl/>
        </w:rPr>
      </w:pPr>
      <w:r>
        <w:rPr>
          <w:rFonts w:ascii="Arial" w:hAnsi="Arial" w:hint="cs"/>
          <w:rtl/>
        </w:rPr>
        <w:t>3.</w:t>
      </w:r>
      <w:r>
        <w:rPr>
          <w:rFonts w:ascii="Arial" w:hAnsi="Arial" w:hint="cs"/>
          <w:rtl/>
        </w:rPr>
        <w:tab/>
        <w:t xml:space="preserve">על-פי האמור בעובדות כתב האישום המתוקן (שתוקן עובר להצגת ההסדר הדיוני וללא קשר אליו), במועד שאינו ידוע במדויק למאשימה מספר שבועות עובר ליום 24.9.18 קשר הנאשם קשר עם אחרים תושבי מדינת קולומביה, שזהותם אינה ידועה למאשימה, לייבא סם מסוכן מסוג קוקאין לישראל (להלן </w:t>
      </w:r>
      <w:r>
        <w:rPr>
          <w:rFonts w:ascii="Arial" w:hAnsi="Arial"/>
          <w:rtl/>
        </w:rPr>
        <w:t>–</w:t>
      </w:r>
      <w:r>
        <w:rPr>
          <w:rFonts w:ascii="Arial" w:hAnsi="Arial" w:hint="cs"/>
          <w:rtl/>
        </w:rPr>
        <w:t xml:space="preserve"> </w:t>
      </w:r>
      <w:r>
        <w:rPr>
          <w:rFonts w:ascii="Arial" w:hAnsi="Arial" w:hint="cs"/>
          <w:b/>
          <w:bCs/>
          <w:rtl/>
        </w:rPr>
        <w:t>הקשר</w:t>
      </w:r>
      <w:r>
        <w:rPr>
          <w:rFonts w:ascii="Arial" w:hAnsi="Arial" w:hint="cs"/>
          <w:rtl/>
        </w:rPr>
        <w:t xml:space="preserve">). </w:t>
      </w:r>
      <w:r>
        <w:rPr>
          <w:rFonts w:ascii="Arial" w:hAnsi="Arial"/>
          <w:rtl/>
        </w:rPr>
        <w:br/>
      </w:r>
    </w:p>
    <w:p w14:paraId="31B96034" w14:textId="77777777" w:rsidR="005E43A5" w:rsidRDefault="005E43A5" w:rsidP="005E43A5">
      <w:pPr>
        <w:spacing w:line="360" w:lineRule="auto"/>
        <w:ind w:left="720" w:hanging="720"/>
        <w:jc w:val="both"/>
        <w:rPr>
          <w:rFonts w:ascii="Arial" w:hAnsi="Arial"/>
          <w:rtl/>
        </w:rPr>
      </w:pPr>
      <w:r>
        <w:rPr>
          <w:rFonts w:ascii="Arial" w:hAnsi="Arial"/>
          <w:rtl/>
        </w:rPr>
        <w:lastRenderedPageBreak/>
        <w:tab/>
      </w:r>
      <w:r>
        <w:rPr>
          <w:rFonts w:ascii="Arial" w:hAnsi="Arial" w:hint="cs"/>
          <w:rtl/>
        </w:rPr>
        <w:t xml:space="preserve">במסגרת הקשר ולשם קידומו, מספר ימים עובר ליום 24.9.18 קיבל הנאשם מאחר בקולומביה, שזהותו אינה ידועה למאשימה, "מכנסי 3/4" אליהם תפורים </w:t>
      </w:r>
      <w:r w:rsidRPr="00032176">
        <w:rPr>
          <w:rFonts w:ascii="Arial" w:hAnsi="Arial" w:hint="cs"/>
          <w:rtl/>
        </w:rPr>
        <w:t xml:space="preserve">ומוסלקים </w:t>
      </w:r>
      <w:r w:rsidRPr="00032176">
        <w:rPr>
          <w:rFonts w:ascii="Arial" w:hAnsi="Arial" w:hint="cs"/>
          <w:b/>
          <w:bCs/>
          <w:rtl/>
        </w:rPr>
        <w:t xml:space="preserve">1968.36 </w:t>
      </w:r>
      <w:r w:rsidRPr="00B8213E">
        <w:rPr>
          <w:rFonts w:ascii="Arial" w:hAnsi="Arial" w:hint="cs"/>
          <w:b/>
          <w:bCs/>
          <w:rtl/>
        </w:rPr>
        <w:t>גרם נטו של סם מסוכן מסוג קוקאין</w:t>
      </w:r>
      <w:r>
        <w:rPr>
          <w:rFonts w:ascii="Arial" w:hAnsi="Arial" w:hint="cs"/>
          <w:rtl/>
        </w:rPr>
        <w:t xml:space="preserve"> (להלן </w:t>
      </w:r>
      <w:r>
        <w:rPr>
          <w:rFonts w:ascii="Arial" w:hAnsi="Arial"/>
          <w:rtl/>
        </w:rPr>
        <w:t>–</w:t>
      </w:r>
      <w:r>
        <w:rPr>
          <w:rFonts w:ascii="Arial" w:hAnsi="Arial" w:hint="cs"/>
          <w:rtl/>
        </w:rPr>
        <w:t xml:space="preserve"> </w:t>
      </w:r>
      <w:r>
        <w:rPr>
          <w:rFonts w:ascii="Arial" w:hAnsi="Arial" w:hint="cs"/>
          <w:b/>
          <w:bCs/>
          <w:rtl/>
        </w:rPr>
        <w:t>המכנסיים</w:t>
      </w:r>
      <w:r>
        <w:rPr>
          <w:rFonts w:ascii="Arial" w:hAnsi="Arial" w:hint="cs"/>
          <w:rtl/>
        </w:rPr>
        <w:t xml:space="preserve"> ו- </w:t>
      </w:r>
      <w:r>
        <w:rPr>
          <w:rFonts w:ascii="Arial" w:hAnsi="Arial" w:hint="cs"/>
          <w:b/>
          <w:bCs/>
          <w:rtl/>
        </w:rPr>
        <w:t>הסמים</w:t>
      </w:r>
      <w:r>
        <w:rPr>
          <w:rFonts w:ascii="Arial" w:hAnsi="Arial" w:hint="cs"/>
          <w:rtl/>
        </w:rPr>
        <w:t xml:space="preserve"> בהתאמה). </w:t>
      </w:r>
    </w:p>
    <w:p w14:paraId="2FAC7B37" w14:textId="77777777" w:rsidR="005E43A5" w:rsidRDefault="005E43A5" w:rsidP="005E43A5">
      <w:pPr>
        <w:spacing w:line="360" w:lineRule="auto"/>
        <w:ind w:left="720" w:hanging="720"/>
        <w:jc w:val="both"/>
        <w:rPr>
          <w:rFonts w:ascii="Arial" w:hAnsi="Arial"/>
          <w:rtl/>
        </w:rPr>
      </w:pPr>
    </w:p>
    <w:p w14:paraId="06FFBC09" w14:textId="77777777" w:rsidR="005E43A5" w:rsidRDefault="005E43A5" w:rsidP="005E43A5">
      <w:pPr>
        <w:spacing w:line="360" w:lineRule="auto"/>
        <w:ind w:left="720" w:hanging="720"/>
        <w:jc w:val="both"/>
        <w:rPr>
          <w:rFonts w:ascii="Arial" w:hAnsi="Arial"/>
          <w:rtl/>
        </w:rPr>
      </w:pPr>
      <w:r>
        <w:rPr>
          <w:rFonts w:ascii="Arial" w:hAnsi="Arial"/>
          <w:rtl/>
        </w:rPr>
        <w:tab/>
      </w:r>
      <w:r>
        <w:rPr>
          <w:rFonts w:ascii="Arial" w:hAnsi="Arial" w:hint="cs"/>
          <w:rtl/>
        </w:rPr>
        <w:t xml:space="preserve">ביום 22.9.18 עזב הנאשם את קולומביה כשהוא לובש את המכנסיים ומעליהם לבש מכנסי ג'ינס,  וזאת במטרה להסתיר את הסמים, וביום 24.9.18 הגיע הנאשם בטיסה לישראל, אולם נעצר על-ידי שוטרי מרחב נתב"ג כשעל גופו הסמים. </w:t>
      </w:r>
    </w:p>
    <w:p w14:paraId="1BDD4A96" w14:textId="77777777" w:rsidR="005E43A5" w:rsidRDefault="005E43A5" w:rsidP="005E43A5">
      <w:pPr>
        <w:spacing w:line="360" w:lineRule="auto"/>
        <w:ind w:left="720" w:hanging="720"/>
        <w:jc w:val="both"/>
        <w:rPr>
          <w:rFonts w:ascii="Arial" w:hAnsi="Arial"/>
          <w:rtl/>
        </w:rPr>
      </w:pPr>
    </w:p>
    <w:p w14:paraId="13832181" w14:textId="77777777" w:rsidR="005E43A5" w:rsidRDefault="005E43A5" w:rsidP="005E43A5">
      <w:pPr>
        <w:spacing w:line="360" w:lineRule="auto"/>
        <w:ind w:left="720" w:hanging="720"/>
        <w:jc w:val="both"/>
        <w:rPr>
          <w:rFonts w:ascii="Arial" w:hAnsi="Arial"/>
          <w:rtl/>
        </w:rPr>
      </w:pPr>
    </w:p>
    <w:p w14:paraId="28A91081" w14:textId="77777777" w:rsidR="005E43A5" w:rsidRPr="00A82703" w:rsidRDefault="005E43A5" w:rsidP="005E43A5">
      <w:pPr>
        <w:spacing w:line="360" w:lineRule="auto"/>
        <w:ind w:left="720" w:hanging="720"/>
        <w:jc w:val="both"/>
        <w:rPr>
          <w:rFonts w:ascii="Arial" w:hAnsi="Arial"/>
          <w:rtl/>
        </w:rPr>
      </w:pPr>
      <w:bookmarkStart w:id="6" w:name="ABSTRACT_END"/>
      <w:bookmarkEnd w:id="6"/>
      <w:r>
        <w:rPr>
          <w:rFonts w:ascii="Arial" w:hAnsi="Arial"/>
          <w:rtl/>
        </w:rPr>
        <w:tab/>
      </w:r>
      <w:r>
        <w:rPr>
          <w:rFonts w:ascii="Arial" w:hAnsi="Arial" w:hint="cs"/>
          <w:u w:val="single"/>
          <w:rtl/>
        </w:rPr>
        <w:t>טיעוני הצדדים לעונש</w:t>
      </w:r>
    </w:p>
    <w:p w14:paraId="78EAF901" w14:textId="77777777" w:rsidR="005E43A5" w:rsidRDefault="005E43A5" w:rsidP="005E43A5">
      <w:pPr>
        <w:spacing w:line="360" w:lineRule="auto"/>
        <w:ind w:left="720" w:hanging="720"/>
        <w:jc w:val="both"/>
        <w:rPr>
          <w:rFonts w:ascii="Arial" w:hAnsi="Arial"/>
          <w:rtl/>
        </w:rPr>
      </w:pPr>
    </w:p>
    <w:p w14:paraId="695F9AE4" w14:textId="77777777" w:rsidR="005E43A5" w:rsidRDefault="005E43A5" w:rsidP="005E43A5">
      <w:pPr>
        <w:spacing w:line="360" w:lineRule="auto"/>
        <w:ind w:left="720" w:hanging="720"/>
        <w:jc w:val="both"/>
        <w:rPr>
          <w:rtl/>
        </w:rPr>
      </w:pPr>
      <w:r>
        <w:rPr>
          <w:rFonts w:hint="cs"/>
          <w:rtl/>
        </w:rPr>
        <w:t>4.</w:t>
      </w:r>
      <w:r>
        <w:rPr>
          <w:rFonts w:hint="cs"/>
          <w:rtl/>
        </w:rPr>
        <w:tab/>
        <w:t xml:space="preserve">התובעת, עו"ד שרית ארונוב, עמדה בטיעוניה על הערכים החברתיים שנפגעו כתוצאה ממעשיו של הנאשם, על הפגיעה הפוטנציאלית בשלום הציבור ובבריאותו, ועל הנזקים הנלווים לשימוש בסמים. כמות הסם, כך נטען ועל כך אין חולק, הובאה לישראל למטרת סחר, כאשר על-פי טיעון התובעת, מדובר בכמות המתאימה לכ- 6,500 מנות סם. התובעת ציינה כי יש לראות בנאשם חוליה משמעותית בשרשרת ייבוא והפצת הסם כגורם בלעדיו אין, ומכאן ההשלכה על מתחם העונש ההולם. תוך הפניה לפסיקה בתיקים דומים, עתרה התובעת למתחם עונש הולם הנע בין ארבע שנות מאסר לשבע שנות מאסר. </w:t>
      </w:r>
    </w:p>
    <w:p w14:paraId="13C5FCAA" w14:textId="77777777" w:rsidR="005E43A5" w:rsidRDefault="005E43A5" w:rsidP="005E43A5">
      <w:pPr>
        <w:spacing w:line="360" w:lineRule="auto"/>
        <w:ind w:left="720" w:hanging="720"/>
        <w:jc w:val="both"/>
        <w:rPr>
          <w:rtl/>
        </w:rPr>
      </w:pPr>
    </w:p>
    <w:p w14:paraId="2D7AC573" w14:textId="77777777" w:rsidR="005E43A5" w:rsidRDefault="005E43A5" w:rsidP="005E43A5">
      <w:pPr>
        <w:spacing w:line="360" w:lineRule="auto"/>
        <w:ind w:left="720" w:hanging="720"/>
        <w:jc w:val="both"/>
        <w:rPr>
          <w:rtl/>
        </w:rPr>
      </w:pPr>
      <w:r>
        <w:rPr>
          <w:rtl/>
        </w:rPr>
        <w:tab/>
      </w:r>
      <w:r>
        <w:rPr>
          <w:rFonts w:hint="cs"/>
          <w:rtl/>
        </w:rPr>
        <w:t xml:space="preserve">באשר לעונש המתאים, ובהינתן שיתוף הפעולה של הנאשם עת נלכד על-ידי שוטרי נתב"ג (ללא כל תמורה) ופעולותיו שנועדו לסייע ללכידת גורמים נוספים הקשורים לייבוא הסם, סברה התובעת כי יש מקום למקם את הנאשם בשליש התחתון של המתחם, וזאת לצד הטלת רכיבי ענישה נוספים בדמות מאסר מותנה וקנס. </w:t>
      </w:r>
    </w:p>
    <w:p w14:paraId="59F58F63" w14:textId="77777777" w:rsidR="005E43A5" w:rsidRDefault="005E43A5" w:rsidP="005E43A5">
      <w:pPr>
        <w:spacing w:line="360" w:lineRule="auto"/>
        <w:ind w:left="720" w:hanging="720"/>
        <w:jc w:val="both"/>
        <w:rPr>
          <w:rtl/>
        </w:rPr>
      </w:pPr>
    </w:p>
    <w:p w14:paraId="3C8AB529" w14:textId="77777777" w:rsidR="005E43A5" w:rsidRDefault="005E43A5" w:rsidP="005E43A5">
      <w:pPr>
        <w:spacing w:line="360" w:lineRule="auto"/>
        <w:ind w:left="720" w:hanging="720"/>
        <w:jc w:val="both"/>
        <w:rPr>
          <w:rtl/>
        </w:rPr>
      </w:pPr>
      <w:r>
        <w:rPr>
          <w:rFonts w:hint="cs"/>
          <w:rtl/>
        </w:rPr>
        <w:t>5.</w:t>
      </w:r>
      <w:r>
        <w:rPr>
          <w:rFonts w:hint="cs"/>
          <w:rtl/>
        </w:rPr>
        <w:tab/>
        <w:t xml:space="preserve">הסנגורית, עו"ד ענבר קינן, עמדה בטיעוניה על מעשיו של הנאשם, על הפסיקה המקובלת בעבירות כגון אלה, וסברה כי מתחם העונש ההולם נמוך באופן משמעותי מהמתחם לו עתרה התביעה, ועליו לעמוד על 30 חודשי מאסר (ברף התחתון) ועל 40 חודשי מאסר (ברף העליון), זאת גם תוך התחשבות בהתנהלות רשויות החקירה. הסנגורית ציינה בהקשר למתחם כי אין  ליתן משקל משמעותי לכמות הסם, וזאת בהתאם לניסיון החיים, לפיו הבלדר (שהוא על-פי רוב החוליה החלשה בשרשרת) מסכים להעביר סמים עבור גורמים רבי עוצמה, מבלי שגיבש ידיעה ברורה באשר לכמות המדויקת של הסמים אותם הוא מעביר. </w:t>
      </w:r>
    </w:p>
    <w:p w14:paraId="3054CAD3" w14:textId="77777777" w:rsidR="005E43A5" w:rsidRDefault="005E43A5" w:rsidP="005E43A5">
      <w:pPr>
        <w:spacing w:line="360" w:lineRule="auto"/>
        <w:ind w:left="720" w:hanging="720"/>
        <w:jc w:val="both"/>
        <w:rPr>
          <w:rtl/>
        </w:rPr>
      </w:pPr>
    </w:p>
    <w:p w14:paraId="3FF5CDD4" w14:textId="77777777" w:rsidR="005E43A5" w:rsidRDefault="005E43A5" w:rsidP="005E43A5">
      <w:pPr>
        <w:spacing w:line="360" w:lineRule="auto"/>
        <w:ind w:left="720" w:hanging="720"/>
        <w:jc w:val="both"/>
        <w:rPr>
          <w:rtl/>
        </w:rPr>
      </w:pPr>
      <w:r>
        <w:rPr>
          <w:rtl/>
        </w:rPr>
        <w:tab/>
      </w:r>
      <w:r>
        <w:rPr>
          <w:rFonts w:hint="cs"/>
          <w:rtl/>
        </w:rPr>
        <w:t xml:space="preserve">פרק נרחב בטיעון הסנגורית התייחס לקורות הנאשם עת נעצר בישראל, ולהתנהלות רשויות החקירה. כך נטען, כי מיד עם עיכובו של הנאשם בנתב"ג השתהו גורמי החקירה בביצוע פעולות נחוצות, שאם היו מתבצעות, ייתכן והיו מובילות ללכידת הגורמים המעורבים בייבוא הסם הנמצאים בישראל; כך נטען כי המשטרה מנעה מהנאשם מפגש עם עורך דין, תוך שימוש לרעה בהוראת החוק המאפשרת לעשות כן. התנהלות זו של גורמי החקירה, ובמיוחד על רקע מיהותו של הנאשם, גילו ונתוניו המורכבים, הובילה לכך כי הנאשם שיתף פעולה באופן מלא עם גורמי החקירה , מבלי שהיה מודע לכלל זכויותיו. הסנגורית הפנתה לעובדה, העולה מתוך המסמכים המוסכמים שהוגשו, כי בעת התשאול שנערך לנאשם בחדר החיפושים בנתב"ג, נאמר לו כי הוא יכול לשכור עורך דין, אך לא נאמר לו כי זכותו לקבל עורך דין מטעם המדינה. עוד הפנתה הסנגורית לכשלים שונים שנפלו בתרגום דברי גורמי החקירה לנאשם, כאשר בתשאול הראשון </w:t>
      </w:r>
      <w:r>
        <w:rPr>
          <w:rFonts w:hint="cs"/>
          <w:rtl/>
        </w:rPr>
        <w:lastRenderedPageBreak/>
        <w:t>לא היה מתורגמן; בחיפוש שנעשה בעקבות התשאול הראשון נעזרו גורמי החקירה ב-</w:t>
      </w:r>
      <w:r>
        <w:t xml:space="preserve">google translate </w:t>
      </w:r>
      <w:r>
        <w:rPr>
          <w:rFonts w:hint="cs"/>
          <w:rtl/>
        </w:rPr>
        <w:t xml:space="preserve"> והתשאול השני שנערך בתום החיפוש, נעשה באמצעות מתורגמן מחברה אזרחית הפועלת בשטח נתב"ג; כך נטען, כי התנהלות גורמי החקירה הייתה פגומה אף בהיבטים מוסריים, וזאת בהינתן העובדה כי עת הגיע הנאשם עם גורמי החקירה לאותו מלון בו צריכה הייתה להתבצע מסירת הסמים, הנאשם נאלץ לשלם מכספו על החדר במלון ואף לקנות מכספו אוכל.</w:t>
      </w:r>
    </w:p>
    <w:p w14:paraId="53E61B4D" w14:textId="77777777" w:rsidR="005E43A5" w:rsidRDefault="005E43A5" w:rsidP="005E43A5">
      <w:pPr>
        <w:spacing w:line="360" w:lineRule="auto"/>
        <w:ind w:left="720" w:hanging="720"/>
        <w:jc w:val="both"/>
        <w:rPr>
          <w:rtl/>
        </w:rPr>
      </w:pPr>
    </w:p>
    <w:p w14:paraId="3DB23848" w14:textId="77777777" w:rsidR="005E43A5" w:rsidRDefault="005E43A5" w:rsidP="005E43A5">
      <w:pPr>
        <w:spacing w:line="360" w:lineRule="auto"/>
        <w:ind w:left="720" w:hanging="720"/>
        <w:jc w:val="both"/>
        <w:rPr>
          <w:rtl/>
        </w:rPr>
      </w:pPr>
    </w:p>
    <w:p w14:paraId="7925FDCA" w14:textId="77777777" w:rsidR="005E43A5" w:rsidRDefault="005E43A5" w:rsidP="005E43A5">
      <w:pPr>
        <w:spacing w:line="360" w:lineRule="auto"/>
        <w:ind w:left="720" w:hanging="720"/>
        <w:jc w:val="both"/>
        <w:rPr>
          <w:rtl/>
        </w:rPr>
      </w:pPr>
      <w:r>
        <w:rPr>
          <w:rtl/>
        </w:rPr>
        <w:tab/>
      </w:r>
      <w:r>
        <w:rPr>
          <w:rFonts w:hint="cs"/>
          <w:rtl/>
        </w:rPr>
        <w:t xml:space="preserve">במסגרת טיעונה עמדה הסנגורית אף על נתוניו האישיים של הנאשם: אלמן בן 71, שעבד במסחר זעיר ברחובות קולומביה, הוא מובטל מזה 15 שנה. הנאשם מצא את עצמו נאבק בקשיים כלכליים משמעותיים, וכאשר פנה לאדם מסוים על-מנת לבקש סיוע כלכלי, התבקש לבצע את העברת הסם כנגד אותו סיוע. כל רצונו של הנאשם הסתכם ברצון לסייע לבתו בת ה- 47, שאף היא נאבקה בקשיים כלכליים. </w:t>
      </w:r>
    </w:p>
    <w:p w14:paraId="41863434" w14:textId="77777777" w:rsidR="005E43A5" w:rsidRDefault="005E43A5" w:rsidP="005E43A5">
      <w:pPr>
        <w:spacing w:line="360" w:lineRule="auto"/>
        <w:ind w:left="720" w:hanging="720"/>
        <w:jc w:val="both"/>
        <w:rPr>
          <w:rtl/>
        </w:rPr>
      </w:pPr>
    </w:p>
    <w:p w14:paraId="548D989D" w14:textId="77777777" w:rsidR="005E43A5" w:rsidRDefault="005E43A5" w:rsidP="005E43A5">
      <w:pPr>
        <w:spacing w:line="360" w:lineRule="auto"/>
        <w:ind w:left="720" w:hanging="720"/>
        <w:jc w:val="both"/>
        <w:rPr>
          <w:rtl/>
        </w:rPr>
      </w:pPr>
      <w:r>
        <w:rPr>
          <w:rtl/>
        </w:rPr>
        <w:tab/>
      </w:r>
      <w:r>
        <w:rPr>
          <w:rFonts w:hint="cs"/>
          <w:rtl/>
        </w:rPr>
        <w:t xml:space="preserve">הסנגורית סברה כי על רקע כלל הנתונים שפורטו לעיל, יש לקבל את עתירתה ביחס למתחם, ויש למקם את עונשו של הנאשם ברף התחתון של המתחם.  </w:t>
      </w:r>
    </w:p>
    <w:p w14:paraId="5724A430" w14:textId="77777777" w:rsidR="005E43A5" w:rsidRDefault="005E43A5" w:rsidP="005E43A5">
      <w:pPr>
        <w:spacing w:line="360" w:lineRule="auto"/>
        <w:ind w:left="720" w:hanging="720"/>
        <w:jc w:val="both"/>
        <w:rPr>
          <w:rtl/>
        </w:rPr>
      </w:pPr>
    </w:p>
    <w:p w14:paraId="33BBA785" w14:textId="77777777" w:rsidR="005E43A5" w:rsidRDefault="005E43A5" w:rsidP="005E43A5">
      <w:pPr>
        <w:spacing w:line="360" w:lineRule="auto"/>
        <w:ind w:left="720" w:hanging="720"/>
        <w:jc w:val="both"/>
        <w:rPr>
          <w:rtl/>
        </w:rPr>
      </w:pPr>
      <w:r>
        <w:rPr>
          <w:rFonts w:hint="cs"/>
          <w:rtl/>
        </w:rPr>
        <w:t>6.</w:t>
      </w:r>
      <w:r>
        <w:rPr>
          <w:rFonts w:hint="cs"/>
          <w:rtl/>
        </w:rPr>
        <w:tab/>
        <w:t xml:space="preserve">הנאשם בדברו האחרון הביע צער עמוק על מעשיו וציין כי עשה את שעשה על רקע קשיים כלכליים משמעותיים. </w:t>
      </w:r>
    </w:p>
    <w:p w14:paraId="41166A3D" w14:textId="77777777" w:rsidR="005E43A5" w:rsidRDefault="005E43A5" w:rsidP="005E43A5">
      <w:pPr>
        <w:spacing w:line="360" w:lineRule="auto"/>
        <w:ind w:left="720" w:hanging="720"/>
        <w:jc w:val="both"/>
        <w:rPr>
          <w:rtl/>
        </w:rPr>
      </w:pPr>
    </w:p>
    <w:p w14:paraId="13F68699" w14:textId="77777777" w:rsidR="005E43A5" w:rsidRDefault="005E43A5" w:rsidP="005E43A5">
      <w:pPr>
        <w:spacing w:line="360" w:lineRule="auto"/>
        <w:ind w:left="720" w:hanging="720"/>
        <w:jc w:val="both"/>
        <w:rPr>
          <w:rtl/>
        </w:rPr>
      </w:pPr>
      <w:r>
        <w:rPr>
          <w:rtl/>
        </w:rPr>
        <w:tab/>
      </w:r>
      <w:r>
        <w:rPr>
          <w:rFonts w:hint="cs"/>
          <w:u w:val="single"/>
          <w:rtl/>
        </w:rPr>
        <w:t>דיון והכרעה</w:t>
      </w:r>
    </w:p>
    <w:p w14:paraId="7396464A" w14:textId="77777777" w:rsidR="005E43A5" w:rsidRDefault="005E43A5" w:rsidP="005E43A5">
      <w:pPr>
        <w:spacing w:line="360" w:lineRule="auto"/>
        <w:ind w:left="720" w:hanging="720"/>
        <w:jc w:val="both"/>
        <w:rPr>
          <w:rtl/>
        </w:rPr>
      </w:pPr>
    </w:p>
    <w:p w14:paraId="67137340" w14:textId="77777777" w:rsidR="005E43A5" w:rsidRDefault="005E43A5" w:rsidP="005E43A5">
      <w:pPr>
        <w:spacing w:line="360" w:lineRule="auto"/>
        <w:ind w:left="720" w:hanging="720"/>
        <w:jc w:val="both"/>
        <w:rPr>
          <w:rtl/>
        </w:rPr>
      </w:pPr>
      <w:r>
        <w:rPr>
          <w:rtl/>
        </w:rPr>
        <w:tab/>
      </w:r>
      <w:r w:rsidRPr="00401202">
        <w:rPr>
          <w:rFonts w:hint="cs"/>
          <w:u w:val="single"/>
          <w:rtl/>
        </w:rPr>
        <w:t>קביעת מתחם העונש ההולם</w:t>
      </w:r>
    </w:p>
    <w:p w14:paraId="70394D84" w14:textId="77777777" w:rsidR="005E43A5" w:rsidRPr="00401202" w:rsidRDefault="005E43A5" w:rsidP="005E43A5">
      <w:pPr>
        <w:spacing w:line="360" w:lineRule="auto"/>
        <w:ind w:left="720" w:hanging="720"/>
        <w:jc w:val="both"/>
        <w:rPr>
          <w:rtl/>
        </w:rPr>
      </w:pPr>
    </w:p>
    <w:p w14:paraId="615FB70A" w14:textId="77777777" w:rsidR="005E43A5" w:rsidRDefault="005E43A5" w:rsidP="005E43A5">
      <w:pPr>
        <w:spacing w:line="360" w:lineRule="auto"/>
        <w:ind w:left="720" w:hanging="720"/>
        <w:jc w:val="both"/>
        <w:rPr>
          <w:rtl/>
        </w:rPr>
      </w:pPr>
      <w:r>
        <w:rPr>
          <w:rFonts w:hint="cs"/>
          <w:rtl/>
        </w:rPr>
        <w:t>7.</w:t>
      </w:r>
      <w:r>
        <w:rPr>
          <w:rFonts w:hint="cs"/>
          <w:rtl/>
        </w:rPr>
        <w:tab/>
        <w:t xml:space="preserve">בית המשפט העליון עמד פעמים רבות על החומרה הטמונה בעבירות שתכליתן החדרת סמים לתוך מדינת ישראל, תוך הדגשת החומרה המיוחדת בהחדרת סמים מסוג קוקאין. </w:t>
      </w:r>
    </w:p>
    <w:p w14:paraId="2FFDDEAA" w14:textId="77777777" w:rsidR="005E43A5" w:rsidRDefault="005E43A5" w:rsidP="005E43A5">
      <w:pPr>
        <w:spacing w:line="360" w:lineRule="auto"/>
        <w:ind w:left="720" w:hanging="720"/>
        <w:jc w:val="both"/>
        <w:rPr>
          <w:rtl/>
        </w:rPr>
      </w:pPr>
    </w:p>
    <w:p w14:paraId="3953E60B" w14:textId="77777777" w:rsidR="005E43A5" w:rsidRDefault="005E43A5" w:rsidP="005E43A5">
      <w:pPr>
        <w:spacing w:line="360" w:lineRule="auto"/>
        <w:ind w:left="720" w:hanging="720"/>
        <w:jc w:val="both"/>
        <w:rPr>
          <w:rtl/>
        </w:rPr>
      </w:pPr>
      <w:r>
        <w:rPr>
          <w:rtl/>
        </w:rPr>
        <w:tab/>
      </w:r>
      <w:r>
        <w:rPr>
          <w:rFonts w:hint="cs"/>
          <w:rtl/>
        </w:rPr>
        <w:t>וכך נקבע ב</w:t>
      </w:r>
      <w:hyperlink r:id="rId17" w:history="1">
        <w:r w:rsidR="00AD5B8B" w:rsidRPr="00AD5B8B">
          <w:rPr>
            <w:color w:val="0000FF"/>
            <w:u w:val="single"/>
            <w:rtl/>
          </w:rPr>
          <w:t>ע"פ 4008/11</w:t>
        </w:r>
      </w:hyperlink>
      <w:r>
        <w:rPr>
          <w:rFonts w:hint="cs"/>
          <w:rtl/>
        </w:rPr>
        <w:t xml:space="preserve"> </w:t>
      </w:r>
      <w:r>
        <w:rPr>
          <w:rFonts w:hint="cs"/>
          <w:b/>
          <w:bCs/>
          <w:rtl/>
        </w:rPr>
        <w:t xml:space="preserve">גוארדיה נ' מדינת ישראל </w:t>
      </w:r>
      <w:r>
        <w:rPr>
          <w:rFonts w:hint="cs"/>
          <w:rtl/>
        </w:rPr>
        <w:t>(6.3.2012):</w:t>
      </w:r>
    </w:p>
    <w:p w14:paraId="62ACF602" w14:textId="77777777" w:rsidR="005E43A5" w:rsidRDefault="005E43A5" w:rsidP="005E43A5">
      <w:pPr>
        <w:spacing w:line="360" w:lineRule="auto"/>
        <w:ind w:left="720" w:hanging="720"/>
        <w:jc w:val="both"/>
        <w:rPr>
          <w:rtl/>
        </w:rPr>
      </w:pPr>
    </w:p>
    <w:p w14:paraId="2066858B" w14:textId="77777777" w:rsidR="005E43A5" w:rsidRDefault="005E43A5" w:rsidP="005E43A5">
      <w:pPr>
        <w:spacing w:line="360" w:lineRule="auto"/>
        <w:ind w:left="720" w:hanging="720"/>
        <w:jc w:val="both"/>
        <w:rPr>
          <w:rtl/>
        </w:rPr>
      </w:pPr>
      <w:r>
        <w:rPr>
          <w:rtl/>
        </w:rPr>
        <w:tab/>
      </w:r>
      <w:r>
        <w:rPr>
          <w:rFonts w:hint="cs"/>
          <w:rtl/>
        </w:rPr>
        <w:t>"</w:t>
      </w:r>
      <w:r>
        <w:rPr>
          <w:rFonts w:hint="cs"/>
          <w:b/>
          <w:bCs/>
          <w:rtl/>
        </w:rPr>
        <w:t>פגיעתם של הסמים המסוכנים היא קשה ונרחבת, ביחידים ובציבור, ושומה לעשות כל הניתן במסגרת המאבק בנגע הסמים. סם הקוקאין הוא מן המסוכנים שבסמים. המערערים ייבאו כמות גדולה. ענישה מחמירה וכואבת היא הכרח בל יגונה</w:t>
      </w:r>
      <w:r>
        <w:rPr>
          <w:rFonts w:hint="cs"/>
          <w:rtl/>
        </w:rPr>
        <w:t xml:space="preserve">". </w:t>
      </w:r>
    </w:p>
    <w:p w14:paraId="181DDEAB" w14:textId="77777777" w:rsidR="005E43A5" w:rsidRDefault="005E43A5" w:rsidP="005E43A5">
      <w:pPr>
        <w:spacing w:line="360" w:lineRule="auto"/>
        <w:ind w:left="720" w:hanging="720"/>
        <w:jc w:val="both"/>
        <w:rPr>
          <w:rtl/>
        </w:rPr>
      </w:pPr>
    </w:p>
    <w:p w14:paraId="4CF4104D" w14:textId="77777777" w:rsidR="005E43A5" w:rsidRDefault="005E43A5" w:rsidP="005E43A5">
      <w:pPr>
        <w:spacing w:line="360" w:lineRule="auto"/>
        <w:ind w:left="720" w:hanging="720"/>
        <w:jc w:val="both"/>
        <w:rPr>
          <w:rtl/>
        </w:rPr>
      </w:pPr>
      <w:r>
        <w:rPr>
          <w:rtl/>
        </w:rPr>
        <w:tab/>
      </w:r>
      <w:r>
        <w:rPr>
          <w:rFonts w:hint="cs"/>
          <w:rtl/>
        </w:rPr>
        <w:t>ב</w:t>
      </w:r>
      <w:hyperlink r:id="rId18" w:history="1">
        <w:r w:rsidR="00AD5B8B" w:rsidRPr="00AD5B8B">
          <w:rPr>
            <w:color w:val="0000FF"/>
            <w:u w:val="single"/>
            <w:rtl/>
          </w:rPr>
          <w:t>ע"פ 6029/03 מדינת ישראל נ' שמאי, פ"ד נח</w:t>
        </w:r>
      </w:hyperlink>
      <w:r>
        <w:rPr>
          <w:rFonts w:hint="cs"/>
          <w:rtl/>
        </w:rPr>
        <w:t>(2) 737 (2004) נקבעו הדברים הבאים:</w:t>
      </w:r>
    </w:p>
    <w:p w14:paraId="4A222D11" w14:textId="77777777" w:rsidR="005E43A5" w:rsidRDefault="005E43A5" w:rsidP="005E43A5">
      <w:pPr>
        <w:spacing w:line="360" w:lineRule="auto"/>
        <w:ind w:left="720" w:hanging="720"/>
        <w:jc w:val="both"/>
        <w:rPr>
          <w:rtl/>
        </w:rPr>
      </w:pPr>
    </w:p>
    <w:p w14:paraId="1C27CFE0" w14:textId="77777777" w:rsidR="005E43A5" w:rsidRDefault="005E43A5" w:rsidP="005E43A5">
      <w:pPr>
        <w:spacing w:line="360" w:lineRule="auto"/>
        <w:ind w:left="720" w:hanging="720"/>
        <w:jc w:val="both"/>
        <w:rPr>
          <w:rtl/>
        </w:rPr>
      </w:pPr>
      <w:r>
        <w:rPr>
          <w:rtl/>
        </w:rPr>
        <w:tab/>
      </w:r>
      <w:r>
        <w:rPr>
          <w:rFonts w:hint="cs"/>
          <w:rtl/>
        </w:rPr>
        <w:t>"</w:t>
      </w:r>
      <w:r>
        <w:rPr>
          <w:rFonts w:hint="cs"/>
          <w:b/>
          <w:bCs/>
          <w:rtl/>
        </w:rPr>
        <w:t xml:space="preserve">בעבירות סמים נסוגים השיקולים האישיים של העבריין מפני שיקולי הנזק הקשה שהשימוש בסם מביא על המשתמשים בו... שומה על בית המשפט לשקול את הפגיעה הקשה בצרכני הסם </w:t>
      </w:r>
      <w:r>
        <w:rPr>
          <w:b/>
          <w:bCs/>
          <w:rtl/>
        </w:rPr>
        <w:t>–</w:t>
      </w:r>
      <w:r>
        <w:rPr>
          <w:rFonts w:hint="cs"/>
          <w:b/>
          <w:bCs/>
          <w:rtl/>
        </w:rPr>
        <w:t xml:space="preserve"> צרכנים קיימים וצרכים פוטנציאליים </w:t>
      </w:r>
      <w:r>
        <w:rPr>
          <w:b/>
          <w:bCs/>
          <w:rtl/>
        </w:rPr>
        <w:t>–</w:t>
      </w:r>
      <w:r>
        <w:rPr>
          <w:rFonts w:hint="cs"/>
          <w:b/>
          <w:bCs/>
          <w:rtl/>
        </w:rPr>
        <w:t xml:space="preserve"> לרבות גרירתם לביצוע של עבירות פליליות לצורך מימון הסם</w:t>
      </w:r>
      <w:r>
        <w:rPr>
          <w:rFonts w:hint="cs"/>
          <w:rtl/>
        </w:rPr>
        <w:t xml:space="preserve">". </w:t>
      </w:r>
    </w:p>
    <w:p w14:paraId="3E5E9107" w14:textId="77777777" w:rsidR="005E43A5" w:rsidRDefault="005E43A5" w:rsidP="005E43A5">
      <w:pPr>
        <w:spacing w:line="360" w:lineRule="auto"/>
        <w:ind w:left="720" w:hanging="720"/>
        <w:jc w:val="both"/>
        <w:rPr>
          <w:rtl/>
        </w:rPr>
      </w:pPr>
    </w:p>
    <w:p w14:paraId="4CEE8C6A" w14:textId="77777777" w:rsidR="005E43A5" w:rsidRDefault="005E43A5" w:rsidP="005E43A5">
      <w:pPr>
        <w:spacing w:line="360" w:lineRule="auto"/>
        <w:ind w:left="720" w:hanging="720"/>
        <w:jc w:val="both"/>
        <w:rPr>
          <w:rtl/>
        </w:rPr>
      </w:pPr>
      <w:r>
        <w:rPr>
          <w:rFonts w:hint="cs"/>
          <w:rtl/>
        </w:rPr>
        <w:t>8.</w:t>
      </w:r>
      <w:r>
        <w:rPr>
          <w:rFonts w:hint="cs"/>
          <w:rtl/>
        </w:rPr>
        <w:tab/>
        <w:t xml:space="preserve">מעבר לאותם ערכים מוגנים שנפגעו, שפורטו בפסיקת בית המשפט העליון, לרבות זו שהוזכרה לעיל, ובהם הפגיעה הפוטנציאלית בבריאות הציבור, בשלומו, והצורך להגן על הציבור גם מפני ביצוע עבירות נלוות הקשורות בטבורן לשימוש בסמים, יש מקום להתחשב בקביעת המתחם גם בנתונים הבאים: </w:t>
      </w:r>
    </w:p>
    <w:p w14:paraId="768D944C" w14:textId="77777777" w:rsidR="005E43A5" w:rsidRDefault="005E43A5" w:rsidP="005E43A5">
      <w:pPr>
        <w:spacing w:line="360" w:lineRule="auto"/>
        <w:ind w:left="720" w:hanging="720"/>
        <w:jc w:val="both"/>
        <w:rPr>
          <w:rtl/>
        </w:rPr>
      </w:pPr>
    </w:p>
    <w:p w14:paraId="307F26FD" w14:textId="77777777" w:rsidR="005E43A5" w:rsidRDefault="005E43A5" w:rsidP="005E43A5">
      <w:pPr>
        <w:spacing w:line="360" w:lineRule="auto"/>
        <w:ind w:left="720" w:hanging="720"/>
        <w:jc w:val="both"/>
        <w:rPr>
          <w:rtl/>
        </w:rPr>
      </w:pPr>
      <w:r>
        <w:rPr>
          <w:rFonts w:hint="cs"/>
          <w:rtl/>
        </w:rPr>
        <w:t>(א)</w:t>
      </w:r>
      <w:r>
        <w:rPr>
          <w:rtl/>
        </w:rPr>
        <w:tab/>
      </w:r>
      <w:r w:rsidRPr="00CE3925">
        <w:rPr>
          <w:rFonts w:hint="cs"/>
          <w:b/>
          <w:bCs/>
          <w:rtl/>
        </w:rPr>
        <w:t xml:space="preserve">מורכבות התכנית העבריינית וחלקו של הנאשם בהוצאת התכנית אל הפועל </w:t>
      </w:r>
      <w:r>
        <w:rPr>
          <w:b/>
          <w:bCs/>
          <w:rtl/>
        </w:rPr>
        <w:t>–</w:t>
      </w:r>
      <w:r w:rsidRPr="00CE3925">
        <w:rPr>
          <w:rFonts w:hint="cs"/>
          <w:b/>
          <w:bCs/>
          <w:rtl/>
        </w:rPr>
        <w:t xml:space="preserve"> </w:t>
      </w:r>
      <w:r>
        <w:rPr>
          <w:rFonts w:hint="cs"/>
          <w:rtl/>
        </w:rPr>
        <w:t xml:space="preserve">בענייננו, מדובר בתכנית עבריינית שנרקמה במעורבותם של מספר אנשים, לרבות הנאשם. לא ניתן לראות בחלקו של הנאשם בייבוא הסמים בפועל לישראל כחלק שולי, וברור </w:t>
      </w:r>
      <w:r>
        <w:rPr>
          <w:rtl/>
        </w:rPr>
        <w:t>–</w:t>
      </w:r>
      <w:r>
        <w:rPr>
          <w:rFonts w:hint="cs"/>
          <w:rtl/>
        </w:rPr>
        <w:t xml:space="preserve"> כפי שטענה התובעת - כי מדובר בחוליה בלעדיה אין. יחד עם זאת, עיון בכתב אישום המתוקן אינו מלמד כי הנאשם היה מהוגי התכנית, מממניה, ומאלה הצפויים להפיק רווח כספי ניכר מהוצאתה אל הפועל. </w:t>
      </w:r>
    </w:p>
    <w:p w14:paraId="190789A9" w14:textId="77777777" w:rsidR="005E43A5" w:rsidRDefault="005E43A5" w:rsidP="005E43A5">
      <w:pPr>
        <w:spacing w:line="360" w:lineRule="auto"/>
        <w:ind w:left="720" w:hanging="720"/>
        <w:jc w:val="both"/>
        <w:rPr>
          <w:b/>
          <w:bCs/>
          <w:rtl/>
        </w:rPr>
      </w:pPr>
    </w:p>
    <w:p w14:paraId="5138D263" w14:textId="77777777" w:rsidR="005E43A5" w:rsidRDefault="005E43A5" w:rsidP="005E43A5">
      <w:pPr>
        <w:spacing w:line="360" w:lineRule="auto"/>
        <w:ind w:left="720" w:hanging="720"/>
        <w:jc w:val="both"/>
        <w:rPr>
          <w:rtl/>
        </w:rPr>
      </w:pPr>
      <w:r w:rsidRPr="002A1614">
        <w:rPr>
          <w:rtl/>
        </w:rPr>
        <w:tab/>
      </w:r>
      <w:r w:rsidRPr="002A1614">
        <w:rPr>
          <w:rFonts w:hint="cs"/>
          <w:rtl/>
        </w:rPr>
        <w:t xml:space="preserve">למעשה, </w:t>
      </w:r>
      <w:r>
        <w:rPr>
          <w:rFonts w:hint="cs"/>
          <w:rtl/>
        </w:rPr>
        <w:t>ועל כך אין מחלוקת, הרווח אותו צריך היה להפיק הנאשם הסתכם ב- 4,000 דולר, ומכאן ניתן להשליך על מעמדו הנמוך ביותר ב"שרשרת הנהנים כלכלית" מייבוא הסם.</w:t>
      </w:r>
    </w:p>
    <w:p w14:paraId="0BEC1070" w14:textId="77777777" w:rsidR="005E43A5" w:rsidRDefault="005E43A5" w:rsidP="005E43A5">
      <w:pPr>
        <w:spacing w:line="360" w:lineRule="auto"/>
        <w:ind w:left="720" w:hanging="720"/>
        <w:jc w:val="both"/>
        <w:rPr>
          <w:rtl/>
        </w:rPr>
      </w:pPr>
    </w:p>
    <w:p w14:paraId="7A3F3E73" w14:textId="77777777" w:rsidR="005E43A5" w:rsidRDefault="005E43A5" w:rsidP="005E43A5">
      <w:pPr>
        <w:spacing w:line="360" w:lineRule="auto"/>
        <w:ind w:left="720" w:hanging="720"/>
        <w:jc w:val="both"/>
        <w:rPr>
          <w:rtl/>
        </w:rPr>
      </w:pPr>
      <w:r>
        <w:rPr>
          <w:rFonts w:hint="cs"/>
          <w:rtl/>
        </w:rPr>
        <w:t>(ב)</w:t>
      </w:r>
      <w:r>
        <w:rPr>
          <w:rtl/>
        </w:rPr>
        <w:tab/>
      </w:r>
      <w:r>
        <w:rPr>
          <w:rFonts w:hint="cs"/>
          <w:b/>
          <w:bCs/>
          <w:rtl/>
        </w:rPr>
        <w:t>סוג הסם</w:t>
      </w:r>
      <w:r>
        <w:rPr>
          <w:rFonts w:hint="cs"/>
          <w:rtl/>
        </w:rPr>
        <w:t xml:space="preserve"> </w:t>
      </w:r>
      <w:r>
        <w:rPr>
          <w:rtl/>
        </w:rPr>
        <w:t>–</w:t>
      </w:r>
      <w:r>
        <w:rPr>
          <w:rFonts w:hint="cs"/>
          <w:rtl/>
        </w:rPr>
        <w:t xml:space="preserve"> כפי שהובהר לעיל ועל-פי פסיקת בית המשפט העליון, קיימת חשיבות גם לסוג הסם שהובא לישראל, ובעניינו </w:t>
      </w:r>
      <w:r>
        <w:rPr>
          <w:rtl/>
        </w:rPr>
        <w:t>–</w:t>
      </w:r>
      <w:r>
        <w:rPr>
          <w:rFonts w:hint="cs"/>
          <w:rtl/>
        </w:rPr>
        <w:t xml:space="preserve"> מדובר בסם "קשה" הנמצא, ביחד עם סמים נוספים, ברף העליון של החומרה. </w:t>
      </w:r>
    </w:p>
    <w:p w14:paraId="674BB098" w14:textId="77777777" w:rsidR="005E43A5" w:rsidRDefault="005E43A5" w:rsidP="005E43A5">
      <w:pPr>
        <w:spacing w:line="360" w:lineRule="auto"/>
        <w:ind w:left="720" w:hanging="720"/>
        <w:jc w:val="both"/>
        <w:rPr>
          <w:rtl/>
        </w:rPr>
      </w:pPr>
    </w:p>
    <w:p w14:paraId="5DC2A9EF" w14:textId="77777777" w:rsidR="005E43A5" w:rsidRDefault="005E43A5" w:rsidP="005E43A5">
      <w:pPr>
        <w:spacing w:line="360" w:lineRule="auto"/>
        <w:ind w:left="720" w:hanging="720"/>
        <w:jc w:val="both"/>
        <w:rPr>
          <w:rtl/>
        </w:rPr>
      </w:pPr>
      <w:r>
        <w:rPr>
          <w:rFonts w:hint="cs"/>
          <w:rtl/>
        </w:rPr>
        <w:t>(ג)</w:t>
      </w:r>
      <w:r>
        <w:rPr>
          <w:rtl/>
        </w:rPr>
        <w:tab/>
      </w:r>
      <w:r>
        <w:rPr>
          <w:rFonts w:hint="cs"/>
          <w:b/>
          <w:bCs/>
          <w:rtl/>
        </w:rPr>
        <w:t>כמות הסם</w:t>
      </w:r>
      <w:r>
        <w:rPr>
          <w:rFonts w:hint="cs"/>
          <w:rtl/>
        </w:rPr>
        <w:t xml:space="preserve"> </w:t>
      </w:r>
      <w:r>
        <w:rPr>
          <w:rtl/>
        </w:rPr>
        <w:t>–</w:t>
      </w:r>
      <w:r>
        <w:rPr>
          <w:rFonts w:hint="cs"/>
          <w:rtl/>
        </w:rPr>
        <w:t xml:space="preserve"> אין חולק כי בקביעת המתחם קיימת משמעות לכמות הסם, המשליכה על פוטנציאל הפגיעה בערכים המוגנים, ובעניינו </w:t>
      </w:r>
      <w:r>
        <w:rPr>
          <w:rtl/>
        </w:rPr>
        <w:t>–</w:t>
      </w:r>
      <w:r>
        <w:rPr>
          <w:rFonts w:hint="cs"/>
          <w:rtl/>
        </w:rPr>
        <w:t xml:space="preserve"> מדובר בכמות סם משמעותית העומדת על 1968.36 גרם נטו. לצד האמור לעיל, אתן משקל לטיעון הסנגורית, לפיו יש לראות בכמות הסם שהוחדרה לישראל, כנתון שלא היה בשליטתו הבלעדית של הנאשם, ובוודאי לא היה נתון להחלטתו.</w:t>
      </w:r>
    </w:p>
    <w:p w14:paraId="0FFE1330" w14:textId="77777777" w:rsidR="005E43A5" w:rsidRDefault="005E43A5" w:rsidP="005E43A5">
      <w:pPr>
        <w:spacing w:line="360" w:lineRule="auto"/>
        <w:ind w:left="720" w:hanging="720"/>
        <w:jc w:val="both"/>
        <w:rPr>
          <w:rtl/>
        </w:rPr>
      </w:pPr>
    </w:p>
    <w:p w14:paraId="2132D85B" w14:textId="77777777" w:rsidR="005E43A5" w:rsidRDefault="005E43A5" w:rsidP="005E43A5">
      <w:pPr>
        <w:spacing w:line="360" w:lineRule="auto"/>
        <w:ind w:left="720" w:hanging="720"/>
        <w:jc w:val="both"/>
        <w:rPr>
          <w:rtl/>
        </w:rPr>
      </w:pPr>
      <w:r>
        <w:rPr>
          <w:rFonts w:hint="cs"/>
          <w:rtl/>
        </w:rPr>
        <w:t>9.</w:t>
      </w:r>
      <w:r>
        <w:rPr>
          <w:rFonts w:hint="cs"/>
          <w:rtl/>
        </w:rPr>
        <w:tab/>
        <w:t>רכיב משמעותי בקביעת מתחם העונש ההולם נוגע לפסיקה הנוהגת בעבירות דומות. בהקשר זה, ראיתי להפנות לפסקי הדין הבאים:</w:t>
      </w:r>
    </w:p>
    <w:p w14:paraId="36A2CC36" w14:textId="77777777" w:rsidR="005E43A5" w:rsidRDefault="005E43A5" w:rsidP="005E43A5">
      <w:pPr>
        <w:spacing w:line="360" w:lineRule="auto"/>
        <w:ind w:left="720" w:hanging="720"/>
        <w:jc w:val="both"/>
        <w:rPr>
          <w:rtl/>
        </w:rPr>
      </w:pPr>
    </w:p>
    <w:p w14:paraId="1E811374" w14:textId="77777777" w:rsidR="005E43A5" w:rsidRDefault="005E43A5" w:rsidP="005E43A5">
      <w:pPr>
        <w:spacing w:line="360" w:lineRule="auto"/>
        <w:ind w:left="720" w:hanging="720"/>
        <w:jc w:val="both"/>
        <w:rPr>
          <w:rtl/>
        </w:rPr>
      </w:pPr>
      <w:r>
        <w:rPr>
          <w:rtl/>
        </w:rPr>
        <w:tab/>
      </w:r>
      <w:hyperlink r:id="rId19" w:history="1">
        <w:r w:rsidR="00AD5B8B" w:rsidRPr="00AD5B8B">
          <w:rPr>
            <w:color w:val="0000FF"/>
            <w:u w:val="single"/>
            <w:rtl/>
          </w:rPr>
          <w:t>ע"פ 6886/17</w:t>
        </w:r>
      </w:hyperlink>
      <w:r>
        <w:rPr>
          <w:rFonts w:hint="cs"/>
          <w:rtl/>
        </w:rPr>
        <w:t xml:space="preserve"> </w:t>
      </w:r>
      <w:r>
        <w:rPr>
          <w:rFonts w:hint="cs"/>
          <w:b/>
          <w:bCs/>
          <w:rtl/>
        </w:rPr>
        <w:t xml:space="preserve">מרסל נ' מדינת ישראל </w:t>
      </w:r>
      <w:r>
        <w:rPr>
          <w:rFonts w:hint="cs"/>
          <w:rtl/>
        </w:rPr>
        <w:t xml:space="preserve">(24.4.2018), שם דובר בנאשם, בלדר אזרח ברזיל, שייבא לישראל </w:t>
      </w:r>
      <w:r w:rsidRPr="002142EE">
        <w:rPr>
          <w:rFonts w:hint="cs"/>
          <w:b/>
          <w:bCs/>
          <w:rtl/>
        </w:rPr>
        <w:t>כ- 3 ק"ג סם מסוכן מסוג קוקאין</w:t>
      </w:r>
      <w:r>
        <w:rPr>
          <w:rFonts w:hint="cs"/>
          <w:rtl/>
        </w:rPr>
        <w:t xml:space="preserve">. בית המשפט המחוזי קבע </w:t>
      </w:r>
      <w:r w:rsidRPr="00693776">
        <w:rPr>
          <w:rFonts w:hint="cs"/>
          <w:b/>
          <w:bCs/>
          <w:rtl/>
        </w:rPr>
        <w:t>מתחם הנע בין 4 שנות מאסר ל- 7 שנות מאסר</w:t>
      </w:r>
      <w:r>
        <w:rPr>
          <w:rFonts w:hint="cs"/>
          <w:rtl/>
        </w:rPr>
        <w:t xml:space="preserve">, וגזר על הנאשם </w:t>
      </w:r>
      <w:r w:rsidRPr="00693776">
        <w:rPr>
          <w:rFonts w:hint="cs"/>
          <w:b/>
          <w:bCs/>
          <w:rtl/>
        </w:rPr>
        <w:t>עונש של 56 חודשי מאסר</w:t>
      </w:r>
      <w:r>
        <w:rPr>
          <w:rFonts w:hint="cs"/>
          <w:rtl/>
        </w:rPr>
        <w:t xml:space="preserve"> לצד רכיבי ענישה נלווים. בית המשפט העליון דחה את ערעור הנאשם. </w:t>
      </w:r>
    </w:p>
    <w:p w14:paraId="58D408D4" w14:textId="77777777" w:rsidR="005E43A5" w:rsidRDefault="005E43A5" w:rsidP="005E43A5">
      <w:pPr>
        <w:spacing w:line="360" w:lineRule="auto"/>
        <w:ind w:left="720" w:hanging="720"/>
        <w:jc w:val="both"/>
        <w:rPr>
          <w:rtl/>
        </w:rPr>
      </w:pPr>
    </w:p>
    <w:p w14:paraId="596395FD" w14:textId="77777777" w:rsidR="005E43A5" w:rsidRDefault="005E43A5" w:rsidP="005E43A5">
      <w:pPr>
        <w:spacing w:line="360" w:lineRule="auto"/>
        <w:ind w:left="720" w:hanging="720"/>
        <w:jc w:val="both"/>
        <w:rPr>
          <w:rtl/>
        </w:rPr>
      </w:pPr>
      <w:r>
        <w:rPr>
          <w:rtl/>
        </w:rPr>
        <w:tab/>
      </w:r>
      <w:r>
        <w:rPr>
          <w:rFonts w:hint="cs"/>
          <w:rtl/>
        </w:rPr>
        <w:t xml:space="preserve">מקרה זה דומה לענייננו, אך יש ליתן את הדעת כי כמות הסם שיובאה באותו מקרה, הייתה גדולה באופן משמעותי מכמות הסם שיובאה בענייננו. </w:t>
      </w:r>
    </w:p>
    <w:p w14:paraId="5C7DF71B" w14:textId="77777777" w:rsidR="005E43A5" w:rsidRDefault="005E43A5" w:rsidP="005E43A5">
      <w:pPr>
        <w:spacing w:line="360" w:lineRule="auto"/>
        <w:ind w:left="720" w:hanging="720"/>
        <w:jc w:val="both"/>
        <w:rPr>
          <w:rtl/>
        </w:rPr>
      </w:pPr>
    </w:p>
    <w:p w14:paraId="677DABBC" w14:textId="77777777" w:rsidR="005E43A5" w:rsidRDefault="005E43A5" w:rsidP="005E43A5">
      <w:pPr>
        <w:spacing w:line="360" w:lineRule="auto"/>
        <w:ind w:left="720" w:hanging="720"/>
        <w:jc w:val="both"/>
        <w:rPr>
          <w:rtl/>
        </w:rPr>
      </w:pPr>
      <w:r>
        <w:rPr>
          <w:rtl/>
        </w:rPr>
        <w:tab/>
      </w:r>
      <w:hyperlink r:id="rId20" w:history="1">
        <w:r w:rsidR="00AD5B8B" w:rsidRPr="00AD5B8B">
          <w:rPr>
            <w:color w:val="0000FF"/>
            <w:u w:val="single"/>
            <w:rtl/>
          </w:rPr>
          <w:t>ע"פ 4008/11</w:t>
        </w:r>
      </w:hyperlink>
      <w:r>
        <w:rPr>
          <w:rFonts w:hint="cs"/>
          <w:rtl/>
        </w:rPr>
        <w:t xml:space="preserve"> </w:t>
      </w:r>
      <w:r>
        <w:rPr>
          <w:rFonts w:hint="cs"/>
          <w:b/>
          <w:bCs/>
          <w:rtl/>
        </w:rPr>
        <w:t xml:space="preserve">גוארדיה נ' מדינת ישראל </w:t>
      </w:r>
      <w:r>
        <w:rPr>
          <w:rFonts w:hint="cs"/>
          <w:rtl/>
        </w:rPr>
        <w:t xml:space="preserve">(6.3.2012), שם דובר בערעורם של גבר ואשה אזרחי בוליביה, אשר ייבאו לישראל סם מסוכן מסוג קוקאין </w:t>
      </w:r>
      <w:r w:rsidRPr="002142EE">
        <w:rPr>
          <w:rFonts w:hint="cs"/>
          <w:b/>
          <w:bCs/>
          <w:rtl/>
        </w:rPr>
        <w:t>במשקל כולל של 2 ק"ג</w:t>
      </w:r>
      <w:r>
        <w:rPr>
          <w:rFonts w:hint="cs"/>
          <w:rtl/>
        </w:rPr>
        <w:t xml:space="preserve">. לא הייתה מחלוקת כי מדובר בבלדרים שביצעו את שביצעו נוכח מצוקה כלכלית ונפשית קשה, כאשר אחד מהם טען כי הגיע אפילו עד כדי חרפת רעב. בית המשפט המחוזי גזר באותו מקרה על המערערת </w:t>
      </w:r>
      <w:r w:rsidRPr="003B231E">
        <w:rPr>
          <w:rFonts w:hint="cs"/>
          <w:b/>
          <w:bCs/>
          <w:rtl/>
        </w:rPr>
        <w:t>עונש של 45 חודשי מאסר</w:t>
      </w:r>
      <w:r>
        <w:rPr>
          <w:rFonts w:hint="cs"/>
          <w:rtl/>
        </w:rPr>
        <w:t xml:space="preserve"> ועל המערער </w:t>
      </w:r>
      <w:r>
        <w:rPr>
          <w:rFonts w:hint="cs"/>
          <w:b/>
          <w:bCs/>
          <w:rtl/>
        </w:rPr>
        <w:t>עונש של 55 חודשי מאסר</w:t>
      </w:r>
      <w:r>
        <w:rPr>
          <w:rFonts w:hint="cs"/>
          <w:rtl/>
        </w:rPr>
        <w:t>. בית המשפט העליון דחה את ערעור המערערים.</w:t>
      </w:r>
    </w:p>
    <w:p w14:paraId="5B323ED6" w14:textId="77777777" w:rsidR="005E43A5" w:rsidRDefault="005E43A5" w:rsidP="005E43A5">
      <w:pPr>
        <w:spacing w:line="360" w:lineRule="auto"/>
        <w:ind w:left="720" w:hanging="720"/>
        <w:jc w:val="both"/>
        <w:rPr>
          <w:rtl/>
        </w:rPr>
      </w:pPr>
    </w:p>
    <w:p w14:paraId="31A17507" w14:textId="77777777" w:rsidR="005E43A5" w:rsidRDefault="005E43A5" w:rsidP="005E43A5">
      <w:pPr>
        <w:spacing w:line="360" w:lineRule="auto"/>
        <w:ind w:left="720" w:hanging="720"/>
        <w:jc w:val="both"/>
        <w:rPr>
          <w:rtl/>
        </w:rPr>
      </w:pPr>
      <w:r>
        <w:rPr>
          <w:rtl/>
        </w:rPr>
        <w:tab/>
      </w:r>
      <w:r>
        <w:rPr>
          <w:rFonts w:hint="cs"/>
          <w:rtl/>
        </w:rPr>
        <w:t xml:space="preserve">מקרה זה דומה לענייננו בהיבטים רבים ביותר, הן אלה הקשורים לכמות הסם; הן אלה הקשורים לחלקם של המערערים בביצוע העבירה, והן אלה הקשורים לנסיבות חייהם המורכבות של המערערים ולמצוקה שהובילה למעורבותם בעבירות.  </w:t>
      </w:r>
    </w:p>
    <w:p w14:paraId="1A136CDB" w14:textId="77777777" w:rsidR="005E43A5" w:rsidRDefault="005E43A5" w:rsidP="005E43A5">
      <w:pPr>
        <w:spacing w:line="360" w:lineRule="auto"/>
        <w:ind w:left="720" w:hanging="720"/>
        <w:jc w:val="both"/>
        <w:rPr>
          <w:rtl/>
        </w:rPr>
      </w:pPr>
    </w:p>
    <w:p w14:paraId="7643C2D4" w14:textId="77777777" w:rsidR="005E43A5" w:rsidRDefault="005E43A5" w:rsidP="005E43A5">
      <w:pPr>
        <w:spacing w:line="360" w:lineRule="auto"/>
        <w:ind w:left="720" w:hanging="720"/>
        <w:jc w:val="both"/>
        <w:rPr>
          <w:rtl/>
        </w:rPr>
      </w:pPr>
      <w:r>
        <w:rPr>
          <w:rtl/>
        </w:rPr>
        <w:tab/>
      </w:r>
      <w:hyperlink r:id="rId21" w:history="1">
        <w:r w:rsidR="00AD5B8B" w:rsidRPr="00AD5B8B">
          <w:rPr>
            <w:color w:val="0000FF"/>
            <w:u w:val="single"/>
            <w:rtl/>
          </w:rPr>
          <w:t>ע"פ 5813/14</w:t>
        </w:r>
      </w:hyperlink>
      <w:r>
        <w:rPr>
          <w:rFonts w:hint="cs"/>
          <w:rtl/>
        </w:rPr>
        <w:t xml:space="preserve"> </w:t>
      </w:r>
      <w:r>
        <w:rPr>
          <w:b/>
          <w:bCs/>
        </w:rPr>
        <w:t>Yeni Marccela Jorden Pedraza</w:t>
      </w:r>
      <w:r>
        <w:rPr>
          <w:rFonts w:hint="cs"/>
          <w:rtl/>
        </w:rPr>
        <w:t xml:space="preserve"> </w:t>
      </w:r>
      <w:r w:rsidRPr="006D554E">
        <w:rPr>
          <w:rFonts w:hint="cs"/>
          <w:b/>
          <w:bCs/>
          <w:rtl/>
        </w:rPr>
        <w:t xml:space="preserve">נ' מדינת ישראל </w:t>
      </w:r>
      <w:r>
        <w:rPr>
          <w:rFonts w:hint="cs"/>
          <w:rtl/>
        </w:rPr>
        <w:t xml:space="preserve">(13.7.2015), שם דובר בבלדרית  אזרחית קולומביה, שייבאה לישראל </w:t>
      </w:r>
      <w:r w:rsidRPr="009E5D4E">
        <w:rPr>
          <w:rFonts w:hint="cs"/>
          <w:rtl/>
        </w:rPr>
        <w:t>סם מסוכן מסוג</w:t>
      </w:r>
      <w:r w:rsidRPr="009E5D4E">
        <w:rPr>
          <w:rFonts w:hint="cs"/>
          <w:b/>
          <w:bCs/>
          <w:rtl/>
        </w:rPr>
        <w:t xml:space="preserve"> קוקאין במשקל 660 גרם</w:t>
      </w:r>
      <w:r>
        <w:rPr>
          <w:rFonts w:hint="cs"/>
          <w:rtl/>
        </w:rPr>
        <w:t xml:space="preserve">. בית המשפט המחוזי </w:t>
      </w:r>
      <w:r w:rsidRPr="009B6325">
        <w:rPr>
          <w:rFonts w:hint="cs"/>
          <w:b/>
          <w:bCs/>
          <w:rtl/>
        </w:rPr>
        <w:t>קבע מתחם הנע בין 24 חודשי מאסר ל- 55 חודשי מאסר</w:t>
      </w:r>
      <w:r>
        <w:rPr>
          <w:rFonts w:hint="cs"/>
          <w:rtl/>
        </w:rPr>
        <w:t xml:space="preserve">, וגזר עליה </w:t>
      </w:r>
      <w:r>
        <w:rPr>
          <w:rFonts w:hint="cs"/>
          <w:b/>
          <w:bCs/>
          <w:rtl/>
        </w:rPr>
        <w:t>עונש של 45 חודשי מאסר</w:t>
      </w:r>
      <w:r>
        <w:rPr>
          <w:rFonts w:hint="cs"/>
          <w:rtl/>
        </w:rPr>
        <w:t xml:space="preserve">. בית המשפט העליון דחה את הערעור. </w:t>
      </w:r>
    </w:p>
    <w:p w14:paraId="209644D7" w14:textId="77777777" w:rsidR="005E43A5" w:rsidRDefault="005E43A5" w:rsidP="005E43A5">
      <w:pPr>
        <w:spacing w:line="360" w:lineRule="auto"/>
        <w:ind w:left="720" w:hanging="720"/>
        <w:jc w:val="both"/>
        <w:rPr>
          <w:rtl/>
        </w:rPr>
      </w:pPr>
    </w:p>
    <w:p w14:paraId="3FDBAF77" w14:textId="77777777" w:rsidR="005E43A5" w:rsidRDefault="005E43A5" w:rsidP="005E43A5">
      <w:pPr>
        <w:spacing w:line="360" w:lineRule="auto"/>
        <w:ind w:left="720" w:hanging="720"/>
        <w:jc w:val="both"/>
        <w:rPr>
          <w:rtl/>
        </w:rPr>
      </w:pPr>
      <w:r>
        <w:rPr>
          <w:rtl/>
        </w:rPr>
        <w:tab/>
      </w:r>
      <w:r>
        <w:rPr>
          <w:rFonts w:hint="cs"/>
          <w:rtl/>
        </w:rPr>
        <w:t xml:space="preserve">אמנם מקרה זה משקף כמות סמים פחותה מזו שייבא הנאשם בענייננו, אולם אותה מערערת הורשעה, בין היתר, בכך שיזמה את הליך ייבוא הסם (פנתה מיוזמתה לסוחר סמים קולומביאני וביקשה ממנו להבריח עבורו סמים לישראל תמורת תשלום כספי). </w:t>
      </w:r>
    </w:p>
    <w:p w14:paraId="69E74D62" w14:textId="77777777" w:rsidR="005E43A5" w:rsidRDefault="005E43A5" w:rsidP="005E43A5">
      <w:pPr>
        <w:spacing w:line="360" w:lineRule="auto"/>
        <w:ind w:left="720" w:hanging="720"/>
        <w:jc w:val="both"/>
        <w:rPr>
          <w:rtl/>
        </w:rPr>
      </w:pPr>
    </w:p>
    <w:p w14:paraId="69908AAE" w14:textId="77777777" w:rsidR="005E43A5" w:rsidRDefault="005E43A5" w:rsidP="005E43A5">
      <w:pPr>
        <w:spacing w:line="360" w:lineRule="auto"/>
        <w:ind w:left="720" w:hanging="720"/>
        <w:jc w:val="both"/>
        <w:rPr>
          <w:rtl/>
        </w:rPr>
      </w:pPr>
      <w:r>
        <w:rPr>
          <w:rtl/>
        </w:rPr>
        <w:tab/>
      </w:r>
      <w:hyperlink r:id="rId22" w:history="1">
        <w:r w:rsidR="00AD5B8B" w:rsidRPr="00AD5B8B">
          <w:rPr>
            <w:color w:val="0000FF"/>
            <w:u w:val="single"/>
            <w:rtl/>
          </w:rPr>
          <w:t>ת"פ 10649-07-11</w:t>
        </w:r>
      </w:hyperlink>
      <w:r>
        <w:rPr>
          <w:rFonts w:hint="cs"/>
          <w:rtl/>
        </w:rPr>
        <w:t xml:space="preserve"> (מחוזי מרכז-לוד) </w:t>
      </w:r>
      <w:r>
        <w:rPr>
          <w:rFonts w:hint="cs"/>
          <w:b/>
          <w:bCs/>
          <w:rtl/>
        </w:rPr>
        <w:t>מדינת ישראל נ' לה קרוז ואח'</w:t>
      </w:r>
      <w:r>
        <w:rPr>
          <w:rFonts w:hint="cs"/>
          <w:rtl/>
        </w:rPr>
        <w:t xml:space="preserve"> (6.11.2011), שם דובר בהסדר טיעון שגובש עם שני בלדרים, הורים לילדים קטנים, אשר ייבאו בצוותא סם מסוכן מסוג </w:t>
      </w:r>
      <w:r w:rsidRPr="000D7038">
        <w:rPr>
          <w:rFonts w:hint="cs"/>
          <w:b/>
          <w:bCs/>
          <w:rtl/>
        </w:rPr>
        <w:t>קוקאין במשקל 2.5 ק"ג</w:t>
      </w:r>
      <w:r>
        <w:rPr>
          <w:rFonts w:hint="cs"/>
          <w:rtl/>
        </w:rPr>
        <w:t xml:space="preserve">. על רקע נתוניהם המורכבים של השניים, מצוקתם הכלכלית שנוצלה על-ידי אחרים, ותוך מתן משקל לצורך בצמצום הנזק לילדיהם הקטנים, גובש הסדר טיעון, במסגרתו נשמעה עתירה משותפת להטלת </w:t>
      </w:r>
      <w:r w:rsidRPr="00AE120A">
        <w:rPr>
          <w:rFonts w:hint="cs"/>
          <w:b/>
          <w:bCs/>
          <w:rtl/>
        </w:rPr>
        <w:t>עונש של</w:t>
      </w:r>
      <w:r>
        <w:rPr>
          <w:rFonts w:hint="cs"/>
          <w:rtl/>
        </w:rPr>
        <w:t xml:space="preserve"> </w:t>
      </w:r>
      <w:r>
        <w:rPr>
          <w:rFonts w:hint="cs"/>
          <w:b/>
          <w:bCs/>
          <w:rtl/>
        </w:rPr>
        <w:t xml:space="preserve">30 חודשי מאסר </w:t>
      </w:r>
      <w:r>
        <w:rPr>
          <w:rFonts w:hint="cs"/>
          <w:rtl/>
        </w:rPr>
        <w:t xml:space="preserve">על הנאשמת; </w:t>
      </w:r>
      <w:r w:rsidRPr="00AE120A">
        <w:rPr>
          <w:rFonts w:hint="cs"/>
          <w:b/>
          <w:bCs/>
          <w:rtl/>
        </w:rPr>
        <w:t>ועונש של 45</w:t>
      </w:r>
      <w:r>
        <w:rPr>
          <w:rFonts w:hint="cs"/>
          <w:b/>
          <w:bCs/>
          <w:rtl/>
        </w:rPr>
        <w:t xml:space="preserve"> חודשי מאסר</w:t>
      </w:r>
      <w:r>
        <w:rPr>
          <w:rFonts w:hint="cs"/>
          <w:rtl/>
        </w:rPr>
        <w:t xml:space="preserve"> על הנאשם. </w:t>
      </w:r>
    </w:p>
    <w:p w14:paraId="69252C7F" w14:textId="77777777" w:rsidR="005E43A5" w:rsidRDefault="005E43A5" w:rsidP="005E43A5">
      <w:pPr>
        <w:spacing w:line="360" w:lineRule="auto"/>
        <w:ind w:left="720" w:hanging="720"/>
        <w:jc w:val="both"/>
        <w:rPr>
          <w:rtl/>
        </w:rPr>
      </w:pPr>
    </w:p>
    <w:p w14:paraId="5228E492" w14:textId="77777777" w:rsidR="005E43A5" w:rsidRDefault="005E43A5" w:rsidP="005E43A5">
      <w:pPr>
        <w:spacing w:line="360" w:lineRule="auto"/>
        <w:ind w:left="720" w:hanging="720"/>
        <w:jc w:val="both"/>
        <w:rPr>
          <w:rtl/>
        </w:rPr>
      </w:pPr>
      <w:r>
        <w:rPr>
          <w:rtl/>
        </w:rPr>
        <w:tab/>
      </w:r>
      <w:hyperlink r:id="rId23" w:history="1">
        <w:r w:rsidR="00AD5B8B" w:rsidRPr="00AD5B8B">
          <w:rPr>
            <w:color w:val="0000FF"/>
            <w:u w:val="single"/>
            <w:rtl/>
          </w:rPr>
          <w:t>ת"פ 40619-12-16</w:t>
        </w:r>
      </w:hyperlink>
      <w:r>
        <w:rPr>
          <w:rFonts w:hint="cs"/>
          <w:rtl/>
        </w:rPr>
        <w:t xml:space="preserve"> (מחוזי תל-אביב-יפו) </w:t>
      </w:r>
      <w:r>
        <w:rPr>
          <w:rFonts w:hint="cs"/>
          <w:b/>
          <w:bCs/>
          <w:rtl/>
        </w:rPr>
        <w:t>מדינת ישראל נ' פרירה</w:t>
      </w:r>
      <w:r>
        <w:rPr>
          <w:rFonts w:hint="cs"/>
          <w:rtl/>
        </w:rPr>
        <w:t xml:space="preserve"> (23.3.2017), שם דובר בהסדר טיעון שגובש בעניינה של נאשמת אשר ייבאה לישראל</w:t>
      </w:r>
      <w:r w:rsidRPr="000D7038">
        <w:rPr>
          <w:rFonts w:hint="cs"/>
          <w:b/>
          <w:bCs/>
          <w:rtl/>
        </w:rPr>
        <w:t xml:space="preserve"> 3.7 ק"ג סם מסוכן מסוג קוקאין</w:t>
      </w:r>
      <w:r>
        <w:rPr>
          <w:rFonts w:hint="cs"/>
          <w:rtl/>
        </w:rPr>
        <w:t xml:space="preserve">, במסגרתו עתרו הצדדים במשותף להטלת </w:t>
      </w:r>
      <w:r>
        <w:rPr>
          <w:rFonts w:hint="cs"/>
          <w:b/>
          <w:bCs/>
          <w:rtl/>
        </w:rPr>
        <w:t>עונש של 44 חודשי מאסר</w:t>
      </w:r>
      <w:r>
        <w:rPr>
          <w:rFonts w:hint="cs"/>
          <w:rtl/>
        </w:rPr>
        <w:t xml:space="preserve">. עתירה זו אומצה על-ידי בית המשפט. במסגרת שיקולי ההסדר, נלקחו בחשבון, בין היתר, נסיבות חייה הקשות של הנאשמת ושיתוף הפעולה שלה עם המשטרה, שהוביל ללכידת גורם נוסף שהיה מעורב בעבירה. </w:t>
      </w:r>
    </w:p>
    <w:p w14:paraId="05D5861E" w14:textId="77777777" w:rsidR="005E43A5" w:rsidRDefault="005E43A5" w:rsidP="005E43A5">
      <w:pPr>
        <w:spacing w:line="360" w:lineRule="auto"/>
        <w:ind w:left="720" w:hanging="720"/>
        <w:jc w:val="both"/>
        <w:rPr>
          <w:rtl/>
        </w:rPr>
      </w:pPr>
    </w:p>
    <w:p w14:paraId="6B86CE8A" w14:textId="77777777" w:rsidR="005E43A5" w:rsidRDefault="005E43A5" w:rsidP="005E43A5">
      <w:pPr>
        <w:spacing w:line="360" w:lineRule="auto"/>
        <w:ind w:left="720" w:hanging="720"/>
        <w:jc w:val="both"/>
        <w:rPr>
          <w:rtl/>
        </w:rPr>
      </w:pPr>
      <w:r>
        <w:rPr>
          <w:rtl/>
        </w:rPr>
        <w:tab/>
      </w:r>
      <w:r>
        <w:rPr>
          <w:rFonts w:hint="cs"/>
          <w:rtl/>
        </w:rPr>
        <w:t>כפי שפורט, מקרה זה משקף כמות סם כמעט כפולה מזו שייבא הנאשם בענייננו.</w:t>
      </w:r>
    </w:p>
    <w:p w14:paraId="2DAE7354" w14:textId="77777777" w:rsidR="005E43A5" w:rsidRDefault="005E43A5" w:rsidP="005E43A5">
      <w:pPr>
        <w:spacing w:line="360" w:lineRule="auto"/>
        <w:ind w:left="720" w:hanging="720"/>
        <w:jc w:val="both"/>
        <w:rPr>
          <w:rtl/>
        </w:rPr>
      </w:pPr>
    </w:p>
    <w:p w14:paraId="188B2646" w14:textId="77777777" w:rsidR="005E43A5" w:rsidRDefault="005E43A5" w:rsidP="005E43A5">
      <w:pPr>
        <w:spacing w:line="360" w:lineRule="auto"/>
        <w:ind w:left="720" w:hanging="720"/>
        <w:jc w:val="both"/>
        <w:rPr>
          <w:rtl/>
        </w:rPr>
      </w:pPr>
      <w:r>
        <w:rPr>
          <w:rtl/>
        </w:rPr>
        <w:tab/>
      </w:r>
      <w:hyperlink r:id="rId24" w:history="1">
        <w:r w:rsidR="00AD5B8B" w:rsidRPr="00AD5B8B">
          <w:rPr>
            <w:color w:val="0000FF"/>
            <w:u w:val="single"/>
            <w:rtl/>
          </w:rPr>
          <w:t>ת"פ 33745-01-13</w:t>
        </w:r>
      </w:hyperlink>
      <w:r>
        <w:rPr>
          <w:rFonts w:hint="cs"/>
          <w:rtl/>
        </w:rPr>
        <w:t xml:space="preserve"> (מחוזי תל-אביב-יפו) </w:t>
      </w:r>
      <w:r>
        <w:rPr>
          <w:rFonts w:hint="cs"/>
          <w:b/>
          <w:bCs/>
          <w:rtl/>
        </w:rPr>
        <w:t xml:space="preserve">מדינת ישראל נ' מריה דסונה </w:t>
      </w:r>
      <w:r>
        <w:rPr>
          <w:rFonts w:hint="cs"/>
          <w:rtl/>
        </w:rPr>
        <w:t xml:space="preserve">(28.10.2013), שם דובר בבלדרית, תושבת ברזיל, אשר ייבאה לישראל </w:t>
      </w:r>
      <w:r w:rsidRPr="009E5D4E">
        <w:rPr>
          <w:rFonts w:hint="cs"/>
          <w:rtl/>
        </w:rPr>
        <w:t>סם מסוכן מסוג</w:t>
      </w:r>
      <w:r w:rsidRPr="00362BF3">
        <w:rPr>
          <w:rFonts w:hint="cs"/>
          <w:b/>
          <w:bCs/>
          <w:rtl/>
        </w:rPr>
        <w:t xml:space="preserve"> קוקאין במשקל 4 ק"ג</w:t>
      </w:r>
      <w:r>
        <w:rPr>
          <w:rFonts w:hint="cs"/>
          <w:rtl/>
        </w:rPr>
        <w:t xml:space="preserve">. בית המשפט קבע מתחם </w:t>
      </w:r>
      <w:r>
        <w:rPr>
          <w:rFonts w:hint="cs"/>
          <w:b/>
          <w:bCs/>
          <w:rtl/>
        </w:rPr>
        <w:t>הנע בין 3.5 שנות מאסר ל- 6 שנות מאסר</w:t>
      </w:r>
      <w:r>
        <w:rPr>
          <w:rFonts w:hint="cs"/>
          <w:rtl/>
        </w:rPr>
        <w:t xml:space="preserve">, וגזר על הנאשמת </w:t>
      </w:r>
      <w:r>
        <w:rPr>
          <w:rFonts w:hint="cs"/>
          <w:b/>
          <w:bCs/>
          <w:rtl/>
        </w:rPr>
        <w:t>עונש של 3.5 שנות מאסר</w:t>
      </w:r>
      <w:r>
        <w:rPr>
          <w:rFonts w:hint="cs"/>
          <w:rtl/>
        </w:rPr>
        <w:t xml:space="preserve">. </w:t>
      </w:r>
    </w:p>
    <w:p w14:paraId="2D480D38" w14:textId="77777777" w:rsidR="005E43A5" w:rsidRDefault="005E43A5" w:rsidP="005E43A5">
      <w:pPr>
        <w:spacing w:line="360" w:lineRule="auto"/>
        <w:ind w:left="720" w:hanging="720"/>
        <w:jc w:val="both"/>
        <w:rPr>
          <w:rtl/>
        </w:rPr>
      </w:pPr>
    </w:p>
    <w:p w14:paraId="402FE341" w14:textId="77777777" w:rsidR="005E43A5" w:rsidRDefault="005E43A5" w:rsidP="005E43A5">
      <w:pPr>
        <w:spacing w:line="360" w:lineRule="auto"/>
        <w:ind w:left="720" w:hanging="720"/>
        <w:jc w:val="both"/>
        <w:rPr>
          <w:rtl/>
        </w:rPr>
      </w:pPr>
      <w:r>
        <w:rPr>
          <w:rtl/>
        </w:rPr>
        <w:tab/>
      </w:r>
      <w:r>
        <w:rPr>
          <w:rFonts w:hint="cs"/>
          <w:u w:val="single"/>
          <w:rtl/>
        </w:rPr>
        <w:t xml:space="preserve">קביעת מתחם העונש ההולם </w:t>
      </w:r>
      <w:r>
        <w:rPr>
          <w:u w:val="single"/>
          <w:rtl/>
        </w:rPr>
        <w:t>–</w:t>
      </w:r>
      <w:r>
        <w:rPr>
          <w:rFonts w:hint="cs"/>
          <w:u w:val="single"/>
          <w:rtl/>
        </w:rPr>
        <w:t xml:space="preserve"> סיכום</w:t>
      </w:r>
    </w:p>
    <w:p w14:paraId="082DFA27" w14:textId="77777777" w:rsidR="005E43A5" w:rsidRDefault="005E43A5" w:rsidP="005E43A5">
      <w:pPr>
        <w:spacing w:line="360" w:lineRule="auto"/>
        <w:ind w:left="720" w:hanging="720"/>
        <w:jc w:val="both"/>
        <w:rPr>
          <w:rtl/>
        </w:rPr>
      </w:pPr>
    </w:p>
    <w:p w14:paraId="66E24CDC" w14:textId="77777777" w:rsidR="005E43A5" w:rsidRDefault="005E43A5" w:rsidP="005E43A5">
      <w:pPr>
        <w:spacing w:line="360" w:lineRule="auto"/>
        <w:ind w:left="720" w:hanging="720"/>
        <w:jc w:val="both"/>
        <w:rPr>
          <w:rtl/>
        </w:rPr>
      </w:pPr>
      <w:r>
        <w:rPr>
          <w:rFonts w:hint="cs"/>
          <w:rtl/>
        </w:rPr>
        <w:t>10.</w:t>
      </w:r>
      <w:r>
        <w:rPr>
          <w:rFonts w:hint="cs"/>
          <w:rtl/>
        </w:rPr>
        <w:tab/>
        <w:t xml:space="preserve">על יסוד כלל הנתונים שפורטו לעיל, ראיתי לקבוע מתחם עונש הולם </w:t>
      </w:r>
      <w:r>
        <w:rPr>
          <w:rFonts w:hint="cs"/>
          <w:b/>
          <w:bCs/>
          <w:rtl/>
        </w:rPr>
        <w:t>הנע בין 3.5 שנות מאסר ל- 7 שנות מאסר</w:t>
      </w:r>
      <w:r>
        <w:rPr>
          <w:rFonts w:hint="cs"/>
          <w:rtl/>
        </w:rPr>
        <w:t xml:space="preserve">. </w:t>
      </w:r>
    </w:p>
    <w:p w14:paraId="12AB7196" w14:textId="77777777" w:rsidR="005E43A5" w:rsidRDefault="005E43A5" w:rsidP="005E43A5">
      <w:pPr>
        <w:spacing w:line="360" w:lineRule="auto"/>
        <w:ind w:left="720" w:hanging="720"/>
        <w:jc w:val="both"/>
        <w:rPr>
          <w:rtl/>
        </w:rPr>
      </w:pPr>
    </w:p>
    <w:p w14:paraId="56313CEA" w14:textId="77777777" w:rsidR="005E43A5" w:rsidRDefault="005E43A5" w:rsidP="005E43A5">
      <w:pPr>
        <w:spacing w:line="360" w:lineRule="auto"/>
        <w:ind w:left="720" w:hanging="720"/>
        <w:jc w:val="both"/>
        <w:rPr>
          <w:rtl/>
        </w:rPr>
      </w:pPr>
      <w:r>
        <w:rPr>
          <w:rtl/>
        </w:rPr>
        <w:tab/>
      </w:r>
      <w:r>
        <w:rPr>
          <w:rFonts w:hint="cs"/>
          <w:u w:val="single"/>
          <w:rtl/>
        </w:rPr>
        <w:t>קביעת העונש המתאים</w:t>
      </w:r>
    </w:p>
    <w:p w14:paraId="39FACA67" w14:textId="77777777" w:rsidR="005E43A5" w:rsidRDefault="005E43A5" w:rsidP="005E43A5">
      <w:pPr>
        <w:spacing w:line="360" w:lineRule="auto"/>
        <w:ind w:left="720" w:hanging="720"/>
        <w:jc w:val="both"/>
        <w:rPr>
          <w:rtl/>
        </w:rPr>
      </w:pPr>
    </w:p>
    <w:p w14:paraId="6533B2BF" w14:textId="77777777" w:rsidR="005E43A5" w:rsidRDefault="005E43A5" w:rsidP="005E43A5">
      <w:pPr>
        <w:spacing w:line="360" w:lineRule="auto"/>
        <w:ind w:left="720" w:hanging="720"/>
        <w:jc w:val="both"/>
        <w:rPr>
          <w:rtl/>
        </w:rPr>
      </w:pPr>
      <w:r>
        <w:rPr>
          <w:rFonts w:hint="cs"/>
          <w:rtl/>
        </w:rPr>
        <w:t>11.</w:t>
      </w:r>
      <w:r>
        <w:rPr>
          <w:rFonts w:hint="cs"/>
          <w:rtl/>
        </w:rPr>
        <w:tab/>
        <w:t xml:space="preserve">לזכותו של הנאשם עומדים שורה של נתונים המצדיקים התחשבות משמעותית עת ייגזר דינו בתוך מתחם העונש ההולם. </w:t>
      </w:r>
    </w:p>
    <w:p w14:paraId="0B5D47B8" w14:textId="77777777" w:rsidR="005E43A5" w:rsidRDefault="005E43A5" w:rsidP="005E43A5">
      <w:pPr>
        <w:spacing w:line="360" w:lineRule="auto"/>
        <w:ind w:left="720" w:hanging="720"/>
        <w:jc w:val="both"/>
        <w:rPr>
          <w:rtl/>
        </w:rPr>
      </w:pPr>
    </w:p>
    <w:p w14:paraId="14951AC3" w14:textId="77777777" w:rsidR="005E43A5" w:rsidRDefault="005E43A5" w:rsidP="005E43A5">
      <w:pPr>
        <w:spacing w:line="360" w:lineRule="auto"/>
        <w:ind w:left="720" w:hanging="720"/>
        <w:jc w:val="both"/>
        <w:rPr>
          <w:rtl/>
        </w:rPr>
      </w:pPr>
      <w:r>
        <w:rPr>
          <w:rtl/>
        </w:rPr>
        <w:tab/>
      </w:r>
      <w:r>
        <w:rPr>
          <w:rFonts w:hint="cs"/>
          <w:rtl/>
        </w:rPr>
        <w:t>כך יש לזקוף לזכותו את הודאתו כבר בשלב החקירה, ובהמשך בפתח ההליך המשפטי;</w:t>
      </w:r>
    </w:p>
    <w:p w14:paraId="3730782B" w14:textId="77777777" w:rsidR="005E43A5" w:rsidRDefault="005E43A5" w:rsidP="005E43A5">
      <w:pPr>
        <w:spacing w:line="360" w:lineRule="auto"/>
        <w:ind w:left="720" w:hanging="720"/>
        <w:jc w:val="both"/>
        <w:rPr>
          <w:rtl/>
        </w:rPr>
      </w:pPr>
    </w:p>
    <w:p w14:paraId="597ECE7B" w14:textId="77777777" w:rsidR="005E43A5" w:rsidRDefault="005E43A5" w:rsidP="005E43A5">
      <w:pPr>
        <w:spacing w:line="360" w:lineRule="auto"/>
        <w:ind w:left="720" w:hanging="720"/>
        <w:jc w:val="both"/>
        <w:rPr>
          <w:rtl/>
        </w:rPr>
      </w:pPr>
      <w:r>
        <w:rPr>
          <w:rtl/>
        </w:rPr>
        <w:tab/>
      </w:r>
      <w:r>
        <w:rPr>
          <w:rFonts w:hint="cs"/>
          <w:rtl/>
        </w:rPr>
        <w:t>כך יש לזקוף לזכותו את שיתוף הפעולה עם גורמי החקירה מתוך ניסיון לסייע בלכידת גורמים נוספים המעורבים בעבירות. אציין בהקשר זה כי לטעמי, אין נפקות לשאלה אם בסופו של יום נלכדו מעורבים נוספים, כל עוד הנאשם פעל בשיתוף פעולה מלא ובהתאם להנחיות המשטרה.</w:t>
      </w:r>
    </w:p>
    <w:p w14:paraId="70C41BBF" w14:textId="77777777" w:rsidR="005E43A5" w:rsidRDefault="005E43A5" w:rsidP="005E43A5">
      <w:pPr>
        <w:spacing w:line="360" w:lineRule="auto"/>
        <w:ind w:left="720" w:hanging="720"/>
        <w:jc w:val="both"/>
        <w:rPr>
          <w:rtl/>
        </w:rPr>
      </w:pPr>
      <w:r>
        <w:rPr>
          <w:rtl/>
        </w:rPr>
        <w:tab/>
      </w:r>
    </w:p>
    <w:p w14:paraId="2E697123" w14:textId="77777777" w:rsidR="005E43A5" w:rsidRDefault="005E43A5" w:rsidP="005E43A5">
      <w:pPr>
        <w:spacing w:line="360" w:lineRule="auto"/>
        <w:ind w:left="720" w:hanging="720"/>
        <w:jc w:val="both"/>
        <w:rPr>
          <w:rtl/>
        </w:rPr>
      </w:pPr>
      <w:r>
        <w:rPr>
          <w:rtl/>
        </w:rPr>
        <w:tab/>
      </w:r>
      <w:r>
        <w:rPr>
          <w:rFonts w:hint="cs"/>
          <w:rtl/>
        </w:rPr>
        <w:t xml:space="preserve">בנוסף, יש ליתן משקל לגילו הלא צעיר (71) ולמורכבות חייו, כמו גם מצבו הכלכלי הקשה שהוביל אותו לביצוע העבירה. </w:t>
      </w:r>
    </w:p>
    <w:p w14:paraId="1E262435" w14:textId="77777777" w:rsidR="005E43A5" w:rsidRDefault="005E43A5" w:rsidP="005E43A5">
      <w:pPr>
        <w:spacing w:line="360" w:lineRule="auto"/>
        <w:ind w:left="720" w:hanging="720"/>
        <w:jc w:val="both"/>
        <w:rPr>
          <w:rtl/>
        </w:rPr>
      </w:pPr>
    </w:p>
    <w:p w14:paraId="3847CC96" w14:textId="77777777" w:rsidR="005E43A5" w:rsidRDefault="005E43A5" w:rsidP="005E43A5">
      <w:pPr>
        <w:spacing w:line="360" w:lineRule="auto"/>
        <w:ind w:left="720" w:hanging="720"/>
        <w:jc w:val="both"/>
        <w:rPr>
          <w:rtl/>
        </w:rPr>
      </w:pPr>
      <w:r>
        <w:rPr>
          <w:rtl/>
        </w:rPr>
        <w:tab/>
      </w:r>
      <w:r>
        <w:rPr>
          <w:rFonts w:hint="cs"/>
          <w:rtl/>
        </w:rPr>
        <w:t xml:space="preserve">לא הוצגו נתונים כלשהם מהם ניתן ללמוד על קיומן של הרשעות קודמות, וגם בכך יש להתחשב. </w:t>
      </w:r>
    </w:p>
    <w:p w14:paraId="35806D56" w14:textId="77777777" w:rsidR="005E43A5" w:rsidRDefault="005E43A5" w:rsidP="005E43A5">
      <w:pPr>
        <w:spacing w:line="360" w:lineRule="auto"/>
        <w:ind w:left="720" w:hanging="720"/>
        <w:jc w:val="both"/>
        <w:rPr>
          <w:rtl/>
        </w:rPr>
      </w:pPr>
    </w:p>
    <w:p w14:paraId="1AEF43BA" w14:textId="77777777" w:rsidR="005E43A5" w:rsidRDefault="005E43A5" w:rsidP="005E43A5">
      <w:pPr>
        <w:spacing w:line="360" w:lineRule="auto"/>
        <w:ind w:left="720" w:hanging="720"/>
        <w:jc w:val="both"/>
        <w:rPr>
          <w:rtl/>
        </w:rPr>
      </w:pPr>
      <w:r>
        <w:rPr>
          <w:rtl/>
        </w:rPr>
        <w:tab/>
      </w:r>
      <w:r>
        <w:rPr>
          <w:rFonts w:hint="cs"/>
          <w:rtl/>
        </w:rPr>
        <w:t xml:space="preserve">היות הנאשם אזרח זר שאינו דובר השפה העברית ונעדר מעטפת משפחתית תומכת, יוצר קושי מוגבר אף בריצוי תקופת המאסר. </w:t>
      </w:r>
    </w:p>
    <w:p w14:paraId="6805F4FC" w14:textId="77777777" w:rsidR="005E43A5" w:rsidRDefault="005E43A5" w:rsidP="005E43A5">
      <w:pPr>
        <w:spacing w:line="360" w:lineRule="auto"/>
        <w:ind w:left="720" w:hanging="720"/>
        <w:jc w:val="both"/>
        <w:rPr>
          <w:rtl/>
        </w:rPr>
      </w:pPr>
    </w:p>
    <w:p w14:paraId="47944D26" w14:textId="77777777" w:rsidR="005E43A5" w:rsidRPr="00D442EF" w:rsidRDefault="005E43A5" w:rsidP="005E43A5">
      <w:pPr>
        <w:spacing w:line="360" w:lineRule="auto"/>
        <w:ind w:left="720" w:hanging="720"/>
        <w:jc w:val="both"/>
        <w:rPr>
          <w:b/>
          <w:bCs/>
          <w:rtl/>
        </w:rPr>
      </w:pPr>
      <w:r w:rsidRPr="00D442EF">
        <w:rPr>
          <w:b/>
          <w:bCs/>
          <w:rtl/>
        </w:rPr>
        <w:tab/>
      </w:r>
      <w:r>
        <w:rPr>
          <w:rFonts w:hint="cs"/>
          <w:b/>
          <w:bCs/>
          <w:rtl/>
        </w:rPr>
        <w:t xml:space="preserve">לשיטתי, די </w:t>
      </w:r>
      <w:r w:rsidRPr="00D442EF">
        <w:rPr>
          <w:rFonts w:hint="cs"/>
          <w:b/>
          <w:bCs/>
          <w:rtl/>
        </w:rPr>
        <w:t>בנתונים אלה על-מנת להצדיק הטלת עונש המשקף את הרף התחתון של מתחם העונש ההולם.</w:t>
      </w:r>
    </w:p>
    <w:p w14:paraId="1F609056" w14:textId="77777777" w:rsidR="005E43A5" w:rsidRDefault="005E43A5" w:rsidP="005E43A5">
      <w:pPr>
        <w:spacing w:line="360" w:lineRule="auto"/>
        <w:ind w:left="720" w:hanging="720"/>
        <w:jc w:val="both"/>
        <w:rPr>
          <w:rtl/>
        </w:rPr>
      </w:pPr>
    </w:p>
    <w:p w14:paraId="568DEB70" w14:textId="77777777" w:rsidR="005E43A5" w:rsidRDefault="005E43A5" w:rsidP="005E43A5">
      <w:pPr>
        <w:spacing w:line="360" w:lineRule="auto"/>
        <w:ind w:left="720" w:hanging="720"/>
        <w:jc w:val="both"/>
        <w:rPr>
          <w:rtl/>
        </w:rPr>
      </w:pPr>
      <w:r>
        <w:rPr>
          <w:rFonts w:hint="cs"/>
          <w:rtl/>
        </w:rPr>
        <w:t>12.</w:t>
      </w:r>
      <w:r>
        <w:rPr>
          <w:rtl/>
        </w:rPr>
        <w:tab/>
      </w:r>
      <w:r>
        <w:rPr>
          <w:rFonts w:hint="cs"/>
          <w:rtl/>
        </w:rPr>
        <w:t xml:space="preserve">הסנגורית פירטה בטיעוניה שורה של נתונים הקשורים להתנהלות היחידה החוקרת, המשליכים לשיטתה הן על מתחם העונש ההולם, והן על מיקומו של הנאשם בתוך המתחם. </w:t>
      </w:r>
    </w:p>
    <w:p w14:paraId="1D8E0A5F" w14:textId="77777777" w:rsidR="005E43A5" w:rsidRDefault="005E43A5" w:rsidP="005E43A5">
      <w:pPr>
        <w:spacing w:line="360" w:lineRule="auto"/>
        <w:ind w:left="720" w:hanging="720"/>
        <w:jc w:val="both"/>
        <w:rPr>
          <w:rtl/>
        </w:rPr>
      </w:pPr>
    </w:p>
    <w:p w14:paraId="6D309A74" w14:textId="77777777" w:rsidR="005E43A5" w:rsidRDefault="005E43A5" w:rsidP="005E43A5">
      <w:pPr>
        <w:spacing w:line="360" w:lineRule="auto"/>
        <w:ind w:left="720" w:hanging="720"/>
        <w:jc w:val="both"/>
        <w:rPr>
          <w:rtl/>
        </w:rPr>
      </w:pPr>
      <w:r>
        <w:rPr>
          <w:rtl/>
        </w:rPr>
        <w:tab/>
      </w:r>
      <w:r>
        <w:rPr>
          <w:rFonts w:hint="cs"/>
          <w:rtl/>
        </w:rPr>
        <w:t xml:space="preserve">אומר בהקשר זה את הדברים הבאים: </w:t>
      </w:r>
    </w:p>
    <w:p w14:paraId="7CA239F7" w14:textId="77777777" w:rsidR="005E43A5" w:rsidRDefault="005E43A5" w:rsidP="005E43A5">
      <w:pPr>
        <w:spacing w:line="360" w:lineRule="auto"/>
        <w:ind w:left="720" w:hanging="720"/>
        <w:jc w:val="both"/>
        <w:rPr>
          <w:rtl/>
        </w:rPr>
      </w:pPr>
    </w:p>
    <w:p w14:paraId="7696B33C" w14:textId="77777777" w:rsidR="005E43A5" w:rsidRDefault="005E43A5" w:rsidP="005E43A5">
      <w:pPr>
        <w:spacing w:line="360" w:lineRule="auto"/>
        <w:ind w:left="720" w:hanging="720"/>
        <w:jc w:val="both"/>
        <w:rPr>
          <w:rtl/>
        </w:rPr>
      </w:pPr>
      <w:r>
        <w:rPr>
          <w:rtl/>
        </w:rPr>
        <w:tab/>
      </w:r>
      <w:hyperlink r:id="rId25" w:history="1">
        <w:r w:rsidR="00F950D9" w:rsidRPr="00F950D9">
          <w:rPr>
            <w:color w:val="0000FF"/>
            <w:u w:val="single"/>
            <w:rtl/>
          </w:rPr>
          <w:t>סעיף 40יא</w:t>
        </w:r>
      </w:hyperlink>
      <w:r>
        <w:rPr>
          <w:rFonts w:hint="cs"/>
          <w:rtl/>
        </w:rPr>
        <w:t xml:space="preserve"> המונה את ה"</w:t>
      </w:r>
      <w:r>
        <w:rPr>
          <w:rFonts w:hint="cs"/>
          <w:b/>
          <w:bCs/>
          <w:rtl/>
        </w:rPr>
        <w:t>נסיבות שאינן קשורות בביצוע העבירה</w:t>
      </w:r>
      <w:r>
        <w:rPr>
          <w:rFonts w:hint="cs"/>
          <w:rtl/>
        </w:rPr>
        <w:t xml:space="preserve">" </w:t>
      </w:r>
      <w:r w:rsidRPr="00155FB7">
        <w:rPr>
          <w:rFonts w:hint="cs"/>
          <w:rtl/>
        </w:rPr>
        <w:t>מתייחס בס"ק</w:t>
      </w:r>
      <w:r>
        <w:rPr>
          <w:rFonts w:hint="cs"/>
          <w:rtl/>
        </w:rPr>
        <w:t xml:space="preserve"> </w:t>
      </w:r>
      <w:hyperlink r:id="rId26" w:history="1">
        <w:r w:rsidR="00F950D9" w:rsidRPr="00F950D9">
          <w:rPr>
            <w:color w:val="0000FF"/>
            <w:u w:val="single"/>
            <w:rtl/>
          </w:rPr>
          <w:t>(9)</w:t>
        </w:r>
      </w:hyperlink>
      <w:r>
        <w:rPr>
          <w:rFonts w:hint="cs"/>
          <w:rtl/>
        </w:rPr>
        <w:t xml:space="preserve"> להתנהגות רשויות אכיפת החוק. די לכאורה בעובדה כי המחוקק בחר למקם רכיב זה </w:t>
      </w:r>
      <w:hyperlink r:id="rId27" w:history="1">
        <w:r w:rsidR="00F950D9" w:rsidRPr="00F950D9">
          <w:rPr>
            <w:color w:val="0000FF"/>
            <w:u w:val="single"/>
            <w:rtl/>
          </w:rPr>
          <w:t>בסעיף 40יא</w:t>
        </w:r>
      </w:hyperlink>
      <w:r>
        <w:rPr>
          <w:rFonts w:hint="cs"/>
          <w:rtl/>
        </w:rPr>
        <w:t xml:space="preserve"> ולא </w:t>
      </w:r>
      <w:hyperlink r:id="rId28" w:history="1">
        <w:r w:rsidR="00F950D9" w:rsidRPr="00F950D9">
          <w:rPr>
            <w:color w:val="0000FF"/>
            <w:u w:val="single"/>
            <w:rtl/>
          </w:rPr>
          <w:t>בסעיף 40ט</w:t>
        </w:r>
      </w:hyperlink>
      <w:r>
        <w:rPr>
          <w:rFonts w:hint="cs"/>
          <w:rtl/>
        </w:rPr>
        <w:t xml:space="preserve"> שעניינו "</w:t>
      </w:r>
      <w:r w:rsidRPr="00EA7ECF">
        <w:rPr>
          <w:rFonts w:hint="cs"/>
          <w:b/>
          <w:bCs/>
          <w:rtl/>
        </w:rPr>
        <w:t>נסיבות הקשורות בביצוע העבירה</w:t>
      </w:r>
      <w:r>
        <w:rPr>
          <w:rFonts w:hint="cs"/>
          <w:rtl/>
        </w:rPr>
        <w:t>" על-מנת להוביל למסקנה כי אין לראות בהתנהלות גורמי החקירה ככאלה המשליכות על קביעת המתחם.</w:t>
      </w:r>
    </w:p>
    <w:p w14:paraId="0E670467" w14:textId="77777777" w:rsidR="005E43A5" w:rsidRDefault="005E43A5" w:rsidP="005E43A5">
      <w:pPr>
        <w:spacing w:line="360" w:lineRule="auto"/>
        <w:ind w:left="720" w:hanging="720"/>
        <w:jc w:val="both"/>
        <w:rPr>
          <w:rtl/>
        </w:rPr>
      </w:pPr>
    </w:p>
    <w:p w14:paraId="2120A3C9" w14:textId="77777777" w:rsidR="005E43A5" w:rsidRDefault="005E43A5" w:rsidP="005E43A5">
      <w:pPr>
        <w:spacing w:line="360" w:lineRule="auto"/>
        <w:ind w:left="720" w:hanging="720"/>
        <w:jc w:val="both"/>
        <w:rPr>
          <w:rtl/>
        </w:rPr>
      </w:pPr>
      <w:r>
        <w:rPr>
          <w:rtl/>
        </w:rPr>
        <w:tab/>
      </w:r>
      <w:r>
        <w:rPr>
          <w:rFonts w:hint="cs"/>
          <w:rtl/>
        </w:rPr>
        <w:t xml:space="preserve">באשר לטיעון הנוסף, לפיו יש לראות בהתנהלות גורמי חקירה (באופן כללי) ככאלה המשליכים על מיקומו של הנאשם במתחם, אציין כי קיימת תמימות דעים בין שני הצדדים, לפיה, מבחינה משפטית, כך הם פני הדברים. </w:t>
      </w:r>
    </w:p>
    <w:p w14:paraId="7C380A9E" w14:textId="77777777" w:rsidR="005E43A5" w:rsidRDefault="005E43A5" w:rsidP="005E43A5">
      <w:pPr>
        <w:spacing w:line="360" w:lineRule="auto"/>
        <w:ind w:left="720" w:hanging="720"/>
        <w:jc w:val="both"/>
        <w:rPr>
          <w:rtl/>
        </w:rPr>
      </w:pPr>
    </w:p>
    <w:p w14:paraId="0CFC3CDF" w14:textId="77777777" w:rsidR="005E43A5" w:rsidRDefault="005E43A5" w:rsidP="005E43A5">
      <w:pPr>
        <w:spacing w:line="360" w:lineRule="auto"/>
        <w:ind w:left="720" w:hanging="720"/>
        <w:jc w:val="both"/>
        <w:rPr>
          <w:rtl/>
        </w:rPr>
      </w:pPr>
      <w:r>
        <w:rPr>
          <w:rFonts w:hint="cs"/>
          <w:rtl/>
        </w:rPr>
        <w:tab/>
        <w:t xml:space="preserve">האם הדברים רלוונטיים לענייננו? </w:t>
      </w:r>
    </w:p>
    <w:p w14:paraId="43B7F906" w14:textId="77777777" w:rsidR="005E43A5" w:rsidRDefault="005E43A5" w:rsidP="005E43A5">
      <w:pPr>
        <w:spacing w:line="360" w:lineRule="auto"/>
        <w:ind w:left="720" w:hanging="720"/>
        <w:jc w:val="both"/>
        <w:rPr>
          <w:rtl/>
        </w:rPr>
      </w:pPr>
    </w:p>
    <w:p w14:paraId="03D935FF" w14:textId="77777777" w:rsidR="005E43A5" w:rsidRDefault="005E43A5" w:rsidP="005E43A5">
      <w:pPr>
        <w:spacing w:line="360" w:lineRule="auto"/>
        <w:ind w:left="720" w:hanging="720"/>
        <w:jc w:val="both"/>
        <w:rPr>
          <w:rtl/>
        </w:rPr>
      </w:pPr>
      <w:r>
        <w:rPr>
          <w:rtl/>
        </w:rPr>
        <w:tab/>
      </w:r>
      <w:r>
        <w:rPr>
          <w:rFonts w:hint="cs"/>
          <w:rtl/>
        </w:rPr>
        <w:t xml:space="preserve">אין ספק, כי נפלו מספר פגמים בהתנהלות גורמי החקירה, הגם שאינני רואה עין בעין עם הסנגורית את עוצמתם של אותם פגמים, ובוודאי שאינני רואה במניעת המפגש עם סנגור, בנסיבות המקרה, כפגם או ליקוי. על-פי רוב, משנוחת בלדר בישראל ונלכד על-ידי גורמי החקירה, אין אפשרות לדעת האם במרחב שדה התעופה קיימים גורמים עברייניים נוספים הצופים באותו בלדר, האם אותם גורמים מודעים למעצר, והאם אבדה התקווה לאתר ולעצור עבריינים נוספים המעורבים בייבוא הסם. בנסיבות אלה, ונוכח החשיבות המרובה באיתור אותם עבריינים נוספים, לא ניתן לראות בעצם מניעת המפגש עם סנגור, ככל שמדובר בתקופה קצובה על-פי הוראות החוק, ובמהלך שאושר על-ידי הגורמים הרלוונטיים, כליקוי או כפגם "מובנה" בהתנהלות היחידה החוקרת. לא כך מסקנתי באשר לאופן בו תושאל הנאשם, ולאופן בו נאלץ לממן את "הוצאותיו" לאחר מעצרו. </w:t>
      </w:r>
    </w:p>
    <w:p w14:paraId="3EF930CF" w14:textId="77777777" w:rsidR="005E43A5" w:rsidRDefault="005E43A5" w:rsidP="005E43A5">
      <w:pPr>
        <w:spacing w:line="360" w:lineRule="auto"/>
        <w:ind w:left="720" w:hanging="720"/>
        <w:jc w:val="both"/>
        <w:rPr>
          <w:rtl/>
        </w:rPr>
      </w:pPr>
    </w:p>
    <w:p w14:paraId="78D23F60" w14:textId="77777777" w:rsidR="005E43A5" w:rsidRPr="00155FB7" w:rsidRDefault="005E43A5" w:rsidP="005E43A5">
      <w:pPr>
        <w:spacing w:line="360" w:lineRule="auto"/>
        <w:ind w:left="720" w:hanging="720"/>
        <w:jc w:val="both"/>
        <w:rPr>
          <w:rtl/>
        </w:rPr>
      </w:pPr>
      <w:r>
        <w:rPr>
          <w:rtl/>
        </w:rPr>
        <w:tab/>
      </w:r>
      <w:r>
        <w:rPr>
          <w:rFonts w:hint="cs"/>
          <w:rtl/>
        </w:rPr>
        <w:t xml:space="preserve">בהינתן מסקנתי לפיה די בנתוני הבסיס של הנאשם, לרבות רכיב שיתוף הפעולה, כדי להצדיק הטלת עונש בהתאם לתחתית המתחם, דומה כי ניתן לראות באותם פגמים מסוימים שנפלו בהתנהלות גורמי החקירה, ככאלה המחזקים את המסקנה, אך לא כאלה בעלי פוטנציאל להקלה נוספת, שכן ממילא אין מדובר בנתונים המאפשרים חריגה מהמתחם. </w:t>
      </w:r>
    </w:p>
    <w:p w14:paraId="34D63F56" w14:textId="77777777" w:rsidR="005E43A5" w:rsidRDefault="005E43A5" w:rsidP="005E43A5">
      <w:pPr>
        <w:spacing w:line="360" w:lineRule="auto"/>
        <w:ind w:left="720" w:hanging="720"/>
        <w:jc w:val="both"/>
        <w:rPr>
          <w:rtl/>
        </w:rPr>
      </w:pPr>
    </w:p>
    <w:p w14:paraId="1A488AA8" w14:textId="77777777" w:rsidR="005E43A5" w:rsidRDefault="005E43A5" w:rsidP="005E43A5">
      <w:pPr>
        <w:spacing w:line="360" w:lineRule="auto"/>
        <w:ind w:left="720" w:hanging="720"/>
        <w:jc w:val="both"/>
        <w:rPr>
          <w:rtl/>
        </w:rPr>
      </w:pPr>
      <w:r>
        <w:rPr>
          <w:rtl/>
        </w:rPr>
        <w:tab/>
      </w:r>
      <w:r>
        <w:rPr>
          <w:rFonts w:hint="cs"/>
          <w:u w:val="single"/>
          <w:rtl/>
        </w:rPr>
        <w:t>סיכום</w:t>
      </w:r>
    </w:p>
    <w:p w14:paraId="6BFBFC49" w14:textId="77777777" w:rsidR="005E43A5" w:rsidRDefault="005E43A5" w:rsidP="005E43A5">
      <w:pPr>
        <w:spacing w:line="360" w:lineRule="auto"/>
        <w:ind w:left="720" w:hanging="720"/>
        <w:jc w:val="both"/>
        <w:rPr>
          <w:rtl/>
        </w:rPr>
      </w:pPr>
    </w:p>
    <w:p w14:paraId="3D0A71A2" w14:textId="77777777" w:rsidR="005E43A5" w:rsidRDefault="005E43A5" w:rsidP="005E43A5">
      <w:pPr>
        <w:spacing w:line="360" w:lineRule="auto"/>
        <w:ind w:left="720" w:hanging="720"/>
        <w:jc w:val="both"/>
        <w:rPr>
          <w:rtl/>
        </w:rPr>
      </w:pPr>
      <w:r>
        <w:rPr>
          <w:rFonts w:hint="cs"/>
          <w:rtl/>
        </w:rPr>
        <w:t>13.</w:t>
      </w:r>
      <w:r>
        <w:rPr>
          <w:rFonts w:hint="cs"/>
          <w:rtl/>
        </w:rPr>
        <w:tab/>
        <w:t>על יסוד כלל האמור לעיל, ראיתי להטיל על הנאשם את העונשים הבאים:</w:t>
      </w:r>
    </w:p>
    <w:p w14:paraId="54B62A18" w14:textId="77777777" w:rsidR="005E43A5" w:rsidRDefault="005E43A5" w:rsidP="005E43A5">
      <w:pPr>
        <w:spacing w:line="360" w:lineRule="auto"/>
        <w:ind w:left="720" w:hanging="720"/>
        <w:jc w:val="both"/>
        <w:rPr>
          <w:rtl/>
        </w:rPr>
      </w:pPr>
    </w:p>
    <w:p w14:paraId="6B79B72E" w14:textId="77777777" w:rsidR="005E43A5" w:rsidRDefault="005E43A5" w:rsidP="005E43A5">
      <w:pPr>
        <w:spacing w:line="360" w:lineRule="auto"/>
        <w:jc w:val="both"/>
        <w:rPr>
          <w:rFonts w:ascii="Arial" w:hAnsi="Arial"/>
        </w:rPr>
      </w:pPr>
      <w:r>
        <w:rPr>
          <w:rFonts w:ascii="Arial" w:hAnsi="Arial" w:hint="cs"/>
          <w:rtl/>
        </w:rPr>
        <w:t>א.</w:t>
      </w:r>
      <w:r>
        <w:rPr>
          <w:rFonts w:ascii="Arial" w:hAnsi="Arial" w:hint="cs"/>
          <w:rtl/>
        </w:rPr>
        <w:tab/>
        <w:t xml:space="preserve"> 3.5 שנות מאסר לריצוי בפועל החל מיום מעצרו </w:t>
      </w:r>
      <w:r>
        <w:rPr>
          <w:rFonts w:ascii="Arial" w:hAnsi="Arial"/>
          <w:rtl/>
        </w:rPr>
        <w:t>–</w:t>
      </w:r>
      <w:r>
        <w:rPr>
          <w:rFonts w:ascii="Arial" w:hAnsi="Arial" w:hint="cs"/>
          <w:rtl/>
        </w:rPr>
        <w:t xml:space="preserve"> 25.9.18.</w:t>
      </w:r>
    </w:p>
    <w:p w14:paraId="37753F18" w14:textId="77777777" w:rsidR="005E43A5" w:rsidRDefault="005E43A5" w:rsidP="005E43A5">
      <w:pPr>
        <w:spacing w:line="360" w:lineRule="auto"/>
        <w:jc w:val="both"/>
        <w:rPr>
          <w:rFonts w:ascii="Arial" w:hAnsi="Arial"/>
        </w:rPr>
      </w:pPr>
      <w:r>
        <w:rPr>
          <w:rFonts w:ascii="Arial" w:hAnsi="Arial" w:hint="cs"/>
          <w:rtl/>
        </w:rPr>
        <w:tab/>
      </w:r>
    </w:p>
    <w:p w14:paraId="28025E67" w14:textId="77777777" w:rsidR="005E43A5" w:rsidRDefault="005E43A5" w:rsidP="005E43A5">
      <w:pPr>
        <w:spacing w:line="360" w:lineRule="auto"/>
        <w:ind w:left="720" w:hanging="720"/>
        <w:jc w:val="both"/>
        <w:rPr>
          <w:rFonts w:ascii="Arial" w:hAnsi="Arial"/>
        </w:rPr>
      </w:pPr>
      <w:r>
        <w:rPr>
          <w:rFonts w:ascii="Arial" w:hAnsi="Arial" w:hint="cs"/>
          <w:rtl/>
        </w:rPr>
        <w:t>ב.</w:t>
      </w:r>
      <w:r>
        <w:rPr>
          <w:rFonts w:ascii="Arial" w:hAnsi="Arial" w:hint="cs"/>
          <w:rtl/>
        </w:rPr>
        <w:tab/>
        <w:t xml:space="preserve">8 חודשי מאסר, אולם הנאשם לא יישא עונש זה אלא אם יעבור תוך שלוש שנים מיום שחרורו עבירה על פקודת הסמים מסוג פשע. </w:t>
      </w:r>
    </w:p>
    <w:p w14:paraId="7DEC515B" w14:textId="77777777" w:rsidR="005E43A5" w:rsidRDefault="005E43A5" w:rsidP="005E43A5">
      <w:pPr>
        <w:spacing w:line="360" w:lineRule="auto"/>
        <w:ind w:left="720" w:hanging="720"/>
        <w:jc w:val="both"/>
        <w:rPr>
          <w:rFonts w:ascii="Arial" w:hAnsi="Arial"/>
          <w:rtl/>
        </w:rPr>
      </w:pPr>
    </w:p>
    <w:p w14:paraId="6DFA1C3F" w14:textId="77777777" w:rsidR="005E43A5" w:rsidRDefault="005E43A5" w:rsidP="005E43A5">
      <w:pPr>
        <w:spacing w:line="360" w:lineRule="auto"/>
        <w:ind w:left="720" w:hanging="720"/>
        <w:jc w:val="both"/>
        <w:rPr>
          <w:rFonts w:ascii="Arial" w:hAnsi="Arial"/>
          <w:rtl/>
        </w:rPr>
      </w:pPr>
      <w:r>
        <w:rPr>
          <w:rFonts w:ascii="Arial" w:hAnsi="Arial" w:hint="cs"/>
          <w:rtl/>
        </w:rPr>
        <w:t xml:space="preserve">ניתן צו כללי למוצגים לשיקול דעת קצין משטרה ו/או התביעה. הסמים יושמדו. </w:t>
      </w:r>
    </w:p>
    <w:p w14:paraId="2F1A9765" w14:textId="77777777" w:rsidR="005E43A5" w:rsidRDefault="005E43A5" w:rsidP="005E43A5">
      <w:pPr>
        <w:spacing w:line="360" w:lineRule="auto"/>
        <w:ind w:left="720" w:hanging="720"/>
        <w:jc w:val="both"/>
        <w:rPr>
          <w:rFonts w:ascii="Arial" w:hAnsi="Arial"/>
          <w:rtl/>
        </w:rPr>
      </w:pPr>
    </w:p>
    <w:p w14:paraId="2A2ED6EF" w14:textId="77777777" w:rsidR="005E43A5" w:rsidRDefault="005E43A5" w:rsidP="005E43A5">
      <w:pPr>
        <w:spacing w:line="360" w:lineRule="auto"/>
        <w:ind w:left="720" w:hanging="720"/>
        <w:jc w:val="both"/>
        <w:rPr>
          <w:rFonts w:ascii="Arial" w:hAnsi="Arial"/>
          <w:rtl/>
        </w:rPr>
      </w:pPr>
      <w:r>
        <w:rPr>
          <w:rFonts w:ascii="Arial" w:hAnsi="Arial" w:hint="cs"/>
          <w:rtl/>
        </w:rPr>
        <w:t xml:space="preserve">זכות ערעור כחוק. </w:t>
      </w:r>
    </w:p>
    <w:p w14:paraId="61F84F1C" w14:textId="77777777" w:rsidR="005E43A5" w:rsidRPr="00B05847" w:rsidRDefault="005E43A5" w:rsidP="005E43A5">
      <w:pPr>
        <w:rPr>
          <w:rtl/>
        </w:rPr>
      </w:pPr>
    </w:p>
    <w:p w14:paraId="0DFFDF88" w14:textId="77777777" w:rsidR="005E43A5" w:rsidRPr="00B05847" w:rsidRDefault="005E43A5" w:rsidP="005E43A5">
      <w:pPr>
        <w:rPr>
          <w:rtl/>
        </w:rPr>
      </w:pPr>
    </w:p>
    <w:p w14:paraId="2C2F2FA3" w14:textId="77777777" w:rsidR="005E43A5" w:rsidRDefault="00AD5B8B" w:rsidP="005E43A5">
      <w:pPr>
        <w:spacing w:line="360" w:lineRule="auto"/>
        <w:jc w:val="both"/>
        <w:rPr>
          <w:rFonts w:ascii="Arial" w:hAnsi="Arial"/>
          <w:b/>
          <w:bCs/>
          <w:rtl/>
        </w:rPr>
      </w:pPr>
      <w:bookmarkStart w:id="7" w:name="Nitan"/>
      <w:r w:rsidRPr="00AD5B8B">
        <w:rPr>
          <w:rFonts w:ascii="Arial" w:hAnsi="Arial"/>
          <w:b/>
          <w:bCs/>
          <w:color w:val="FFFFFF"/>
          <w:sz w:val="2"/>
          <w:szCs w:val="2"/>
          <w:rtl/>
        </w:rPr>
        <w:t>5129371</w:t>
      </w:r>
      <w:r>
        <w:rPr>
          <w:rFonts w:ascii="Arial" w:hAnsi="Arial"/>
          <w:b/>
          <w:bCs/>
          <w:rtl/>
        </w:rPr>
        <w:t xml:space="preserve">ניתן היום, י"ג סיוון תשע"ט, 16 יוני 2019, במעמד הנוכחים.   </w:t>
      </w:r>
      <w:bookmarkEnd w:id="7"/>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E43A5" w14:paraId="143F46AA" w14:textId="77777777" w:rsidTr="005E43A5">
        <w:trPr>
          <w:trHeight w:val="316"/>
          <w:jc w:val="right"/>
        </w:trPr>
        <w:tc>
          <w:tcPr>
            <w:tcW w:w="3936" w:type="dxa"/>
            <w:tcBorders>
              <w:top w:val="nil"/>
              <w:left w:val="nil"/>
              <w:bottom w:val="single" w:sz="4" w:space="0" w:color="auto"/>
              <w:right w:val="nil"/>
            </w:tcBorders>
            <w:shd w:val="clear" w:color="auto" w:fill="auto"/>
            <w:vAlign w:val="bottom"/>
          </w:tcPr>
          <w:p w14:paraId="294341C7" w14:textId="77777777" w:rsidR="005E43A5" w:rsidRPr="00AD5B8B" w:rsidRDefault="00AD5B8B" w:rsidP="005E43A5">
            <w:pPr>
              <w:jc w:val="center"/>
              <w:rPr>
                <w:rFonts w:cs="Times New Roman"/>
                <w:color w:val="FFFFFF"/>
                <w:sz w:val="2"/>
                <w:szCs w:val="2"/>
              </w:rPr>
            </w:pPr>
            <w:r w:rsidRPr="00AD5B8B">
              <w:rPr>
                <w:rFonts w:cs="Times New Roman"/>
                <w:color w:val="FFFFFF"/>
                <w:sz w:val="2"/>
                <w:szCs w:val="2"/>
                <w:rtl/>
              </w:rPr>
              <w:t>54678313</w:t>
            </w:r>
          </w:p>
        </w:tc>
      </w:tr>
      <w:tr w:rsidR="005E43A5" w14:paraId="77CD6C2D" w14:textId="77777777" w:rsidTr="005E43A5">
        <w:trPr>
          <w:trHeight w:val="361"/>
          <w:jc w:val="right"/>
        </w:trPr>
        <w:tc>
          <w:tcPr>
            <w:tcW w:w="3936" w:type="dxa"/>
            <w:tcBorders>
              <w:top w:val="single" w:sz="4" w:space="0" w:color="auto"/>
              <w:left w:val="nil"/>
              <w:bottom w:val="nil"/>
              <w:right w:val="nil"/>
            </w:tcBorders>
            <w:shd w:val="clear" w:color="auto" w:fill="auto"/>
          </w:tcPr>
          <w:p w14:paraId="5A86934A" w14:textId="77777777" w:rsidR="005E43A5" w:rsidRPr="005E43A5" w:rsidRDefault="005E43A5" w:rsidP="005E43A5">
            <w:pPr>
              <w:jc w:val="center"/>
              <w:rPr>
                <w:b/>
                <w:bCs/>
                <w:rtl/>
              </w:rPr>
            </w:pPr>
            <w:r w:rsidRPr="005E43A5">
              <w:rPr>
                <w:rFonts w:hint="cs"/>
                <w:b/>
                <w:bCs/>
                <w:rtl/>
              </w:rPr>
              <w:t>בני שגיא, שופט</w:t>
            </w:r>
          </w:p>
        </w:tc>
      </w:tr>
    </w:tbl>
    <w:p w14:paraId="1EBBE293" w14:textId="77777777" w:rsidR="005E43A5" w:rsidRDefault="005E43A5" w:rsidP="005E43A5">
      <w:pPr>
        <w:rPr>
          <w:rFonts w:ascii="David" w:hAnsi="David"/>
          <w:rtl/>
        </w:rPr>
      </w:pPr>
    </w:p>
    <w:p w14:paraId="28EFEE5B" w14:textId="77777777" w:rsidR="005E43A5" w:rsidRPr="007B6237" w:rsidRDefault="005E43A5" w:rsidP="005E43A5">
      <w:pPr>
        <w:spacing w:line="360" w:lineRule="auto"/>
        <w:jc w:val="right"/>
        <w:rPr>
          <w:rFonts w:ascii="Arial" w:hAnsi="Arial"/>
          <w:b/>
          <w:bCs/>
        </w:rPr>
      </w:pPr>
    </w:p>
    <w:p w14:paraId="1797E171" w14:textId="77777777" w:rsidR="005E43A5" w:rsidRPr="00F950D9" w:rsidRDefault="00F950D9" w:rsidP="005E43A5">
      <w:pPr>
        <w:rPr>
          <w:color w:val="FFFFFF"/>
          <w:sz w:val="2"/>
          <w:szCs w:val="2"/>
          <w:rtl/>
        </w:rPr>
      </w:pPr>
      <w:r w:rsidRPr="00F950D9">
        <w:rPr>
          <w:color w:val="FFFFFF"/>
          <w:sz w:val="2"/>
          <w:szCs w:val="2"/>
          <w:rtl/>
        </w:rPr>
        <w:t>5129371</w:t>
      </w:r>
    </w:p>
    <w:p w14:paraId="38B0715C" w14:textId="77777777" w:rsidR="00955F9E" w:rsidRPr="00F950D9" w:rsidRDefault="00F950D9" w:rsidP="00AD5B8B">
      <w:pPr>
        <w:keepNext/>
        <w:rPr>
          <w:rFonts w:ascii="David" w:hAnsi="David"/>
          <w:color w:val="FFFFFF"/>
          <w:sz w:val="2"/>
          <w:szCs w:val="2"/>
          <w:rtl/>
        </w:rPr>
      </w:pPr>
      <w:r w:rsidRPr="00F950D9">
        <w:rPr>
          <w:rFonts w:ascii="David" w:hAnsi="David"/>
          <w:color w:val="FFFFFF"/>
          <w:sz w:val="2"/>
          <w:szCs w:val="2"/>
          <w:rtl/>
        </w:rPr>
        <w:t>54678313</w:t>
      </w:r>
    </w:p>
    <w:p w14:paraId="63F9B0EF" w14:textId="77777777" w:rsidR="00AD5B8B" w:rsidRPr="00AD5B8B" w:rsidRDefault="00AD5B8B" w:rsidP="00AD5B8B">
      <w:pPr>
        <w:keepNext/>
        <w:rPr>
          <w:rFonts w:ascii="David" w:hAnsi="David"/>
          <w:color w:val="000000"/>
          <w:sz w:val="22"/>
          <w:szCs w:val="22"/>
          <w:rtl/>
        </w:rPr>
      </w:pPr>
      <w:r w:rsidRPr="00AD5B8B">
        <w:rPr>
          <w:rFonts w:ascii="David" w:hAnsi="David"/>
          <w:color w:val="000000"/>
          <w:sz w:val="22"/>
          <w:szCs w:val="22"/>
          <w:rtl/>
        </w:rPr>
        <w:t>בני שגיא 54678313</w:t>
      </w:r>
    </w:p>
    <w:p w14:paraId="7D05AAD8" w14:textId="77777777" w:rsidR="00AD5B8B" w:rsidRDefault="00AD5B8B" w:rsidP="00AD5B8B">
      <w:r w:rsidRPr="00AD5B8B">
        <w:rPr>
          <w:color w:val="000000"/>
          <w:rtl/>
        </w:rPr>
        <w:t>נוסח מסמך זה כפוף לשינויי ניסוח ועריכה</w:t>
      </w:r>
    </w:p>
    <w:p w14:paraId="5D78217E" w14:textId="77777777" w:rsidR="00AD5B8B" w:rsidRDefault="00AD5B8B" w:rsidP="00AD5B8B">
      <w:pPr>
        <w:rPr>
          <w:rtl/>
        </w:rPr>
      </w:pPr>
    </w:p>
    <w:p w14:paraId="64A9D6E2" w14:textId="77777777" w:rsidR="00AD5B8B" w:rsidRDefault="00AD5B8B" w:rsidP="00AD5B8B">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2A57C75" w14:textId="77777777" w:rsidR="00F950D9" w:rsidRPr="00F950D9" w:rsidRDefault="00F950D9" w:rsidP="00F950D9">
      <w:pPr>
        <w:keepNext/>
        <w:rPr>
          <w:rFonts w:ascii="David" w:hAnsi="David"/>
          <w:color w:val="000000"/>
          <w:sz w:val="22"/>
          <w:szCs w:val="22"/>
          <w:rtl/>
        </w:rPr>
      </w:pPr>
    </w:p>
    <w:p w14:paraId="01A484FA" w14:textId="77777777" w:rsidR="00AD5B8B" w:rsidRPr="00AD5B8B" w:rsidRDefault="00AD5B8B" w:rsidP="00F950D9">
      <w:pPr>
        <w:rPr>
          <w:color w:val="0000FF"/>
          <w:u w:val="single"/>
        </w:rPr>
      </w:pPr>
    </w:p>
    <w:sectPr w:rsidR="00AD5B8B" w:rsidRPr="00AD5B8B" w:rsidSect="00F950D9">
      <w:headerReference w:type="even" r:id="rId30"/>
      <w:headerReference w:type="default" r:id="rId31"/>
      <w:footerReference w:type="even" r:id="rId32"/>
      <w:footerReference w:type="default" r:id="rId33"/>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F848B" w14:textId="77777777" w:rsidR="00FE2D09" w:rsidRDefault="00FE2D09" w:rsidP="002B6F4E">
      <w:r>
        <w:separator/>
      </w:r>
    </w:p>
  </w:endnote>
  <w:endnote w:type="continuationSeparator" w:id="0">
    <w:p w14:paraId="20B4DDF5" w14:textId="77777777" w:rsidR="00FE2D09" w:rsidRDefault="00FE2D09" w:rsidP="002B6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69B02" w14:textId="77777777" w:rsidR="00F950D9" w:rsidRDefault="00F950D9" w:rsidP="00F950D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3957BA3" w14:textId="77777777" w:rsidR="008713A9" w:rsidRPr="00F950D9" w:rsidRDefault="00F950D9" w:rsidP="00F950D9">
    <w:pPr>
      <w:pStyle w:val="a5"/>
      <w:pBdr>
        <w:top w:val="single" w:sz="4" w:space="1" w:color="auto"/>
        <w:between w:val="single" w:sz="4" w:space="0" w:color="auto"/>
      </w:pBdr>
      <w:spacing w:after="60"/>
      <w:jc w:val="center"/>
      <w:rPr>
        <w:rFonts w:ascii="FrankRuehl" w:hAnsi="FrankRuehl" w:cs="FrankRuehl"/>
        <w:color w:val="000000"/>
      </w:rPr>
    </w:pPr>
    <w:r w:rsidRPr="00F950D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2E22A" w14:textId="77777777" w:rsidR="00F950D9" w:rsidRDefault="00F950D9" w:rsidP="00F950D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E7203">
      <w:rPr>
        <w:rFonts w:ascii="FrankRuehl" w:hAnsi="FrankRuehl" w:cs="FrankRuehl"/>
        <w:noProof/>
        <w:rtl/>
      </w:rPr>
      <w:t>1</w:t>
    </w:r>
    <w:r>
      <w:rPr>
        <w:rFonts w:ascii="FrankRuehl" w:hAnsi="FrankRuehl" w:cs="FrankRuehl"/>
        <w:rtl/>
      </w:rPr>
      <w:fldChar w:fldCharType="end"/>
    </w:r>
  </w:p>
  <w:p w14:paraId="380B2C4A" w14:textId="77777777" w:rsidR="008713A9" w:rsidRPr="00F950D9" w:rsidRDefault="00F950D9" w:rsidP="00F950D9">
    <w:pPr>
      <w:pStyle w:val="a5"/>
      <w:pBdr>
        <w:top w:val="single" w:sz="4" w:space="1" w:color="auto"/>
        <w:between w:val="single" w:sz="4" w:space="0" w:color="auto"/>
      </w:pBdr>
      <w:spacing w:after="60"/>
      <w:jc w:val="center"/>
      <w:rPr>
        <w:rFonts w:ascii="FrankRuehl" w:hAnsi="FrankRuehl" w:cs="FrankRuehl"/>
        <w:color w:val="000000"/>
      </w:rPr>
    </w:pPr>
    <w:r w:rsidRPr="00F950D9">
      <w:rPr>
        <w:rFonts w:ascii="FrankRuehl" w:hAnsi="FrankRuehl" w:cs="FrankRuehl"/>
        <w:color w:val="000000"/>
      </w:rPr>
      <w:pict w14:anchorId="29795C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F12F3" w14:textId="77777777" w:rsidR="00FE2D09" w:rsidRDefault="00FE2D09" w:rsidP="002B6F4E">
      <w:r>
        <w:separator/>
      </w:r>
    </w:p>
  </w:footnote>
  <w:footnote w:type="continuationSeparator" w:id="0">
    <w:p w14:paraId="2A6F1A21" w14:textId="77777777" w:rsidR="00FE2D09" w:rsidRDefault="00FE2D09" w:rsidP="002B6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F625E" w14:textId="77777777" w:rsidR="00AD5B8B" w:rsidRPr="00F950D9" w:rsidRDefault="00F950D9" w:rsidP="00F950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4760-10-18</w:t>
    </w:r>
    <w:r>
      <w:rPr>
        <w:rFonts w:ascii="David" w:hAnsi="David"/>
        <w:color w:val="000000"/>
        <w:sz w:val="22"/>
        <w:szCs w:val="22"/>
        <w:rtl/>
      </w:rPr>
      <w:tab/>
      <w:t xml:space="preserve"> מדינת ישראל נ' חוזה אדגר ונגס גיל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A6F12" w14:textId="77777777" w:rsidR="00AD5B8B" w:rsidRPr="00F950D9" w:rsidRDefault="00F950D9" w:rsidP="00F950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4760-10-18</w:t>
    </w:r>
    <w:r>
      <w:rPr>
        <w:rFonts w:ascii="David" w:hAnsi="David"/>
        <w:color w:val="000000"/>
        <w:sz w:val="22"/>
        <w:szCs w:val="22"/>
        <w:rtl/>
      </w:rPr>
      <w:tab/>
      <w:t xml:space="preserve"> מדינת ישראל נ' חוזה אדגר ונגס גיל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43A5"/>
    <w:rsid w:val="00013F32"/>
    <w:rsid w:val="00225679"/>
    <w:rsid w:val="002B6F4E"/>
    <w:rsid w:val="00381020"/>
    <w:rsid w:val="005E43A5"/>
    <w:rsid w:val="006E7203"/>
    <w:rsid w:val="008713A9"/>
    <w:rsid w:val="00955F9E"/>
    <w:rsid w:val="00AD5B8B"/>
    <w:rsid w:val="00AF6D2B"/>
    <w:rsid w:val="00B478D7"/>
    <w:rsid w:val="00CC007C"/>
    <w:rsid w:val="00CC4A32"/>
    <w:rsid w:val="00E21C25"/>
    <w:rsid w:val="00F950D9"/>
    <w:rsid w:val="00F95A4B"/>
    <w:rsid w:val="00FE2D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D621A2"/>
  <w15:chartTrackingRefBased/>
  <w15:docId w15:val="{5EFFB71F-4F4D-4AE1-AAD2-1B73A69F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43A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43A5"/>
    <w:pPr>
      <w:tabs>
        <w:tab w:val="center" w:pos="4153"/>
        <w:tab w:val="right" w:pos="8306"/>
      </w:tabs>
    </w:pPr>
  </w:style>
  <w:style w:type="character" w:customStyle="1" w:styleId="a4">
    <w:name w:val="כותרת עליונה תו"/>
    <w:link w:val="a3"/>
    <w:rsid w:val="005E43A5"/>
    <w:rPr>
      <w:rFonts w:ascii="Times New Roman" w:eastAsia="Times New Roman" w:hAnsi="Times New Roman" w:cs="David"/>
      <w:sz w:val="24"/>
      <w:szCs w:val="24"/>
    </w:rPr>
  </w:style>
  <w:style w:type="paragraph" w:styleId="a5">
    <w:name w:val="footer"/>
    <w:basedOn w:val="a"/>
    <w:link w:val="a6"/>
    <w:rsid w:val="005E43A5"/>
    <w:pPr>
      <w:tabs>
        <w:tab w:val="center" w:pos="4153"/>
        <w:tab w:val="right" w:pos="8306"/>
      </w:tabs>
    </w:pPr>
  </w:style>
  <w:style w:type="character" w:customStyle="1" w:styleId="a6">
    <w:name w:val="כותרת תחתונה תו"/>
    <w:link w:val="a5"/>
    <w:rsid w:val="005E43A5"/>
    <w:rPr>
      <w:rFonts w:ascii="Times New Roman" w:eastAsia="Times New Roman" w:hAnsi="Times New Roman" w:cs="David"/>
      <w:sz w:val="24"/>
      <w:szCs w:val="24"/>
    </w:rPr>
  </w:style>
  <w:style w:type="table" w:styleId="a7">
    <w:name w:val="Table Grid"/>
    <w:basedOn w:val="a1"/>
    <w:rsid w:val="005E43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E43A5"/>
  </w:style>
  <w:style w:type="character" w:styleId="Hyperlink">
    <w:name w:val="Hyperlink"/>
    <w:rsid w:val="00AD5B8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5786821" TargetMode="External"/><Relationship Id="rId26" Type="http://schemas.openxmlformats.org/officeDocument/2006/relationships/hyperlink" Target="http://www.nevo.co.il/law/70301/40ja.9" TargetMode="External"/><Relationship Id="rId3" Type="http://schemas.openxmlformats.org/officeDocument/2006/relationships/webSettings" Target="webSettings.xml"/><Relationship Id="rId21" Type="http://schemas.openxmlformats.org/officeDocument/2006/relationships/hyperlink" Target="http://www.nevo.co.il/case/17948116" TargetMode="External"/><Relationship Id="rId34" Type="http://schemas.openxmlformats.org/officeDocument/2006/relationships/fontTable" Target="fontTable.xml"/><Relationship Id="rId7" Type="http://schemas.openxmlformats.org/officeDocument/2006/relationships/hyperlink" Target="http://www.nevo.co.il/law/4216/13" TargetMode="External"/><Relationship Id="rId12" Type="http://schemas.openxmlformats.org/officeDocument/2006/relationships/hyperlink" Target="http://www.nevo.co.il/law/70301/499.a" TargetMode="External"/><Relationship Id="rId17" Type="http://schemas.openxmlformats.org/officeDocument/2006/relationships/hyperlink" Target="http://www.nevo.co.il/case/5931190" TargetMode="External"/><Relationship Id="rId25" Type="http://schemas.openxmlformats.org/officeDocument/2006/relationships/hyperlink" Target="http://www.nevo.co.il/law/70301/40ja"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931190"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a.9" TargetMode="External"/><Relationship Id="rId24" Type="http://schemas.openxmlformats.org/officeDocument/2006/relationships/hyperlink" Target="http://www.nevo.co.il/case/4584774"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99.a" TargetMode="External"/><Relationship Id="rId23" Type="http://schemas.openxmlformats.org/officeDocument/2006/relationships/hyperlink" Target="http://www.nevo.co.il/case/21802623" TargetMode="External"/><Relationship Id="rId28" Type="http://schemas.openxmlformats.org/officeDocument/2006/relationships/hyperlink" Target="http://www.nevo.co.il/law/70301/40i"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22961884"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40i"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62138" TargetMode="External"/><Relationship Id="rId27" Type="http://schemas.openxmlformats.org/officeDocument/2006/relationships/hyperlink" Target="http://www.nevo.co.il/law/70301/40ja"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2335</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13987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3997733</vt:i4>
      </vt:variant>
      <vt:variant>
        <vt:i4>60</vt:i4>
      </vt:variant>
      <vt:variant>
        <vt:i4>0</vt:i4>
      </vt:variant>
      <vt:variant>
        <vt:i4>5</vt:i4>
      </vt:variant>
      <vt:variant>
        <vt:lpwstr>http://www.nevo.co.il/law/70301/40ja.9</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4128882</vt:i4>
      </vt:variant>
      <vt:variant>
        <vt:i4>54</vt:i4>
      </vt:variant>
      <vt:variant>
        <vt:i4>0</vt:i4>
      </vt:variant>
      <vt:variant>
        <vt:i4>5</vt:i4>
      </vt:variant>
      <vt:variant>
        <vt:lpwstr>http://www.nevo.co.il/case/4584774</vt:lpwstr>
      </vt:variant>
      <vt:variant>
        <vt:lpwstr/>
      </vt:variant>
      <vt:variant>
        <vt:i4>3801203</vt:i4>
      </vt:variant>
      <vt:variant>
        <vt:i4>51</vt:i4>
      </vt:variant>
      <vt:variant>
        <vt:i4>0</vt:i4>
      </vt:variant>
      <vt:variant>
        <vt:i4>5</vt:i4>
      </vt:variant>
      <vt:variant>
        <vt:lpwstr>http://www.nevo.co.il/case/21802623</vt:lpwstr>
      </vt:variant>
      <vt:variant>
        <vt:lpwstr/>
      </vt:variant>
      <vt:variant>
        <vt:i4>3997808</vt:i4>
      </vt:variant>
      <vt:variant>
        <vt:i4>48</vt:i4>
      </vt:variant>
      <vt:variant>
        <vt:i4>0</vt:i4>
      </vt:variant>
      <vt:variant>
        <vt:i4>5</vt:i4>
      </vt:variant>
      <vt:variant>
        <vt:lpwstr>http://www.nevo.co.il/case/2562138</vt:lpwstr>
      </vt:variant>
      <vt:variant>
        <vt:lpwstr/>
      </vt:variant>
      <vt:variant>
        <vt:i4>3211382</vt:i4>
      </vt:variant>
      <vt:variant>
        <vt:i4>45</vt:i4>
      </vt:variant>
      <vt:variant>
        <vt:i4>0</vt:i4>
      </vt:variant>
      <vt:variant>
        <vt:i4>5</vt:i4>
      </vt:variant>
      <vt:variant>
        <vt:lpwstr>http://www.nevo.co.il/case/17948116</vt:lpwstr>
      </vt:variant>
      <vt:variant>
        <vt:lpwstr/>
      </vt:variant>
      <vt:variant>
        <vt:i4>3604597</vt:i4>
      </vt:variant>
      <vt:variant>
        <vt:i4>42</vt:i4>
      </vt:variant>
      <vt:variant>
        <vt:i4>0</vt:i4>
      </vt:variant>
      <vt:variant>
        <vt:i4>5</vt:i4>
      </vt:variant>
      <vt:variant>
        <vt:lpwstr>http://www.nevo.co.il/case/5931190</vt:lpwstr>
      </vt:variant>
      <vt:variant>
        <vt:lpwstr/>
      </vt:variant>
      <vt:variant>
        <vt:i4>3276920</vt:i4>
      </vt:variant>
      <vt:variant>
        <vt:i4>39</vt:i4>
      </vt:variant>
      <vt:variant>
        <vt:i4>0</vt:i4>
      </vt:variant>
      <vt:variant>
        <vt:i4>5</vt:i4>
      </vt:variant>
      <vt:variant>
        <vt:lpwstr>http://www.nevo.co.il/case/22961884</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3604597</vt:i4>
      </vt:variant>
      <vt:variant>
        <vt:i4>33</vt:i4>
      </vt:variant>
      <vt:variant>
        <vt:i4>0</vt:i4>
      </vt:variant>
      <vt:variant>
        <vt:i4>5</vt:i4>
      </vt:variant>
      <vt:variant>
        <vt:lpwstr>http://www.nevo.co.il/case/5931190</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4325464</vt:i4>
      </vt:variant>
      <vt:variant>
        <vt:i4>27</vt:i4>
      </vt:variant>
      <vt:variant>
        <vt:i4>0</vt:i4>
      </vt:variant>
      <vt:variant>
        <vt:i4>5</vt:i4>
      </vt:variant>
      <vt:variant>
        <vt:lpwstr>http://www.nevo.co.il/law/70301/499.a</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4325464</vt:i4>
      </vt:variant>
      <vt:variant>
        <vt:i4>18</vt:i4>
      </vt:variant>
      <vt:variant>
        <vt:i4>0</vt:i4>
      </vt:variant>
      <vt:variant>
        <vt:i4>5</vt:i4>
      </vt:variant>
      <vt:variant>
        <vt:lpwstr>http://www.nevo.co.il/law/70301/499.a</vt:lpwstr>
      </vt:variant>
      <vt:variant>
        <vt:lpwstr/>
      </vt:variant>
      <vt:variant>
        <vt:i4>3997733</vt:i4>
      </vt:variant>
      <vt:variant>
        <vt:i4>15</vt:i4>
      </vt:variant>
      <vt:variant>
        <vt:i4>0</vt:i4>
      </vt:variant>
      <vt:variant>
        <vt:i4>5</vt:i4>
      </vt:variant>
      <vt:variant>
        <vt:lpwstr>http://www.nevo.co.il/law/70301/40ja.9</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2025-04-22T20:57:00Z</dcterms:created>
  <dcterms:modified xsi:type="dcterms:W3CDTF">2025-04-22T20:57:00Z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4760</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חוזה אדגר ונגס גיל </vt:lpwstr>
  </property>
  <property fmtid="{D5CDD505-2E9C-101B-9397-08002B2CF9AE}" pid="10" name="LAWYER">
    <vt:lpwstr>שרית ארונוב;ענבר קינן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20190616</vt:lpwstr>
  </property>
  <property fmtid="{D5CDD505-2E9C-101B-9397-08002B2CF9AE}" pid="14" name="TYPE_N_DATE">
    <vt:lpwstr>39020190616</vt:lpwstr>
  </property>
  <property fmtid="{D5CDD505-2E9C-101B-9397-08002B2CF9AE}" pid="15" name="CASESLISTTMP1">
    <vt:lpwstr>5931190:2;5786821;22961884;17948116;2562138;21802623;4584774</vt:lpwstr>
  </property>
  <property fmtid="{D5CDD505-2E9C-101B-9397-08002B2CF9AE}" pid="16" name="WORDNUMPAGES">
    <vt:lpwstr>7</vt:lpwstr>
  </property>
  <property fmtid="{D5CDD505-2E9C-101B-9397-08002B2CF9AE}" pid="17" name="TYPE_ABS_DATE">
    <vt:lpwstr>390020190616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vt:lpwstr>
  </property>
  <property fmtid="{D5CDD505-2E9C-101B-9397-08002B2CF9AE}" pid="37" name="LAWLISTTMP2">
    <vt:lpwstr>70301/499.a;40ja:2;40ja.9;040i</vt:lpwstr>
  </property>
</Properties>
</file>