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305C80" w:rsidRPr="00973321" w14:paraId="75A32DCF" w14:textId="77777777" w:rsidTr="00E11605">
        <w:trPr>
          <w:trHeight w:hRule="exact" w:val="418"/>
          <w:jc w:val="center"/>
        </w:trPr>
        <w:tc>
          <w:tcPr>
            <w:tcW w:w="8721" w:type="dxa"/>
            <w:gridSpan w:val="2"/>
          </w:tcPr>
          <w:p w14:paraId="611ECCC9" w14:textId="77777777" w:rsidR="00305C80" w:rsidRPr="00973321" w:rsidRDefault="00305C80" w:rsidP="00FC15A4">
            <w:pPr>
              <w:pStyle w:val="a4"/>
              <w:jc w:val="center"/>
              <w:rPr>
                <w:rFonts w:ascii="Tahoma" w:hAnsi="Tahoma" w:cs="Tahoma"/>
                <w:color w:val="000080"/>
                <w:rtl/>
              </w:rPr>
            </w:pPr>
            <w:bookmarkStart w:id="0" w:name="LastJudge"/>
            <w:r w:rsidRPr="00973321">
              <w:rPr>
                <w:rFonts w:ascii="Tahoma" w:hAnsi="Tahoma" w:cs="Tahoma"/>
                <w:b/>
                <w:bCs/>
                <w:color w:val="000080"/>
                <w:rtl/>
              </w:rPr>
              <w:t>בית המשפט המחוזי מרכז-לוד</w:t>
            </w:r>
          </w:p>
        </w:tc>
      </w:tr>
      <w:tr w:rsidR="00305C80" w:rsidRPr="00B42346" w14:paraId="7EDB6A12" w14:textId="77777777" w:rsidTr="00E11605">
        <w:trPr>
          <w:trHeight w:val="337"/>
          <w:jc w:val="center"/>
        </w:trPr>
        <w:tc>
          <w:tcPr>
            <w:tcW w:w="5058" w:type="dxa"/>
          </w:tcPr>
          <w:p w14:paraId="10214288" w14:textId="77777777" w:rsidR="00305C80" w:rsidRPr="00B42346" w:rsidRDefault="00305C80" w:rsidP="00FC15A4">
            <w:pPr>
              <w:rPr>
                <w:rFonts w:ascii="David" w:hAnsi="David"/>
                <w:b/>
                <w:bCs/>
                <w:sz w:val="26"/>
                <w:szCs w:val="26"/>
                <w:rtl/>
              </w:rPr>
            </w:pPr>
            <w:r w:rsidRPr="00B42346">
              <w:rPr>
                <w:rFonts w:ascii="David" w:hAnsi="David"/>
                <w:b/>
                <w:bCs/>
                <w:sz w:val="26"/>
                <w:szCs w:val="26"/>
                <w:rtl/>
              </w:rPr>
              <w:t>ת"פ 25458-11-18 מדינת ישראל נ' אליאב</w:t>
            </w:r>
            <w:r w:rsidR="00B42346" w:rsidRPr="00B42346">
              <w:rPr>
                <w:rFonts w:ascii="David" w:hAnsi="David"/>
                <w:b/>
                <w:bCs/>
                <w:sz w:val="26"/>
                <w:szCs w:val="26"/>
                <w:rtl/>
              </w:rPr>
              <w:t xml:space="preserve"> </w:t>
            </w:r>
            <w:r w:rsidRPr="00B42346">
              <w:rPr>
                <w:rFonts w:ascii="David" w:hAnsi="David"/>
                <w:b/>
                <w:bCs/>
                <w:sz w:val="26"/>
                <w:szCs w:val="26"/>
                <w:rtl/>
              </w:rPr>
              <w:t>(עציר)</w:t>
            </w:r>
          </w:p>
          <w:p w14:paraId="67021746" w14:textId="77777777" w:rsidR="00305C80" w:rsidRPr="00B42346" w:rsidRDefault="00305C80" w:rsidP="00FC15A4">
            <w:pPr>
              <w:pStyle w:val="a4"/>
              <w:rPr>
                <w:rFonts w:ascii="David" w:hAnsi="David"/>
                <w:b/>
                <w:bCs/>
                <w:sz w:val="26"/>
                <w:szCs w:val="26"/>
                <w:rtl/>
              </w:rPr>
            </w:pPr>
          </w:p>
        </w:tc>
        <w:tc>
          <w:tcPr>
            <w:tcW w:w="3663" w:type="dxa"/>
          </w:tcPr>
          <w:p w14:paraId="5643B74A" w14:textId="77777777" w:rsidR="00305C80" w:rsidRPr="00B42346" w:rsidRDefault="00305C80" w:rsidP="00FC15A4">
            <w:pPr>
              <w:pStyle w:val="a4"/>
              <w:jc w:val="right"/>
              <w:rPr>
                <w:rFonts w:ascii="David" w:hAnsi="David"/>
                <w:b/>
                <w:bCs/>
                <w:sz w:val="26"/>
                <w:szCs w:val="26"/>
                <w:rtl/>
              </w:rPr>
            </w:pPr>
          </w:p>
        </w:tc>
      </w:tr>
    </w:tbl>
    <w:p w14:paraId="42812CB9" w14:textId="77777777" w:rsidR="00305C80" w:rsidRPr="00B42346" w:rsidRDefault="00305C80" w:rsidP="00B42346">
      <w:pPr>
        <w:pStyle w:val="a4"/>
        <w:rPr>
          <w:rFonts w:ascii="David" w:hAnsi="David"/>
          <w:sz w:val="26"/>
          <w:szCs w:val="26"/>
          <w:rtl/>
        </w:rPr>
      </w:pPr>
      <w:r w:rsidRPr="00B42346">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05C80" w:rsidRPr="00B42346" w14:paraId="139C2DC5" w14:textId="77777777" w:rsidTr="00305C80">
        <w:trPr>
          <w:trHeight w:val="295"/>
          <w:jc w:val="center"/>
        </w:trPr>
        <w:tc>
          <w:tcPr>
            <w:tcW w:w="923" w:type="dxa"/>
            <w:tcBorders>
              <w:top w:val="nil"/>
              <w:left w:val="nil"/>
              <w:bottom w:val="nil"/>
              <w:right w:val="nil"/>
            </w:tcBorders>
            <w:shd w:val="clear" w:color="auto" w:fill="auto"/>
          </w:tcPr>
          <w:p w14:paraId="709D9C88" w14:textId="77777777" w:rsidR="00305C80" w:rsidRPr="00B42346" w:rsidRDefault="00305C80" w:rsidP="00B42346">
            <w:pPr>
              <w:spacing w:before="120" w:after="120"/>
              <w:jc w:val="both"/>
              <w:rPr>
                <w:rFonts w:ascii="David" w:hAnsi="David"/>
                <w:b/>
                <w:bCs/>
                <w:sz w:val="26"/>
                <w:szCs w:val="26"/>
              </w:rPr>
            </w:pPr>
            <w:r w:rsidRPr="00B42346">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98AF9C0" w14:textId="77777777" w:rsidR="00305C80" w:rsidRPr="00B42346" w:rsidRDefault="00305C80" w:rsidP="00B42346">
            <w:pPr>
              <w:spacing w:before="120" w:after="120"/>
              <w:rPr>
                <w:rFonts w:ascii="David" w:hAnsi="David" w:hint="cs"/>
                <w:b/>
                <w:bCs/>
                <w:sz w:val="26"/>
                <w:szCs w:val="26"/>
              </w:rPr>
            </w:pPr>
            <w:r w:rsidRPr="00B42346">
              <w:rPr>
                <w:rFonts w:ascii="David" w:hAnsi="David"/>
                <w:b/>
                <w:bCs/>
                <w:sz w:val="26"/>
                <w:szCs w:val="26"/>
                <w:rtl/>
              </w:rPr>
              <w:t>כבוד השופט  עמי קובו</w:t>
            </w:r>
          </w:p>
        </w:tc>
      </w:tr>
      <w:tr w:rsidR="00305C80" w:rsidRPr="00B42346" w14:paraId="28848AF6" w14:textId="77777777" w:rsidTr="00305C80">
        <w:trPr>
          <w:trHeight w:val="355"/>
          <w:jc w:val="center"/>
        </w:trPr>
        <w:tc>
          <w:tcPr>
            <w:tcW w:w="923" w:type="dxa"/>
            <w:tcBorders>
              <w:top w:val="nil"/>
              <w:left w:val="nil"/>
              <w:bottom w:val="nil"/>
              <w:right w:val="nil"/>
            </w:tcBorders>
            <w:shd w:val="clear" w:color="auto" w:fill="auto"/>
          </w:tcPr>
          <w:p w14:paraId="69948B12" w14:textId="77777777" w:rsidR="00305C80" w:rsidRPr="00B42346" w:rsidRDefault="00305C80" w:rsidP="00B42346">
            <w:pPr>
              <w:spacing w:before="120" w:after="120"/>
              <w:jc w:val="both"/>
              <w:rPr>
                <w:rFonts w:ascii="David" w:hAnsi="David"/>
                <w:b/>
                <w:bCs/>
                <w:sz w:val="26"/>
                <w:szCs w:val="26"/>
              </w:rPr>
            </w:pPr>
            <w:bookmarkStart w:id="1" w:name="FirstAppellant"/>
            <w:r w:rsidRPr="00B42346">
              <w:rPr>
                <w:rFonts w:ascii="David" w:hAnsi="David"/>
                <w:b/>
                <w:bCs/>
                <w:sz w:val="26"/>
                <w:szCs w:val="26"/>
                <w:rtl/>
              </w:rPr>
              <w:t>בעניין:</w:t>
            </w:r>
          </w:p>
        </w:tc>
        <w:tc>
          <w:tcPr>
            <w:tcW w:w="4126" w:type="dxa"/>
            <w:tcBorders>
              <w:top w:val="nil"/>
              <w:left w:val="nil"/>
              <w:bottom w:val="nil"/>
              <w:right w:val="nil"/>
            </w:tcBorders>
            <w:shd w:val="clear" w:color="auto" w:fill="auto"/>
          </w:tcPr>
          <w:p w14:paraId="02A82DB3" w14:textId="77777777" w:rsidR="00305C80" w:rsidRPr="00B42346" w:rsidRDefault="00305C80" w:rsidP="00B42346">
            <w:pPr>
              <w:spacing w:before="120" w:after="120"/>
              <w:rPr>
                <w:rFonts w:ascii="David" w:hAnsi="David"/>
                <w:b/>
                <w:bCs/>
                <w:sz w:val="26"/>
                <w:szCs w:val="26"/>
              </w:rPr>
            </w:pPr>
            <w:r w:rsidRPr="00B42346">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08EDDEAF" w14:textId="77777777" w:rsidR="00305C80" w:rsidRPr="00B42346" w:rsidRDefault="00305C80" w:rsidP="00B42346">
            <w:pPr>
              <w:spacing w:before="120" w:after="120"/>
              <w:jc w:val="both"/>
              <w:rPr>
                <w:rFonts w:ascii="David" w:hAnsi="David"/>
                <w:b/>
                <w:bCs/>
                <w:sz w:val="26"/>
                <w:szCs w:val="26"/>
              </w:rPr>
            </w:pPr>
          </w:p>
        </w:tc>
      </w:tr>
      <w:bookmarkEnd w:id="1"/>
      <w:tr w:rsidR="00305C80" w:rsidRPr="00B42346" w14:paraId="11E77CCE" w14:textId="77777777" w:rsidTr="00305C80">
        <w:trPr>
          <w:trHeight w:val="355"/>
          <w:jc w:val="center"/>
        </w:trPr>
        <w:tc>
          <w:tcPr>
            <w:tcW w:w="923" w:type="dxa"/>
            <w:tcBorders>
              <w:top w:val="nil"/>
              <w:left w:val="nil"/>
              <w:bottom w:val="nil"/>
              <w:right w:val="nil"/>
            </w:tcBorders>
            <w:shd w:val="clear" w:color="auto" w:fill="auto"/>
          </w:tcPr>
          <w:p w14:paraId="7FD3D05A" w14:textId="77777777" w:rsidR="00305C80" w:rsidRPr="00B42346" w:rsidRDefault="00305C80" w:rsidP="00B42346">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7BED0B35" w14:textId="77777777" w:rsidR="00305C80" w:rsidRPr="00B42346" w:rsidRDefault="00305C80" w:rsidP="00B42346">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4FD3F840" w14:textId="77777777" w:rsidR="00305C80" w:rsidRPr="00B42346" w:rsidRDefault="00305C80" w:rsidP="00B42346">
            <w:pPr>
              <w:spacing w:before="120" w:after="120"/>
              <w:jc w:val="right"/>
              <w:rPr>
                <w:rFonts w:ascii="David" w:hAnsi="David"/>
                <w:b/>
                <w:bCs/>
                <w:sz w:val="26"/>
                <w:szCs w:val="26"/>
                <w:rtl/>
              </w:rPr>
            </w:pPr>
            <w:r w:rsidRPr="00B42346">
              <w:rPr>
                <w:rFonts w:ascii="David" w:hAnsi="David"/>
                <w:b/>
                <w:bCs/>
                <w:sz w:val="26"/>
                <w:szCs w:val="26"/>
                <w:rtl/>
              </w:rPr>
              <w:t>המאשימה</w:t>
            </w:r>
          </w:p>
        </w:tc>
      </w:tr>
      <w:tr w:rsidR="00B42346" w:rsidRPr="00B42346" w14:paraId="7DDC62E7" w14:textId="77777777" w:rsidTr="00B42346">
        <w:trPr>
          <w:trHeight w:val="355"/>
          <w:jc w:val="center"/>
        </w:trPr>
        <w:tc>
          <w:tcPr>
            <w:tcW w:w="8820" w:type="dxa"/>
            <w:gridSpan w:val="3"/>
            <w:tcBorders>
              <w:top w:val="nil"/>
              <w:left w:val="nil"/>
              <w:bottom w:val="nil"/>
              <w:right w:val="nil"/>
            </w:tcBorders>
            <w:shd w:val="clear" w:color="auto" w:fill="auto"/>
          </w:tcPr>
          <w:p w14:paraId="78AB9E3C" w14:textId="77777777" w:rsidR="00B42346" w:rsidRPr="00B42346" w:rsidRDefault="00B42346" w:rsidP="00305C80">
            <w:pPr>
              <w:jc w:val="center"/>
              <w:rPr>
                <w:rFonts w:ascii="David" w:hAnsi="David"/>
                <w:b/>
                <w:bCs/>
                <w:sz w:val="26"/>
                <w:szCs w:val="26"/>
                <w:rtl/>
              </w:rPr>
            </w:pPr>
          </w:p>
          <w:p w14:paraId="6AE254DD" w14:textId="77777777" w:rsidR="00B42346" w:rsidRPr="00B42346" w:rsidRDefault="00B42346" w:rsidP="00305C80">
            <w:pPr>
              <w:jc w:val="center"/>
              <w:rPr>
                <w:rFonts w:ascii="David" w:hAnsi="David"/>
                <w:b/>
                <w:bCs/>
                <w:sz w:val="26"/>
                <w:szCs w:val="26"/>
                <w:rtl/>
              </w:rPr>
            </w:pPr>
            <w:r w:rsidRPr="00B42346">
              <w:rPr>
                <w:rFonts w:ascii="David" w:hAnsi="David"/>
                <w:b/>
                <w:bCs/>
                <w:sz w:val="26"/>
                <w:szCs w:val="26"/>
                <w:rtl/>
              </w:rPr>
              <w:t>נגד</w:t>
            </w:r>
          </w:p>
          <w:p w14:paraId="07DE7FE0" w14:textId="77777777" w:rsidR="00B42346" w:rsidRPr="00B42346" w:rsidRDefault="00B42346" w:rsidP="00305C80">
            <w:pPr>
              <w:jc w:val="both"/>
              <w:rPr>
                <w:rFonts w:ascii="David" w:hAnsi="David"/>
                <w:b/>
                <w:bCs/>
                <w:sz w:val="26"/>
                <w:szCs w:val="26"/>
              </w:rPr>
            </w:pPr>
          </w:p>
        </w:tc>
      </w:tr>
      <w:tr w:rsidR="00305C80" w:rsidRPr="00B42346" w14:paraId="31D64752" w14:textId="77777777" w:rsidTr="00305C80">
        <w:trPr>
          <w:trHeight w:val="355"/>
          <w:jc w:val="center"/>
        </w:trPr>
        <w:tc>
          <w:tcPr>
            <w:tcW w:w="923" w:type="dxa"/>
            <w:tcBorders>
              <w:top w:val="nil"/>
              <w:left w:val="nil"/>
              <w:bottom w:val="nil"/>
              <w:right w:val="nil"/>
            </w:tcBorders>
            <w:shd w:val="clear" w:color="auto" w:fill="auto"/>
          </w:tcPr>
          <w:p w14:paraId="0ACB3068" w14:textId="77777777" w:rsidR="00305C80" w:rsidRPr="00B42346" w:rsidRDefault="00305C80" w:rsidP="00B42346">
            <w:pPr>
              <w:spacing w:before="120" w:after="120"/>
              <w:rPr>
                <w:rFonts w:ascii="David" w:hAnsi="David"/>
                <w:b/>
                <w:bCs/>
                <w:sz w:val="26"/>
                <w:szCs w:val="26"/>
                <w:rtl/>
              </w:rPr>
            </w:pPr>
          </w:p>
        </w:tc>
        <w:tc>
          <w:tcPr>
            <w:tcW w:w="4126" w:type="dxa"/>
            <w:tcBorders>
              <w:top w:val="nil"/>
              <w:left w:val="nil"/>
              <w:bottom w:val="nil"/>
              <w:right w:val="nil"/>
            </w:tcBorders>
            <w:shd w:val="clear" w:color="auto" w:fill="auto"/>
          </w:tcPr>
          <w:p w14:paraId="300CBC41" w14:textId="77777777" w:rsidR="00305C80" w:rsidRPr="00B42346" w:rsidRDefault="00305C80" w:rsidP="00B42346">
            <w:pPr>
              <w:spacing w:before="120" w:after="120"/>
              <w:rPr>
                <w:rFonts w:ascii="David" w:hAnsi="David"/>
                <w:b/>
                <w:bCs/>
                <w:sz w:val="26"/>
                <w:szCs w:val="26"/>
                <w:rtl/>
              </w:rPr>
            </w:pPr>
            <w:r w:rsidRPr="00B42346">
              <w:rPr>
                <w:rFonts w:ascii="David" w:hAnsi="David"/>
                <w:b/>
                <w:bCs/>
                <w:sz w:val="26"/>
                <w:szCs w:val="26"/>
                <w:rtl/>
              </w:rPr>
              <w:t>ארז אליאב (עציר)</w:t>
            </w:r>
          </w:p>
        </w:tc>
        <w:tc>
          <w:tcPr>
            <w:tcW w:w="3771" w:type="dxa"/>
            <w:tcBorders>
              <w:top w:val="nil"/>
              <w:left w:val="nil"/>
              <w:bottom w:val="nil"/>
              <w:right w:val="nil"/>
            </w:tcBorders>
            <w:shd w:val="clear" w:color="auto" w:fill="auto"/>
          </w:tcPr>
          <w:p w14:paraId="739EE579" w14:textId="77777777" w:rsidR="00305C80" w:rsidRPr="00B42346" w:rsidRDefault="00305C80" w:rsidP="00B42346">
            <w:pPr>
              <w:spacing w:before="120" w:after="120"/>
              <w:jc w:val="right"/>
              <w:rPr>
                <w:rFonts w:ascii="David" w:hAnsi="David"/>
                <w:b/>
                <w:bCs/>
                <w:sz w:val="26"/>
                <w:szCs w:val="26"/>
              </w:rPr>
            </w:pPr>
          </w:p>
        </w:tc>
      </w:tr>
      <w:tr w:rsidR="00305C80" w:rsidRPr="00B42346" w14:paraId="2C3D79FC" w14:textId="77777777" w:rsidTr="00305C80">
        <w:trPr>
          <w:trHeight w:val="355"/>
          <w:jc w:val="center"/>
        </w:trPr>
        <w:tc>
          <w:tcPr>
            <w:tcW w:w="923" w:type="dxa"/>
            <w:tcBorders>
              <w:top w:val="nil"/>
              <w:left w:val="nil"/>
              <w:bottom w:val="nil"/>
              <w:right w:val="nil"/>
            </w:tcBorders>
            <w:shd w:val="clear" w:color="auto" w:fill="auto"/>
          </w:tcPr>
          <w:p w14:paraId="047AF214" w14:textId="77777777" w:rsidR="00305C80" w:rsidRPr="00B42346" w:rsidRDefault="00305C80" w:rsidP="00B42346">
            <w:pPr>
              <w:spacing w:before="120" w:after="120"/>
              <w:jc w:val="both"/>
              <w:rPr>
                <w:rFonts w:ascii="David" w:hAnsi="David"/>
                <w:b/>
                <w:bCs/>
                <w:sz w:val="26"/>
                <w:szCs w:val="26"/>
                <w:rtl/>
              </w:rPr>
            </w:pPr>
            <w:bookmarkStart w:id="2" w:name="FirstLawyer"/>
          </w:p>
        </w:tc>
        <w:tc>
          <w:tcPr>
            <w:tcW w:w="4126" w:type="dxa"/>
            <w:tcBorders>
              <w:top w:val="nil"/>
              <w:left w:val="nil"/>
              <w:bottom w:val="nil"/>
              <w:right w:val="nil"/>
            </w:tcBorders>
            <w:shd w:val="clear" w:color="auto" w:fill="auto"/>
          </w:tcPr>
          <w:p w14:paraId="7BA5A235" w14:textId="77777777" w:rsidR="00305C80" w:rsidRPr="00B42346" w:rsidRDefault="00305C80" w:rsidP="00B42346">
            <w:pPr>
              <w:spacing w:before="120" w:after="120"/>
              <w:jc w:val="both"/>
              <w:rPr>
                <w:rFonts w:ascii="David" w:hAnsi="David"/>
                <w:b/>
                <w:bCs/>
                <w:sz w:val="26"/>
                <w:szCs w:val="26"/>
                <w:rtl/>
              </w:rPr>
            </w:pPr>
            <w:r w:rsidRPr="00B42346">
              <w:rPr>
                <w:rFonts w:ascii="David" w:hAnsi="David"/>
                <w:b/>
                <w:bCs/>
                <w:sz w:val="26"/>
                <w:szCs w:val="26"/>
                <w:rtl/>
              </w:rPr>
              <w:t>ב"כ המאשימה: עו"ד שירה סוכצקי</w:t>
            </w:r>
          </w:p>
          <w:p w14:paraId="1C4CCD42" w14:textId="77777777" w:rsidR="00305C80" w:rsidRPr="00B42346" w:rsidRDefault="00305C80" w:rsidP="00B42346">
            <w:pPr>
              <w:spacing w:before="120" w:after="120"/>
              <w:jc w:val="both"/>
              <w:rPr>
                <w:rFonts w:ascii="David" w:hAnsi="David"/>
                <w:b/>
                <w:bCs/>
                <w:sz w:val="26"/>
                <w:szCs w:val="26"/>
                <w:rtl/>
              </w:rPr>
            </w:pPr>
            <w:r w:rsidRPr="00B42346">
              <w:rPr>
                <w:rFonts w:ascii="David" w:hAnsi="David"/>
                <w:b/>
                <w:bCs/>
                <w:sz w:val="26"/>
                <w:szCs w:val="26"/>
                <w:rtl/>
              </w:rPr>
              <w:t>ב"כ הנאשם" עו"ד משה סוחמי</w:t>
            </w:r>
          </w:p>
        </w:tc>
        <w:tc>
          <w:tcPr>
            <w:tcW w:w="3771" w:type="dxa"/>
            <w:tcBorders>
              <w:top w:val="nil"/>
              <w:left w:val="nil"/>
              <w:bottom w:val="nil"/>
              <w:right w:val="nil"/>
            </w:tcBorders>
            <w:shd w:val="clear" w:color="auto" w:fill="auto"/>
          </w:tcPr>
          <w:p w14:paraId="496B1626" w14:textId="77777777" w:rsidR="00305C80" w:rsidRPr="00B42346" w:rsidRDefault="00305C80" w:rsidP="00B42346">
            <w:pPr>
              <w:spacing w:before="120" w:after="120"/>
              <w:jc w:val="right"/>
              <w:rPr>
                <w:rFonts w:ascii="David" w:hAnsi="David"/>
                <w:b/>
                <w:bCs/>
                <w:sz w:val="26"/>
                <w:szCs w:val="26"/>
              </w:rPr>
            </w:pPr>
            <w:r w:rsidRPr="00B42346">
              <w:rPr>
                <w:rFonts w:ascii="David" w:hAnsi="David"/>
                <w:b/>
                <w:bCs/>
                <w:sz w:val="26"/>
                <w:szCs w:val="26"/>
                <w:rtl/>
              </w:rPr>
              <w:t>הנאשמים</w:t>
            </w:r>
          </w:p>
        </w:tc>
      </w:tr>
    </w:tbl>
    <w:p w14:paraId="4D7D8BA4" w14:textId="77777777" w:rsidR="00212C2B" w:rsidRDefault="00212C2B" w:rsidP="00E11605">
      <w:pPr>
        <w:spacing w:after="120" w:line="240" w:lineRule="exact"/>
        <w:ind w:left="283" w:hanging="283"/>
        <w:jc w:val="both"/>
        <w:rPr>
          <w:rFonts w:ascii="FrankRuehl" w:hAnsi="FrankRuehl" w:cs="FrankRuehl"/>
          <w:color w:val="0000FF"/>
          <w:rtl/>
        </w:rPr>
      </w:pPr>
      <w:bookmarkStart w:id="3" w:name="LawTable"/>
      <w:bookmarkEnd w:id="0"/>
      <w:bookmarkEnd w:id="2"/>
      <w:bookmarkEnd w:id="3"/>
    </w:p>
    <w:p w14:paraId="6462FD46" w14:textId="77777777" w:rsidR="00212C2B" w:rsidRPr="00212C2B" w:rsidRDefault="00212C2B" w:rsidP="00212C2B">
      <w:pPr>
        <w:spacing w:after="120" w:line="240" w:lineRule="exact"/>
        <w:ind w:left="283" w:hanging="283"/>
        <w:jc w:val="both"/>
        <w:rPr>
          <w:rFonts w:ascii="FrankRuehl" w:hAnsi="FrankRuehl" w:cs="FrankRuehl"/>
          <w:rtl/>
        </w:rPr>
      </w:pPr>
      <w:r w:rsidRPr="00212C2B">
        <w:rPr>
          <w:rFonts w:ascii="FrankRuehl" w:hAnsi="FrankRuehl" w:cs="FrankRuehl"/>
          <w:rtl/>
        </w:rPr>
        <w:t xml:space="preserve">חקיקה שאוזכרה: </w:t>
      </w:r>
    </w:p>
    <w:p w14:paraId="449B5972" w14:textId="77777777" w:rsidR="00212C2B" w:rsidRPr="00212C2B" w:rsidRDefault="00212C2B" w:rsidP="00212C2B">
      <w:pPr>
        <w:spacing w:after="120" w:line="240" w:lineRule="exact"/>
        <w:ind w:left="283" w:hanging="283"/>
        <w:jc w:val="both"/>
        <w:rPr>
          <w:rFonts w:ascii="FrankRuehl" w:hAnsi="FrankRuehl" w:cs="FrankRuehl"/>
          <w:rtl/>
        </w:rPr>
      </w:pPr>
      <w:hyperlink r:id="rId7" w:history="1">
        <w:r w:rsidRPr="00212C2B">
          <w:rPr>
            <w:rFonts w:ascii="FrankRuehl" w:hAnsi="FrankRuehl" w:cs="FrankRuehl"/>
            <w:color w:val="0000FF"/>
            <w:u w:val="single"/>
            <w:rtl/>
          </w:rPr>
          <w:t>פקודת הסמים המסוכנים [נוסח חדש], תשל"ג-1973</w:t>
        </w:r>
      </w:hyperlink>
      <w:r w:rsidRPr="00212C2B">
        <w:rPr>
          <w:rFonts w:ascii="FrankRuehl" w:hAnsi="FrankRuehl" w:cs="FrankRuehl"/>
          <w:rtl/>
        </w:rPr>
        <w:t xml:space="preserve">: סע'  </w:t>
      </w:r>
      <w:hyperlink r:id="rId8" w:history="1">
        <w:r w:rsidRPr="00212C2B">
          <w:rPr>
            <w:rFonts w:ascii="FrankRuehl" w:hAnsi="FrankRuehl" w:cs="FrankRuehl"/>
            <w:color w:val="0000FF"/>
            <w:u w:val="single"/>
            <w:rtl/>
          </w:rPr>
          <w:t>6</w:t>
        </w:r>
      </w:hyperlink>
      <w:r w:rsidRPr="00212C2B">
        <w:rPr>
          <w:rFonts w:ascii="FrankRuehl" w:hAnsi="FrankRuehl" w:cs="FrankRuehl"/>
          <w:rtl/>
        </w:rPr>
        <w:t xml:space="preserve">, </w:t>
      </w:r>
      <w:hyperlink r:id="rId9" w:history="1">
        <w:r w:rsidRPr="00212C2B">
          <w:rPr>
            <w:rFonts w:ascii="FrankRuehl" w:hAnsi="FrankRuehl" w:cs="FrankRuehl"/>
            <w:color w:val="0000FF"/>
            <w:u w:val="single"/>
            <w:rtl/>
          </w:rPr>
          <w:t>9(א)</w:t>
        </w:r>
      </w:hyperlink>
      <w:r w:rsidRPr="00212C2B">
        <w:rPr>
          <w:rFonts w:ascii="FrankRuehl" w:hAnsi="FrankRuehl" w:cs="FrankRuehl"/>
          <w:rtl/>
        </w:rPr>
        <w:t xml:space="preserve">, </w:t>
      </w:r>
      <w:hyperlink r:id="rId10" w:history="1">
        <w:r w:rsidRPr="00212C2B">
          <w:rPr>
            <w:rFonts w:ascii="FrankRuehl" w:hAnsi="FrankRuehl" w:cs="FrankRuehl"/>
            <w:color w:val="0000FF"/>
            <w:u w:val="single"/>
            <w:rtl/>
          </w:rPr>
          <w:t>(ד)</w:t>
        </w:r>
      </w:hyperlink>
      <w:r w:rsidRPr="00212C2B">
        <w:rPr>
          <w:rFonts w:ascii="FrankRuehl" w:hAnsi="FrankRuehl" w:cs="FrankRuehl"/>
          <w:rtl/>
        </w:rPr>
        <w:t xml:space="preserve">, </w:t>
      </w:r>
      <w:hyperlink r:id="rId11" w:history="1">
        <w:r w:rsidRPr="00212C2B">
          <w:rPr>
            <w:rFonts w:ascii="FrankRuehl" w:hAnsi="FrankRuehl" w:cs="FrankRuehl"/>
            <w:color w:val="0000FF"/>
            <w:u w:val="single"/>
            <w:rtl/>
          </w:rPr>
          <w:t>10</w:t>
        </w:r>
      </w:hyperlink>
    </w:p>
    <w:p w14:paraId="16C33D4A" w14:textId="77777777" w:rsidR="00212C2B" w:rsidRPr="00212C2B" w:rsidRDefault="00212C2B" w:rsidP="00212C2B">
      <w:pPr>
        <w:spacing w:after="120" w:line="240" w:lineRule="exact"/>
        <w:ind w:left="283" w:hanging="283"/>
        <w:jc w:val="both"/>
        <w:rPr>
          <w:rFonts w:ascii="FrankRuehl" w:hAnsi="FrankRuehl" w:cs="FrankRuehl"/>
          <w:rtl/>
        </w:rPr>
      </w:pPr>
      <w:hyperlink r:id="rId12" w:history="1">
        <w:r w:rsidRPr="00212C2B">
          <w:rPr>
            <w:rFonts w:ascii="FrankRuehl" w:hAnsi="FrankRuehl" w:cs="FrankRuehl"/>
            <w:color w:val="0000FF"/>
            <w:u w:val="single"/>
            <w:rtl/>
          </w:rPr>
          <w:t>חוק העונשין, תשל"ז-1977</w:t>
        </w:r>
      </w:hyperlink>
      <w:r w:rsidRPr="00212C2B">
        <w:rPr>
          <w:rFonts w:ascii="FrankRuehl" w:hAnsi="FrankRuehl" w:cs="FrankRuehl"/>
          <w:rtl/>
        </w:rPr>
        <w:t xml:space="preserve">: סע'  </w:t>
      </w:r>
      <w:hyperlink r:id="rId13" w:history="1">
        <w:r w:rsidRPr="00212C2B">
          <w:rPr>
            <w:rFonts w:ascii="FrankRuehl" w:hAnsi="FrankRuehl" w:cs="FrankRuehl"/>
            <w:color w:val="0000FF"/>
            <w:u w:val="single"/>
            <w:rtl/>
          </w:rPr>
          <w:t>40 ט'</w:t>
        </w:r>
      </w:hyperlink>
      <w:r w:rsidRPr="00212C2B">
        <w:rPr>
          <w:rFonts w:ascii="FrankRuehl" w:hAnsi="FrankRuehl" w:cs="FrankRuehl"/>
          <w:rtl/>
        </w:rPr>
        <w:t xml:space="preserve">, </w:t>
      </w:r>
      <w:hyperlink r:id="rId14" w:history="1">
        <w:r w:rsidRPr="00212C2B">
          <w:rPr>
            <w:rFonts w:ascii="FrankRuehl" w:hAnsi="FrankRuehl" w:cs="FrankRuehl"/>
            <w:color w:val="0000FF"/>
            <w:u w:val="single"/>
            <w:rtl/>
          </w:rPr>
          <w:t>400</w:t>
        </w:r>
      </w:hyperlink>
      <w:r w:rsidRPr="00212C2B">
        <w:rPr>
          <w:rFonts w:ascii="FrankRuehl" w:hAnsi="FrankRuehl" w:cs="FrankRuehl"/>
          <w:rtl/>
        </w:rPr>
        <w:t xml:space="preserve">, </w:t>
      </w:r>
      <w:hyperlink r:id="rId15" w:history="1">
        <w:r w:rsidRPr="00212C2B">
          <w:rPr>
            <w:rFonts w:ascii="FrankRuehl" w:hAnsi="FrankRuehl" w:cs="FrankRuehl"/>
            <w:color w:val="0000FF"/>
            <w:u w:val="single"/>
            <w:rtl/>
          </w:rPr>
          <w:t>40 יא'</w:t>
        </w:r>
      </w:hyperlink>
      <w:r w:rsidRPr="00212C2B">
        <w:rPr>
          <w:rFonts w:ascii="FrankRuehl" w:hAnsi="FrankRuehl" w:cs="FrankRuehl"/>
          <w:rtl/>
        </w:rPr>
        <w:t xml:space="preserve">, </w:t>
      </w:r>
      <w:hyperlink r:id="rId16" w:history="1">
        <w:r w:rsidRPr="00212C2B">
          <w:rPr>
            <w:rFonts w:ascii="FrankRuehl" w:hAnsi="FrankRuehl" w:cs="FrankRuehl"/>
            <w:color w:val="0000FF"/>
            <w:u w:val="single"/>
            <w:rtl/>
          </w:rPr>
          <w:t>40 יג'</w:t>
        </w:r>
      </w:hyperlink>
    </w:p>
    <w:p w14:paraId="5B12EF50" w14:textId="77777777" w:rsidR="00212C2B" w:rsidRPr="00212C2B" w:rsidRDefault="00212C2B" w:rsidP="00212C2B">
      <w:pPr>
        <w:spacing w:after="120" w:line="240" w:lineRule="exact"/>
        <w:ind w:left="283" w:hanging="283"/>
        <w:jc w:val="both"/>
        <w:rPr>
          <w:rFonts w:ascii="FrankRuehl" w:hAnsi="FrankRuehl" w:cs="FrankRuehl"/>
          <w:rtl/>
        </w:rPr>
      </w:pPr>
    </w:p>
    <w:p w14:paraId="0073A915" w14:textId="77777777" w:rsidR="00212C2B" w:rsidRDefault="00212C2B" w:rsidP="00212C2B">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702A3603" w14:textId="77777777" w:rsidR="00212C2B" w:rsidRPr="00212C2B" w:rsidRDefault="00212C2B" w:rsidP="00212C2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212C2B">
        <w:rPr>
          <w:rFonts w:cs="FrankRuehl" w:hint="cs"/>
          <w:szCs w:val="26"/>
          <w:rtl/>
        </w:rPr>
        <w:t>בית המשפט גזר על הנאשם שהורשע בביצוע עבירות סמים, שעניינן בהקמת</w:t>
      </w:r>
      <w:r w:rsidRPr="00212C2B">
        <w:rPr>
          <w:rFonts w:cs="FrankRuehl"/>
          <w:szCs w:val="26"/>
          <w:rtl/>
        </w:rPr>
        <w:t xml:space="preserve"> מעבדה לגידול צמחי קנאביס</w:t>
      </w:r>
      <w:r w:rsidRPr="00212C2B">
        <w:rPr>
          <w:rFonts w:cs="FrankRuehl" w:hint="cs"/>
          <w:szCs w:val="26"/>
          <w:rtl/>
        </w:rPr>
        <w:t xml:space="preserve">, עונש של </w:t>
      </w:r>
      <w:r w:rsidRPr="00212C2B">
        <w:rPr>
          <w:rFonts w:cs="FrankRuehl"/>
          <w:szCs w:val="26"/>
          <w:rtl/>
        </w:rPr>
        <w:t>25 חודשי מאסר בפועל</w:t>
      </w:r>
      <w:r w:rsidRPr="00212C2B">
        <w:rPr>
          <w:rFonts w:cs="FrankRuehl" w:hint="cs"/>
          <w:szCs w:val="26"/>
          <w:rtl/>
        </w:rPr>
        <w:t xml:space="preserve">, מאסר על תנאי וקנס. </w:t>
      </w:r>
    </w:p>
    <w:p w14:paraId="1E66F174" w14:textId="77777777" w:rsidR="00212C2B" w:rsidRDefault="00212C2B" w:rsidP="00212C2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6E499E6B" w14:textId="77777777" w:rsidR="00212C2B" w:rsidRDefault="00212C2B" w:rsidP="00212C2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94F6051" w14:textId="77777777" w:rsidR="00212C2B" w:rsidRPr="00212C2B" w:rsidRDefault="00212C2B" w:rsidP="00212C2B">
      <w:pPr>
        <w:pBdr>
          <w:top w:val="single" w:sz="4" w:space="1" w:color="auto"/>
          <w:bottom w:val="single" w:sz="4" w:space="1" w:color="auto"/>
        </w:pBdr>
        <w:spacing w:after="120" w:line="320" w:lineRule="exact"/>
        <w:jc w:val="both"/>
        <w:rPr>
          <w:rFonts w:cs="FrankRuehl"/>
          <w:szCs w:val="26"/>
          <w:rtl/>
        </w:rPr>
      </w:pPr>
      <w:r w:rsidRPr="00212C2B">
        <w:rPr>
          <w:rFonts w:cs="FrankRuehl" w:hint="cs"/>
          <w:szCs w:val="26"/>
          <w:rtl/>
        </w:rPr>
        <w:t xml:space="preserve">בית המשפט נדרש לגזור את דינו של </w:t>
      </w:r>
      <w:r w:rsidRPr="00212C2B">
        <w:rPr>
          <w:rFonts w:cs="FrankRuehl"/>
          <w:szCs w:val="26"/>
          <w:rtl/>
        </w:rPr>
        <w:t xml:space="preserve">הנאשם </w:t>
      </w:r>
      <w:r w:rsidRPr="00212C2B">
        <w:rPr>
          <w:rFonts w:cs="FrankRuehl" w:hint="cs"/>
          <w:szCs w:val="26"/>
          <w:rtl/>
        </w:rPr>
        <w:t>ש</w:t>
      </w:r>
      <w:r w:rsidRPr="00212C2B">
        <w:rPr>
          <w:rFonts w:cs="FrankRuehl"/>
          <w:szCs w:val="26"/>
          <w:rtl/>
        </w:rPr>
        <w:t>הורשע בהתאם להודאתו בעובדות כתב האישום בעבירות כדלקמן: ייצור, הכנה והפקת סם מסוכן</w:t>
      </w:r>
      <w:r w:rsidRPr="00212C2B">
        <w:rPr>
          <w:rFonts w:cs="FrankRuehl" w:hint="cs"/>
          <w:szCs w:val="26"/>
          <w:rtl/>
        </w:rPr>
        <w:t xml:space="preserve">; </w:t>
      </w:r>
      <w:r w:rsidRPr="00212C2B">
        <w:rPr>
          <w:rFonts w:cs="FrankRuehl"/>
          <w:szCs w:val="26"/>
          <w:rtl/>
        </w:rPr>
        <w:t>החזקת חצרים לשם הכנת סם</w:t>
      </w:r>
      <w:r w:rsidRPr="00212C2B">
        <w:rPr>
          <w:rFonts w:cs="FrankRuehl" w:hint="cs"/>
          <w:szCs w:val="26"/>
          <w:rtl/>
        </w:rPr>
        <w:t xml:space="preserve">; </w:t>
      </w:r>
      <w:r w:rsidRPr="00212C2B">
        <w:rPr>
          <w:rFonts w:cs="FrankRuehl"/>
          <w:szCs w:val="26"/>
          <w:rtl/>
        </w:rPr>
        <w:t>החזקת כלים המשמשים להכנת סם מסוכן</w:t>
      </w:r>
      <w:r w:rsidRPr="00212C2B">
        <w:rPr>
          <w:rFonts w:cs="FrankRuehl" w:hint="cs"/>
          <w:szCs w:val="26"/>
          <w:rtl/>
        </w:rPr>
        <w:t xml:space="preserve">; </w:t>
      </w:r>
      <w:r w:rsidRPr="00212C2B">
        <w:rPr>
          <w:rFonts w:cs="FrankRuehl"/>
          <w:szCs w:val="26"/>
          <w:rtl/>
        </w:rPr>
        <w:t>נטילת חשמל</w:t>
      </w:r>
      <w:r w:rsidRPr="00212C2B">
        <w:rPr>
          <w:rFonts w:cs="FrankRuehl" w:hint="cs"/>
          <w:szCs w:val="26"/>
          <w:rtl/>
        </w:rPr>
        <w:t>.</w:t>
      </w:r>
    </w:p>
    <w:p w14:paraId="152EB734" w14:textId="77777777" w:rsidR="00212C2B" w:rsidRPr="00212C2B" w:rsidRDefault="00212C2B" w:rsidP="00212C2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C370D13" w14:textId="77777777" w:rsidR="00212C2B" w:rsidRPr="00212C2B" w:rsidRDefault="00212C2B" w:rsidP="00212C2B">
      <w:pPr>
        <w:pBdr>
          <w:top w:val="single" w:sz="4" w:space="1" w:color="auto"/>
          <w:bottom w:val="single" w:sz="4" w:space="1" w:color="auto"/>
        </w:pBdr>
        <w:spacing w:after="120" w:line="320" w:lineRule="exact"/>
        <w:jc w:val="both"/>
        <w:rPr>
          <w:rFonts w:cs="FrankRuehl"/>
          <w:szCs w:val="26"/>
          <w:rtl/>
        </w:rPr>
      </w:pPr>
      <w:r w:rsidRPr="00212C2B">
        <w:rPr>
          <w:rFonts w:cs="FrankRuehl" w:hint="cs"/>
          <w:szCs w:val="26"/>
          <w:rtl/>
        </w:rPr>
        <w:t>בית המשפט פסק כלהלן:</w:t>
      </w:r>
    </w:p>
    <w:p w14:paraId="26FD5ACF" w14:textId="77777777" w:rsidR="00212C2B" w:rsidRPr="00212C2B" w:rsidRDefault="00212C2B" w:rsidP="00212C2B">
      <w:pPr>
        <w:pBdr>
          <w:top w:val="single" w:sz="4" w:space="1" w:color="auto"/>
          <w:bottom w:val="single" w:sz="4" w:space="1" w:color="auto"/>
        </w:pBdr>
        <w:spacing w:after="120" w:line="320" w:lineRule="exact"/>
        <w:jc w:val="both"/>
        <w:rPr>
          <w:rFonts w:cs="FrankRuehl"/>
          <w:szCs w:val="26"/>
          <w:rtl/>
        </w:rPr>
      </w:pPr>
      <w:r w:rsidRPr="00212C2B">
        <w:rPr>
          <w:rFonts w:cs="FrankRuehl"/>
          <w:szCs w:val="26"/>
          <w:rtl/>
        </w:rPr>
        <w:t xml:space="preserve">כתב האישום מתאר אירוע אחד, ומכאן שיש לקבוע בגינו מתחם עונש הולם אחד. </w:t>
      </w:r>
    </w:p>
    <w:p w14:paraId="609186EC" w14:textId="77777777" w:rsidR="00212C2B" w:rsidRPr="00212C2B" w:rsidRDefault="00212C2B" w:rsidP="00212C2B">
      <w:pPr>
        <w:pBdr>
          <w:top w:val="single" w:sz="4" w:space="1" w:color="auto"/>
          <w:bottom w:val="single" w:sz="4" w:space="1" w:color="auto"/>
        </w:pBdr>
        <w:spacing w:after="120" w:line="320" w:lineRule="exact"/>
        <w:jc w:val="both"/>
        <w:rPr>
          <w:rFonts w:cs="FrankRuehl"/>
          <w:szCs w:val="26"/>
          <w:rtl/>
        </w:rPr>
      </w:pPr>
      <w:r w:rsidRPr="00212C2B">
        <w:rPr>
          <w:rFonts w:cs="FrankRuehl"/>
          <w:szCs w:val="26"/>
          <w:rtl/>
        </w:rPr>
        <w:t xml:space="preserve">במקרה דנן, הערכים החברתיים אשר נפגעו הם הגנה על הציבור מפני הנזקים הישירים והעקיפים אשר נגרמים עקב השימוש בסמים. </w:t>
      </w:r>
    </w:p>
    <w:p w14:paraId="49F1EFC3" w14:textId="77777777" w:rsidR="00212C2B" w:rsidRPr="00212C2B" w:rsidRDefault="00212C2B" w:rsidP="00212C2B">
      <w:pPr>
        <w:pBdr>
          <w:top w:val="single" w:sz="4" w:space="1" w:color="auto"/>
          <w:bottom w:val="single" w:sz="4" w:space="1" w:color="auto"/>
        </w:pBdr>
        <w:spacing w:after="120" w:line="320" w:lineRule="exact"/>
        <w:jc w:val="both"/>
        <w:rPr>
          <w:rFonts w:cs="FrankRuehl"/>
          <w:szCs w:val="26"/>
          <w:rtl/>
        </w:rPr>
      </w:pPr>
      <w:r w:rsidRPr="00212C2B">
        <w:rPr>
          <w:rFonts w:cs="FrankRuehl"/>
          <w:szCs w:val="26"/>
          <w:rtl/>
        </w:rPr>
        <w:t xml:space="preserve">קיים שוני משמעותי בין תיקים שונים של גידול סמים, החל מהרף הנמוך של גידול עציצים בודדים של סם בביתו של אדם לצריכה עצמית, דרך הרף הבינוני של גידול מספר עשרות שתילים, במשקל של </w:t>
      </w:r>
      <w:r w:rsidRPr="00212C2B">
        <w:rPr>
          <w:rFonts w:cs="FrankRuehl"/>
          <w:szCs w:val="26"/>
          <w:rtl/>
        </w:rPr>
        <w:lastRenderedPageBreak/>
        <w:t>קילוגרמים בודדים, תוך שימוש באמצעי עזר לגידול שנרכשו לשם כך, דרך רף בינוני-גבוה של הקמת והחזקת מעבדות מתוחכמות לגידול סמים, בדירות ייעודיות שנשכרו למטרה זו, אשר כוללות ציוד בשווי רב, וכמות של עשרות קילוגרמים, ועד לרף הגבוה של גידול במעבדות מתוחכמות בבתים ייעודיים לכך, של מאות קילוגרמים ומאות שתילים של סם, כל זאת למטרות סחר בסמים ורווח כספי.</w:t>
      </w:r>
    </w:p>
    <w:p w14:paraId="6187F87C" w14:textId="77777777" w:rsidR="00212C2B" w:rsidRPr="00212C2B" w:rsidRDefault="00212C2B" w:rsidP="00212C2B">
      <w:pPr>
        <w:pBdr>
          <w:top w:val="single" w:sz="4" w:space="1" w:color="auto"/>
          <w:bottom w:val="single" w:sz="4" w:space="1" w:color="auto"/>
        </w:pBdr>
        <w:spacing w:after="120" w:line="320" w:lineRule="exact"/>
        <w:jc w:val="both"/>
        <w:rPr>
          <w:rFonts w:cs="FrankRuehl"/>
          <w:szCs w:val="26"/>
          <w:rtl/>
        </w:rPr>
      </w:pPr>
      <w:r w:rsidRPr="00212C2B">
        <w:rPr>
          <w:rFonts w:cs="FrankRuehl"/>
          <w:szCs w:val="26"/>
          <w:rtl/>
        </w:rPr>
        <w:t xml:space="preserve">מתחם העונש ההולם הוא החל מ-22 ועד ל-46 חודשי מאסר בפועל. במקרה דנן, לא קיימים שיקולים אשר מצדיקים חריגה מהמתחם, לחומרה או לקולה. </w:t>
      </w:r>
    </w:p>
    <w:p w14:paraId="3854956C" w14:textId="77777777" w:rsidR="00212C2B" w:rsidRPr="00212C2B" w:rsidRDefault="00212C2B" w:rsidP="00E11605">
      <w:pPr>
        <w:spacing w:after="120" w:line="240" w:lineRule="exact"/>
        <w:ind w:left="283" w:hanging="283"/>
        <w:jc w:val="both"/>
        <w:rPr>
          <w:rFonts w:ascii="FrankRuehl" w:hAnsi="FrankRuehl" w:cs="FrankRuehl"/>
          <w:color w:val="0000FF"/>
          <w:rtl/>
        </w:rPr>
      </w:pPr>
      <w:bookmarkStart w:id="6" w:name="ABSTRACT_END"/>
      <w:bookmarkEnd w:id="6"/>
    </w:p>
    <w:p w14:paraId="1FF52B0D" w14:textId="77777777" w:rsidR="00E11605" w:rsidRPr="00973321" w:rsidRDefault="00E11605" w:rsidP="00E11605">
      <w:pPr>
        <w:jc w:val="center"/>
        <w:rPr>
          <w:rFonts w:ascii="Arial" w:hAnsi="Arial" w:cs="FrankRuehl"/>
          <w:b/>
          <w:bCs/>
          <w:sz w:val="32"/>
          <w:szCs w:val="32"/>
          <w:u w:val="single"/>
          <w:rtl/>
        </w:rPr>
      </w:pPr>
      <w:bookmarkStart w:id="7" w:name="PsakDin"/>
      <w:r w:rsidRPr="00973321">
        <w:rPr>
          <w:rFonts w:ascii="Arial" w:hAnsi="Arial" w:cs="FrankRuehl"/>
          <w:b/>
          <w:bCs/>
          <w:sz w:val="32"/>
          <w:szCs w:val="32"/>
          <w:u w:val="single"/>
          <w:rtl/>
        </w:rPr>
        <w:t>גזר דין</w:t>
      </w:r>
    </w:p>
    <w:bookmarkEnd w:id="7"/>
    <w:p w14:paraId="1B814AE5" w14:textId="77777777" w:rsidR="00305C80" w:rsidRPr="00B05847" w:rsidRDefault="00305C80" w:rsidP="00305C80">
      <w:pPr>
        <w:rPr>
          <w:rFonts w:ascii="Arial" w:hAnsi="Arial"/>
          <w:rtl/>
        </w:rPr>
      </w:pPr>
    </w:p>
    <w:p w14:paraId="4A22FD5F" w14:textId="77777777" w:rsidR="00305C80" w:rsidRPr="00AC6FAC" w:rsidRDefault="00305C80" w:rsidP="00305C80">
      <w:pPr>
        <w:spacing w:after="120" w:line="360" w:lineRule="auto"/>
        <w:jc w:val="both"/>
        <w:rPr>
          <w:bCs/>
          <w:u w:val="single"/>
          <w:rtl/>
          <w:lang w:eastAsia="he-IL"/>
        </w:rPr>
      </w:pPr>
      <w:r w:rsidRPr="00AC6FAC">
        <w:rPr>
          <w:bCs/>
          <w:u w:val="single"/>
          <w:rtl/>
          <w:lang w:eastAsia="he-IL"/>
        </w:rPr>
        <w:t>רקע</w:t>
      </w:r>
    </w:p>
    <w:p w14:paraId="3B5EF89C"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הנאשם הורשע בהתאם להודאתו בעובדות כתב האישום בעבירות כדלקמן: </w:t>
      </w:r>
    </w:p>
    <w:p w14:paraId="45743D02" w14:textId="77777777" w:rsidR="00305C80" w:rsidRPr="00AC6FAC" w:rsidRDefault="00305C80" w:rsidP="00305C80">
      <w:pPr>
        <w:numPr>
          <w:ilvl w:val="1"/>
          <w:numId w:val="1"/>
        </w:numPr>
        <w:tabs>
          <w:tab w:val="clear" w:pos="1620"/>
          <w:tab w:val="num" w:pos="1274"/>
        </w:tabs>
        <w:spacing w:after="120" w:line="360" w:lineRule="auto"/>
        <w:ind w:left="1274" w:hanging="567"/>
        <w:jc w:val="both"/>
        <w:rPr>
          <w:rFonts w:ascii="David" w:hAnsi="David"/>
          <w:color w:val="000000"/>
          <w:rtl/>
        </w:rPr>
      </w:pPr>
      <w:r w:rsidRPr="00AC6FAC">
        <w:rPr>
          <w:rFonts w:ascii="David" w:hAnsi="David"/>
          <w:b/>
          <w:bCs/>
          <w:color w:val="000000"/>
          <w:rtl/>
        </w:rPr>
        <w:t>ייצור, הכנה והפקת סם מסוכן</w:t>
      </w:r>
      <w:r w:rsidRPr="00AC6FAC">
        <w:rPr>
          <w:rFonts w:ascii="David" w:hAnsi="David"/>
          <w:color w:val="000000"/>
          <w:rtl/>
        </w:rPr>
        <w:t xml:space="preserve">, עבירה לפי </w:t>
      </w:r>
      <w:hyperlink r:id="rId17" w:history="1">
        <w:r w:rsidR="00E11605" w:rsidRPr="00E11605">
          <w:rPr>
            <w:rFonts w:ascii="David" w:hAnsi="David"/>
            <w:color w:val="0000FF"/>
            <w:u w:val="single"/>
            <w:rtl/>
          </w:rPr>
          <w:t>סעיף 6</w:t>
        </w:r>
      </w:hyperlink>
      <w:r w:rsidRPr="00AC6FAC">
        <w:rPr>
          <w:rFonts w:ascii="David" w:hAnsi="David"/>
          <w:color w:val="000000"/>
          <w:rtl/>
        </w:rPr>
        <w:t xml:space="preserve"> ב</w:t>
      </w:r>
      <w:hyperlink r:id="rId18" w:history="1">
        <w:r w:rsidR="00973321" w:rsidRPr="00973321">
          <w:rPr>
            <w:rFonts w:ascii="David" w:hAnsi="David"/>
            <w:color w:val="0000FF"/>
            <w:u w:val="single"/>
            <w:rtl/>
          </w:rPr>
          <w:t>פקודת הסמים המסוכנים</w:t>
        </w:r>
      </w:hyperlink>
      <w:r w:rsidRPr="00AC6FAC">
        <w:rPr>
          <w:rFonts w:ascii="David" w:hAnsi="David"/>
          <w:color w:val="000000"/>
          <w:rtl/>
        </w:rPr>
        <w:t xml:space="preserve"> [נוסח חדש], תשל"ג-1973 (להלן: "הפקודה").  </w:t>
      </w:r>
    </w:p>
    <w:p w14:paraId="17554262" w14:textId="77777777" w:rsidR="00305C80" w:rsidRPr="00AC6FAC" w:rsidRDefault="00305C80" w:rsidP="00305C80">
      <w:pPr>
        <w:numPr>
          <w:ilvl w:val="1"/>
          <w:numId w:val="1"/>
        </w:numPr>
        <w:tabs>
          <w:tab w:val="clear" w:pos="1620"/>
          <w:tab w:val="num" w:pos="1274"/>
        </w:tabs>
        <w:spacing w:after="120" w:line="360" w:lineRule="auto"/>
        <w:ind w:left="1274" w:hanging="567"/>
        <w:jc w:val="both"/>
        <w:rPr>
          <w:rFonts w:ascii="David" w:hAnsi="David"/>
          <w:color w:val="000000"/>
        </w:rPr>
      </w:pPr>
      <w:r w:rsidRPr="00AC6FAC">
        <w:rPr>
          <w:rFonts w:ascii="David" w:hAnsi="David"/>
          <w:b/>
          <w:bCs/>
          <w:color w:val="000000"/>
          <w:rtl/>
        </w:rPr>
        <w:t>החזקת חצרים לשם הכנת סם</w:t>
      </w:r>
      <w:r w:rsidRPr="00AC6FAC">
        <w:rPr>
          <w:rFonts w:ascii="David" w:hAnsi="David"/>
          <w:color w:val="000000"/>
          <w:rtl/>
        </w:rPr>
        <w:t xml:space="preserve">, עבירה לפני </w:t>
      </w:r>
      <w:hyperlink r:id="rId19" w:history="1">
        <w:r w:rsidR="00E11605" w:rsidRPr="00E11605">
          <w:rPr>
            <w:rFonts w:ascii="David" w:hAnsi="David"/>
            <w:color w:val="0000FF"/>
            <w:u w:val="single"/>
            <w:rtl/>
          </w:rPr>
          <w:t>סעיף 9(א)</w:t>
        </w:r>
      </w:hyperlink>
      <w:r w:rsidRPr="00AC6FAC">
        <w:rPr>
          <w:rFonts w:ascii="David" w:hAnsi="David"/>
          <w:color w:val="000000"/>
          <w:rtl/>
        </w:rPr>
        <w:t xml:space="preserve"> ו-</w:t>
      </w:r>
      <w:hyperlink r:id="rId20" w:history="1">
        <w:r w:rsidR="00E11605" w:rsidRPr="00E11605">
          <w:rPr>
            <w:rStyle w:val="Hyperlink"/>
            <w:rFonts w:ascii="David" w:hAnsi="David"/>
            <w:color w:val="0000FF"/>
            <w:rtl/>
          </w:rPr>
          <w:t>(ד)</w:t>
        </w:r>
      </w:hyperlink>
      <w:r w:rsidRPr="00AC6FAC">
        <w:rPr>
          <w:rFonts w:ascii="David" w:hAnsi="David"/>
          <w:color w:val="000000"/>
          <w:rtl/>
        </w:rPr>
        <w:t xml:space="preserve"> רישא בפקודה. </w:t>
      </w:r>
    </w:p>
    <w:p w14:paraId="3CE0561C" w14:textId="77777777" w:rsidR="00305C80" w:rsidRPr="00AC6FAC" w:rsidRDefault="00305C80" w:rsidP="00305C80">
      <w:pPr>
        <w:numPr>
          <w:ilvl w:val="1"/>
          <w:numId w:val="1"/>
        </w:numPr>
        <w:tabs>
          <w:tab w:val="clear" w:pos="1620"/>
          <w:tab w:val="num" w:pos="1274"/>
        </w:tabs>
        <w:spacing w:after="120" w:line="360" w:lineRule="auto"/>
        <w:ind w:left="1274" w:hanging="567"/>
        <w:jc w:val="both"/>
        <w:rPr>
          <w:rFonts w:ascii="David" w:hAnsi="David"/>
          <w:color w:val="000000"/>
        </w:rPr>
      </w:pPr>
      <w:r w:rsidRPr="00AC6FAC">
        <w:rPr>
          <w:rFonts w:ascii="David" w:hAnsi="David"/>
          <w:b/>
          <w:bCs/>
          <w:color w:val="000000"/>
          <w:rtl/>
        </w:rPr>
        <w:t>החזקת כלים המשמשים להכנת סם מסוכן</w:t>
      </w:r>
      <w:r w:rsidRPr="00AC6FAC">
        <w:rPr>
          <w:rFonts w:ascii="David" w:hAnsi="David"/>
          <w:color w:val="000000"/>
          <w:rtl/>
        </w:rPr>
        <w:t xml:space="preserve">, עבירה לפי </w:t>
      </w:r>
      <w:hyperlink r:id="rId21" w:history="1">
        <w:r w:rsidR="00E11605" w:rsidRPr="00E11605">
          <w:rPr>
            <w:rStyle w:val="Hyperlink"/>
            <w:rFonts w:ascii="David" w:hAnsi="David"/>
            <w:color w:val="0000FF"/>
            <w:rtl/>
          </w:rPr>
          <w:t>סעיף 10</w:t>
        </w:r>
      </w:hyperlink>
      <w:r w:rsidRPr="00AC6FAC">
        <w:rPr>
          <w:rFonts w:ascii="David" w:hAnsi="David"/>
          <w:color w:val="000000"/>
          <w:rtl/>
        </w:rPr>
        <w:t xml:space="preserve"> רישא בפקודה.</w:t>
      </w:r>
    </w:p>
    <w:p w14:paraId="055445F8" w14:textId="77777777" w:rsidR="00305C80" w:rsidRPr="00AC6FAC" w:rsidRDefault="00305C80" w:rsidP="00305C80">
      <w:pPr>
        <w:numPr>
          <w:ilvl w:val="1"/>
          <w:numId w:val="1"/>
        </w:numPr>
        <w:tabs>
          <w:tab w:val="clear" w:pos="1620"/>
          <w:tab w:val="num" w:pos="1274"/>
        </w:tabs>
        <w:spacing w:after="120" w:line="360" w:lineRule="auto"/>
        <w:ind w:left="1274" w:hanging="567"/>
        <w:jc w:val="both"/>
        <w:rPr>
          <w:rFonts w:ascii="David" w:hAnsi="David"/>
          <w:color w:val="000000"/>
        </w:rPr>
      </w:pPr>
      <w:r w:rsidRPr="00AC6FAC">
        <w:rPr>
          <w:rFonts w:ascii="David" w:hAnsi="David"/>
          <w:b/>
          <w:bCs/>
          <w:color w:val="000000"/>
          <w:rtl/>
        </w:rPr>
        <w:t>נטילת חשמל</w:t>
      </w:r>
      <w:r w:rsidRPr="00AC6FAC">
        <w:rPr>
          <w:rFonts w:ascii="David" w:hAnsi="David"/>
          <w:color w:val="000000"/>
          <w:rtl/>
        </w:rPr>
        <w:t xml:space="preserve">, עבירה לפי </w:t>
      </w:r>
      <w:hyperlink r:id="rId22" w:history="1">
        <w:r w:rsidR="00E11605" w:rsidRPr="00E11605">
          <w:rPr>
            <w:rStyle w:val="Hyperlink"/>
            <w:rFonts w:ascii="David" w:hAnsi="David"/>
            <w:color w:val="0000FF"/>
            <w:rtl/>
          </w:rPr>
          <w:t>סעיף 400</w:t>
        </w:r>
      </w:hyperlink>
      <w:r w:rsidRPr="00AC6FAC">
        <w:rPr>
          <w:rFonts w:ascii="David" w:hAnsi="David"/>
          <w:color w:val="000000"/>
          <w:rtl/>
        </w:rPr>
        <w:t xml:space="preserve"> ב</w:t>
      </w:r>
      <w:hyperlink r:id="rId23" w:history="1">
        <w:r w:rsidR="00973321" w:rsidRPr="00973321">
          <w:rPr>
            <w:rFonts w:ascii="David" w:hAnsi="David"/>
            <w:color w:val="0000FF"/>
            <w:u w:val="single"/>
            <w:rtl/>
          </w:rPr>
          <w:t>חוק העונשין</w:t>
        </w:r>
      </w:hyperlink>
      <w:r w:rsidRPr="00AC6FAC">
        <w:rPr>
          <w:rFonts w:ascii="David" w:hAnsi="David"/>
          <w:color w:val="000000"/>
          <w:rtl/>
        </w:rPr>
        <w:t>, תשל"ז-1977.</w:t>
      </w:r>
    </w:p>
    <w:p w14:paraId="0D0CEDC0"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על-פי המתואר בעובדות כתב האישום, החל מיום 1.8.18 ועד למעצרו (4.11.18) התגורר הנאשם בשכירות בבית בראשון לציון (להלן: "תקופת השכירות"). </w:t>
      </w:r>
      <w:r w:rsidRPr="00AC6FAC">
        <w:rPr>
          <w:rFonts w:ascii="David" w:hAnsi="David"/>
          <w:b/>
          <w:bCs/>
          <w:color w:val="000000"/>
          <w:rtl/>
        </w:rPr>
        <w:t>במהלך תקופת השכירות, הקים הנאשם בבית מעבדה לגידול צמחי קנאביס</w:t>
      </w:r>
      <w:r w:rsidRPr="00AC6FAC">
        <w:rPr>
          <w:rFonts w:ascii="David" w:hAnsi="David"/>
          <w:color w:val="000000"/>
          <w:rtl/>
        </w:rPr>
        <w:t xml:space="preserve">. לשם כך הכניס הנאשם לבית ציוד בהיקף נרחב אשר שימוש לגידול צמחי הקנאביס והכנתם לשימוש ובכלל זה עציצים ואדמה, מאיידים, פילטרים, מסננים, מנורות, מזגנים, מנועים, שנאים וכד'. במועד שאינו ידוע במדויק, חיבר הנאשם את הבית באופן פיראטי ללוח החשמל תוך עקיפת מונה החשמל. הנאשם הותיר חיבור למונה החשמל כדי שתירשם בבית צריכת חשמל מסוימת. בדרך זו הנאשם </w:t>
      </w:r>
      <w:r w:rsidRPr="00AC6FAC">
        <w:rPr>
          <w:rFonts w:ascii="David" w:hAnsi="David"/>
          <w:b/>
          <w:bCs/>
          <w:color w:val="000000"/>
          <w:rtl/>
        </w:rPr>
        <w:t>גנב חשמל בתקופת השכירות בשווי של 37,572.02 ₪</w:t>
      </w:r>
      <w:r w:rsidRPr="00AC6FAC">
        <w:rPr>
          <w:rFonts w:ascii="David" w:hAnsi="David"/>
          <w:color w:val="000000"/>
          <w:rtl/>
        </w:rPr>
        <w:t xml:space="preserve">. </w:t>
      </w:r>
    </w:p>
    <w:p w14:paraId="44098A22" w14:textId="77777777" w:rsidR="00305C80" w:rsidRPr="00AC6FAC" w:rsidRDefault="00305C80" w:rsidP="00305C80">
      <w:pPr>
        <w:spacing w:after="120" w:line="360" w:lineRule="auto"/>
        <w:ind w:left="720"/>
        <w:jc w:val="both"/>
        <w:rPr>
          <w:rFonts w:ascii="David" w:hAnsi="David"/>
          <w:color w:val="000000"/>
          <w:rtl/>
        </w:rPr>
      </w:pPr>
      <w:r w:rsidRPr="00AC6FAC">
        <w:rPr>
          <w:rFonts w:ascii="David" w:hAnsi="David"/>
          <w:color w:val="000000"/>
          <w:rtl/>
        </w:rPr>
        <w:t xml:space="preserve">במהלך תקופת השכירות, גידל הנאשם בבית כמויות גדולות של צמחי קנאביס וייצר סמים מסוכנים מסוג זה. ביום 4.11.19 בשעת בוקר, החזיק הנאשם בבית סמים מסוכנים כמפורט: </w:t>
      </w:r>
    </w:p>
    <w:p w14:paraId="3D051AB6" w14:textId="77777777" w:rsidR="00305C80" w:rsidRPr="00AC6FAC" w:rsidRDefault="00305C80" w:rsidP="00305C80">
      <w:pPr>
        <w:numPr>
          <w:ilvl w:val="1"/>
          <w:numId w:val="1"/>
        </w:numPr>
        <w:spacing w:after="120" w:line="360" w:lineRule="auto"/>
        <w:jc w:val="both"/>
        <w:rPr>
          <w:rFonts w:ascii="David" w:hAnsi="David"/>
          <w:color w:val="000000"/>
        </w:rPr>
      </w:pPr>
      <w:r w:rsidRPr="00AC6FAC">
        <w:rPr>
          <w:rFonts w:ascii="David" w:hAnsi="David"/>
          <w:color w:val="000000"/>
          <w:rtl/>
        </w:rPr>
        <w:t>289 שתילי קנאביס במשקל של 6.25 ק"ג נטו בקומה ה- 3 של הבית.</w:t>
      </w:r>
    </w:p>
    <w:p w14:paraId="07DE823A" w14:textId="77777777" w:rsidR="00305C80" w:rsidRPr="00AC6FAC" w:rsidRDefault="00305C80" w:rsidP="00305C80">
      <w:pPr>
        <w:numPr>
          <w:ilvl w:val="1"/>
          <w:numId w:val="1"/>
        </w:numPr>
        <w:spacing w:after="120" w:line="360" w:lineRule="auto"/>
        <w:jc w:val="both"/>
        <w:rPr>
          <w:rFonts w:ascii="David" w:hAnsi="David"/>
          <w:color w:val="000000"/>
        </w:rPr>
      </w:pPr>
      <w:r w:rsidRPr="00AC6FAC">
        <w:rPr>
          <w:rFonts w:ascii="David" w:hAnsi="David"/>
          <w:color w:val="000000"/>
          <w:rtl/>
        </w:rPr>
        <w:t xml:space="preserve">210 שתילי קנאביס במשקל של 3.45 ק"ג נטו בקומה ה- 2 של הבית. </w:t>
      </w:r>
    </w:p>
    <w:p w14:paraId="7E3690D5" w14:textId="77777777" w:rsidR="00305C80" w:rsidRPr="00AC6FAC" w:rsidRDefault="00305C80" w:rsidP="00305C80">
      <w:pPr>
        <w:numPr>
          <w:ilvl w:val="1"/>
          <w:numId w:val="1"/>
        </w:numPr>
        <w:spacing w:after="120" w:line="360" w:lineRule="auto"/>
        <w:jc w:val="both"/>
        <w:rPr>
          <w:rFonts w:ascii="David" w:hAnsi="David"/>
          <w:color w:val="000000"/>
        </w:rPr>
      </w:pPr>
      <w:r w:rsidRPr="00AC6FAC">
        <w:rPr>
          <w:rFonts w:ascii="David" w:hAnsi="David"/>
          <w:color w:val="000000"/>
          <w:rtl/>
        </w:rPr>
        <w:t xml:space="preserve">269 שתילי קנאביס במשקל של 70.6 ק"ג בקומת המרתף של הבית. </w:t>
      </w:r>
    </w:p>
    <w:p w14:paraId="0E5F2A34" w14:textId="77777777" w:rsidR="00305C80" w:rsidRPr="00AC6FAC" w:rsidRDefault="00305C80" w:rsidP="00305C80">
      <w:pPr>
        <w:spacing w:after="120" w:line="360" w:lineRule="auto"/>
        <w:ind w:left="720"/>
        <w:jc w:val="both"/>
        <w:rPr>
          <w:rFonts w:ascii="David" w:hAnsi="David"/>
          <w:color w:val="000000"/>
          <w:rtl/>
        </w:rPr>
      </w:pPr>
      <w:r w:rsidRPr="00AC6FAC">
        <w:rPr>
          <w:rFonts w:ascii="David" w:hAnsi="David"/>
          <w:b/>
          <w:bCs/>
          <w:color w:val="000000"/>
          <w:rtl/>
        </w:rPr>
        <w:t>בסך הכל הנאשם גידל והחזיק בבית 768 שתילי קנבוס, במשקל כולל של 80.3 ק"ג נטו</w:t>
      </w:r>
      <w:r w:rsidRPr="00AC6FAC">
        <w:rPr>
          <w:rFonts w:ascii="David" w:hAnsi="David"/>
          <w:color w:val="000000"/>
          <w:rtl/>
        </w:rPr>
        <w:t xml:space="preserve">. </w:t>
      </w:r>
    </w:p>
    <w:p w14:paraId="73E2B2E0" w14:textId="77777777" w:rsidR="00305C80" w:rsidRPr="00AC6FAC" w:rsidRDefault="00305C80" w:rsidP="00305C80">
      <w:pPr>
        <w:numPr>
          <w:ilvl w:val="0"/>
          <w:numId w:val="1"/>
        </w:numPr>
        <w:spacing w:after="120" w:line="360" w:lineRule="auto"/>
        <w:rPr>
          <w:rFonts w:ascii="David" w:hAnsi="David"/>
          <w:color w:val="000000"/>
        </w:rPr>
      </w:pPr>
      <w:r w:rsidRPr="00AC6FAC">
        <w:rPr>
          <w:rFonts w:ascii="David" w:hAnsi="David"/>
          <w:color w:val="000000"/>
          <w:rtl/>
        </w:rPr>
        <w:t xml:space="preserve">הנאשם הודה בכתב האישום, הוכרז כסוחר סמים והופנה לקבלת תסקיר שירות המבחן. </w:t>
      </w:r>
    </w:p>
    <w:p w14:paraId="5AF53F19" w14:textId="77777777" w:rsidR="00305C80" w:rsidRPr="00AC6FAC" w:rsidRDefault="00305C80" w:rsidP="00305C80">
      <w:pPr>
        <w:spacing w:after="120" w:line="360" w:lineRule="auto"/>
        <w:jc w:val="both"/>
        <w:rPr>
          <w:rFonts w:ascii="David" w:hAnsi="David"/>
          <w:b/>
          <w:bCs/>
          <w:color w:val="000000"/>
          <w:u w:val="single"/>
        </w:rPr>
      </w:pPr>
      <w:r w:rsidRPr="00AC6FAC">
        <w:rPr>
          <w:rFonts w:ascii="David" w:hAnsi="David"/>
          <w:b/>
          <w:bCs/>
          <w:color w:val="000000"/>
          <w:u w:val="single"/>
          <w:rtl/>
        </w:rPr>
        <w:lastRenderedPageBreak/>
        <w:t>תסקיר שירות המבחן</w:t>
      </w:r>
    </w:p>
    <w:p w14:paraId="0D828883"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על פי תסקיר שירות המבחן, הנאשם כבן 41, גרוש ואב לילדים. נתמך קצבת נכות על ידי המוסד לביטוח לאומי ומוכר כנכה בשיעור של 30% בגין פציעה ברגלו. הנאשם סיים 12 שנות לימוד ושירת שירות צבאי חלקי. מגיל 18 היה שחקן כדורגל בליגה מקצועית ולפני 12 שנים פרש בעקבות פציעות חוזרות. מאז היותו נער עוסק בהימורים, כשבעקבות פציעתו והקושי הרגשי הנלווה אשר השפיעו על תפקודו, התמכרותו להימורים העמיקה והוא צבר חובות כבדים. על רקע המתואר הוא מסביר את גירושיו. בני משפחתו מודעים לבעיית ההתמכרות. מספר פעמים הם נטלו הלוואות לשם כיסוי חובותיו וניסו לשכנעו להשתלב בטיפול גמילה, אולם מבלי שנענה לכך. גרושתו והוריו מטופלים מזה מספר שנים בקבוצת תמיכה למשפחות מכורים. לשיטתו בשנים האחרונות הצליח למתן את התמכרותו, כשהוא מהמר בסכומים קטנים מאשר בעבר ובתדירות נמוכה יחסית. למרות האמור, עדיין חייב כספים לבני משפחתו ובעל חובות כספיים לגורמים שוליים. </w:t>
      </w:r>
    </w:p>
    <w:p w14:paraId="63BBC8AD" w14:textId="77777777" w:rsidR="00305C80" w:rsidRPr="00AC6FAC" w:rsidRDefault="00305C80" w:rsidP="00305C80">
      <w:pPr>
        <w:spacing w:after="120" w:line="360" w:lineRule="auto"/>
        <w:ind w:left="720"/>
        <w:jc w:val="both"/>
        <w:rPr>
          <w:rFonts w:ascii="David" w:hAnsi="David"/>
          <w:color w:val="000000"/>
          <w:rtl/>
        </w:rPr>
      </w:pPr>
      <w:r w:rsidRPr="00AC6FAC">
        <w:rPr>
          <w:rFonts w:ascii="David" w:hAnsi="David"/>
          <w:color w:val="000000"/>
          <w:rtl/>
        </w:rPr>
        <w:t xml:space="preserve">לנאשם הרשעה קודמת מחודש אפריל 2018 בגין ביצוע עבירות מרמה בגינן נדון לעונש מאסר מותנה ולקנס. במסגרת חקירת המעצר שנערכה לנאשם בהליך הנוכחי, התרשם שירות המבחן כי הנאשם חסר בשלות להשתלב בטיפול ולערוך שינוי משמעותי בחייו. לפיכך ולאור ההערכה בדבר קיומו של סיכון להישנות התנהגות שולית, כשחלופת המעצר לא הייתה מספקת, לא המליץ שירות המבחן על שחרורו של הנאשם ממעצר. </w:t>
      </w:r>
    </w:p>
    <w:p w14:paraId="360E92CE" w14:textId="77777777" w:rsidR="00305C80" w:rsidRPr="00AC6FAC" w:rsidRDefault="00305C80" w:rsidP="00305C80">
      <w:pPr>
        <w:spacing w:after="120" w:line="360" w:lineRule="auto"/>
        <w:ind w:left="720"/>
        <w:jc w:val="both"/>
        <w:rPr>
          <w:rFonts w:ascii="David" w:hAnsi="David"/>
          <w:color w:val="000000"/>
          <w:rtl/>
        </w:rPr>
      </w:pPr>
      <w:r w:rsidRPr="00AC6FAC">
        <w:rPr>
          <w:rFonts w:ascii="David" w:hAnsi="David"/>
          <w:color w:val="000000"/>
          <w:rtl/>
        </w:rPr>
        <w:t xml:space="preserve">ביחסו לעבירות שבהן הורשע, הנאשם הודה בביצוען והסבירן על רקע חובותיו הכבדים והלחץ שבו היה נתון, כשהוא חבר לחברה שולית במטרה להשגת רווח כספי בזמן קצר. הנאשם הביע חרטה בפני שירות המבחן אולם לצד זאת טען כי ביצע את העבירה מתוך לחץ לשלם את חובותיו, למלא את תפקידו כאב ולשלם מזונות ילדיו. טען כי לא העריך נכון את הסיכון העונשי הנלווה להחלטה להתמודד עם חובותיו בדרך זו. להתרשמות שירות המבחן הנאשם מצמצם מחומרת העבירה ומקל ראש בהשלכות הנלוות לעבירות אותן ביצע. באופן דומה התייחס גם לעברו הפלילי, כדרך להתמודד עם חובותיו הכספים. שלל שימוש בסמים. </w:t>
      </w:r>
    </w:p>
    <w:p w14:paraId="6822A946" w14:textId="77777777" w:rsidR="00305C80" w:rsidRPr="00AC6FAC" w:rsidRDefault="00305C80" w:rsidP="00305C80">
      <w:pPr>
        <w:spacing w:after="120" w:line="360" w:lineRule="auto"/>
        <w:ind w:left="720"/>
        <w:jc w:val="both"/>
        <w:rPr>
          <w:rFonts w:ascii="David" w:hAnsi="David"/>
          <w:color w:val="000000"/>
          <w:rtl/>
        </w:rPr>
      </w:pPr>
      <w:r w:rsidRPr="00AC6FAC">
        <w:rPr>
          <w:rFonts w:ascii="David" w:hAnsi="David"/>
          <w:color w:val="000000"/>
          <w:rtl/>
        </w:rPr>
        <w:t xml:space="preserve">שירות המבחן בדק עם הנאשם את האפשרות לשלבו בטיפול גמילה במסגרת קהילה טיפולית בהתאם למצבו, אולם הנאשם ביטא הסתייגות ואמביוולנטיות באשר להשתלבותו בטיפול אינטנסיבי וייעודי והביע חשש לשהות במסגרת סגורה הרחק מילדיו. לדבריו שילובו בקבוצה טיפולית במסגרת המעצר מהווה מענה טיפולי מספק להתמכרותו. עם סיום ריצוי עונשו מתכנן לעבוד ולהסדיר חובותיו כשבני משפחתו מסייעים לו בכך. </w:t>
      </w:r>
    </w:p>
    <w:p w14:paraId="14C4C45D" w14:textId="77777777" w:rsidR="00305C80" w:rsidRPr="00AC6FAC" w:rsidRDefault="00305C80" w:rsidP="00305C80">
      <w:pPr>
        <w:spacing w:after="120" w:line="360" w:lineRule="auto"/>
        <w:ind w:left="720"/>
        <w:jc w:val="both"/>
        <w:rPr>
          <w:rFonts w:ascii="David" w:hAnsi="David"/>
          <w:color w:val="000000"/>
          <w:rtl/>
        </w:rPr>
      </w:pPr>
      <w:r w:rsidRPr="00AC6FAC">
        <w:rPr>
          <w:rFonts w:ascii="David" w:hAnsi="David"/>
          <w:color w:val="000000"/>
          <w:rtl/>
        </w:rPr>
        <w:t xml:space="preserve">גורמי הטיפול בבית המעצר דווחו כי הנאשם התאקלם בצורה תקינה באגף, השתלב בעבודה, מבצע את תפקידו בצורה טובה ותורם לעבודה השוטפת. מביע מוטיבציה להשתלב בטיפול בתחום ההתמכרות בבית המעצר, השתתף בקבוצת הכנה לטיפול בהתמכרויות, התמיד להגיע למפגשים, שיתף פעולה והצליח להיתרם ממנה. </w:t>
      </w:r>
    </w:p>
    <w:p w14:paraId="5BADE6C5" w14:textId="77777777" w:rsidR="00305C80" w:rsidRPr="00AC6FAC" w:rsidRDefault="00305C80" w:rsidP="00305C80">
      <w:pPr>
        <w:spacing w:after="120" w:line="360" w:lineRule="auto"/>
        <w:ind w:left="720"/>
        <w:jc w:val="both"/>
        <w:rPr>
          <w:rFonts w:ascii="David" w:hAnsi="David"/>
          <w:color w:val="000000"/>
          <w:rtl/>
        </w:rPr>
      </w:pPr>
      <w:r w:rsidRPr="00AC6FAC">
        <w:rPr>
          <w:rFonts w:ascii="David" w:hAnsi="David"/>
          <w:color w:val="000000"/>
          <w:rtl/>
        </w:rPr>
        <w:t xml:space="preserve">שירות המבחן התרשם מאדם שגדל בסביבה נורמטיבית, אשר פיתח לאורך השנים התמכרות להימורים אשר החמירה על רקע משבר אישי שחווה לאחר פציעתו וסיום קריירת הכדורגל. הנאשם מתנהל באופן שולי, תוך שמתקשה לראות את המחירים הכלכליים והמשפחתיים בשל מעורבותו בהימורים. כן התרשמו מדפוסים תלותיים וילדותיים ביחסיו המשפחתיים, כשבני המשפחה התקשו לאורך השנים להציב לו גבולות. סיוע בני המשפחה הצליח למנוע העמקה בעברייניות, אך לא דרבן את הנאשם להשתלב בטיפול ולערוך שינוי באורח חייו. כיום ממוקד ברצונו לחזרה לשגרה, כשמצמצם מחומרת התמכרותו ומהעבירות שביצע. בתוך כך מצמצם את הצורך בקבלת טיפול ייעודי ואינטנסיבי בתחום ההתמכרות. כגורמי סיכון להישנות ביצוע עבירות, מנה שירות המבחן את אופי העבירות הכרוכות בתכנון והסתרה, תוך התעלמותו מהסיכון הנשקף לאחרים מביצוען, התמכרותו רבת השנים להימורים תוך הסלמה והדרדרות במצבו, קשייו להכיר בהתמכרותו המצריכה טיפול ארוך טווח, כשהוא מתקשה להתחייב לטיפול אינטנסיבי וכוללני. כמו כן התייחס שירות המבחן לקשריו השוליים, חובותיו הכספיים ומעורבותו בתחום הסמים. כגורמי סיכוי לשיקום מנה שירות המבחן את העובדה שמדובר במעצר ראשון, שבאופן יחסי נמנע ממעורבות פלילית לאורך השנים, תפקוד במסגרות בעבר (לימודים, כדורגל) שאיפותיו לתפקוד תקין, קיומם של גורמי תמיכה בחייו וההערכה כי מעצרו הנוכחי סייע בעצירת ההידרדרות במצבו של הנאשם, תוך שמגלה במעצר תפקוד חיובי והשתלב בטיפול ראשוני בבית המעצר. </w:t>
      </w:r>
    </w:p>
    <w:p w14:paraId="397AFC3E" w14:textId="77777777" w:rsidR="00305C80" w:rsidRPr="00AC6FAC" w:rsidRDefault="00305C80" w:rsidP="00305C80">
      <w:pPr>
        <w:spacing w:after="120" w:line="360" w:lineRule="auto"/>
        <w:ind w:left="720"/>
        <w:jc w:val="both"/>
        <w:rPr>
          <w:rFonts w:ascii="David" w:hAnsi="David"/>
          <w:color w:val="000000"/>
        </w:rPr>
      </w:pPr>
      <w:r w:rsidRPr="00AC6FAC">
        <w:rPr>
          <w:rFonts w:ascii="David" w:hAnsi="David"/>
          <w:b/>
          <w:bCs/>
          <w:color w:val="000000"/>
          <w:rtl/>
        </w:rPr>
        <w:t>לנוכח היעדר מוטיבציה מצדו של הנאשם להשתלב בטיפול, כשהנאשם ממוקד בסיום ההליך הפלילי, שירות המבחן נמנע מהמלצה טיפולית בעניינו</w:t>
      </w:r>
      <w:r w:rsidRPr="00AC6FAC">
        <w:rPr>
          <w:rFonts w:ascii="David" w:hAnsi="David"/>
          <w:color w:val="000000"/>
          <w:rtl/>
        </w:rPr>
        <w:t xml:space="preserve">. </w:t>
      </w:r>
    </w:p>
    <w:p w14:paraId="3E2BA6D9" w14:textId="77777777" w:rsidR="00305C80" w:rsidRPr="00AC6FAC" w:rsidRDefault="00305C80" w:rsidP="00305C80">
      <w:pPr>
        <w:spacing w:after="120" w:line="360" w:lineRule="auto"/>
        <w:jc w:val="both"/>
        <w:rPr>
          <w:rFonts w:ascii="David" w:hAnsi="David"/>
          <w:b/>
          <w:bCs/>
          <w:color w:val="000000"/>
          <w:u w:val="single"/>
          <w:rtl/>
        </w:rPr>
      </w:pPr>
      <w:r w:rsidRPr="00AC6FAC">
        <w:rPr>
          <w:rFonts w:ascii="David" w:hAnsi="David"/>
          <w:b/>
          <w:bCs/>
          <w:color w:val="000000"/>
          <w:u w:val="single"/>
          <w:rtl/>
        </w:rPr>
        <w:t xml:space="preserve">ראיות לעונש     </w:t>
      </w:r>
    </w:p>
    <w:p w14:paraId="2BACA1E2"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מר עודד לוין – חברו של הנאשם מגיל ילדות, תאר את הנאשם כאדם מקסים, שהיה כדורגלן מצליח ואהוב אשר פציעות חוזרות קטעו את הקריירה שלו בתחום לפני כ-12 שנים. מאז חלה הידרדרות במצבו והוא נקלע להימורים ולחובות. משפחתו וחבריו תומכים בו ועזרו לו לאורך השנים. בשנים האחרונות הנאשם אינו עוסק בהימורים ומדובר בהשלכות של חובות עבר. הוריו סובלים מאוד לראותו בבית המעצר. הנאשם התגרש בשל המצב, ועד היום גרושתו תומכת בו. הוא אב, בעל ובן למופת. כל סביבתו הופתעה ממעצרו. כל שהנאשם מבקש הוא לראות את ילדיו.                 </w:t>
      </w:r>
    </w:p>
    <w:p w14:paraId="18CB26C8" w14:textId="77777777" w:rsidR="00305C80" w:rsidRPr="00AC6FAC" w:rsidRDefault="00305C80" w:rsidP="00305C80">
      <w:pPr>
        <w:spacing w:after="120" w:line="360" w:lineRule="auto"/>
        <w:jc w:val="both"/>
        <w:rPr>
          <w:bCs/>
          <w:u w:val="single"/>
          <w:rtl/>
          <w:lang w:eastAsia="he-IL"/>
        </w:rPr>
      </w:pPr>
      <w:r w:rsidRPr="00AC6FAC">
        <w:rPr>
          <w:bCs/>
          <w:u w:val="single"/>
          <w:rtl/>
          <w:lang w:eastAsia="he-IL"/>
        </w:rPr>
        <w:t>טיעוני הצדדים</w:t>
      </w:r>
    </w:p>
    <w:p w14:paraId="449B8BAA"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לטענת ב"כ המאשימה, עו"ד שירה סוכצקי, הנאשם הורשע והוכרז כסוחר סמים. הוא בעל רישום פלילי מיום 11.4.18 בעבירה של קבלת דבר במרמה ועבירות נוספות. בעבירות גידול הסמים קיימת פסיקה ענפה. מדובר בעבירה נפוצה ובית המשפט העליון התייחס לחומרתה. המאשימה עותרת למתחם עונש הנע בין 30 ל- 48 חודשי מאסר. עיון בתסקיר שירות המבחן מראה כי לא ניתנה בעניינו של הנאשם המלצה טיפולית, קיימת בעיית התמכרות להימורים, שירות המבחן מתרשם שהנאשם זקוק לטיפול בתחום זה, אולם הנאשם מבטא אמביוולנטיות ביחס לטיפול ולא השתלב בטיפול. קיימים גורמי סיכון ואין המלצה שיקומית. בהתייחס לכך שהנאשם הודה וחסך זמן שיפוטי וכן לאור העובדה שעברו הפלילי אינו מכביד, יש למקמו בחלקו האמצעי של המתחם תוך התחשבות בתסקיר השלילי. כמו כן עותרת המאשימה להשית על הנאשם מאסר מותנה וקנס כספי ולחלט את כל הפרטים המצוינים בכתב האישום ובכללם כסף מזומן, שלושה טלפונים ניידים, והציוד המפורט. </w:t>
      </w:r>
    </w:p>
    <w:p w14:paraId="1E49DDC3"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לטענת ב"כ הנאשם, עו"ד משה סוחמי, בבסיס העבירה לא עומדת בעיית הימורים נוכחית של הנאשם. הנאשם נדחף לביצוע העבירה בשל חובות עתק שרבצו עליו מהתקופה שהיה מכור להימורים. הנאשם היה שחקן כדורגל מצטיין. בעקבות פציעה מצערת הוא סיים את הקריירה בגיל צעיר ואף נקבעו לו 30% נכות. הנאשם איבד את הקריירה שלו ביום אחד והחל להמר. בעקבות כך אשתו התגרשה ממנו למרות שהיו להם חיי נישואין נפלאים וילדים קטנים. הוריו נטלו הלוואות כדי לשלם לאנשים מהשוק האפור ואחיו הפסיקו לדבר אתו. היו ניסיונות לשלב את הנאשם בטיפול, אולם הוא לא היה בשל לכך בעבר. בשנים האחרונות הוא הצליח בכוחות עצמו שלא להגיע להימורים. אין כל ראיה לכך שהנאשם עסק בהימורים בשנים האחרונות, וכך מדווחים משפחתו וחבריו. לאור כך הנאשם אינו רוצה ללכת לטיפול במסגרת שמרחיקה אותו מילדיו. הוא מבין שעליו להתמודד עם חובותיו. שירות המבחן סבר שעל הנאשם ללכת לטיפול במוסד גמילה סגור למשך 18 חודשים למהמרים כרוניים. הנאשם הסכים ללכת לכל טיפול ובלבד שלא ירחיקו אותו מילדיו, אף במחיר השארות במעצר. בניגוד לטענת המאשימה, הנאשם השתלב בטיפול בבית המעצר בהכנה לטיפול בהתמכרויות ושם מבטא רצון להשתלב בהמשך טיפול. הוא מוכן להשתלב בטיפול אך לא במסגרת שתנתק אותו מילדיו.  </w:t>
      </w:r>
    </w:p>
    <w:p w14:paraId="12CD55FD" w14:textId="77777777" w:rsidR="00305C80" w:rsidRPr="00AC6FAC" w:rsidRDefault="00305C80" w:rsidP="00305C80">
      <w:pPr>
        <w:spacing w:after="120" w:line="360" w:lineRule="auto"/>
        <w:ind w:left="720"/>
        <w:jc w:val="both"/>
        <w:rPr>
          <w:rFonts w:ascii="David" w:hAnsi="David"/>
          <w:color w:val="000000"/>
        </w:rPr>
      </w:pPr>
      <w:r w:rsidRPr="00AC6FAC">
        <w:rPr>
          <w:rFonts w:ascii="David" w:hAnsi="David"/>
          <w:color w:val="000000"/>
          <w:rtl/>
        </w:rPr>
        <w:t xml:space="preserve">מתחם העונש אשר לו עתרה המאשימה שגוי, והפסיקה שאותה הציגה המאשימה אינה רלוונטית, ועוסקת בתיקים שבהם כמות הסם שהוחזק הייתה גדולה באופן משמעותי מהכמות המיוחסת לנאשם. לשיטת ההגנה מתחם העונש הראוי צריך להתחיל ברף הנמוך שלו ב- 20-22 חודשי מאסר ולהגיע עד 40 חודשים. יש להשית על הנאשם עונש של 20 חודשי מאסר. </w:t>
      </w:r>
    </w:p>
    <w:p w14:paraId="6A687DB6"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הנאשם הביע צער ובושה על מעשיו, טען שהוא נגעל מהמקום שבו הוא נמצא כיום, החל בדרך חדשה שאותה ימשיך מחוץ לבית הסוהר. הוא מקווה לצאת אדם חזק וטוב יותר, כדי שהוריו יתגאו בו ולא יתביישו בו. </w:t>
      </w:r>
    </w:p>
    <w:p w14:paraId="45AB8ECD" w14:textId="77777777" w:rsidR="00305C80" w:rsidRPr="00AC6FAC" w:rsidRDefault="00305C80" w:rsidP="00305C80">
      <w:pPr>
        <w:spacing w:after="120" w:line="360" w:lineRule="auto"/>
        <w:jc w:val="both"/>
        <w:rPr>
          <w:bCs/>
          <w:u w:val="single"/>
          <w:lang w:eastAsia="he-IL"/>
        </w:rPr>
      </w:pPr>
      <w:r w:rsidRPr="00AC6FAC">
        <w:rPr>
          <w:bCs/>
          <w:u w:val="single"/>
          <w:rtl/>
          <w:lang w:eastAsia="he-IL"/>
        </w:rPr>
        <w:t>דיון - קביעת מתחם העונש ההולם</w:t>
      </w:r>
    </w:p>
    <w:p w14:paraId="61922696"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כתב האישום מתאר אירוע אחד, ומכאן שיש לקבוע בגינו </w:t>
      </w:r>
      <w:r w:rsidRPr="00AC6FAC">
        <w:rPr>
          <w:rFonts w:ascii="David" w:hAnsi="David"/>
          <w:b/>
          <w:bCs/>
          <w:color w:val="000000"/>
          <w:rtl/>
        </w:rPr>
        <w:t>מתחם עונש הולם אחד</w:t>
      </w:r>
      <w:r w:rsidRPr="00AC6FAC">
        <w:rPr>
          <w:rFonts w:ascii="David" w:hAnsi="David"/>
          <w:color w:val="000000"/>
          <w:rtl/>
        </w:rPr>
        <w:t xml:space="preserve">. </w:t>
      </w:r>
    </w:p>
    <w:p w14:paraId="3EDF39B6"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במקרה דנן,</w:t>
      </w:r>
      <w:r w:rsidRPr="00AC6FAC">
        <w:rPr>
          <w:rFonts w:ascii="David" w:hAnsi="David"/>
          <w:b/>
          <w:bCs/>
          <w:color w:val="000000"/>
          <w:rtl/>
        </w:rPr>
        <w:t xml:space="preserve"> הערכים החברתיים</w:t>
      </w:r>
      <w:r w:rsidRPr="00AC6FAC">
        <w:rPr>
          <w:rFonts w:ascii="David" w:hAnsi="David"/>
          <w:color w:val="000000"/>
          <w:rtl/>
        </w:rPr>
        <w:t xml:space="preserve"> אשר נפגעו הם הגנה על הציבור מפני הנזקים הישירים והעקיפים אשר נגרמים עקב השימוש בסמים. לעבירות הסמים פוטנציאל נזק גדול, שכן השימוש בסמים גורר במקרים רבים אף ביצוע עבירות נלוות, ולא בכדי קבע המחוקק לצד העבירה של גידול, הפקת והכנת סמים, עונש מרבי של עד עשרים שנות מאסר. עם זאת, מדובר בסם מסוג קנבוס, שהוא "סם קל" בהשוואה לסמים אחרים.</w:t>
      </w:r>
    </w:p>
    <w:p w14:paraId="14B5C034" w14:textId="77777777" w:rsidR="00305C80" w:rsidRPr="00AC6FAC" w:rsidRDefault="00305C80" w:rsidP="00305C80">
      <w:pPr>
        <w:spacing w:after="120" w:line="360" w:lineRule="auto"/>
        <w:ind w:left="720"/>
        <w:jc w:val="both"/>
        <w:rPr>
          <w:rFonts w:ascii="David" w:hAnsi="David"/>
          <w:color w:val="000000"/>
        </w:rPr>
      </w:pPr>
      <w:r w:rsidRPr="00AC6FAC">
        <w:rPr>
          <w:rFonts w:ascii="David" w:hAnsi="David"/>
          <w:color w:val="00000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 עם זאת, קיים שוני משמעותי בין תיקים שונים של גידול סמים, החל מהרף הנמוך של גידול עציצים בודדים של סם בביתו של אדם לצריכה עצמית, דרך הרף הבינוני של גידול מספר עשרות שתילים, במשקל של קילוגרמים בודדים, תוך שימוש באמצעי עזר לגידול שנרכשו לשם כך, דרך רף בינוני-גבוה של הקמת והחזקת מעבדות מתוחכמות לגידול סמים, בדירות ייעודיות שנשכרו למטרה זו, אשר כוללות ציוד בשווי רב, וכמות של עשרות קילוגרמים, ועד לרף הגבוה של גידול במעבדות מתוחכמות בבתים ייעודיים לכך, של מאות קילוגרמים ומאות שתילים של סם, כל זאת למטרות סחר בסמים ורווח כספי.</w:t>
      </w:r>
    </w:p>
    <w:p w14:paraId="1B9B5080" w14:textId="77777777" w:rsidR="00305C80" w:rsidRPr="00AC6FAC" w:rsidRDefault="00305C80" w:rsidP="00305C80">
      <w:pPr>
        <w:spacing w:after="120" w:line="360" w:lineRule="auto"/>
        <w:ind w:left="720"/>
        <w:jc w:val="both"/>
        <w:rPr>
          <w:rFonts w:ascii="David" w:hAnsi="David"/>
          <w:color w:val="000000"/>
          <w:rtl/>
        </w:rPr>
      </w:pPr>
      <w:r w:rsidRPr="00AC6FAC">
        <w:rPr>
          <w:rFonts w:ascii="David" w:hAnsi="David"/>
          <w:color w:val="000000"/>
          <w:rtl/>
        </w:rPr>
        <w:t>לעניין זה ראו דבריו של כב' השופט י' עמית ב</w:t>
      </w:r>
      <w:hyperlink r:id="rId24" w:history="1">
        <w:r w:rsidR="00973321" w:rsidRPr="00973321">
          <w:rPr>
            <w:rFonts w:ascii="David" w:hAnsi="David"/>
            <w:color w:val="0000FF"/>
            <w:u w:val="single"/>
            <w:rtl/>
          </w:rPr>
          <w:t>ע"פ 2596/18</w:t>
        </w:r>
      </w:hyperlink>
      <w:r w:rsidRPr="00AC6FAC">
        <w:rPr>
          <w:rFonts w:ascii="David" w:hAnsi="David"/>
          <w:color w:val="000000"/>
          <w:rtl/>
        </w:rPr>
        <w:t xml:space="preserve"> </w:t>
      </w:r>
      <w:r w:rsidRPr="00AC6FAC">
        <w:rPr>
          <w:rFonts w:ascii="David" w:hAnsi="David"/>
          <w:b/>
          <w:bCs/>
          <w:color w:val="000000"/>
          <w:rtl/>
        </w:rPr>
        <w:t xml:space="preserve">זנזורי נ' מדינת ישראל </w:t>
      </w:r>
      <w:r w:rsidR="00B42346" w:rsidRPr="00B42346">
        <w:rPr>
          <w:sz w:val="22"/>
          <w:rtl/>
        </w:rPr>
        <w:t xml:space="preserve">[פורסם בנבו] </w:t>
      </w:r>
      <w:r w:rsidRPr="00AC6FAC">
        <w:rPr>
          <w:rFonts w:ascii="David" w:hAnsi="David"/>
          <w:color w:val="000000"/>
          <w:rtl/>
        </w:rPr>
        <w:t xml:space="preserve">(12.8.18), מדיניות הענישה בעבירה של גידול סמים, נותרה בעינה, גם כאשר מדובר בסם "קלים": </w:t>
      </w:r>
    </w:p>
    <w:p w14:paraId="306C0E86" w14:textId="77777777" w:rsidR="00305C80" w:rsidRPr="00AC6FAC" w:rsidRDefault="00305C80" w:rsidP="00305C80">
      <w:pPr>
        <w:tabs>
          <w:tab w:val="left" w:pos="800"/>
        </w:tabs>
        <w:overflowPunct w:val="0"/>
        <w:autoSpaceDE w:val="0"/>
        <w:autoSpaceDN w:val="0"/>
        <w:adjustRightInd w:val="0"/>
        <w:spacing w:after="120" w:line="360" w:lineRule="auto"/>
        <w:ind w:left="964" w:right="397"/>
        <w:jc w:val="both"/>
        <w:textAlignment w:val="baseline"/>
        <w:rPr>
          <w:rFonts w:ascii="Century" w:hAnsi="Century"/>
          <w:spacing w:val="10"/>
          <w:sz w:val="20"/>
          <w:rtl/>
        </w:rPr>
      </w:pPr>
      <w:r w:rsidRPr="00AC6FAC">
        <w:rPr>
          <w:rFonts w:ascii="Century" w:hAnsi="Century"/>
          <w:spacing w:val="10"/>
          <w:sz w:val="20"/>
          <w:rtl/>
        </w:rPr>
        <w:t>"</w:t>
      </w:r>
      <w:r w:rsidRPr="00AC6FAC">
        <w:rPr>
          <w:rFonts w:ascii="Century" w:hAnsi="Century" w:hint="eastAsia"/>
          <w:spacing w:val="10"/>
          <w:sz w:val="20"/>
          <w:rtl/>
        </w:rPr>
        <w:t>ריבוי</w:t>
      </w:r>
      <w:r w:rsidRPr="00AC6FAC">
        <w:rPr>
          <w:rFonts w:ascii="Century" w:hAnsi="Century"/>
          <w:spacing w:val="10"/>
          <w:sz w:val="20"/>
          <w:rtl/>
        </w:rPr>
        <w:t xml:space="preserve"> </w:t>
      </w:r>
      <w:r w:rsidRPr="00AC6FAC">
        <w:rPr>
          <w:rFonts w:ascii="Century" w:hAnsi="Century" w:hint="eastAsia"/>
          <w:spacing w:val="10"/>
          <w:sz w:val="20"/>
          <w:rtl/>
        </w:rPr>
        <w:t>המקרים</w:t>
      </w:r>
      <w:r w:rsidRPr="00AC6FAC">
        <w:rPr>
          <w:rFonts w:ascii="Century" w:hAnsi="Century"/>
          <w:spacing w:val="10"/>
          <w:sz w:val="20"/>
          <w:rtl/>
        </w:rPr>
        <w:t xml:space="preserve"> </w:t>
      </w:r>
      <w:r w:rsidRPr="00AC6FAC">
        <w:rPr>
          <w:rFonts w:ascii="Century" w:hAnsi="Century" w:hint="eastAsia"/>
          <w:spacing w:val="10"/>
          <w:sz w:val="20"/>
          <w:rtl/>
        </w:rPr>
        <w:t>המובאים</w:t>
      </w:r>
      <w:r w:rsidRPr="00AC6FAC">
        <w:rPr>
          <w:rFonts w:ascii="Century" w:hAnsi="Century"/>
          <w:spacing w:val="10"/>
          <w:sz w:val="20"/>
          <w:rtl/>
        </w:rPr>
        <w:t xml:space="preserve"> </w:t>
      </w:r>
      <w:r w:rsidRPr="00AC6FAC">
        <w:rPr>
          <w:rFonts w:ascii="Century" w:hAnsi="Century" w:hint="eastAsia"/>
          <w:spacing w:val="10"/>
          <w:sz w:val="20"/>
          <w:rtl/>
        </w:rPr>
        <w:t>לפנינו</w:t>
      </w:r>
      <w:r w:rsidRPr="00AC6FAC">
        <w:rPr>
          <w:rFonts w:ascii="Century" w:hAnsi="Century"/>
          <w:spacing w:val="10"/>
          <w:sz w:val="20"/>
          <w:rtl/>
        </w:rPr>
        <w:t xml:space="preserve"> </w:t>
      </w:r>
      <w:r w:rsidRPr="00AC6FAC">
        <w:rPr>
          <w:rFonts w:ascii="Century" w:hAnsi="Century" w:hint="eastAsia"/>
          <w:spacing w:val="10"/>
          <w:sz w:val="20"/>
          <w:rtl/>
        </w:rPr>
        <w:t>בעת</w:t>
      </w:r>
      <w:r w:rsidRPr="00AC6FAC">
        <w:rPr>
          <w:rFonts w:ascii="Century" w:hAnsi="Century"/>
          <w:spacing w:val="10"/>
          <w:sz w:val="20"/>
          <w:rtl/>
        </w:rPr>
        <w:t xml:space="preserve"> </w:t>
      </w:r>
      <w:r w:rsidRPr="00AC6FAC">
        <w:rPr>
          <w:rFonts w:ascii="Century" w:hAnsi="Century" w:hint="eastAsia"/>
          <w:spacing w:val="10"/>
          <w:sz w:val="20"/>
          <w:rtl/>
        </w:rPr>
        <w:t>האחרונה</w:t>
      </w:r>
      <w:r w:rsidRPr="00AC6FAC">
        <w:rPr>
          <w:rFonts w:ascii="Century" w:hAnsi="Century"/>
          <w:spacing w:val="10"/>
          <w:sz w:val="20"/>
          <w:rtl/>
        </w:rPr>
        <w:t xml:space="preserve"> – </w:t>
      </w:r>
      <w:r w:rsidRPr="00AC6FAC">
        <w:rPr>
          <w:rFonts w:ascii="Century" w:hAnsi="Century" w:hint="eastAsia"/>
          <w:spacing w:val="10"/>
          <w:sz w:val="20"/>
          <w:rtl/>
        </w:rPr>
        <w:t>של</w:t>
      </w:r>
      <w:r w:rsidRPr="00AC6FAC">
        <w:rPr>
          <w:rFonts w:ascii="Century" w:hAnsi="Century"/>
          <w:spacing w:val="10"/>
          <w:sz w:val="20"/>
          <w:rtl/>
        </w:rPr>
        <w:t xml:space="preserve"> </w:t>
      </w:r>
      <w:r w:rsidRPr="00AC6FAC">
        <w:rPr>
          <w:rFonts w:ascii="Century" w:hAnsi="Century" w:hint="eastAsia"/>
          <w:spacing w:val="10"/>
          <w:sz w:val="20"/>
          <w:rtl/>
        </w:rPr>
        <w:t>גידול</w:t>
      </w:r>
      <w:r w:rsidRPr="00AC6FAC">
        <w:rPr>
          <w:rFonts w:ascii="Century" w:hAnsi="Century"/>
          <w:spacing w:val="10"/>
          <w:sz w:val="20"/>
          <w:rtl/>
        </w:rPr>
        <w:t xml:space="preserve">, </w:t>
      </w:r>
      <w:r w:rsidRPr="00AC6FAC">
        <w:rPr>
          <w:rFonts w:ascii="Century" w:hAnsi="Century" w:hint="eastAsia"/>
          <w:spacing w:val="10"/>
          <w:sz w:val="20"/>
          <w:rtl/>
        </w:rPr>
        <w:t>ייצור</w:t>
      </w:r>
      <w:r w:rsidRPr="00AC6FAC">
        <w:rPr>
          <w:rFonts w:ascii="Century" w:hAnsi="Century"/>
          <w:spacing w:val="10"/>
          <w:sz w:val="20"/>
          <w:rtl/>
        </w:rPr>
        <w:t xml:space="preserve"> </w:t>
      </w:r>
      <w:r w:rsidRPr="00AC6FAC">
        <w:rPr>
          <w:rFonts w:ascii="Century" w:hAnsi="Century" w:hint="eastAsia"/>
          <w:spacing w:val="10"/>
          <w:sz w:val="20"/>
          <w:rtl/>
        </w:rPr>
        <w:t>והפקת</w:t>
      </w:r>
      <w:r w:rsidRPr="00AC6FAC">
        <w:rPr>
          <w:rFonts w:ascii="Century" w:hAnsi="Century"/>
          <w:spacing w:val="10"/>
          <w:sz w:val="20"/>
          <w:rtl/>
        </w:rPr>
        <w:t xml:space="preserve"> </w:t>
      </w:r>
      <w:r w:rsidRPr="00AC6FAC">
        <w:rPr>
          <w:rFonts w:ascii="Century" w:hAnsi="Century" w:hint="eastAsia"/>
          <w:spacing w:val="10"/>
          <w:sz w:val="20"/>
          <w:rtl/>
        </w:rPr>
        <w:t>קנבוס</w:t>
      </w:r>
      <w:r w:rsidRPr="00AC6FAC">
        <w:rPr>
          <w:rFonts w:ascii="Century" w:hAnsi="Century"/>
          <w:spacing w:val="10"/>
          <w:sz w:val="20"/>
          <w:rtl/>
        </w:rPr>
        <w:t xml:space="preserve"> </w:t>
      </w:r>
      <w:r w:rsidRPr="00AC6FAC">
        <w:rPr>
          <w:rFonts w:ascii="Century" w:hAnsi="Century" w:hint="eastAsia"/>
          <w:spacing w:val="10"/>
          <w:sz w:val="20"/>
          <w:rtl/>
        </w:rPr>
        <w:t>לשם</w:t>
      </w:r>
      <w:r w:rsidRPr="00AC6FAC">
        <w:rPr>
          <w:rFonts w:ascii="Century" w:hAnsi="Century"/>
          <w:spacing w:val="10"/>
          <w:sz w:val="20"/>
          <w:rtl/>
        </w:rPr>
        <w:t xml:space="preserve"> </w:t>
      </w:r>
      <w:r w:rsidRPr="00AC6FAC">
        <w:rPr>
          <w:rFonts w:ascii="Century" w:hAnsi="Century" w:hint="eastAsia"/>
          <w:spacing w:val="10"/>
          <w:sz w:val="20"/>
          <w:rtl/>
        </w:rPr>
        <w:t>הפצה</w:t>
      </w:r>
      <w:r w:rsidRPr="00AC6FAC">
        <w:rPr>
          <w:rFonts w:ascii="Century" w:hAnsi="Century"/>
          <w:spacing w:val="10"/>
          <w:sz w:val="20"/>
          <w:rtl/>
        </w:rPr>
        <w:t xml:space="preserve"> </w:t>
      </w:r>
      <w:r w:rsidRPr="00AC6FAC">
        <w:rPr>
          <w:rFonts w:ascii="Century" w:hAnsi="Century" w:hint="eastAsia"/>
          <w:spacing w:val="10"/>
          <w:sz w:val="20"/>
          <w:rtl/>
        </w:rPr>
        <w:t>ומכירה</w:t>
      </w:r>
      <w:r w:rsidRPr="00AC6FAC">
        <w:rPr>
          <w:rFonts w:ascii="Century" w:hAnsi="Century"/>
          <w:spacing w:val="10"/>
          <w:sz w:val="20"/>
          <w:rtl/>
        </w:rPr>
        <w:t xml:space="preserve">, </w:t>
      </w:r>
      <w:r w:rsidRPr="00AC6FAC">
        <w:rPr>
          <w:rFonts w:ascii="Century" w:hAnsi="Century" w:hint="eastAsia"/>
          <w:spacing w:val="10"/>
          <w:sz w:val="20"/>
          <w:rtl/>
        </w:rPr>
        <w:t>כמו</w:t>
      </w:r>
      <w:r w:rsidRPr="00AC6FAC">
        <w:rPr>
          <w:rFonts w:ascii="Century" w:hAnsi="Century"/>
          <w:spacing w:val="10"/>
          <w:sz w:val="20"/>
          <w:rtl/>
        </w:rPr>
        <w:t xml:space="preserve"> </w:t>
      </w:r>
      <w:r w:rsidRPr="00AC6FAC">
        <w:rPr>
          <w:rFonts w:ascii="Century" w:hAnsi="Century" w:hint="eastAsia"/>
          <w:spacing w:val="10"/>
          <w:sz w:val="20"/>
          <w:rtl/>
        </w:rPr>
        <w:t>גם</w:t>
      </w:r>
      <w:r w:rsidRPr="00AC6FAC">
        <w:rPr>
          <w:rFonts w:ascii="Century" w:hAnsi="Century"/>
          <w:spacing w:val="10"/>
          <w:sz w:val="20"/>
          <w:rtl/>
        </w:rPr>
        <w:t xml:space="preserve"> </w:t>
      </w:r>
      <w:r w:rsidRPr="00AC6FAC">
        <w:rPr>
          <w:rFonts w:ascii="Century" w:hAnsi="Century" w:hint="eastAsia"/>
          <w:spacing w:val="10"/>
          <w:sz w:val="20"/>
          <w:rtl/>
        </w:rPr>
        <w:t>הפצה</w:t>
      </w:r>
      <w:r w:rsidRPr="00AC6FAC">
        <w:rPr>
          <w:rFonts w:ascii="Century" w:hAnsi="Century"/>
          <w:spacing w:val="10"/>
          <w:sz w:val="20"/>
          <w:rtl/>
        </w:rPr>
        <w:t xml:space="preserve"> </w:t>
      </w:r>
      <w:r w:rsidRPr="00AC6FAC">
        <w:rPr>
          <w:rFonts w:ascii="Century" w:hAnsi="Century" w:hint="eastAsia"/>
          <w:spacing w:val="10"/>
          <w:sz w:val="20"/>
          <w:rtl/>
        </w:rPr>
        <w:t>ומכירה</w:t>
      </w:r>
      <w:r w:rsidRPr="00AC6FAC">
        <w:rPr>
          <w:rFonts w:ascii="Century" w:hAnsi="Century"/>
          <w:spacing w:val="10"/>
          <w:sz w:val="20"/>
          <w:rtl/>
        </w:rPr>
        <w:t xml:space="preserve"> </w:t>
      </w:r>
      <w:r w:rsidRPr="00AC6FAC">
        <w:rPr>
          <w:rFonts w:ascii="Century" w:hAnsi="Century" w:hint="eastAsia"/>
          <w:spacing w:val="10"/>
          <w:sz w:val="20"/>
          <w:rtl/>
        </w:rPr>
        <w:t>של</w:t>
      </w:r>
      <w:r w:rsidRPr="00AC6FAC">
        <w:rPr>
          <w:rFonts w:ascii="Century" w:hAnsi="Century"/>
          <w:spacing w:val="10"/>
          <w:sz w:val="20"/>
          <w:rtl/>
        </w:rPr>
        <w:t xml:space="preserve"> </w:t>
      </w:r>
      <w:r w:rsidRPr="00AC6FAC">
        <w:rPr>
          <w:rFonts w:ascii="Century" w:hAnsi="Century" w:hint="eastAsia"/>
          <w:spacing w:val="10"/>
          <w:sz w:val="20"/>
          <w:rtl/>
        </w:rPr>
        <w:t>קנבוס</w:t>
      </w:r>
      <w:r w:rsidRPr="00AC6FAC">
        <w:rPr>
          <w:rFonts w:ascii="Century" w:hAnsi="Century"/>
          <w:spacing w:val="10"/>
          <w:sz w:val="20"/>
          <w:rtl/>
        </w:rPr>
        <w:t xml:space="preserve"> </w:t>
      </w:r>
      <w:r w:rsidRPr="00AC6FAC">
        <w:rPr>
          <w:rFonts w:ascii="Century" w:hAnsi="Century" w:hint="eastAsia"/>
          <w:spacing w:val="10"/>
          <w:sz w:val="20"/>
          <w:rtl/>
        </w:rPr>
        <w:t>תוך</w:t>
      </w:r>
      <w:r w:rsidRPr="00AC6FAC">
        <w:rPr>
          <w:rFonts w:ascii="Century" w:hAnsi="Century"/>
          <w:spacing w:val="10"/>
          <w:sz w:val="20"/>
          <w:rtl/>
        </w:rPr>
        <w:t xml:space="preserve"> </w:t>
      </w:r>
      <w:r w:rsidRPr="00AC6FAC">
        <w:rPr>
          <w:rFonts w:ascii="Century" w:hAnsi="Century" w:hint="eastAsia"/>
          <w:spacing w:val="10"/>
          <w:sz w:val="20"/>
          <w:rtl/>
        </w:rPr>
        <w:t>שימוש</w:t>
      </w:r>
      <w:r w:rsidRPr="00AC6FAC">
        <w:rPr>
          <w:rFonts w:ascii="Century" w:hAnsi="Century"/>
          <w:spacing w:val="10"/>
          <w:sz w:val="20"/>
          <w:rtl/>
        </w:rPr>
        <w:t xml:space="preserve"> </w:t>
      </w:r>
      <w:r w:rsidRPr="00AC6FAC">
        <w:rPr>
          <w:rFonts w:ascii="Century" w:hAnsi="Century" w:hint="eastAsia"/>
          <w:spacing w:val="10"/>
          <w:sz w:val="20"/>
          <w:rtl/>
        </w:rPr>
        <w:t>באפליקציית</w:t>
      </w:r>
      <w:r w:rsidRPr="00AC6FAC">
        <w:rPr>
          <w:rFonts w:ascii="Century" w:hAnsi="Century"/>
          <w:spacing w:val="10"/>
          <w:sz w:val="20"/>
          <w:rtl/>
        </w:rPr>
        <w:t xml:space="preserve"> </w:t>
      </w:r>
      <w:r w:rsidRPr="00AC6FAC">
        <w:rPr>
          <w:rFonts w:ascii="Century" w:hAnsi="Century" w:hint="eastAsia"/>
          <w:spacing w:val="10"/>
          <w:sz w:val="20"/>
          <w:rtl/>
        </w:rPr>
        <w:t>ה</w:t>
      </w:r>
      <w:r w:rsidRPr="00AC6FAC">
        <w:rPr>
          <w:rFonts w:ascii="Century" w:hAnsi="Century"/>
          <w:spacing w:val="10"/>
          <w:sz w:val="20"/>
          <w:rtl/>
        </w:rPr>
        <w:t>'</w:t>
      </w:r>
      <w:r w:rsidRPr="00AC6FAC">
        <w:rPr>
          <w:rFonts w:ascii="Century" w:hAnsi="Century" w:hint="eastAsia"/>
          <w:spacing w:val="10"/>
          <w:sz w:val="20"/>
          <w:rtl/>
        </w:rPr>
        <w:t>טלגראס</w:t>
      </w:r>
      <w:r w:rsidRPr="00AC6FAC">
        <w:rPr>
          <w:rFonts w:ascii="Century" w:hAnsi="Century"/>
          <w:spacing w:val="10"/>
          <w:sz w:val="20"/>
          <w:rtl/>
        </w:rPr>
        <w:t xml:space="preserve">', </w:t>
      </w:r>
      <w:r w:rsidRPr="00AC6FAC">
        <w:rPr>
          <w:rFonts w:ascii="Century" w:hAnsi="Century" w:hint="eastAsia"/>
          <w:spacing w:val="10"/>
          <w:sz w:val="20"/>
          <w:rtl/>
        </w:rPr>
        <w:t>מעוררים</w:t>
      </w:r>
      <w:r w:rsidRPr="00AC6FAC">
        <w:rPr>
          <w:rFonts w:ascii="Century" w:hAnsi="Century"/>
          <w:spacing w:val="10"/>
          <w:sz w:val="20"/>
          <w:rtl/>
        </w:rPr>
        <w:t xml:space="preserve"> </w:t>
      </w:r>
      <w:r w:rsidRPr="00AC6FAC">
        <w:rPr>
          <w:rFonts w:ascii="Century" w:hAnsi="Century" w:hint="eastAsia"/>
          <w:spacing w:val="10"/>
          <w:sz w:val="20"/>
          <w:rtl/>
        </w:rPr>
        <w:t>את</w:t>
      </w:r>
      <w:r w:rsidRPr="00AC6FAC">
        <w:rPr>
          <w:rFonts w:ascii="Century" w:hAnsi="Century"/>
          <w:spacing w:val="10"/>
          <w:sz w:val="20"/>
          <w:rtl/>
        </w:rPr>
        <w:t xml:space="preserve"> </w:t>
      </w:r>
      <w:r w:rsidRPr="00AC6FAC">
        <w:rPr>
          <w:rFonts w:ascii="Century" w:hAnsi="Century" w:hint="eastAsia"/>
          <w:spacing w:val="10"/>
          <w:sz w:val="20"/>
          <w:rtl/>
        </w:rPr>
        <w:t>התחושה</w:t>
      </w:r>
      <w:r w:rsidRPr="00AC6FAC">
        <w:rPr>
          <w:rFonts w:ascii="Century" w:hAnsi="Century"/>
          <w:spacing w:val="10"/>
          <w:sz w:val="20"/>
          <w:rtl/>
        </w:rPr>
        <w:t xml:space="preserve">, </w:t>
      </w:r>
      <w:r w:rsidRPr="00AC6FAC">
        <w:rPr>
          <w:rFonts w:ascii="Century" w:hAnsi="Century" w:hint="eastAsia"/>
          <w:spacing w:val="10"/>
          <w:sz w:val="20"/>
          <w:rtl/>
        </w:rPr>
        <w:t>הגם</w:t>
      </w:r>
      <w:r w:rsidRPr="00AC6FAC">
        <w:rPr>
          <w:rFonts w:ascii="Century" w:hAnsi="Century"/>
          <w:spacing w:val="10"/>
          <w:sz w:val="20"/>
          <w:rtl/>
        </w:rPr>
        <w:t xml:space="preserve"> </w:t>
      </w:r>
      <w:r w:rsidRPr="00AC6FAC">
        <w:rPr>
          <w:rFonts w:ascii="Century" w:hAnsi="Century" w:hint="eastAsia"/>
          <w:spacing w:val="10"/>
          <w:sz w:val="20"/>
          <w:rtl/>
        </w:rPr>
        <w:t>שאינה</w:t>
      </w:r>
      <w:r w:rsidRPr="00AC6FAC">
        <w:rPr>
          <w:rFonts w:ascii="Century" w:hAnsi="Century"/>
          <w:spacing w:val="10"/>
          <w:sz w:val="20"/>
          <w:rtl/>
        </w:rPr>
        <w:t xml:space="preserve"> </w:t>
      </w:r>
      <w:r w:rsidRPr="00AC6FAC">
        <w:rPr>
          <w:rFonts w:ascii="Century" w:hAnsi="Century" w:hint="eastAsia"/>
          <w:spacing w:val="10"/>
          <w:sz w:val="20"/>
          <w:rtl/>
        </w:rPr>
        <w:t>מגובה</w:t>
      </w:r>
      <w:r w:rsidRPr="00AC6FAC">
        <w:rPr>
          <w:rFonts w:ascii="Century" w:hAnsi="Century"/>
          <w:spacing w:val="10"/>
          <w:sz w:val="20"/>
          <w:rtl/>
        </w:rPr>
        <w:t xml:space="preserve"> </w:t>
      </w:r>
      <w:r w:rsidRPr="00AC6FAC">
        <w:rPr>
          <w:rFonts w:ascii="Century" w:hAnsi="Century" w:hint="eastAsia"/>
          <w:spacing w:val="10"/>
          <w:sz w:val="20"/>
          <w:rtl/>
        </w:rPr>
        <w:t>בסטטיסטיקה</w:t>
      </w:r>
      <w:r w:rsidRPr="00AC6FAC">
        <w:rPr>
          <w:rFonts w:ascii="Century" w:hAnsi="Century"/>
          <w:spacing w:val="10"/>
          <w:sz w:val="20"/>
          <w:rtl/>
        </w:rPr>
        <w:t xml:space="preserve"> </w:t>
      </w:r>
      <w:r w:rsidRPr="00AC6FAC">
        <w:rPr>
          <w:rFonts w:ascii="Century" w:hAnsi="Century" w:hint="eastAsia"/>
          <w:spacing w:val="10"/>
          <w:sz w:val="20"/>
          <w:rtl/>
        </w:rPr>
        <w:t>או</w:t>
      </w:r>
      <w:r w:rsidRPr="00AC6FAC">
        <w:rPr>
          <w:rFonts w:ascii="Century" w:hAnsi="Century"/>
          <w:spacing w:val="10"/>
          <w:sz w:val="20"/>
          <w:rtl/>
        </w:rPr>
        <w:t xml:space="preserve"> </w:t>
      </w:r>
      <w:r w:rsidRPr="00AC6FAC">
        <w:rPr>
          <w:rFonts w:ascii="Century" w:hAnsi="Century" w:hint="eastAsia"/>
          <w:spacing w:val="10"/>
          <w:sz w:val="20"/>
          <w:rtl/>
        </w:rPr>
        <w:t>במחקר</w:t>
      </w:r>
      <w:r w:rsidRPr="00AC6FAC">
        <w:rPr>
          <w:rFonts w:ascii="Century" w:hAnsi="Century"/>
          <w:spacing w:val="10"/>
          <w:sz w:val="20"/>
          <w:rtl/>
        </w:rPr>
        <w:t xml:space="preserve"> </w:t>
      </w:r>
      <w:r w:rsidRPr="00AC6FAC">
        <w:rPr>
          <w:rFonts w:ascii="Century" w:hAnsi="Century" w:hint="eastAsia"/>
          <w:spacing w:val="10"/>
          <w:sz w:val="20"/>
          <w:rtl/>
        </w:rPr>
        <w:t>אמפירי</w:t>
      </w:r>
      <w:r w:rsidRPr="00AC6FAC">
        <w:rPr>
          <w:rFonts w:ascii="Century" w:hAnsi="Century"/>
          <w:spacing w:val="10"/>
          <w:sz w:val="20"/>
          <w:rtl/>
        </w:rPr>
        <w:t xml:space="preserve">, </w:t>
      </w:r>
      <w:r w:rsidRPr="00AC6FAC">
        <w:rPr>
          <w:rFonts w:ascii="Century" w:hAnsi="Century" w:hint="eastAsia"/>
          <w:spacing w:val="10"/>
          <w:sz w:val="20"/>
          <w:rtl/>
        </w:rPr>
        <w:t>כי</w:t>
      </w:r>
      <w:r w:rsidRPr="00AC6FAC">
        <w:rPr>
          <w:rFonts w:ascii="Century" w:hAnsi="Century"/>
          <w:spacing w:val="10"/>
          <w:sz w:val="20"/>
          <w:rtl/>
        </w:rPr>
        <w:t xml:space="preserve"> </w:t>
      </w:r>
      <w:r w:rsidRPr="00AC6FAC">
        <w:rPr>
          <w:rFonts w:ascii="Century" w:hAnsi="Century" w:hint="eastAsia"/>
          <w:spacing w:val="10"/>
          <w:sz w:val="20"/>
          <w:rtl/>
        </w:rPr>
        <w:t>המדיניות</w:t>
      </w:r>
      <w:r w:rsidRPr="00AC6FAC">
        <w:rPr>
          <w:rFonts w:ascii="Century" w:hAnsi="Century"/>
          <w:spacing w:val="10"/>
          <w:sz w:val="20"/>
          <w:rtl/>
        </w:rPr>
        <w:t xml:space="preserve"> </w:t>
      </w:r>
      <w:r w:rsidRPr="00AC6FAC">
        <w:rPr>
          <w:rFonts w:ascii="Century" w:hAnsi="Century" w:hint="eastAsia"/>
          <w:spacing w:val="10"/>
          <w:sz w:val="20"/>
          <w:rtl/>
        </w:rPr>
        <w:t>שבאה</w:t>
      </w:r>
      <w:r w:rsidRPr="00AC6FAC">
        <w:rPr>
          <w:rFonts w:ascii="Century" w:hAnsi="Century"/>
          <w:spacing w:val="10"/>
          <w:sz w:val="20"/>
          <w:rtl/>
        </w:rPr>
        <w:t xml:space="preserve"> </w:t>
      </w:r>
      <w:r w:rsidRPr="00AC6FAC">
        <w:rPr>
          <w:rFonts w:ascii="Century" w:hAnsi="Century" w:hint="eastAsia"/>
          <w:spacing w:val="10"/>
          <w:sz w:val="20"/>
          <w:rtl/>
        </w:rPr>
        <w:t>לידי</w:t>
      </w:r>
      <w:r w:rsidRPr="00AC6FAC">
        <w:rPr>
          <w:rFonts w:ascii="Century" w:hAnsi="Century"/>
          <w:spacing w:val="10"/>
          <w:sz w:val="20"/>
          <w:rtl/>
        </w:rPr>
        <w:t xml:space="preserve"> </w:t>
      </w:r>
      <w:r w:rsidRPr="00AC6FAC">
        <w:rPr>
          <w:rFonts w:ascii="Century" w:hAnsi="Century" w:hint="eastAsia"/>
          <w:spacing w:val="10"/>
          <w:sz w:val="20"/>
          <w:rtl/>
        </w:rPr>
        <w:t>ביטוי</w:t>
      </w:r>
      <w:r w:rsidRPr="00AC6FAC">
        <w:rPr>
          <w:rFonts w:ascii="Century" w:hAnsi="Century"/>
          <w:spacing w:val="10"/>
          <w:sz w:val="20"/>
          <w:rtl/>
        </w:rPr>
        <w:t xml:space="preserve"> </w:t>
      </w:r>
      <w:r w:rsidRPr="00AC6FAC">
        <w:rPr>
          <w:rFonts w:ascii="Century" w:hAnsi="Century" w:hint="eastAsia"/>
          <w:spacing w:val="10"/>
          <w:sz w:val="20"/>
          <w:rtl/>
        </w:rPr>
        <w:t>בחוק</w:t>
      </w:r>
      <w:r w:rsidRPr="00AC6FAC">
        <w:rPr>
          <w:rFonts w:ascii="Century" w:hAnsi="Century"/>
          <w:spacing w:val="10"/>
          <w:sz w:val="20"/>
          <w:rtl/>
        </w:rPr>
        <w:t xml:space="preserve"> </w:t>
      </w:r>
      <w:r w:rsidRPr="00AC6FAC">
        <w:rPr>
          <w:rFonts w:ascii="Century" w:hAnsi="Century" w:hint="eastAsia"/>
          <w:spacing w:val="10"/>
          <w:sz w:val="20"/>
          <w:rtl/>
        </w:rPr>
        <w:t>הסמים</w:t>
      </w:r>
      <w:r w:rsidRPr="00AC6FAC">
        <w:rPr>
          <w:rFonts w:ascii="Century" w:hAnsi="Century"/>
          <w:spacing w:val="10"/>
          <w:sz w:val="20"/>
          <w:rtl/>
        </w:rPr>
        <w:t xml:space="preserve"> </w:t>
      </w:r>
      <w:r w:rsidRPr="00AC6FAC">
        <w:rPr>
          <w:rFonts w:ascii="Century" w:hAnsi="Century" w:hint="eastAsia"/>
          <w:spacing w:val="10"/>
          <w:sz w:val="20"/>
          <w:rtl/>
        </w:rPr>
        <w:t>המסוכנים</w:t>
      </w:r>
      <w:r w:rsidRPr="00AC6FAC">
        <w:rPr>
          <w:rFonts w:ascii="Century" w:hAnsi="Century"/>
          <w:spacing w:val="10"/>
          <w:sz w:val="20"/>
          <w:rtl/>
        </w:rPr>
        <w:t xml:space="preserve"> (</w:t>
      </w:r>
      <w:r w:rsidRPr="00AC6FAC">
        <w:rPr>
          <w:rFonts w:ascii="Century" w:hAnsi="Century" w:hint="eastAsia"/>
          <w:spacing w:val="10"/>
          <w:sz w:val="20"/>
          <w:rtl/>
        </w:rPr>
        <w:t>עבירת</w:t>
      </w:r>
      <w:r w:rsidRPr="00AC6FAC">
        <w:rPr>
          <w:rFonts w:ascii="Century" w:hAnsi="Century"/>
          <w:spacing w:val="10"/>
          <w:sz w:val="20"/>
          <w:rtl/>
        </w:rPr>
        <w:t xml:space="preserve"> </w:t>
      </w:r>
      <w:r w:rsidRPr="00AC6FAC">
        <w:rPr>
          <w:rFonts w:ascii="Century" w:hAnsi="Century" w:hint="eastAsia"/>
          <w:spacing w:val="10"/>
          <w:sz w:val="20"/>
          <w:rtl/>
        </w:rPr>
        <w:t>קנס</w:t>
      </w:r>
      <w:r w:rsidRPr="00AC6FAC">
        <w:rPr>
          <w:rFonts w:ascii="Century" w:hAnsi="Century"/>
          <w:spacing w:val="10"/>
          <w:sz w:val="20"/>
          <w:rtl/>
        </w:rPr>
        <w:t xml:space="preserve"> </w:t>
      </w:r>
      <w:r w:rsidRPr="00AC6FAC">
        <w:rPr>
          <w:rFonts w:ascii="Century" w:hAnsi="Century" w:hint="eastAsia"/>
          <w:spacing w:val="10"/>
          <w:sz w:val="20"/>
          <w:rtl/>
        </w:rPr>
        <w:t>מיוחדת</w:t>
      </w:r>
      <w:r w:rsidRPr="00AC6FAC">
        <w:rPr>
          <w:rFonts w:ascii="Century" w:hAnsi="Century"/>
          <w:spacing w:val="10"/>
          <w:sz w:val="20"/>
          <w:rtl/>
        </w:rPr>
        <w:t xml:space="preserve"> – </w:t>
      </w:r>
      <w:r w:rsidRPr="00AC6FAC">
        <w:rPr>
          <w:rFonts w:ascii="Century" w:hAnsi="Century" w:hint="eastAsia"/>
          <w:spacing w:val="10"/>
          <w:sz w:val="20"/>
          <w:rtl/>
        </w:rPr>
        <w:t>הוראת</w:t>
      </w:r>
      <w:r w:rsidRPr="00AC6FAC">
        <w:rPr>
          <w:rFonts w:ascii="Century" w:hAnsi="Century"/>
          <w:spacing w:val="10"/>
          <w:sz w:val="20"/>
          <w:rtl/>
        </w:rPr>
        <w:t xml:space="preserve"> </w:t>
      </w:r>
      <w:r w:rsidRPr="00AC6FAC">
        <w:rPr>
          <w:rFonts w:ascii="Century" w:hAnsi="Century" w:hint="eastAsia"/>
          <w:spacing w:val="10"/>
          <w:sz w:val="20"/>
          <w:rtl/>
        </w:rPr>
        <w:t>שעה</w:t>
      </w:r>
      <w:r w:rsidRPr="00AC6FAC">
        <w:rPr>
          <w:rFonts w:ascii="Century" w:hAnsi="Century"/>
          <w:spacing w:val="10"/>
          <w:sz w:val="20"/>
          <w:rtl/>
        </w:rPr>
        <w:t xml:space="preserve">), </w:t>
      </w:r>
      <w:r w:rsidRPr="00AC6FAC">
        <w:rPr>
          <w:rFonts w:ascii="Century" w:hAnsi="Century" w:hint="eastAsia"/>
          <w:spacing w:val="10"/>
          <w:sz w:val="20"/>
          <w:rtl/>
        </w:rPr>
        <w:t>התשע</w:t>
      </w:r>
      <w:r w:rsidRPr="00AC6FAC">
        <w:rPr>
          <w:rFonts w:ascii="Century" w:hAnsi="Century"/>
          <w:spacing w:val="10"/>
          <w:sz w:val="20"/>
          <w:rtl/>
        </w:rPr>
        <w:t>"</w:t>
      </w:r>
      <w:r w:rsidRPr="00AC6FAC">
        <w:rPr>
          <w:rFonts w:ascii="Century" w:hAnsi="Century" w:hint="eastAsia"/>
          <w:spacing w:val="10"/>
          <w:sz w:val="20"/>
          <w:rtl/>
        </w:rPr>
        <w:t>ח</w:t>
      </w:r>
      <w:r w:rsidRPr="00AC6FAC">
        <w:rPr>
          <w:rFonts w:ascii="Century" w:hAnsi="Century"/>
          <w:spacing w:val="10"/>
          <w:sz w:val="20"/>
          <w:rtl/>
        </w:rPr>
        <w:t>-2018 (</w:t>
      </w:r>
      <w:r w:rsidRPr="00AC6FAC">
        <w:rPr>
          <w:rFonts w:ascii="Century" w:hAnsi="Century" w:hint="eastAsia"/>
          <w:spacing w:val="10"/>
          <w:sz w:val="20"/>
          <w:rtl/>
        </w:rPr>
        <w:t>שתחולתו</w:t>
      </w:r>
      <w:r w:rsidRPr="00AC6FAC">
        <w:rPr>
          <w:rFonts w:ascii="Century" w:hAnsi="Century"/>
          <w:spacing w:val="10"/>
          <w:sz w:val="20"/>
          <w:rtl/>
        </w:rPr>
        <w:t xml:space="preserve"> </w:t>
      </w:r>
      <w:r w:rsidRPr="00AC6FAC">
        <w:rPr>
          <w:rFonts w:ascii="Century" w:hAnsi="Century" w:hint="eastAsia"/>
          <w:spacing w:val="10"/>
          <w:sz w:val="20"/>
          <w:rtl/>
        </w:rPr>
        <w:t>ביום</w:t>
      </w:r>
      <w:r w:rsidRPr="00AC6FAC">
        <w:rPr>
          <w:rFonts w:ascii="Century" w:hAnsi="Century"/>
          <w:spacing w:val="10"/>
          <w:sz w:val="20"/>
          <w:rtl/>
        </w:rPr>
        <w:t xml:space="preserve"> 1.4.2019) – </w:t>
      </w:r>
      <w:r w:rsidRPr="00AC6FAC">
        <w:rPr>
          <w:rFonts w:ascii="Century" w:hAnsi="Century" w:hint="eastAsia"/>
          <w:spacing w:val="10"/>
          <w:sz w:val="20"/>
          <w:rtl/>
        </w:rPr>
        <w:t>זלגה</w:t>
      </w:r>
      <w:r w:rsidRPr="00AC6FAC">
        <w:rPr>
          <w:rFonts w:ascii="Century" w:hAnsi="Century"/>
          <w:spacing w:val="10"/>
          <w:sz w:val="20"/>
          <w:rtl/>
        </w:rPr>
        <w:t xml:space="preserve"> </w:t>
      </w:r>
      <w:r w:rsidRPr="00AC6FAC">
        <w:rPr>
          <w:rFonts w:ascii="Century" w:hAnsi="Century" w:hint="eastAsia"/>
          <w:spacing w:val="10"/>
          <w:sz w:val="20"/>
          <w:rtl/>
        </w:rPr>
        <w:t>שלא</w:t>
      </w:r>
      <w:r w:rsidRPr="00AC6FAC">
        <w:rPr>
          <w:rFonts w:ascii="Century" w:hAnsi="Century"/>
          <w:spacing w:val="10"/>
          <w:sz w:val="20"/>
          <w:rtl/>
        </w:rPr>
        <w:t xml:space="preserve"> </w:t>
      </w:r>
      <w:r w:rsidRPr="00AC6FAC">
        <w:rPr>
          <w:rFonts w:ascii="Century" w:hAnsi="Century" w:hint="eastAsia"/>
          <w:spacing w:val="10"/>
          <w:sz w:val="20"/>
          <w:rtl/>
        </w:rPr>
        <w:t>בטובתה</w:t>
      </w:r>
      <w:r w:rsidRPr="00AC6FAC">
        <w:rPr>
          <w:rFonts w:ascii="Century" w:hAnsi="Century"/>
          <w:spacing w:val="10"/>
          <w:sz w:val="20"/>
          <w:rtl/>
        </w:rPr>
        <w:t xml:space="preserve"> </w:t>
      </w:r>
      <w:r w:rsidRPr="00AC6FAC">
        <w:rPr>
          <w:rFonts w:ascii="Century" w:hAnsi="Century" w:hint="eastAsia"/>
          <w:spacing w:val="10"/>
          <w:sz w:val="20"/>
          <w:rtl/>
        </w:rPr>
        <w:t>למחוזות</w:t>
      </w:r>
      <w:r w:rsidRPr="00AC6FAC">
        <w:rPr>
          <w:rFonts w:ascii="Century" w:hAnsi="Century"/>
          <w:spacing w:val="10"/>
          <w:sz w:val="20"/>
          <w:rtl/>
        </w:rPr>
        <w:t xml:space="preserve"> </w:t>
      </w:r>
      <w:r w:rsidRPr="00AC6FAC">
        <w:rPr>
          <w:rFonts w:ascii="Century" w:hAnsi="Century" w:hint="eastAsia"/>
          <w:spacing w:val="10"/>
          <w:sz w:val="20"/>
          <w:rtl/>
        </w:rPr>
        <w:t>אחרים</w:t>
      </w:r>
      <w:r w:rsidRPr="00AC6FAC">
        <w:rPr>
          <w:rFonts w:ascii="Century" w:hAnsi="Century"/>
          <w:spacing w:val="10"/>
          <w:sz w:val="20"/>
          <w:rtl/>
        </w:rPr>
        <w:t xml:space="preserve">. </w:t>
      </w:r>
      <w:r w:rsidRPr="00AC6FAC">
        <w:rPr>
          <w:rFonts w:ascii="Calibri" w:hAnsi="Calibri" w:hint="eastAsia"/>
          <w:spacing w:val="10"/>
          <w:sz w:val="20"/>
          <w:rtl/>
        </w:rPr>
        <w:t>צרכנים</w:t>
      </w:r>
      <w:r w:rsidRPr="00AC6FAC">
        <w:rPr>
          <w:rFonts w:ascii="Calibri" w:hAnsi="Calibri"/>
          <w:spacing w:val="10"/>
          <w:sz w:val="20"/>
          <w:rtl/>
        </w:rPr>
        <w:t xml:space="preserve"> </w:t>
      </w:r>
      <w:r w:rsidRPr="00AC6FAC">
        <w:rPr>
          <w:rFonts w:ascii="Calibri" w:hAnsi="Calibri" w:hint="eastAsia"/>
          <w:spacing w:val="10"/>
          <w:sz w:val="20"/>
          <w:rtl/>
        </w:rPr>
        <w:t>ומשתמשים</w:t>
      </w:r>
      <w:r w:rsidRPr="00AC6FAC">
        <w:rPr>
          <w:rFonts w:ascii="Calibri" w:hAnsi="Calibri"/>
          <w:spacing w:val="10"/>
          <w:sz w:val="20"/>
          <w:rtl/>
        </w:rPr>
        <w:t xml:space="preserve"> </w:t>
      </w:r>
      <w:r w:rsidRPr="00AC6FAC">
        <w:rPr>
          <w:rFonts w:ascii="Calibri" w:hAnsi="Calibri" w:hint="eastAsia"/>
          <w:spacing w:val="10"/>
          <w:sz w:val="20"/>
          <w:rtl/>
        </w:rPr>
        <w:t>ואנשים</w:t>
      </w:r>
      <w:r w:rsidRPr="00AC6FAC">
        <w:rPr>
          <w:rFonts w:ascii="Calibri" w:hAnsi="Calibri"/>
          <w:spacing w:val="10"/>
          <w:sz w:val="20"/>
          <w:rtl/>
        </w:rPr>
        <w:t xml:space="preserve"> </w:t>
      </w:r>
      <w:r w:rsidRPr="00AC6FAC">
        <w:rPr>
          <w:rFonts w:ascii="Calibri" w:hAnsi="Calibri" w:hint="eastAsia"/>
          <w:spacing w:val="10"/>
          <w:sz w:val="20"/>
          <w:rtl/>
        </w:rPr>
        <w:t>נורמטיביים</w:t>
      </w:r>
      <w:r w:rsidRPr="00AC6FAC">
        <w:rPr>
          <w:rFonts w:ascii="Calibri" w:hAnsi="Calibri"/>
          <w:spacing w:val="10"/>
          <w:sz w:val="20"/>
          <w:rtl/>
        </w:rPr>
        <w:t xml:space="preserve">, </w:t>
      </w:r>
      <w:r w:rsidRPr="00AC6FAC">
        <w:rPr>
          <w:rFonts w:ascii="Calibri" w:hAnsi="Calibri" w:hint="eastAsia"/>
          <w:spacing w:val="10"/>
          <w:sz w:val="20"/>
          <w:rtl/>
        </w:rPr>
        <w:t>שבעבר</w:t>
      </w:r>
      <w:r w:rsidRPr="00AC6FAC">
        <w:rPr>
          <w:rFonts w:ascii="Calibri" w:hAnsi="Calibri"/>
          <w:spacing w:val="10"/>
          <w:sz w:val="20"/>
          <w:rtl/>
        </w:rPr>
        <w:t xml:space="preserve"> </w:t>
      </w:r>
      <w:r w:rsidRPr="00AC6FAC">
        <w:rPr>
          <w:rFonts w:ascii="Calibri" w:hAnsi="Calibri" w:hint="eastAsia"/>
          <w:spacing w:val="10"/>
          <w:sz w:val="20"/>
          <w:rtl/>
        </w:rPr>
        <w:t>לא</w:t>
      </w:r>
      <w:r w:rsidRPr="00AC6FAC">
        <w:rPr>
          <w:rFonts w:ascii="Calibri" w:hAnsi="Calibri"/>
          <w:spacing w:val="10"/>
          <w:sz w:val="20"/>
          <w:rtl/>
        </w:rPr>
        <w:t xml:space="preserve"> </w:t>
      </w:r>
      <w:r w:rsidRPr="00AC6FAC">
        <w:rPr>
          <w:rFonts w:ascii="Calibri" w:hAnsi="Calibri" w:hint="eastAsia"/>
          <w:spacing w:val="10"/>
          <w:sz w:val="20"/>
          <w:rtl/>
        </w:rPr>
        <w:t>היו</w:t>
      </w:r>
      <w:r w:rsidRPr="00AC6FAC">
        <w:rPr>
          <w:rFonts w:ascii="Calibri" w:hAnsi="Calibri"/>
          <w:spacing w:val="10"/>
          <w:sz w:val="20"/>
          <w:rtl/>
        </w:rPr>
        <w:t xml:space="preserve"> </w:t>
      </w:r>
      <w:r w:rsidRPr="00AC6FAC">
        <w:rPr>
          <w:rFonts w:ascii="Calibri" w:hAnsi="Calibri" w:hint="eastAsia"/>
          <w:spacing w:val="10"/>
          <w:sz w:val="20"/>
          <w:rtl/>
        </w:rPr>
        <w:t>נכונים</w:t>
      </w:r>
      <w:r w:rsidRPr="00AC6FAC">
        <w:rPr>
          <w:rFonts w:ascii="Calibri" w:hAnsi="Calibri"/>
          <w:spacing w:val="10"/>
          <w:sz w:val="20"/>
          <w:rtl/>
        </w:rPr>
        <w:t xml:space="preserve"> </w:t>
      </w:r>
      <w:r w:rsidRPr="00AC6FAC">
        <w:rPr>
          <w:rFonts w:ascii="Calibri" w:hAnsi="Calibri" w:hint="eastAsia"/>
          <w:spacing w:val="10"/>
          <w:sz w:val="20"/>
          <w:rtl/>
        </w:rPr>
        <w:t>ליטול</w:t>
      </w:r>
      <w:r w:rsidRPr="00AC6FAC">
        <w:rPr>
          <w:rFonts w:ascii="Calibri" w:hAnsi="Calibri"/>
          <w:spacing w:val="10"/>
          <w:sz w:val="20"/>
          <w:rtl/>
        </w:rPr>
        <w:t xml:space="preserve"> </w:t>
      </w:r>
      <w:r w:rsidRPr="00AC6FAC">
        <w:rPr>
          <w:rFonts w:ascii="Calibri" w:hAnsi="Calibri" w:hint="eastAsia"/>
          <w:spacing w:val="10"/>
          <w:sz w:val="20"/>
          <w:rtl/>
        </w:rPr>
        <w:t>על</w:t>
      </w:r>
      <w:r w:rsidRPr="00AC6FAC">
        <w:rPr>
          <w:rFonts w:ascii="Calibri" w:hAnsi="Calibri"/>
          <w:spacing w:val="10"/>
          <w:sz w:val="20"/>
          <w:rtl/>
        </w:rPr>
        <w:t xml:space="preserve"> </w:t>
      </w:r>
      <w:r w:rsidRPr="00AC6FAC">
        <w:rPr>
          <w:rFonts w:ascii="Calibri" w:hAnsi="Calibri" w:hint="eastAsia"/>
          <w:spacing w:val="10"/>
          <w:sz w:val="20"/>
          <w:rtl/>
        </w:rPr>
        <w:t>עצמם</w:t>
      </w:r>
      <w:r w:rsidRPr="00AC6FAC">
        <w:rPr>
          <w:rFonts w:ascii="Calibri" w:hAnsi="Calibri"/>
          <w:spacing w:val="10"/>
          <w:sz w:val="20"/>
          <w:rtl/>
        </w:rPr>
        <w:t xml:space="preserve"> </w:t>
      </w:r>
      <w:r w:rsidRPr="00AC6FAC">
        <w:rPr>
          <w:rFonts w:ascii="Calibri" w:hAnsi="Calibri" w:hint="eastAsia"/>
          <w:spacing w:val="10"/>
          <w:sz w:val="20"/>
          <w:rtl/>
        </w:rPr>
        <w:t>סיכון</w:t>
      </w:r>
      <w:r w:rsidRPr="00AC6FAC">
        <w:rPr>
          <w:rFonts w:ascii="Calibri" w:hAnsi="Calibri"/>
          <w:spacing w:val="10"/>
          <w:sz w:val="20"/>
          <w:rtl/>
        </w:rPr>
        <w:t xml:space="preserve"> </w:t>
      </w:r>
      <w:r w:rsidRPr="00AC6FAC">
        <w:rPr>
          <w:rFonts w:ascii="Calibri" w:hAnsi="Calibri" w:hint="eastAsia"/>
          <w:spacing w:val="10"/>
          <w:sz w:val="20"/>
          <w:rtl/>
        </w:rPr>
        <w:t>להסתבך</w:t>
      </w:r>
      <w:r w:rsidRPr="00AC6FAC">
        <w:rPr>
          <w:rFonts w:ascii="Calibri" w:hAnsi="Calibri"/>
          <w:spacing w:val="10"/>
          <w:sz w:val="20"/>
          <w:rtl/>
        </w:rPr>
        <w:t xml:space="preserve"> </w:t>
      </w:r>
      <w:r w:rsidRPr="00AC6FAC">
        <w:rPr>
          <w:rFonts w:ascii="Calibri" w:hAnsi="Calibri" w:hint="eastAsia"/>
          <w:spacing w:val="10"/>
          <w:sz w:val="20"/>
          <w:rtl/>
        </w:rPr>
        <w:t>בעולם</w:t>
      </w:r>
      <w:r w:rsidRPr="00AC6FAC">
        <w:rPr>
          <w:rFonts w:ascii="Calibri" w:hAnsi="Calibri"/>
          <w:spacing w:val="10"/>
          <w:sz w:val="20"/>
          <w:rtl/>
        </w:rPr>
        <w:t xml:space="preserve"> </w:t>
      </w:r>
      <w:r w:rsidRPr="00AC6FAC">
        <w:rPr>
          <w:rFonts w:ascii="Calibri" w:hAnsi="Calibri" w:hint="eastAsia"/>
          <w:spacing w:val="10"/>
          <w:sz w:val="20"/>
          <w:rtl/>
        </w:rPr>
        <w:t>הפלילי</w:t>
      </w:r>
      <w:r w:rsidRPr="00AC6FAC">
        <w:rPr>
          <w:rFonts w:ascii="Calibri" w:hAnsi="Calibri"/>
          <w:spacing w:val="10"/>
          <w:sz w:val="20"/>
          <w:rtl/>
        </w:rPr>
        <w:t xml:space="preserve">, </w:t>
      </w:r>
      <w:r w:rsidRPr="00AC6FAC">
        <w:rPr>
          <w:rFonts w:ascii="Century" w:hAnsi="Century" w:hint="eastAsia"/>
          <w:spacing w:val="10"/>
          <w:sz w:val="20"/>
          <w:rtl/>
        </w:rPr>
        <w:t>נכונים</w:t>
      </w:r>
      <w:r w:rsidRPr="00AC6FAC">
        <w:rPr>
          <w:rFonts w:ascii="Century" w:hAnsi="Century"/>
          <w:spacing w:val="10"/>
          <w:sz w:val="20"/>
          <w:rtl/>
        </w:rPr>
        <w:t xml:space="preserve"> </w:t>
      </w:r>
      <w:r w:rsidRPr="00AC6FAC">
        <w:rPr>
          <w:rFonts w:ascii="Century" w:hAnsi="Century" w:hint="eastAsia"/>
          <w:spacing w:val="10"/>
          <w:sz w:val="20"/>
          <w:rtl/>
        </w:rPr>
        <w:t>כיום</w:t>
      </w:r>
      <w:r w:rsidRPr="00AC6FAC">
        <w:rPr>
          <w:rFonts w:ascii="Century" w:hAnsi="Century"/>
          <w:spacing w:val="10"/>
          <w:sz w:val="20"/>
          <w:rtl/>
        </w:rPr>
        <w:t xml:space="preserve"> </w:t>
      </w:r>
      <w:r w:rsidRPr="00AC6FAC">
        <w:rPr>
          <w:rFonts w:ascii="Century" w:hAnsi="Century" w:hint="eastAsia"/>
          <w:spacing w:val="10"/>
          <w:sz w:val="20"/>
          <w:rtl/>
        </w:rPr>
        <w:t>לילך</w:t>
      </w:r>
      <w:r w:rsidRPr="00AC6FAC">
        <w:rPr>
          <w:rFonts w:ascii="Century" w:hAnsi="Century"/>
          <w:spacing w:val="10"/>
          <w:sz w:val="20"/>
          <w:rtl/>
        </w:rPr>
        <w:t xml:space="preserve"> </w:t>
      </w:r>
      <w:r w:rsidRPr="00AC6FAC">
        <w:rPr>
          <w:rFonts w:ascii="Century" w:hAnsi="Century" w:hint="eastAsia"/>
          <w:spacing w:val="10"/>
          <w:sz w:val="20"/>
          <w:rtl/>
        </w:rPr>
        <w:t>צעד</w:t>
      </w:r>
      <w:r w:rsidRPr="00AC6FAC">
        <w:rPr>
          <w:rFonts w:ascii="Century" w:hAnsi="Century"/>
          <w:spacing w:val="10"/>
          <w:sz w:val="20"/>
          <w:rtl/>
        </w:rPr>
        <w:t xml:space="preserve"> </w:t>
      </w:r>
      <w:r w:rsidRPr="00AC6FAC">
        <w:rPr>
          <w:rFonts w:ascii="Century" w:hAnsi="Century" w:hint="eastAsia"/>
          <w:spacing w:val="10"/>
          <w:sz w:val="20"/>
          <w:rtl/>
        </w:rPr>
        <w:t>נוסף</w:t>
      </w:r>
      <w:r w:rsidRPr="00AC6FAC">
        <w:rPr>
          <w:rFonts w:ascii="Century" w:hAnsi="Century"/>
          <w:spacing w:val="10"/>
          <w:sz w:val="20"/>
          <w:rtl/>
        </w:rPr>
        <w:t xml:space="preserve"> </w:t>
      </w:r>
      <w:r w:rsidRPr="00AC6FAC">
        <w:rPr>
          <w:rFonts w:ascii="Century" w:hAnsi="Century" w:hint="eastAsia"/>
          <w:spacing w:val="10"/>
          <w:sz w:val="20"/>
          <w:rtl/>
        </w:rPr>
        <w:t>ולהפוך</w:t>
      </w:r>
      <w:r w:rsidRPr="00AC6FAC">
        <w:rPr>
          <w:rFonts w:ascii="Century" w:hAnsi="Century"/>
          <w:spacing w:val="10"/>
          <w:sz w:val="20"/>
          <w:rtl/>
        </w:rPr>
        <w:t xml:space="preserve"> </w:t>
      </w:r>
      <w:r w:rsidRPr="00AC6FAC">
        <w:rPr>
          <w:rFonts w:ascii="Century" w:hAnsi="Century" w:hint="eastAsia"/>
          <w:spacing w:val="10"/>
          <w:sz w:val="20"/>
          <w:rtl/>
        </w:rPr>
        <w:t>למגדלים</w:t>
      </w:r>
      <w:r w:rsidRPr="00AC6FAC">
        <w:rPr>
          <w:rFonts w:ascii="Century" w:hAnsi="Century"/>
          <w:spacing w:val="10"/>
          <w:sz w:val="20"/>
          <w:rtl/>
        </w:rPr>
        <w:t xml:space="preserve"> </w:t>
      </w:r>
      <w:r w:rsidRPr="00AC6FAC">
        <w:rPr>
          <w:rFonts w:ascii="Century" w:hAnsi="Century" w:hint="eastAsia"/>
          <w:spacing w:val="10"/>
          <w:sz w:val="20"/>
          <w:rtl/>
        </w:rPr>
        <w:t>ולסוחרים</w:t>
      </w:r>
      <w:r w:rsidRPr="00AC6FAC">
        <w:rPr>
          <w:rFonts w:ascii="Century" w:hAnsi="Century"/>
          <w:spacing w:val="10"/>
          <w:sz w:val="20"/>
          <w:rtl/>
        </w:rPr>
        <w:t xml:space="preserve"> </w:t>
      </w:r>
      <w:r w:rsidRPr="00AC6FAC">
        <w:rPr>
          <w:rFonts w:ascii="Century" w:hAnsi="Century" w:hint="eastAsia"/>
          <w:spacing w:val="10"/>
          <w:sz w:val="20"/>
          <w:rtl/>
        </w:rPr>
        <w:t>בסם</w:t>
      </w:r>
      <w:r w:rsidRPr="00AC6FAC">
        <w:rPr>
          <w:rFonts w:ascii="Century" w:hAnsi="Century"/>
          <w:spacing w:val="10"/>
          <w:sz w:val="20"/>
          <w:rtl/>
        </w:rPr>
        <w:t xml:space="preserve">. </w:t>
      </w:r>
      <w:r w:rsidRPr="00AC6FAC">
        <w:rPr>
          <w:rFonts w:ascii="Century" w:hAnsi="Century" w:hint="eastAsia"/>
          <w:spacing w:val="10"/>
          <w:sz w:val="20"/>
          <w:rtl/>
        </w:rPr>
        <w:t>זאת</w:t>
      </w:r>
      <w:r w:rsidRPr="00AC6FAC">
        <w:rPr>
          <w:rFonts w:ascii="Century" w:hAnsi="Century"/>
          <w:spacing w:val="10"/>
          <w:sz w:val="20"/>
          <w:rtl/>
        </w:rPr>
        <w:t xml:space="preserve">, </w:t>
      </w:r>
      <w:r w:rsidRPr="00AC6FAC">
        <w:rPr>
          <w:rFonts w:ascii="Century" w:hAnsi="Century" w:hint="eastAsia"/>
          <w:spacing w:val="10"/>
          <w:sz w:val="20"/>
          <w:rtl/>
        </w:rPr>
        <w:t>מתוך</w:t>
      </w:r>
      <w:r w:rsidRPr="00AC6FAC">
        <w:rPr>
          <w:rFonts w:ascii="Century" w:hAnsi="Century"/>
          <w:spacing w:val="10"/>
          <w:sz w:val="20"/>
          <w:rtl/>
        </w:rPr>
        <w:t xml:space="preserve"> </w:t>
      </w:r>
      <w:r w:rsidRPr="00AC6FAC">
        <w:rPr>
          <w:rFonts w:ascii="Century" w:hAnsi="Century" w:hint="eastAsia"/>
          <w:spacing w:val="10"/>
          <w:sz w:val="20"/>
          <w:rtl/>
        </w:rPr>
        <w:t>תפיסה</w:t>
      </w:r>
      <w:r w:rsidRPr="00AC6FAC">
        <w:rPr>
          <w:rFonts w:ascii="Century" w:hAnsi="Century"/>
          <w:spacing w:val="10"/>
          <w:sz w:val="20"/>
          <w:rtl/>
        </w:rPr>
        <w:t xml:space="preserve"> </w:t>
      </w:r>
      <w:r w:rsidRPr="00AC6FAC">
        <w:rPr>
          <w:rFonts w:ascii="Century" w:hAnsi="Century" w:hint="eastAsia"/>
          <w:spacing w:val="10"/>
          <w:sz w:val="20"/>
          <w:rtl/>
        </w:rPr>
        <w:t>שגויה</w:t>
      </w:r>
      <w:r w:rsidRPr="00AC6FAC">
        <w:rPr>
          <w:rFonts w:ascii="Century" w:hAnsi="Century"/>
          <w:spacing w:val="10"/>
          <w:sz w:val="20"/>
          <w:rtl/>
        </w:rPr>
        <w:t xml:space="preserve"> </w:t>
      </w:r>
      <w:r w:rsidRPr="00AC6FAC">
        <w:rPr>
          <w:rFonts w:ascii="Century" w:hAnsi="Century" w:hint="eastAsia"/>
          <w:spacing w:val="10"/>
          <w:sz w:val="20"/>
          <w:rtl/>
        </w:rPr>
        <w:t>כי</w:t>
      </w:r>
      <w:r w:rsidRPr="00AC6FAC">
        <w:rPr>
          <w:rFonts w:ascii="Century" w:hAnsi="Century"/>
          <w:spacing w:val="10"/>
          <w:sz w:val="20"/>
          <w:rtl/>
        </w:rPr>
        <w:t xml:space="preserve"> </w:t>
      </w:r>
      <w:r w:rsidRPr="00AC6FAC">
        <w:rPr>
          <w:rFonts w:ascii="Century" w:hAnsi="Century" w:hint="eastAsia"/>
          <w:spacing w:val="10"/>
          <w:sz w:val="20"/>
          <w:rtl/>
        </w:rPr>
        <w:t>מדובר</w:t>
      </w:r>
      <w:r w:rsidRPr="00AC6FAC">
        <w:rPr>
          <w:rFonts w:ascii="Century" w:hAnsi="Century"/>
          <w:spacing w:val="10"/>
          <w:sz w:val="20"/>
          <w:rtl/>
        </w:rPr>
        <w:t xml:space="preserve"> </w:t>
      </w:r>
      <w:r w:rsidRPr="00AC6FAC">
        <w:rPr>
          <w:rFonts w:ascii="Century" w:hAnsi="Century" w:hint="eastAsia"/>
          <w:spacing w:val="10"/>
          <w:sz w:val="20"/>
          <w:rtl/>
        </w:rPr>
        <w:t>ב</w:t>
      </w:r>
      <w:r w:rsidRPr="00AC6FAC">
        <w:rPr>
          <w:rFonts w:ascii="Century" w:hAnsi="Century"/>
          <w:spacing w:val="10"/>
          <w:sz w:val="20"/>
          <w:rtl/>
        </w:rPr>
        <w:t>"</w:t>
      </w:r>
      <w:r w:rsidRPr="00AC6FAC">
        <w:rPr>
          <w:rFonts w:ascii="Century" w:hAnsi="Century" w:hint="eastAsia"/>
          <w:spacing w:val="10"/>
          <w:sz w:val="20"/>
          <w:rtl/>
        </w:rPr>
        <w:t>סמים</w:t>
      </w:r>
      <w:r w:rsidRPr="00AC6FAC">
        <w:rPr>
          <w:rFonts w:ascii="Century" w:hAnsi="Century"/>
          <w:spacing w:val="10"/>
          <w:sz w:val="20"/>
          <w:rtl/>
        </w:rPr>
        <w:t xml:space="preserve"> </w:t>
      </w:r>
      <w:r w:rsidRPr="00AC6FAC">
        <w:rPr>
          <w:rFonts w:ascii="Century" w:hAnsi="Century" w:hint="eastAsia"/>
          <w:spacing w:val="10"/>
          <w:sz w:val="20"/>
          <w:rtl/>
        </w:rPr>
        <w:t>קלים</w:t>
      </w:r>
      <w:r w:rsidRPr="00AC6FAC">
        <w:rPr>
          <w:rFonts w:ascii="Century" w:hAnsi="Century"/>
          <w:spacing w:val="10"/>
          <w:sz w:val="20"/>
          <w:rtl/>
        </w:rPr>
        <w:t xml:space="preserve">", </w:t>
      </w:r>
      <w:r w:rsidRPr="00AC6FAC">
        <w:rPr>
          <w:rFonts w:ascii="Century" w:hAnsi="Century" w:hint="eastAsia"/>
          <w:spacing w:val="10"/>
          <w:sz w:val="20"/>
          <w:rtl/>
        </w:rPr>
        <w:t>ובהינתן</w:t>
      </w:r>
      <w:r w:rsidRPr="00AC6FAC">
        <w:rPr>
          <w:rFonts w:ascii="Century" w:hAnsi="Century"/>
          <w:spacing w:val="10"/>
          <w:sz w:val="20"/>
          <w:rtl/>
        </w:rPr>
        <w:t xml:space="preserve"> </w:t>
      </w:r>
      <w:r w:rsidRPr="00AC6FAC">
        <w:rPr>
          <w:rFonts w:ascii="Century" w:hAnsi="Century" w:hint="eastAsia"/>
          <w:spacing w:val="10"/>
          <w:sz w:val="20"/>
          <w:rtl/>
        </w:rPr>
        <w:t>הטכנולוגיה</w:t>
      </w:r>
      <w:r w:rsidRPr="00AC6FAC">
        <w:rPr>
          <w:rFonts w:ascii="Century" w:hAnsi="Century"/>
          <w:spacing w:val="10"/>
          <w:sz w:val="20"/>
          <w:rtl/>
        </w:rPr>
        <w:t xml:space="preserve"> </w:t>
      </w:r>
      <w:r w:rsidRPr="00AC6FAC">
        <w:rPr>
          <w:rFonts w:ascii="Century" w:hAnsi="Century" w:hint="eastAsia"/>
          <w:spacing w:val="10"/>
          <w:sz w:val="20"/>
          <w:rtl/>
        </w:rPr>
        <w:t>המאפשרת</w:t>
      </w:r>
      <w:r w:rsidRPr="00AC6FAC">
        <w:rPr>
          <w:rFonts w:ascii="Century" w:hAnsi="Century"/>
          <w:spacing w:val="10"/>
          <w:sz w:val="20"/>
          <w:rtl/>
        </w:rPr>
        <w:t xml:space="preserve"> </w:t>
      </w:r>
      <w:r w:rsidRPr="00AC6FAC">
        <w:rPr>
          <w:rFonts w:ascii="Century" w:hAnsi="Century" w:hint="eastAsia"/>
          <w:spacing w:val="10"/>
          <w:sz w:val="20"/>
          <w:rtl/>
        </w:rPr>
        <w:t>מכירה</w:t>
      </w:r>
      <w:r w:rsidRPr="00AC6FAC">
        <w:rPr>
          <w:rFonts w:ascii="Century" w:hAnsi="Century"/>
          <w:spacing w:val="10"/>
          <w:sz w:val="20"/>
          <w:rtl/>
        </w:rPr>
        <w:t xml:space="preserve"> </w:t>
      </w:r>
      <w:r w:rsidRPr="00AC6FAC">
        <w:rPr>
          <w:rFonts w:ascii="Century" w:hAnsi="Century" w:hint="eastAsia"/>
          <w:spacing w:val="10"/>
          <w:sz w:val="20"/>
          <w:rtl/>
        </w:rPr>
        <w:t>והפצה</w:t>
      </w:r>
      <w:r w:rsidRPr="00AC6FAC">
        <w:rPr>
          <w:rFonts w:ascii="Century" w:hAnsi="Century"/>
          <w:spacing w:val="10"/>
          <w:sz w:val="20"/>
          <w:rtl/>
        </w:rPr>
        <w:t xml:space="preserve"> </w:t>
      </w:r>
      <w:r w:rsidRPr="00AC6FAC">
        <w:rPr>
          <w:rFonts w:ascii="Century" w:hAnsi="Century" w:hint="eastAsia"/>
          <w:spacing w:val="10"/>
          <w:sz w:val="20"/>
          <w:rtl/>
        </w:rPr>
        <w:t>קלה</w:t>
      </w:r>
      <w:r w:rsidRPr="00AC6FAC">
        <w:rPr>
          <w:rFonts w:ascii="Century" w:hAnsi="Century"/>
          <w:spacing w:val="10"/>
          <w:sz w:val="20"/>
          <w:rtl/>
        </w:rPr>
        <w:t xml:space="preserve"> </w:t>
      </w:r>
      <w:r w:rsidRPr="00AC6FAC">
        <w:rPr>
          <w:rFonts w:ascii="Century" w:hAnsi="Century" w:hint="eastAsia"/>
          <w:spacing w:val="10"/>
          <w:sz w:val="20"/>
          <w:rtl/>
        </w:rPr>
        <w:t>ו</w:t>
      </w:r>
      <w:r w:rsidRPr="00AC6FAC">
        <w:rPr>
          <w:rFonts w:ascii="Century" w:hAnsi="Century"/>
          <w:spacing w:val="10"/>
          <w:sz w:val="20"/>
          <w:rtl/>
        </w:rPr>
        <w:t>"</w:t>
      </w:r>
      <w:r w:rsidRPr="00AC6FAC">
        <w:rPr>
          <w:rFonts w:ascii="Century" w:hAnsi="Century" w:hint="eastAsia"/>
          <w:spacing w:val="10"/>
          <w:sz w:val="20"/>
          <w:rtl/>
        </w:rPr>
        <w:t>סטרילית</w:t>
      </w:r>
      <w:r w:rsidRPr="00AC6FAC">
        <w:rPr>
          <w:rFonts w:ascii="Century" w:hAnsi="Century"/>
          <w:spacing w:val="10"/>
          <w:sz w:val="20"/>
          <w:rtl/>
        </w:rPr>
        <w:t xml:space="preserve">" </w:t>
      </w:r>
      <w:r w:rsidRPr="00AC6FAC">
        <w:rPr>
          <w:rFonts w:ascii="Century" w:hAnsi="Century" w:hint="eastAsia"/>
          <w:spacing w:val="10"/>
          <w:sz w:val="20"/>
          <w:rtl/>
        </w:rPr>
        <w:t>של</w:t>
      </w:r>
      <w:r w:rsidRPr="00AC6FAC">
        <w:rPr>
          <w:rFonts w:ascii="Century" w:hAnsi="Century"/>
          <w:spacing w:val="10"/>
          <w:sz w:val="20"/>
          <w:rtl/>
        </w:rPr>
        <w:t xml:space="preserve"> </w:t>
      </w:r>
      <w:r w:rsidRPr="00AC6FAC">
        <w:rPr>
          <w:rFonts w:ascii="Century" w:hAnsi="Century" w:hint="eastAsia"/>
          <w:spacing w:val="10"/>
          <w:sz w:val="20"/>
          <w:rtl/>
        </w:rPr>
        <w:t>סמים</w:t>
      </w:r>
      <w:r w:rsidRPr="00AC6FAC">
        <w:rPr>
          <w:rFonts w:ascii="Century" w:hAnsi="Century"/>
          <w:spacing w:val="10"/>
          <w:sz w:val="20"/>
          <w:rtl/>
        </w:rPr>
        <w:t xml:space="preserve">. </w:t>
      </w:r>
      <w:r w:rsidRPr="00AC6FAC">
        <w:rPr>
          <w:rFonts w:ascii="Century" w:hAnsi="Century" w:hint="eastAsia"/>
          <w:spacing w:val="10"/>
          <w:sz w:val="20"/>
          <w:rtl/>
        </w:rPr>
        <w:t>ברם</w:t>
      </w:r>
      <w:r w:rsidRPr="00AC6FAC">
        <w:rPr>
          <w:rFonts w:ascii="Century" w:hAnsi="Century"/>
          <w:spacing w:val="10"/>
          <w:sz w:val="20"/>
          <w:rtl/>
        </w:rPr>
        <w:t xml:space="preserve">, </w:t>
      </w:r>
      <w:r w:rsidRPr="00AC6FAC">
        <w:rPr>
          <w:rFonts w:ascii="Century" w:hAnsi="Century" w:hint="eastAsia"/>
          <w:spacing w:val="10"/>
          <w:sz w:val="20"/>
          <w:rtl/>
        </w:rPr>
        <w:t>סחר</w:t>
      </w:r>
      <w:r w:rsidRPr="00AC6FAC">
        <w:rPr>
          <w:rFonts w:ascii="Century" w:hAnsi="Century"/>
          <w:spacing w:val="10"/>
          <w:sz w:val="20"/>
          <w:rtl/>
        </w:rPr>
        <w:t xml:space="preserve"> </w:t>
      </w:r>
      <w:r w:rsidRPr="00AC6FAC">
        <w:rPr>
          <w:rFonts w:ascii="Century" w:hAnsi="Century" w:hint="eastAsia"/>
          <w:spacing w:val="10"/>
          <w:sz w:val="20"/>
          <w:rtl/>
        </w:rPr>
        <w:t>בסמים</w:t>
      </w:r>
      <w:r w:rsidRPr="00AC6FAC">
        <w:rPr>
          <w:rFonts w:ascii="Century" w:hAnsi="Century"/>
          <w:spacing w:val="10"/>
          <w:sz w:val="20"/>
          <w:rtl/>
        </w:rPr>
        <w:t xml:space="preserve"> </w:t>
      </w:r>
      <w:r w:rsidRPr="00AC6FAC">
        <w:rPr>
          <w:rFonts w:ascii="Century" w:hAnsi="Century" w:hint="eastAsia"/>
          <w:spacing w:val="10"/>
          <w:sz w:val="20"/>
          <w:rtl/>
        </w:rPr>
        <w:t>הוא</w:t>
      </w:r>
      <w:r w:rsidRPr="00AC6FAC">
        <w:rPr>
          <w:rFonts w:ascii="Century" w:hAnsi="Century"/>
          <w:spacing w:val="10"/>
          <w:sz w:val="20"/>
          <w:rtl/>
        </w:rPr>
        <w:t xml:space="preserve"> </w:t>
      </w:r>
      <w:r w:rsidRPr="00AC6FAC">
        <w:rPr>
          <w:rFonts w:ascii="Century" w:hAnsi="Century" w:hint="eastAsia"/>
          <w:spacing w:val="10"/>
          <w:sz w:val="20"/>
          <w:rtl/>
        </w:rPr>
        <w:t>סחר</w:t>
      </w:r>
      <w:r w:rsidRPr="00AC6FAC">
        <w:rPr>
          <w:rFonts w:ascii="Century" w:hAnsi="Century"/>
          <w:spacing w:val="10"/>
          <w:sz w:val="20"/>
          <w:rtl/>
        </w:rPr>
        <w:t xml:space="preserve"> </w:t>
      </w:r>
      <w:r w:rsidRPr="00AC6FAC">
        <w:rPr>
          <w:rFonts w:ascii="Century" w:hAnsi="Century" w:hint="eastAsia"/>
          <w:spacing w:val="10"/>
          <w:sz w:val="20"/>
          <w:rtl/>
        </w:rPr>
        <w:t>בסמים</w:t>
      </w:r>
      <w:r w:rsidRPr="00AC6FAC">
        <w:rPr>
          <w:rFonts w:ascii="Century" w:hAnsi="Century"/>
          <w:spacing w:val="10"/>
          <w:sz w:val="20"/>
          <w:rtl/>
        </w:rPr>
        <w:t xml:space="preserve">. </w:t>
      </w:r>
      <w:r w:rsidRPr="00AC6FAC">
        <w:rPr>
          <w:rFonts w:ascii="Century" w:hAnsi="Century" w:hint="eastAsia"/>
          <w:spacing w:val="10"/>
          <w:sz w:val="20"/>
          <w:rtl/>
        </w:rPr>
        <w:t>ידע</w:t>
      </w:r>
      <w:r w:rsidRPr="00AC6FAC">
        <w:rPr>
          <w:rFonts w:ascii="Century" w:hAnsi="Century"/>
          <w:spacing w:val="10"/>
          <w:sz w:val="20"/>
          <w:rtl/>
        </w:rPr>
        <w:t xml:space="preserve"> </w:t>
      </w:r>
      <w:r w:rsidRPr="00AC6FAC">
        <w:rPr>
          <w:rFonts w:ascii="Century" w:hAnsi="Century" w:hint="eastAsia"/>
          <w:spacing w:val="10"/>
          <w:sz w:val="20"/>
          <w:rtl/>
        </w:rPr>
        <w:t>כל</w:t>
      </w:r>
      <w:r w:rsidRPr="00AC6FAC">
        <w:rPr>
          <w:rFonts w:ascii="Century" w:hAnsi="Century"/>
          <w:spacing w:val="10"/>
          <w:sz w:val="20"/>
          <w:rtl/>
        </w:rPr>
        <w:t xml:space="preserve"> </w:t>
      </w:r>
      <w:r w:rsidRPr="00AC6FAC">
        <w:rPr>
          <w:rFonts w:ascii="Century" w:hAnsi="Century" w:hint="eastAsia"/>
          <w:spacing w:val="10"/>
          <w:sz w:val="20"/>
          <w:rtl/>
        </w:rPr>
        <w:t>מי</w:t>
      </w:r>
      <w:r w:rsidRPr="00AC6FAC">
        <w:rPr>
          <w:rFonts w:ascii="Century" w:hAnsi="Century"/>
          <w:spacing w:val="10"/>
          <w:sz w:val="20"/>
          <w:rtl/>
        </w:rPr>
        <w:t xml:space="preserve"> </w:t>
      </w:r>
      <w:r w:rsidRPr="00AC6FAC">
        <w:rPr>
          <w:rFonts w:ascii="Century" w:hAnsi="Century" w:hint="eastAsia"/>
          <w:spacing w:val="10"/>
          <w:sz w:val="20"/>
          <w:rtl/>
        </w:rPr>
        <w:t>שמהרהר</w:t>
      </w:r>
      <w:r w:rsidRPr="00AC6FAC">
        <w:rPr>
          <w:rFonts w:ascii="Century" w:hAnsi="Century"/>
          <w:spacing w:val="10"/>
          <w:sz w:val="20"/>
          <w:rtl/>
        </w:rPr>
        <w:t xml:space="preserve"> </w:t>
      </w:r>
      <w:r w:rsidRPr="00AC6FAC">
        <w:rPr>
          <w:rFonts w:ascii="Century" w:hAnsi="Century" w:hint="eastAsia"/>
          <w:spacing w:val="10"/>
          <w:sz w:val="20"/>
          <w:rtl/>
        </w:rPr>
        <w:t>בדרכים</w:t>
      </w:r>
      <w:r w:rsidRPr="00AC6FAC">
        <w:rPr>
          <w:rFonts w:ascii="Century" w:hAnsi="Century"/>
          <w:spacing w:val="10"/>
          <w:sz w:val="20"/>
          <w:rtl/>
        </w:rPr>
        <w:t xml:space="preserve"> </w:t>
      </w:r>
      <w:r w:rsidRPr="00AC6FAC">
        <w:rPr>
          <w:rFonts w:ascii="Century" w:hAnsi="Century" w:hint="eastAsia"/>
          <w:spacing w:val="10"/>
          <w:sz w:val="20"/>
          <w:rtl/>
        </w:rPr>
        <w:t>לעשיית</w:t>
      </w:r>
      <w:r w:rsidRPr="00AC6FAC">
        <w:rPr>
          <w:rFonts w:ascii="Century" w:hAnsi="Century"/>
          <w:spacing w:val="10"/>
          <w:sz w:val="20"/>
          <w:rtl/>
        </w:rPr>
        <w:t xml:space="preserve"> </w:t>
      </w:r>
      <w:r w:rsidRPr="00AC6FAC">
        <w:rPr>
          <w:rFonts w:ascii="Century" w:hAnsi="Century" w:hint="eastAsia"/>
          <w:spacing w:val="10"/>
          <w:sz w:val="20"/>
          <w:rtl/>
        </w:rPr>
        <w:t>כסף</w:t>
      </w:r>
      <w:r w:rsidRPr="00AC6FAC">
        <w:rPr>
          <w:rFonts w:ascii="Century" w:hAnsi="Century"/>
          <w:spacing w:val="10"/>
          <w:sz w:val="20"/>
          <w:rtl/>
        </w:rPr>
        <w:t xml:space="preserve"> </w:t>
      </w:r>
      <w:r w:rsidRPr="00AC6FAC">
        <w:rPr>
          <w:rFonts w:ascii="Century" w:hAnsi="Century" w:hint="eastAsia"/>
          <w:spacing w:val="10"/>
          <w:sz w:val="20"/>
          <w:rtl/>
        </w:rPr>
        <w:t>קל</w:t>
      </w:r>
      <w:r w:rsidRPr="00AC6FAC">
        <w:rPr>
          <w:rFonts w:ascii="Century" w:hAnsi="Century"/>
          <w:spacing w:val="10"/>
          <w:sz w:val="20"/>
          <w:rtl/>
        </w:rPr>
        <w:t xml:space="preserve">, </w:t>
      </w:r>
      <w:r w:rsidRPr="00AC6FAC">
        <w:rPr>
          <w:rFonts w:ascii="Century" w:hAnsi="Century" w:hint="eastAsia"/>
          <w:spacing w:val="10"/>
          <w:sz w:val="20"/>
          <w:rtl/>
        </w:rPr>
        <w:t>כי</w:t>
      </w:r>
      <w:r w:rsidRPr="00AC6FAC">
        <w:rPr>
          <w:rFonts w:ascii="Century" w:hAnsi="Century"/>
          <w:spacing w:val="10"/>
          <w:sz w:val="20"/>
          <w:rtl/>
        </w:rPr>
        <w:t xml:space="preserve"> </w:t>
      </w:r>
      <w:r w:rsidRPr="00AC6FAC">
        <w:rPr>
          <w:rFonts w:ascii="Century" w:hAnsi="Century" w:hint="eastAsia"/>
          <w:spacing w:val="10"/>
          <w:sz w:val="20"/>
          <w:rtl/>
        </w:rPr>
        <w:t>מדיניות</w:t>
      </w:r>
      <w:r w:rsidRPr="00AC6FAC">
        <w:rPr>
          <w:rFonts w:ascii="Century" w:hAnsi="Century"/>
          <w:spacing w:val="10"/>
          <w:sz w:val="20"/>
          <w:rtl/>
        </w:rPr>
        <w:t xml:space="preserve"> </w:t>
      </w:r>
      <w:r w:rsidRPr="00AC6FAC">
        <w:rPr>
          <w:rFonts w:ascii="Century" w:hAnsi="Century" w:hint="eastAsia"/>
          <w:spacing w:val="10"/>
          <w:sz w:val="20"/>
          <w:rtl/>
        </w:rPr>
        <w:t>הענישה</w:t>
      </w:r>
      <w:r w:rsidRPr="00AC6FAC">
        <w:rPr>
          <w:rFonts w:ascii="Century" w:hAnsi="Century"/>
          <w:spacing w:val="10"/>
          <w:sz w:val="20"/>
          <w:rtl/>
        </w:rPr>
        <w:t xml:space="preserve"> </w:t>
      </w:r>
      <w:r w:rsidRPr="00AC6FAC">
        <w:rPr>
          <w:rFonts w:ascii="Century" w:hAnsi="Century" w:hint="eastAsia"/>
          <w:spacing w:val="10"/>
          <w:sz w:val="20"/>
          <w:rtl/>
        </w:rPr>
        <w:t>לא</w:t>
      </w:r>
      <w:r w:rsidRPr="00AC6FAC">
        <w:rPr>
          <w:rFonts w:ascii="Century" w:hAnsi="Century"/>
          <w:spacing w:val="10"/>
          <w:sz w:val="20"/>
          <w:rtl/>
        </w:rPr>
        <w:t xml:space="preserve"> </w:t>
      </w:r>
      <w:r w:rsidRPr="00AC6FAC">
        <w:rPr>
          <w:rFonts w:ascii="Century" w:hAnsi="Century" w:hint="eastAsia"/>
          <w:spacing w:val="10"/>
          <w:sz w:val="20"/>
          <w:rtl/>
        </w:rPr>
        <w:t>השתנתה</w:t>
      </w:r>
      <w:r w:rsidRPr="00AC6FAC">
        <w:rPr>
          <w:rFonts w:ascii="Century" w:hAnsi="Century"/>
          <w:spacing w:val="10"/>
          <w:sz w:val="20"/>
          <w:rtl/>
        </w:rPr>
        <w:t xml:space="preserve"> </w:t>
      </w:r>
      <w:r w:rsidRPr="00AC6FAC">
        <w:rPr>
          <w:rFonts w:ascii="Century" w:hAnsi="Century" w:hint="eastAsia"/>
          <w:spacing w:val="10"/>
          <w:sz w:val="20"/>
          <w:rtl/>
        </w:rPr>
        <w:t>ובית</w:t>
      </w:r>
      <w:r w:rsidRPr="00AC6FAC">
        <w:rPr>
          <w:rFonts w:ascii="Century" w:hAnsi="Century"/>
          <w:spacing w:val="10"/>
          <w:sz w:val="20"/>
          <w:rtl/>
        </w:rPr>
        <w:t xml:space="preserve"> </w:t>
      </w:r>
      <w:r w:rsidRPr="00AC6FAC">
        <w:rPr>
          <w:rFonts w:ascii="Century" w:hAnsi="Century" w:hint="eastAsia"/>
          <w:spacing w:val="10"/>
          <w:sz w:val="20"/>
          <w:rtl/>
        </w:rPr>
        <w:t>המשפט</w:t>
      </w:r>
      <w:r w:rsidRPr="00AC6FAC">
        <w:rPr>
          <w:rFonts w:ascii="Century" w:hAnsi="Century"/>
          <w:spacing w:val="10"/>
          <w:sz w:val="20"/>
          <w:rtl/>
        </w:rPr>
        <w:t xml:space="preserve"> </w:t>
      </w:r>
      <w:r w:rsidRPr="00AC6FAC">
        <w:rPr>
          <w:rFonts w:ascii="Century" w:hAnsi="Century" w:hint="eastAsia"/>
          <w:spacing w:val="10"/>
          <w:sz w:val="20"/>
          <w:rtl/>
        </w:rPr>
        <w:t>רואה</w:t>
      </w:r>
      <w:r w:rsidRPr="00AC6FAC">
        <w:rPr>
          <w:rFonts w:ascii="Century" w:hAnsi="Century"/>
          <w:spacing w:val="10"/>
          <w:sz w:val="20"/>
          <w:rtl/>
        </w:rPr>
        <w:t xml:space="preserve"> </w:t>
      </w:r>
      <w:r w:rsidRPr="00AC6FAC">
        <w:rPr>
          <w:rFonts w:ascii="Century" w:hAnsi="Century" w:hint="eastAsia"/>
          <w:spacing w:val="10"/>
          <w:sz w:val="20"/>
          <w:rtl/>
        </w:rPr>
        <w:t>בחומרה</w:t>
      </w:r>
      <w:r w:rsidRPr="00AC6FAC">
        <w:rPr>
          <w:rFonts w:ascii="Century" w:hAnsi="Century"/>
          <w:spacing w:val="10"/>
          <w:sz w:val="20"/>
          <w:rtl/>
        </w:rPr>
        <w:t xml:space="preserve"> </w:t>
      </w:r>
      <w:r w:rsidRPr="00AC6FAC">
        <w:rPr>
          <w:rFonts w:ascii="Century" w:hAnsi="Century" w:hint="eastAsia"/>
          <w:spacing w:val="10"/>
          <w:sz w:val="20"/>
          <w:rtl/>
        </w:rPr>
        <w:t>עבירות</w:t>
      </w:r>
      <w:r w:rsidRPr="00AC6FAC">
        <w:rPr>
          <w:rFonts w:ascii="Century" w:hAnsi="Century"/>
          <w:spacing w:val="10"/>
          <w:sz w:val="20"/>
          <w:rtl/>
        </w:rPr>
        <w:t xml:space="preserve"> </w:t>
      </w:r>
      <w:r w:rsidRPr="00AC6FAC">
        <w:rPr>
          <w:rFonts w:ascii="Century" w:hAnsi="Century" w:hint="eastAsia"/>
          <w:spacing w:val="10"/>
          <w:sz w:val="20"/>
          <w:rtl/>
        </w:rPr>
        <w:t>של</w:t>
      </w:r>
      <w:r w:rsidRPr="00AC6FAC">
        <w:rPr>
          <w:rFonts w:ascii="Century" w:hAnsi="Century"/>
          <w:spacing w:val="10"/>
          <w:sz w:val="20"/>
          <w:rtl/>
        </w:rPr>
        <w:t xml:space="preserve"> </w:t>
      </w:r>
      <w:r w:rsidRPr="00AC6FAC">
        <w:rPr>
          <w:rFonts w:ascii="Century" w:hAnsi="Century" w:hint="eastAsia"/>
          <w:spacing w:val="10"/>
          <w:sz w:val="20"/>
          <w:rtl/>
        </w:rPr>
        <w:t>סחר</w:t>
      </w:r>
      <w:r w:rsidRPr="00AC6FAC">
        <w:rPr>
          <w:rFonts w:ascii="Century" w:hAnsi="Century"/>
          <w:spacing w:val="10"/>
          <w:sz w:val="20"/>
          <w:rtl/>
        </w:rPr>
        <w:t xml:space="preserve"> </w:t>
      </w:r>
      <w:r w:rsidRPr="00AC6FAC">
        <w:rPr>
          <w:rFonts w:ascii="Century" w:hAnsi="Century" w:hint="eastAsia"/>
          <w:spacing w:val="10"/>
          <w:sz w:val="20"/>
          <w:rtl/>
        </w:rPr>
        <w:t>והפצה</w:t>
      </w:r>
      <w:r w:rsidRPr="00AC6FAC">
        <w:rPr>
          <w:rFonts w:ascii="Century" w:hAnsi="Century"/>
          <w:spacing w:val="10"/>
          <w:sz w:val="20"/>
          <w:rtl/>
        </w:rPr>
        <w:t xml:space="preserve"> </w:t>
      </w:r>
      <w:r w:rsidRPr="00AC6FAC">
        <w:rPr>
          <w:rFonts w:ascii="Century" w:hAnsi="Century" w:hint="eastAsia"/>
          <w:spacing w:val="10"/>
          <w:sz w:val="20"/>
          <w:rtl/>
        </w:rPr>
        <w:t>של</w:t>
      </w:r>
      <w:r w:rsidRPr="00AC6FAC">
        <w:rPr>
          <w:rFonts w:ascii="Century" w:hAnsi="Century"/>
          <w:spacing w:val="10"/>
          <w:sz w:val="20"/>
          <w:rtl/>
        </w:rPr>
        <w:t xml:space="preserve"> </w:t>
      </w:r>
      <w:r w:rsidRPr="00AC6FAC">
        <w:rPr>
          <w:rFonts w:ascii="Century" w:hAnsi="Century" w:hint="eastAsia"/>
          <w:spacing w:val="10"/>
          <w:sz w:val="20"/>
          <w:rtl/>
        </w:rPr>
        <w:t>סמים</w:t>
      </w:r>
      <w:r w:rsidRPr="00AC6FAC">
        <w:rPr>
          <w:rFonts w:ascii="Century" w:hAnsi="Century"/>
          <w:spacing w:val="10"/>
          <w:sz w:val="20"/>
          <w:rtl/>
        </w:rPr>
        <w:t xml:space="preserve"> </w:t>
      </w:r>
      <w:r w:rsidRPr="00AC6FAC">
        <w:rPr>
          <w:rFonts w:ascii="Century" w:hAnsi="Century" w:hint="eastAsia"/>
          <w:spacing w:val="10"/>
          <w:sz w:val="20"/>
          <w:rtl/>
        </w:rPr>
        <w:t>מסוכנים</w:t>
      </w:r>
      <w:r w:rsidRPr="00AC6FAC">
        <w:rPr>
          <w:rFonts w:ascii="Century" w:hAnsi="Century"/>
          <w:spacing w:val="10"/>
          <w:sz w:val="20"/>
          <w:rtl/>
        </w:rPr>
        <w:t xml:space="preserve">, </w:t>
      </w:r>
      <w:r w:rsidRPr="00AC6FAC">
        <w:rPr>
          <w:rFonts w:ascii="Century" w:hAnsi="Century" w:hint="eastAsia"/>
          <w:spacing w:val="10"/>
          <w:sz w:val="20"/>
          <w:rtl/>
        </w:rPr>
        <w:t>גם</w:t>
      </w:r>
      <w:r w:rsidRPr="00AC6FAC">
        <w:rPr>
          <w:rFonts w:ascii="Century" w:hAnsi="Century"/>
          <w:spacing w:val="10"/>
          <w:sz w:val="20"/>
          <w:rtl/>
        </w:rPr>
        <w:t xml:space="preserve"> </w:t>
      </w:r>
      <w:r w:rsidRPr="00AC6FAC">
        <w:rPr>
          <w:rFonts w:ascii="Century" w:hAnsi="Century" w:hint="eastAsia"/>
          <w:spacing w:val="10"/>
          <w:sz w:val="20"/>
          <w:rtl/>
        </w:rPr>
        <w:t>סמים</w:t>
      </w:r>
      <w:r w:rsidRPr="00AC6FAC">
        <w:rPr>
          <w:rFonts w:ascii="Century" w:hAnsi="Century"/>
          <w:spacing w:val="10"/>
          <w:sz w:val="20"/>
          <w:rtl/>
        </w:rPr>
        <w:t xml:space="preserve"> "</w:t>
      </w:r>
      <w:r w:rsidRPr="00AC6FAC">
        <w:rPr>
          <w:rFonts w:ascii="Century" w:hAnsi="Century" w:hint="eastAsia"/>
          <w:spacing w:val="10"/>
          <w:sz w:val="20"/>
          <w:rtl/>
        </w:rPr>
        <w:t>קלים</w:t>
      </w:r>
      <w:r w:rsidRPr="00AC6FAC">
        <w:rPr>
          <w:rFonts w:ascii="Century" w:hAnsi="Century"/>
          <w:spacing w:val="10"/>
          <w:sz w:val="20"/>
          <w:rtl/>
        </w:rPr>
        <w:t xml:space="preserve">", </w:t>
      </w:r>
      <w:r w:rsidRPr="00AC6FAC">
        <w:rPr>
          <w:rFonts w:ascii="Century" w:hAnsi="Century" w:hint="eastAsia"/>
          <w:spacing w:val="10"/>
          <w:sz w:val="20"/>
          <w:rtl/>
        </w:rPr>
        <w:t>תוך</w:t>
      </w:r>
      <w:r w:rsidRPr="00AC6FAC">
        <w:rPr>
          <w:rFonts w:ascii="Century" w:hAnsi="Century"/>
          <w:spacing w:val="10"/>
          <w:sz w:val="20"/>
          <w:rtl/>
        </w:rPr>
        <w:t xml:space="preserve"> </w:t>
      </w:r>
      <w:r w:rsidRPr="00AC6FAC">
        <w:rPr>
          <w:rFonts w:ascii="Century" w:hAnsi="Century" w:hint="eastAsia"/>
          <w:spacing w:val="10"/>
          <w:sz w:val="20"/>
          <w:rtl/>
        </w:rPr>
        <w:t>הטלת</w:t>
      </w:r>
      <w:r w:rsidRPr="00AC6FAC">
        <w:rPr>
          <w:rFonts w:ascii="Century" w:hAnsi="Century"/>
          <w:spacing w:val="10"/>
          <w:sz w:val="20"/>
          <w:rtl/>
        </w:rPr>
        <w:t xml:space="preserve"> </w:t>
      </w:r>
      <w:r w:rsidRPr="00AC6FAC">
        <w:rPr>
          <w:rFonts w:ascii="Century" w:hAnsi="Century" w:hint="eastAsia"/>
          <w:spacing w:val="10"/>
          <w:sz w:val="20"/>
          <w:rtl/>
        </w:rPr>
        <w:t>ענישה</w:t>
      </w:r>
      <w:r w:rsidRPr="00AC6FAC">
        <w:rPr>
          <w:rFonts w:ascii="Century" w:hAnsi="Century"/>
          <w:spacing w:val="10"/>
          <w:sz w:val="20"/>
          <w:rtl/>
        </w:rPr>
        <w:t xml:space="preserve"> </w:t>
      </w:r>
      <w:r w:rsidRPr="00AC6FAC">
        <w:rPr>
          <w:rFonts w:ascii="Century" w:hAnsi="Century" w:hint="eastAsia"/>
          <w:spacing w:val="10"/>
          <w:sz w:val="20"/>
          <w:rtl/>
        </w:rPr>
        <w:t>משמעותית</w:t>
      </w:r>
      <w:r w:rsidRPr="00AC6FAC">
        <w:rPr>
          <w:rFonts w:ascii="Century" w:hAnsi="Century"/>
          <w:spacing w:val="10"/>
          <w:sz w:val="20"/>
          <w:rtl/>
        </w:rPr>
        <w:t xml:space="preserve"> </w:t>
      </w:r>
      <w:r w:rsidRPr="00AC6FAC">
        <w:rPr>
          <w:rFonts w:ascii="Century" w:hAnsi="Century" w:hint="eastAsia"/>
          <w:spacing w:val="10"/>
          <w:sz w:val="20"/>
          <w:rtl/>
        </w:rPr>
        <w:t>ומרתיעה</w:t>
      </w:r>
      <w:r w:rsidRPr="00AC6FAC">
        <w:rPr>
          <w:rFonts w:ascii="Century" w:hAnsi="Century"/>
          <w:spacing w:val="10"/>
          <w:sz w:val="20"/>
          <w:rtl/>
        </w:rPr>
        <w:t xml:space="preserve">. </w:t>
      </w:r>
      <w:r w:rsidRPr="00AC6FAC">
        <w:rPr>
          <w:rFonts w:ascii="Century" w:hAnsi="Century" w:hint="eastAsia"/>
          <w:spacing w:val="10"/>
          <w:sz w:val="20"/>
          <w:rtl/>
        </w:rPr>
        <w:t>צרכנים</w:t>
      </w:r>
      <w:r w:rsidRPr="00AC6FAC">
        <w:rPr>
          <w:rFonts w:ascii="Century" w:hAnsi="Century"/>
          <w:spacing w:val="10"/>
          <w:sz w:val="20"/>
          <w:rtl/>
        </w:rPr>
        <w:t xml:space="preserve"> </w:t>
      </w:r>
      <w:r w:rsidRPr="00AC6FAC">
        <w:rPr>
          <w:rFonts w:ascii="Century" w:hAnsi="Century" w:hint="eastAsia"/>
          <w:spacing w:val="10"/>
          <w:sz w:val="20"/>
          <w:rtl/>
        </w:rPr>
        <w:t>ומשתמשים</w:t>
      </w:r>
      <w:r w:rsidRPr="00AC6FAC">
        <w:rPr>
          <w:rFonts w:ascii="Century" w:hAnsi="Century"/>
          <w:spacing w:val="10"/>
          <w:sz w:val="20"/>
          <w:rtl/>
        </w:rPr>
        <w:t xml:space="preserve"> – </w:t>
      </w:r>
      <w:r w:rsidRPr="00AC6FAC">
        <w:rPr>
          <w:rFonts w:ascii="Century" w:hAnsi="Century" w:hint="eastAsia"/>
          <w:spacing w:val="10"/>
          <w:sz w:val="20"/>
          <w:rtl/>
        </w:rPr>
        <w:t>ראו</w:t>
      </w:r>
      <w:r w:rsidRPr="00AC6FAC">
        <w:rPr>
          <w:rFonts w:ascii="Century" w:hAnsi="Century"/>
          <w:spacing w:val="10"/>
          <w:sz w:val="20"/>
          <w:rtl/>
        </w:rPr>
        <w:t xml:space="preserve"> </w:t>
      </w:r>
      <w:r w:rsidRPr="00AC6FAC">
        <w:rPr>
          <w:rFonts w:ascii="Century" w:hAnsi="Century" w:hint="eastAsia"/>
          <w:spacing w:val="10"/>
          <w:sz w:val="20"/>
          <w:rtl/>
        </w:rPr>
        <w:t>הוזהרתם</w:t>
      </w:r>
      <w:r w:rsidRPr="00AC6FAC">
        <w:rPr>
          <w:rFonts w:ascii="Century" w:hAnsi="Century"/>
          <w:spacing w:val="10"/>
          <w:sz w:val="20"/>
          <w:rtl/>
        </w:rPr>
        <w:t xml:space="preserve">". </w:t>
      </w:r>
    </w:p>
    <w:p w14:paraId="3C760438" w14:textId="77777777" w:rsidR="00305C80" w:rsidRPr="00AC6FAC" w:rsidRDefault="00305C80" w:rsidP="00305C80">
      <w:pPr>
        <w:spacing w:after="120" w:line="360" w:lineRule="auto"/>
        <w:ind w:left="720"/>
        <w:jc w:val="both"/>
        <w:rPr>
          <w:rFonts w:ascii="David" w:hAnsi="David"/>
          <w:color w:val="000000"/>
          <w:rtl/>
        </w:rPr>
      </w:pPr>
      <w:r w:rsidRPr="00AC6FAC">
        <w:rPr>
          <w:rFonts w:ascii="David" w:hAnsi="David"/>
          <w:color w:val="000000"/>
          <w:rtl/>
        </w:rPr>
        <w:t xml:space="preserve">דברים דומים נקבעו על ידי כב' השופט הנדל </w:t>
      </w:r>
      <w:r w:rsidRPr="00AC6FAC">
        <w:rPr>
          <w:rFonts w:ascii="David" w:hAnsi="David"/>
          <w:rtl/>
        </w:rPr>
        <w:t>ב</w:t>
      </w:r>
      <w:hyperlink r:id="rId25" w:history="1">
        <w:r w:rsidR="00973321" w:rsidRPr="00973321">
          <w:rPr>
            <w:rFonts w:ascii="David" w:hAnsi="David"/>
            <w:color w:val="0000FF"/>
            <w:u w:val="single"/>
            <w:rtl/>
          </w:rPr>
          <w:t>ע"פ 5807/17</w:t>
        </w:r>
      </w:hyperlink>
      <w:r w:rsidRPr="00AC6FAC">
        <w:rPr>
          <w:rFonts w:ascii="David" w:hAnsi="David"/>
          <w:color w:val="000000"/>
          <w:rtl/>
        </w:rPr>
        <w:t xml:space="preserve"> </w:t>
      </w:r>
      <w:r w:rsidRPr="00AC6FAC">
        <w:rPr>
          <w:rFonts w:ascii="David" w:hAnsi="David"/>
          <w:b/>
          <w:bCs/>
          <w:color w:val="000000"/>
          <w:rtl/>
        </w:rPr>
        <w:t xml:space="preserve">דרחי נ' מדינת ישראל </w:t>
      </w:r>
      <w:r w:rsidR="00B42346" w:rsidRPr="00B42346">
        <w:rPr>
          <w:sz w:val="22"/>
          <w:rtl/>
        </w:rPr>
        <w:t xml:space="preserve">[פורסם בנבו] </w:t>
      </w:r>
      <w:r w:rsidRPr="00AC6FAC">
        <w:rPr>
          <w:rFonts w:ascii="David" w:hAnsi="David"/>
          <w:color w:val="000000"/>
          <w:rtl/>
        </w:rPr>
        <w:t>(18.6.18):</w:t>
      </w:r>
    </w:p>
    <w:p w14:paraId="168CB482" w14:textId="77777777" w:rsidR="00305C80" w:rsidRPr="00AC6FAC" w:rsidRDefault="00305C80" w:rsidP="00305C80">
      <w:pPr>
        <w:spacing w:after="120" w:line="360" w:lineRule="auto"/>
        <w:ind w:left="1133" w:right="567"/>
        <w:jc w:val="both"/>
        <w:rPr>
          <w:rFonts w:ascii="David" w:hAnsi="David" w:cs="Times New Roman"/>
          <w:color w:val="000000"/>
          <w:rtl/>
        </w:rPr>
      </w:pPr>
      <w:r w:rsidRPr="00AC6FAC">
        <w:rPr>
          <w:rFonts w:ascii="David" w:hAnsi="David"/>
          <w:color w:val="000000"/>
          <w:rtl/>
        </w:rPr>
        <w:t>"מערער 1 הקים בית גידול לסמים, באופן המלמד על תכנון מוקדם משמעותי ועל כוונה להרחיב את שרשרת הפצת הסמים. כתב האישום מתייחס לכמות של כ-76 קילוגרם של סם מסוג קנבוס, אשר מערער 1 קשר קשר עם מערער 2 על מנת להפיצם. ללא התערבות גורמי אכיפת החוק, הנזק הפוטנציאלי ממעשיהם של המערערים עשוי היה להיות עצום, וכך גם הפגיעה בערכים המוגנים. וברקע, בצע כסף, נוכח מצבם הכלכלי. השימוש בדירה לצורך גידול סם, הוא כהכרזה כי מכאן יסופק סם בכמויות גדולות לציבור. ויוזכר כי לא מדובר בעסקה בודדת, אלא כוונה לפתוח עסק, הכולל, בין היתר, ייצור של החומר האסור".</w:t>
      </w:r>
      <w:r w:rsidRPr="00AC6FAC">
        <w:rPr>
          <w:rFonts w:ascii="David" w:hAnsi="David" w:cs="Times New Roman"/>
          <w:color w:val="000000"/>
          <w:rtl/>
        </w:rPr>
        <w:t xml:space="preserve"> </w:t>
      </w:r>
    </w:p>
    <w:p w14:paraId="2EF5A2BD"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בחינת </w:t>
      </w:r>
      <w:r w:rsidRPr="00AC6FAC">
        <w:rPr>
          <w:rFonts w:ascii="David" w:hAnsi="David"/>
          <w:b/>
          <w:bCs/>
          <w:color w:val="000000"/>
          <w:rtl/>
        </w:rPr>
        <w:t xml:space="preserve">מידת הפגיעה בערך המוגן </w:t>
      </w:r>
      <w:r w:rsidRPr="00AC6FAC">
        <w:rPr>
          <w:rFonts w:ascii="David" w:hAnsi="David"/>
          <w:color w:val="000000"/>
          <w:rtl/>
        </w:rPr>
        <w:t xml:space="preserve">מובילה למסקנה כי הפגיעה בערך המוגן הינה </w:t>
      </w:r>
      <w:r w:rsidRPr="00AC6FAC">
        <w:rPr>
          <w:rFonts w:ascii="David" w:hAnsi="David"/>
          <w:b/>
          <w:bCs/>
          <w:color w:val="000000"/>
          <w:rtl/>
        </w:rPr>
        <w:t>ברף בינוני עד גבוה</w:t>
      </w:r>
      <w:r w:rsidRPr="00AC6FAC">
        <w:rPr>
          <w:rFonts w:ascii="David" w:hAnsi="David"/>
          <w:color w:val="000000"/>
          <w:rtl/>
        </w:rPr>
        <w:t xml:space="preserve">. זאת בשים לב לכך שמדובר בגידול שתילי קנאביס בהיקף של </w:t>
      </w:r>
      <w:r w:rsidRPr="00AC6FAC">
        <w:rPr>
          <w:rFonts w:ascii="David" w:hAnsi="David"/>
          <w:b/>
          <w:bCs/>
          <w:color w:val="000000"/>
          <w:rtl/>
        </w:rPr>
        <w:t>80.3 ק"ג</w:t>
      </w:r>
      <w:r w:rsidRPr="00AC6FAC">
        <w:rPr>
          <w:rFonts w:ascii="David" w:hAnsi="David"/>
          <w:color w:val="000000"/>
          <w:rtl/>
        </w:rPr>
        <w:t xml:space="preserve">, אשר כולל </w:t>
      </w:r>
      <w:r w:rsidRPr="00AC6FAC">
        <w:rPr>
          <w:rFonts w:ascii="David" w:hAnsi="David"/>
          <w:b/>
          <w:bCs/>
          <w:color w:val="000000"/>
          <w:rtl/>
        </w:rPr>
        <w:t>768 שתילים</w:t>
      </w:r>
      <w:r w:rsidRPr="00AC6FAC">
        <w:rPr>
          <w:rFonts w:ascii="David" w:hAnsi="David"/>
          <w:color w:val="000000"/>
          <w:rtl/>
        </w:rPr>
        <w:t>, לצד ציוד רב, ותוך ביצוע עבירה נלווית של גניבת חשמל בסך של כ- 37,000 ₪.</w:t>
      </w:r>
    </w:p>
    <w:p w14:paraId="2070F964" w14:textId="77777777" w:rsidR="00305C80" w:rsidRPr="00AC6FAC" w:rsidRDefault="00305C80" w:rsidP="00305C80">
      <w:pPr>
        <w:numPr>
          <w:ilvl w:val="0"/>
          <w:numId w:val="1"/>
        </w:numPr>
        <w:spacing w:after="120" w:line="360" w:lineRule="auto"/>
        <w:jc w:val="both"/>
        <w:rPr>
          <w:color w:val="000000"/>
        </w:rPr>
      </w:pPr>
      <w:r w:rsidRPr="00AC6FAC">
        <w:rPr>
          <w:rFonts w:ascii="David" w:hAnsi="David"/>
          <w:color w:val="000000"/>
          <w:rtl/>
        </w:rPr>
        <w:t xml:space="preserve">במסגרת </w:t>
      </w:r>
      <w:r w:rsidRPr="00AC6FAC">
        <w:rPr>
          <w:rFonts w:ascii="David" w:hAnsi="David"/>
          <w:b/>
          <w:bCs/>
          <w:color w:val="000000"/>
          <w:rtl/>
        </w:rPr>
        <w:t xml:space="preserve">הנסיבות הקשורות בביצוע העבירה </w:t>
      </w:r>
      <w:r w:rsidRPr="00AC6FAC">
        <w:rPr>
          <w:rFonts w:ascii="David" w:hAnsi="David"/>
          <w:color w:val="000000"/>
          <w:rtl/>
        </w:rPr>
        <w:t xml:space="preserve">(סעיף </w:t>
      </w:r>
      <w:hyperlink r:id="rId26" w:history="1">
        <w:r w:rsidR="00E11605" w:rsidRPr="00E11605">
          <w:rPr>
            <w:rFonts w:ascii="David" w:hAnsi="David"/>
            <w:color w:val="0000FF"/>
            <w:u w:val="single"/>
            <w:rtl/>
          </w:rPr>
          <w:t>40 ט'</w:t>
        </w:r>
      </w:hyperlink>
      <w:r w:rsidRPr="00AC6FAC">
        <w:rPr>
          <w:rFonts w:ascii="David" w:hAnsi="David"/>
          <w:color w:val="000000"/>
          <w:rtl/>
        </w:rPr>
        <w:t xml:space="preserve"> לחוק), יש לתת את הדעת </w:t>
      </w:r>
      <w:r w:rsidRPr="00AC6FAC">
        <w:rPr>
          <w:color w:val="000000"/>
          <w:rtl/>
        </w:rPr>
        <w:t xml:space="preserve">לתכנון שקדם לביצוע העבירה – הנאשם שכר בית ולשם ההכנה לביצוע העבירה צייד אותו בציוד רב הכולל מאיידים, פילטרים, מסננים, חומרי דישון, מנורות, מנועים, שנאים ועוד. כן הביא לבית אדניות ועציצים ובהם אדמה. הנאשם אף ביצע חיבור עוקף מונה בארון החשמל והשאיר חיבור למונה לשם הצגת שימוש סביר בחשמל. הנאשם ביצע את העבירה בגפו, ועל אף שתיאר לחץ כלכלי וחובות כבדים בגין הפסדיו בהימורים, לא נטען לקיומם של אחרים אשר השפיעו על מעשיו בעבירה. הנזק הפוטנציאלי מביצוע העבירה הוא רב, אילו הסמים היו מגיעים לצרכני הסמים. הנזק שנגרם בפועל הוא כלכלי בשווי החשמל שנגנב. הנאשם ביצע את העבירה מתוך בצע כסף שכן ביקש ליצור רווח כלכלי מהיר לשם כיסוי חובותיו הכספיים בגין הפסדי עבר שלו בהימורים. </w:t>
      </w:r>
    </w:p>
    <w:p w14:paraId="291C24CE"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בחינת </w:t>
      </w:r>
      <w:r w:rsidRPr="00AC6FAC">
        <w:rPr>
          <w:rFonts w:ascii="David" w:hAnsi="David"/>
          <w:b/>
          <w:bCs/>
          <w:color w:val="000000"/>
          <w:rtl/>
        </w:rPr>
        <w:t>מדיניות הענישה הנוהגת</w:t>
      </w:r>
      <w:r w:rsidRPr="00AC6FAC">
        <w:rPr>
          <w:rFonts w:ascii="David" w:hAnsi="David"/>
          <w:color w:val="000000"/>
          <w:rtl/>
        </w:rPr>
        <w:t xml:space="preserve"> מעלה כי במקרים דומים הוטלו על נאשמים עונשים במנעד רחב כמפורט להלן:</w:t>
      </w:r>
    </w:p>
    <w:p w14:paraId="37BCC482"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ב</w:t>
      </w:r>
      <w:hyperlink r:id="rId27" w:history="1">
        <w:r w:rsidR="00973321" w:rsidRPr="00973321">
          <w:rPr>
            <w:color w:val="0000FF"/>
            <w:u w:val="single"/>
            <w:rtl/>
          </w:rPr>
          <w:t>ע"פ 8988/16</w:t>
        </w:r>
      </w:hyperlink>
      <w:r w:rsidRPr="00AC6FAC">
        <w:rPr>
          <w:rtl/>
        </w:rPr>
        <w:t xml:space="preserve"> </w:t>
      </w:r>
      <w:r w:rsidRPr="00AC6FAC">
        <w:rPr>
          <w:b/>
          <w:bCs/>
          <w:rtl/>
        </w:rPr>
        <w:t>בן סימון נ' מדינת ישראל</w:t>
      </w:r>
      <w:r w:rsidRPr="00AC6FAC">
        <w:rPr>
          <w:rtl/>
        </w:rPr>
        <w:t xml:space="preserve"> </w:t>
      </w:r>
      <w:r w:rsidR="00B42346" w:rsidRPr="00B42346">
        <w:rPr>
          <w:sz w:val="22"/>
          <w:rtl/>
        </w:rPr>
        <w:t xml:space="preserve">[פורסם בנבו] </w:t>
      </w:r>
      <w:r w:rsidRPr="00AC6FAC">
        <w:rPr>
          <w:rtl/>
        </w:rPr>
        <w:t xml:space="preserve">(8.3.17) נדחה ערעורו של נאשם אשר הורשע לפי הודאתו בעבירות של ייצור הכנה והפקה של סם, סחר והספקת סם ונטילת חשמל. הנאשם הקים מעבדה לגידול סם מסוג קנבוס בביתו. גידל בה 282 שתילים, וגנב חשמל בשווי של עשרות אלפי ₪. הנאשם גידל כמות של </w:t>
      </w:r>
      <w:r w:rsidRPr="00AC6FAC">
        <w:rPr>
          <w:b/>
          <w:bCs/>
          <w:rtl/>
        </w:rPr>
        <w:t>87.25 ק"ג</w:t>
      </w:r>
      <w:r w:rsidRPr="00AC6FAC">
        <w:rPr>
          <w:rtl/>
        </w:rPr>
        <w:t xml:space="preserve">. נקבע </w:t>
      </w:r>
      <w:r w:rsidRPr="00AC6FAC">
        <w:rPr>
          <w:b/>
          <w:bCs/>
          <w:rtl/>
        </w:rPr>
        <w:t>מתחם שבין 28 ל- 48 חודשי מאסר בפועל</w:t>
      </w:r>
      <w:r w:rsidRPr="00AC6FAC">
        <w:rPr>
          <w:rtl/>
        </w:rPr>
        <w:t xml:space="preserve">. מאסר ראשון של הנאשם. הנאשם נדון ל- </w:t>
      </w:r>
      <w:r w:rsidRPr="00AC6FAC">
        <w:rPr>
          <w:b/>
          <w:bCs/>
          <w:rtl/>
        </w:rPr>
        <w:t>36 חודשי מאסר בפועל</w:t>
      </w:r>
      <w:r w:rsidRPr="00AC6FAC">
        <w:rPr>
          <w:rtl/>
        </w:rPr>
        <w:t xml:space="preserve">, מאסר על תנאי, וקנס בסך 40,000 ₪. </w:t>
      </w:r>
    </w:p>
    <w:p w14:paraId="5FCB889D"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ב</w:t>
      </w:r>
      <w:hyperlink r:id="rId28" w:history="1">
        <w:r w:rsidR="00973321" w:rsidRPr="00973321">
          <w:rPr>
            <w:color w:val="0000FF"/>
            <w:u w:val="single"/>
            <w:rtl/>
          </w:rPr>
          <w:t>ע"פ 863/18</w:t>
        </w:r>
      </w:hyperlink>
      <w:r w:rsidRPr="00AC6FAC">
        <w:rPr>
          <w:rtl/>
        </w:rPr>
        <w:t xml:space="preserve"> </w:t>
      </w:r>
      <w:r w:rsidRPr="00AC6FAC">
        <w:rPr>
          <w:b/>
          <w:bCs/>
          <w:rtl/>
        </w:rPr>
        <w:t>לירן סבן נ' מדינת ישראל</w:t>
      </w:r>
      <w:r w:rsidRPr="00AC6FAC">
        <w:rPr>
          <w:rtl/>
        </w:rPr>
        <w:t xml:space="preserve"> </w:t>
      </w:r>
      <w:r w:rsidR="00B42346" w:rsidRPr="00B42346">
        <w:rPr>
          <w:sz w:val="22"/>
          <w:rtl/>
        </w:rPr>
        <w:t xml:space="preserve">[פורסם בנבו] </w:t>
      </w:r>
      <w:r w:rsidRPr="00AC6FAC">
        <w:rPr>
          <w:rtl/>
        </w:rPr>
        <w:t>(15.11.18) וב</w:t>
      </w:r>
      <w:hyperlink r:id="rId29" w:history="1">
        <w:r w:rsidR="00973321" w:rsidRPr="00973321">
          <w:rPr>
            <w:color w:val="0000FF"/>
            <w:u w:val="single"/>
            <w:rtl/>
          </w:rPr>
          <w:t>ע"פ 861/18</w:t>
        </w:r>
      </w:hyperlink>
      <w:r w:rsidRPr="00AC6FAC">
        <w:rPr>
          <w:rtl/>
        </w:rPr>
        <w:t xml:space="preserve"> </w:t>
      </w:r>
      <w:r w:rsidRPr="00AC6FAC">
        <w:rPr>
          <w:b/>
          <w:bCs/>
          <w:rtl/>
        </w:rPr>
        <w:t>משה סבן</w:t>
      </w:r>
      <w:r w:rsidRPr="00AC6FAC">
        <w:rPr>
          <w:rtl/>
        </w:rPr>
        <w:t xml:space="preserve"> </w:t>
      </w:r>
      <w:r w:rsidR="00B42346" w:rsidRPr="00B42346">
        <w:rPr>
          <w:sz w:val="22"/>
          <w:rtl/>
        </w:rPr>
        <w:t xml:space="preserve">[פורסם בנבו] </w:t>
      </w:r>
      <w:r w:rsidRPr="00AC6FAC">
        <w:rPr>
          <w:rtl/>
        </w:rPr>
        <w:t>(2.4.19) הקל בית המשפט העליון בעונשם של שני נאשמים אשר הורשעו ב</w:t>
      </w:r>
      <w:hyperlink r:id="rId30" w:history="1">
        <w:r w:rsidR="00973321" w:rsidRPr="00973321">
          <w:rPr>
            <w:color w:val="0000FF"/>
            <w:u w:val="single"/>
            <w:rtl/>
          </w:rPr>
          <w:t>ת"פ (מח' מרכז לוד) 8867-02-15</w:t>
        </w:r>
      </w:hyperlink>
      <w:r w:rsidRPr="00AC6FAC">
        <w:rPr>
          <w:rtl/>
        </w:rPr>
        <w:t xml:space="preserve"> </w:t>
      </w:r>
      <w:r w:rsidRPr="00AC6FAC">
        <w:rPr>
          <w:b/>
          <w:bCs/>
          <w:rtl/>
        </w:rPr>
        <w:t>מדינת ישראל נ' סבן</w:t>
      </w:r>
      <w:r w:rsidRPr="00AC6FAC">
        <w:rPr>
          <w:rtl/>
        </w:rPr>
        <w:t xml:space="preserve"> </w:t>
      </w:r>
      <w:r w:rsidR="00B42346" w:rsidRPr="00B42346">
        <w:rPr>
          <w:sz w:val="22"/>
          <w:rtl/>
        </w:rPr>
        <w:t xml:space="preserve">[פורסם בנבו] </w:t>
      </w:r>
      <w:r w:rsidRPr="00AC6FAC">
        <w:rPr>
          <w:rtl/>
        </w:rPr>
        <w:t xml:space="preserve">(11.1.18), על פי הודאתם בעבירות של הכנה והפקת סמים, החזקת סמים שלא לצריכה עצמית וקשירת קשר לפשע. הנאשמים הקימו מעבדה לגידול סמים בדירה ששכרו לשם כך, ובה גידלו </w:t>
      </w:r>
      <w:r w:rsidRPr="00AC6FAC">
        <w:rPr>
          <w:b/>
          <w:bCs/>
          <w:rtl/>
        </w:rPr>
        <w:t>92 ק"ג</w:t>
      </w:r>
      <w:r w:rsidRPr="00AC6FAC">
        <w:rPr>
          <w:rtl/>
        </w:rPr>
        <w:t xml:space="preserve"> סם מסוג קנאביס (283 שתילים). הוסכם כי חלקו של הנאשם 2 היה פחות מחלקו של הנאשם 1. בית המשפט המחוזי קבע </w:t>
      </w:r>
      <w:r w:rsidRPr="00AC6FAC">
        <w:rPr>
          <w:b/>
          <w:bCs/>
          <w:rtl/>
        </w:rPr>
        <w:t>מתחם עונש לנאשם 1 הנע בין 28 ל- 52 חודשי מאסר בפועל</w:t>
      </w:r>
      <w:r w:rsidRPr="00AC6FAC">
        <w:rPr>
          <w:rtl/>
        </w:rPr>
        <w:t xml:space="preserve"> ולנאשם 2 מתחם הנע בין 20 ל- 42 חודשי מאסר בפועל. בית המשפט העליון הקל בעונשו של הנאשם 1 לעונש של </w:t>
      </w:r>
      <w:r w:rsidRPr="00AC6FAC">
        <w:rPr>
          <w:b/>
          <w:bCs/>
          <w:rtl/>
        </w:rPr>
        <w:t>36 חודשי מאסר בפועל</w:t>
      </w:r>
      <w:r w:rsidRPr="00AC6FAC">
        <w:rPr>
          <w:rtl/>
        </w:rPr>
        <w:t xml:space="preserve"> (כולל הפעלת מאסר על תנאי של 12 חודשים) ולגבי נאשם 2 הקל בית המשפט העליון בעונשו משיקולי שיקום, לעונש של </w:t>
      </w:r>
      <w:r w:rsidRPr="00AC6FAC">
        <w:rPr>
          <w:b/>
          <w:bCs/>
          <w:rtl/>
        </w:rPr>
        <w:t>9 חודשי עבודות שירות</w:t>
      </w:r>
      <w:r w:rsidRPr="00AC6FAC">
        <w:rPr>
          <w:rtl/>
        </w:rPr>
        <w:t xml:space="preserve"> (חלף 24 חודשי מאסר בפועל). </w:t>
      </w:r>
    </w:p>
    <w:p w14:paraId="1E44E3A0"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ב</w:t>
      </w:r>
      <w:hyperlink r:id="rId31" w:history="1">
        <w:r w:rsidR="00973321" w:rsidRPr="00973321">
          <w:rPr>
            <w:color w:val="0000FF"/>
            <w:u w:val="single"/>
            <w:rtl/>
          </w:rPr>
          <w:t>ע"פ 5807/17</w:t>
        </w:r>
      </w:hyperlink>
      <w:r w:rsidRPr="00AC6FAC">
        <w:rPr>
          <w:rtl/>
        </w:rPr>
        <w:t xml:space="preserve"> </w:t>
      </w:r>
      <w:r w:rsidRPr="00AC6FAC">
        <w:rPr>
          <w:b/>
          <w:bCs/>
          <w:rtl/>
        </w:rPr>
        <w:t>דרחי נ' מדינת ישראל</w:t>
      </w:r>
      <w:r w:rsidRPr="00AC6FAC">
        <w:rPr>
          <w:rtl/>
        </w:rPr>
        <w:t xml:space="preserve"> </w:t>
      </w:r>
      <w:r w:rsidR="00B42346" w:rsidRPr="00B42346">
        <w:rPr>
          <w:sz w:val="22"/>
          <w:rtl/>
        </w:rPr>
        <w:t xml:space="preserve">[פורסם בנבו] </w:t>
      </w:r>
      <w:r w:rsidRPr="00AC6FAC">
        <w:rPr>
          <w:rtl/>
        </w:rPr>
        <w:t xml:space="preserve">(18.6.18), נדחה ערעורו של נאשם אשר הורשע על פי הודאתו בעבירות של גידול סם מסוכן והחזקת סם שלא לצריכה עצמית. הנאשם הקים מעבדה לגידול סם מסוג קנאביס במספר חדרים בדירה בחזקתו. המעבדה הכילה ציוד טכני רב. בדירה נמצאו סמים מסוג קנאביס במשקל של </w:t>
      </w:r>
      <w:r w:rsidRPr="00AC6FAC">
        <w:rPr>
          <w:b/>
          <w:bCs/>
          <w:rtl/>
        </w:rPr>
        <w:t xml:space="preserve">76.85 </w:t>
      </w:r>
      <w:r w:rsidRPr="00AC6FAC">
        <w:rPr>
          <w:rtl/>
        </w:rPr>
        <w:t xml:space="preserve">ק"ג. בית המשפט המחוזי קבע </w:t>
      </w:r>
      <w:r w:rsidRPr="00AC6FAC">
        <w:rPr>
          <w:b/>
          <w:bCs/>
          <w:rtl/>
        </w:rPr>
        <w:t>מתחם עונש הנע בין 24 ל- 48 חודשי מאסר בפועל</w:t>
      </w:r>
      <w:r w:rsidRPr="00AC6FAC">
        <w:rPr>
          <w:rtl/>
        </w:rPr>
        <w:t xml:space="preserve"> והשית על הנאשם עונש של </w:t>
      </w:r>
      <w:r w:rsidRPr="00AC6FAC">
        <w:rPr>
          <w:b/>
          <w:bCs/>
          <w:rtl/>
        </w:rPr>
        <w:t>30 חודשי מאסר בפועל</w:t>
      </w:r>
      <w:r w:rsidRPr="00AC6FAC">
        <w:rPr>
          <w:rtl/>
        </w:rPr>
        <w:t xml:space="preserve"> תוך שנתן משקל לנסיבותיו האישיות. </w:t>
      </w:r>
    </w:p>
    <w:p w14:paraId="53DD3CE0"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ב</w:t>
      </w:r>
      <w:hyperlink r:id="rId32" w:history="1">
        <w:r w:rsidR="00973321" w:rsidRPr="00973321">
          <w:rPr>
            <w:color w:val="0000FF"/>
            <w:u w:val="single"/>
            <w:rtl/>
          </w:rPr>
          <w:t>ע"פ 5093/17</w:t>
        </w:r>
      </w:hyperlink>
      <w:r w:rsidRPr="00AC6FAC">
        <w:rPr>
          <w:rtl/>
        </w:rPr>
        <w:t xml:space="preserve"> </w:t>
      </w:r>
      <w:r w:rsidRPr="00AC6FAC">
        <w:rPr>
          <w:b/>
          <w:bCs/>
          <w:rtl/>
        </w:rPr>
        <w:t>בקשט נ' מדינת ישראל</w:t>
      </w:r>
      <w:r w:rsidRPr="00AC6FAC">
        <w:rPr>
          <w:rtl/>
        </w:rPr>
        <w:t xml:space="preserve"> </w:t>
      </w:r>
      <w:r w:rsidR="00B42346" w:rsidRPr="00B42346">
        <w:rPr>
          <w:sz w:val="22"/>
          <w:rtl/>
        </w:rPr>
        <w:t xml:space="preserve">[פורסם בנבו] </w:t>
      </w:r>
      <w:r w:rsidRPr="00AC6FAC">
        <w:rPr>
          <w:rtl/>
        </w:rPr>
        <w:t>(1.1.18) הקל בית המשפט העליון בעונשם של שני נאשמים אשר הורשעו על פי הודאתם בעבירות של ייצור והכנת סמים וקשירת קשר. הנאשמים הקימו מעבדה לגידול סם מסוג קנבוס, כולל שכירת מבנה וציוד רב. נתפסו שתילים במשקל כולל של</w:t>
      </w:r>
      <w:r w:rsidRPr="00AC6FAC">
        <w:rPr>
          <w:b/>
          <w:bCs/>
          <w:rtl/>
        </w:rPr>
        <w:t xml:space="preserve"> 131 ק"ג</w:t>
      </w:r>
      <w:r w:rsidRPr="00AC6FAC">
        <w:rPr>
          <w:rtl/>
        </w:rPr>
        <w:t xml:space="preserve">. נאשמים ללא עבר פלילי. בית המשפט המחוזי קבע מתחם שנע בין 30 ל- 48 חודשים. בית המשפט העליון הקל בעונשם לעונשים של </w:t>
      </w:r>
      <w:r w:rsidRPr="00AC6FAC">
        <w:rPr>
          <w:b/>
          <w:bCs/>
          <w:rtl/>
        </w:rPr>
        <w:t>28 חודשים</w:t>
      </w:r>
      <w:r w:rsidRPr="00AC6FAC">
        <w:rPr>
          <w:rtl/>
        </w:rPr>
        <w:t xml:space="preserve"> (חלף 34 חודשים) ו-</w:t>
      </w:r>
      <w:r w:rsidRPr="00AC6FAC">
        <w:rPr>
          <w:b/>
          <w:bCs/>
          <w:rtl/>
        </w:rPr>
        <w:t xml:space="preserve"> 24 חודשים</w:t>
      </w:r>
      <w:r w:rsidRPr="00AC6FAC">
        <w:rPr>
          <w:rtl/>
        </w:rPr>
        <w:t xml:space="preserve"> (חלף 30 חודשים). </w:t>
      </w:r>
    </w:p>
    <w:p w14:paraId="69754FB7"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ב</w:t>
      </w:r>
      <w:hyperlink r:id="rId33" w:history="1">
        <w:r w:rsidR="00973321" w:rsidRPr="00973321">
          <w:rPr>
            <w:color w:val="0000FF"/>
            <w:u w:val="single"/>
            <w:rtl/>
          </w:rPr>
          <w:t>ע"פ 4285/17</w:t>
        </w:r>
      </w:hyperlink>
      <w:r w:rsidRPr="00AC6FAC">
        <w:rPr>
          <w:rtl/>
        </w:rPr>
        <w:t xml:space="preserve"> </w:t>
      </w:r>
      <w:r w:rsidRPr="00AC6FAC">
        <w:rPr>
          <w:b/>
          <w:bCs/>
          <w:rtl/>
        </w:rPr>
        <w:t>יצחקי נ' מדינת ישראל</w:t>
      </w:r>
      <w:r w:rsidRPr="00AC6FAC">
        <w:rPr>
          <w:rtl/>
        </w:rPr>
        <w:t xml:space="preserve"> </w:t>
      </w:r>
      <w:r w:rsidR="00B42346" w:rsidRPr="00B42346">
        <w:rPr>
          <w:sz w:val="22"/>
          <w:rtl/>
        </w:rPr>
        <w:t xml:space="preserve">[פורסם בנבו] </w:t>
      </w:r>
      <w:r w:rsidRPr="00AC6FAC">
        <w:rPr>
          <w:rtl/>
        </w:rPr>
        <w:t>(11.6.18) קיבל בית המשפט העליון את ערעורה של נאשמת אשר הורשעה בגידול של מעבדת סמים מסוג קנבוס, בבית ששכרה לשם כך. במקום נמצאו 1,000 שתילים, ונתפס סם בכמות של</w:t>
      </w:r>
      <w:r w:rsidRPr="00AC6FAC">
        <w:rPr>
          <w:b/>
          <w:bCs/>
          <w:rtl/>
        </w:rPr>
        <w:t xml:space="preserve"> 100 ק"ג</w:t>
      </w:r>
      <w:r w:rsidRPr="00AC6FAC">
        <w:rPr>
          <w:rtl/>
        </w:rPr>
        <w:t xml:space="preserve">. בית המשפט המחוזי קבע </w:t>
      </w:r>
      <w:r w:rsidRPr="00AC6FAC">
        <w:rPr>
          <w:b/>
          <w:bCs/>
          <w:rtl/>
        </w:rPr>
        <w:t>מתחם שבין 24 ל- 48 חודשי מאסר בפועל</w:t>
      </w:r>
      <w:r w:rsidRPr="00AC6FAC">
        <w:rPr>
          <w:rtl/>
        </w:rPr>
        <w:t>, וגזר על הנאשמת, משיקולי שיקום, 12 חודשי מאסר בפועל. נאשמת ללא עבר פלילי. בית המשפט העליון הקל בעונשה ל-</w:t>
      </w:r>
      <w:r w:rsidRPr="00AC6FAC">
        <w:rPr>
          <w:b/>
          <w:bCs/>
          <w:rtl/>
        </w:rPr>
        <w:t xml:space="preserve"> 6 חודשי עבודות שירות</w:t>
      </w:r>
      <w:r w:rsidRPr="00AC6FAC">
        <w:rPr>
          <w:rtl/>
        </w:rPr>
        <w:t>.</w:t>
      </w:r>
    </w:p>
    <w:p w14:paraId="5480005D"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ב</w:t>
      </w:r>
      <w:hyperlink r:id="rId34" w:history="1">
        <w:r w:rsidR="00973321" w:rsidRPr="00973321">
          <w:rPr>
            <w:color w:val="0000FF"/>
            <w:u w:val="single"/>
            <w:rtl/>
          </w:rPr>
          <w:t>ת"פ (מח' מרכז-לוד) 46662-04-15</w:t>
        </w:r>
      </w:hyperlink>
      <w:r w:rsidRPr="00AC6FAC">
        <w:rPr>
          <w:rtl/>
        </w:rPr>
        <w:t xml:space="preserve"> </w:t>
      </w:r>
      <w:r w:rsidRPr="00AC6FAC">
        <w:rPr>
          <w:b/>
          <w:bCs/>
          <w:rtl/>
        </w:rPr>
        <w:t>מדינת ישראל נ' סגל</w:t>
      </w:r>
      <w:r w:rsidRPr="00AC6FAC">
        <w:rPr>
          <w:rtl/>
        </w:rPr>
        <w:t xml:space="preserve"> </w:t>
      </w:r>
      <w:r w:rsidR="00B42346" w:rsidRPr="00B42346">
        <w:rPr>
          <w:sz w:val="22"/>
          <w:rtl/>
        </w:rPr>
        <w:t xml:space="preserve">[פורסם בנבו] </w:t>
      </w:r>
      <w:r w:rsidRPr="00AC6FAC">
        <w:rPr>
          <w:rtl/>
        </w:rPr>
        <w:t xml:space="preserve">(3.2.16), הורשע נאשם על פי הודאתו בעבירות של ייצור סם מסוכן והחזקת סם מסוכן שלא לצריכה עצמית. הנאשם שכר דירה והקים בה מעבדת הידרו לגידול סם מסוג קנאביס ולשם כך צייד את הדירה בציוד רלוונטי. בדירה נמצאו צמחי קנאביס רבים במשקל של </w:t>
      </w:r>
      <w:r w:rsidRPr="00AC6FAC">
        <w:rPr>
          <w:b/>
          <w:bCs/>
          <w:rtl/>
        </w:rPr>
        <w:t xml:space="preserve">78.8 </w:t>
      </w:r>
      <w:r w:rsidRPr="00AC6FAC">
        <w:rPr>
          <w:rtl/>
        </w:rPr>
        <w:t xml:space="preserve">ק"ג. בית המשפט קבע </w:t>
      </w:r>
      <w:r w:rsidRPr="00AC6FAC">
        <w:rPr>
          <w:b/>
          <w:bCs/>
          <w:rtl/>
        </w:rPr>
        <w:t>מתחם עונש הנע בין 24 ל- 48 חודשי מאסר בפועל</w:t>
      </w:r>
      <w:r w:rsidRPr="00AC6FAC">
        <w:rPr>
          <w:rtl/>
        </w:rPr>
        <w:t xml:space="preserve"> והשית על הנאשם – עצור וללא עבר פלילי, עונש של </w:t>
      </w:r>
      <w:r w:rsidRPr="00AC6FAC">
        <w:rPr>
          <w:b/>
          <w:bCs/>
          <w:rtl/>
        </w:rPr>
        <w:t>30 חודשי מאסר בפועל</w:t>
      </w:r>
      <w:r w:rsidRPr="00AC6FAC">
        <w:rPr>
          <w:rtl/>
        </w:rPr>
        <w:t xml:space="preserve"> לצד ענישה נלווית. </w:t>
      </w:r>
    </w:p>
    <w:p w14:paraId="4D9AC44E"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ב</w:t>
      </w:r>
      <w:hyperlink r:id="rId35" w:history="1">
        <w:r w:rsidR="00973321" w:rsidRPr="00973321">
          <w:rPr>
            <w:color w:val="0000FF"/>
            <w:u w:val="single"/>
            <w:rtl/>
          </w:rPr>
          <w:t>ת"פ (מח' מרכז-לוד) 17677-04-17</w:t>
        </w:r>
      </w:hyperlink>
      <w:r w:rsidRPr="00AC6FAC">
        <w:rPr>
          <w:rtl/>
        </w:rPr>
        <w:t xml:space="preserve"> </w:t>
      </w:r>
      <w:r w:rsidRPr="00AC6FAC">
        <w:rPr>
          <w:b/>
          <w:bCs/>
          <w:rtl/>
        </w:rPr>
        <w:t>מדינת ישראל נ' דוכן</w:t>
      </w:r>
      <w:r w:rsidRPr="00AC6FAC">
        <w:rPr>
          <w:rtl/>
        </w:rPr>
        <w:t xml:space="preserve"> </w:t>
      </w:r>
      <w:r w:rsidR="00B42346" w:rsidRPr="00B42346">
        <w:rPr>
          <w:sz w:val="22"/>
          <w:rtl/>
        </w:rPr>
        <w:t xml:space="preserve">[פורסם בנבו] </w:t>
      </w:r>
      <w:r w:rsidRPr="00AC6FAC">
        <w:rPr>
          <w:rtl/>
        </w:rPr>
        <w:t xml:space="preserve">(2.11.17), הורשע נאשם על פי הודאתו בעבירות של ייצור סם מסוכן וגניבת חשמל. הנאשם שכר בית והקים בו מעבדה לגידול סם מסוג קנאביס. לצורך כך רכש ציוד רב. הנאשם החזיק בשתילי סם במשקל של </w:t>
      </w:r>
      <w:r w:rsidRPr="00AC6FAC">
        <w:rPr>
          <w:b/>
          <w:bCs/>
          <w:rtl/>
        </w:rPr>
        <w:t>72.8 ק"ג</w:t>
      </w:r>
      <w:r w:rsidRPr="00AC6FAC">
        <w:rPr>
          <w:rtl/>
        </w:rPr>
        <w:t xml:space="preserve"> וגנב חשמל בשווי של מעל ל 18,000 ₪. לחובת הנאשם עבר פלילי קודם רלוונטי. בית המשפט קבע </w:t>
      </w:r>
      <w:r w:rsidRPr="00AC6FAC">
        <w:rPr>
          <w:b/>
          <w:bCs/>
          <w:rtl/>
        </w:rPr>
        <w:t>מתחם עונש הנע בין 22 ל- 46 חודשי מאסר בפועל</w:t>
      </w:r>
      <w:r w:rsidRPr="00AC6FAC">
        <w:rPr>
          <w:rtl/>
        </w:rPr>
        <w:t xml:space="preserve"> והשית על הנאשם עונש של </w:t>
      </w:r>
      <w:r w:rsidRPr="00AC6FAC">
        <w:rPr>
          <w:b/>
          <w:bCs/>
          <w:rtl/>
        </w:rPr>
        <w:t>27 חודשי מאסר בפועל</w:t>
      </w:r>
      <w:r w:rsidRPr="00AC6FAC">
        <w:rPr>
          <w:rtl/>
        </w:rPr>
        <w:t xml:space="preserve"> לצד ענישה נלווית. </w:t>
      </w:r>
    </w:p>
    <w:p w14:paraId="4569B9FB"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ב</w:t>
      </w:r>
      <w:hyperlink r:id="rId36" w:history="1">
        <w:r w:rsidR="00973321" w:rsidRPr="00973321">
          <w:rPr>
            <w:color w:val="0000FF"/>
            <w:u w:val="single"/>
            <w:rtl/>
          </w:rPr>
          <w:t>ת"פ (מח' מרכז-לוד) 69569-11-17</w:t>
        </w:r>
      </w:hyperlink>
      <w:r w:rsidRPr="00AC6FAC">
        <w:rPr>
          <w:rtl/>
        </w:rPr>
        <w:t xml:space="preserve"> </w:t>
      </w:r>
      <w:r w:rsidRPr="00AC6FAC">
        <w:rPr>
          <w:b/>
          <w:bCs/>
          <w:rtl/>
        </w:rPr>
        <w:t>מדינת ישראל נ' זרחי</w:t>
      </w:r>
      <w:r w:rsidRPr="00AC6FAC">
        <w:rPr>
          <w:rtl/>
        </w:rPr>
        <w:t xml:space="preserve"> </w:t>
      </w:r>
      <w:r w:rsidR="00B42346" w:rsidRPr="00B42346">
        <w:rPr>
          <w:sz w:val="22"/>
          <w:rtl/>
        </w:rPr>
        <w:t xml:space="preserve">[פורסם בנבו] </w:t>
      </w:r>
      <w:r w:rsidRPr="00AC6FAC">
        <w:rPr>
          <w:rtl/>
        </w:rPr>
        <w:t xml:space="preserve">(29.11.18), הורשע נאשם על פי הודאתו בעבירות של ייצור סם וגניבת חשמל. הנאשם שכר דירה והקים בה מעבדה לגידול סם מסוג קנאביס. לשם כך רכש ציוד רב ושתילי קנאביס. לשם הפעלת המעבדה חיבר את הבית לרשת החשמל באופן לא מוסדר. בבית נמצא סם מסוג קנאביס במשקל של </w:t>
      </w:r>
      <w:r w:rsidRPr="00AC6FAC">
        <w:rPr>
          <w:b/>
          <w:bCs/>
          <w:rtl/>
        </w:rPr>
        <w:t xml:space="preserve">86.9 </w:t>
      </w:r>
      <w:r w:rsidRPr="00AC6FAC">
        <w:rPr>
          <w:rtl/>
        </w:rPr>
        <w:t xml:space="preserve">ק"ג ושווי גניבת החשמל עמד על עשרות אלפי ₪. בית המשפט קבע </w:t>
      </w:r>
      <w:r w:rsidRPr="00AC6FAC">
        <w:rPr>
          <w:b/>
          <w:bCs/>
          <w:rtl/>
        </w:rPr>
        <w:t>מתחם עונש הנע בין 24 ל- 48 חודשי מאסר בפועל</w:t>
      </w:r>
      <w:r w:rsidRPr="00AC6FAC">
        <w:rPr>
          <w:rtl/>
        </w:rPr>
        <w:t xml:space="preserve"> והשית על הנאשם- צעיר ללא עבר פלילי, עונש של </w:t>
      </w:r>
      <w:r w:rsidRPr="00AC6FAC">
        <w:rPr>
          <w:b/>
          <w:bCs/>
          <w:rtl/>
        </w:rPr>
        <w:t>25 חודשי מאסר בפועל</w:t>
      </w:r>
      <w:r w:rsidRPr="00AC6FAC">
        <w:rPr>
          <w:rtl/>
        </w:rPr>
        <w:t xml:space="preserve"> לצד ענישה נלווית. </w:t>
      </w:r>
    </w:p>
    <w:p w14:paraId="04109D44"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 xml:space="preserve">בת"פ (מח' מרכז-לוד) </w:t>
      </w:r>
      <w:r w:rsidRPr="00AC6FAC">
        <w:rPr>
          <w:b/>
          <w:bCs/>
          <w:rtl/>
        </w:rPr>
        <w:t>מדינת ישראל נ' ברבי</w:t>
      </w:r>
      <w:r w:rsidRPr="00AC6FAC">
        <w:rPr>
          <w:rtl/>
        </w:rPr>
        <w:t xml:space="preserve"> (28.5.19) הורשע הנאשם 2 על פי הודאתו בעבירה של ייצור סמים וגניבת חשמל. הנאשם שכר בית והקים מעבדה לגידול סמים ובה נתפסו</w:t>
      </w:r>
      <w:r w:rsidRPr="00AC6FAC">
        <w:rPr>
          <w:b/>
          <w:bCs/>
          <w:rtl/>
        </w:rPr>
        <w:t xml:space="preserve"> 334 שתילי קנביס במשקל נטו של 73.6 ק"ג.</w:t>
      </w:r>
      <w:r w:rsidRPr="00AC6FAC">
        <w:rPr>
          <w:rtl/>
        </w:rPr>
        <w:t xml:space="preserve"> נאשם ללא עבר פלילי עם המלצה חיובית של שירות המבחן. בית המשפט קבע </w:t>
      </w:r>
      <w:r w:rsidRPr="00AC6FAC">
        <w:rPr>
          <w:b/>
          <w:bCs/>
          <w:rtl/>
        </w:rPr>
        <w:t xml:space="preserve">מתחם שבין 20 ל- 46 חודשי מאסר בפועל, </w:t>
      </w:r>
      <w:r w:rsidRPr="00AC6FAC">
        <w:rPr>
          <w:rtl/>
        </w:rPr>
        <w:t xml:space="preserve">והשית על הנאשם </w:t>
      </w:r>
      <w:r w:rsidRPr="00AC6FAC">
        <w:rPr>
          <w:b/>
          <w:bCs/>
          <w:rtl/>
        </w:rPr>
        <w:t>20 חודשי מאסר בפועל</w:t>
      </w:r>
      <w:r w:rsidRPr="00AC6FAC">
        <w:rPr>
          <w:rtl/>
        </w:rPr>
        <w:t xml:space="preserve">. </w:t>
      </w:r>
    </w:p>
    <w:p w14:paraId="0C6DED55" w14:textId="77777777" w:rsidR="00305C80" w:rsidRPr="00AC6FAC" w:rsidRDefault="00305C80" w:rsidP="00305C80">
      <w:pPr>
        <w:numPr>
          <w:ilvl w:val="1"/>
          <w:numId w:val="1"/>
        </w:numPr>
        <w:tabs>
          <w:tab w:val="clear" w:pos="1620"/>
          <w:tab w:val="num" w:pos="1286"/>
        </w:tabs>
        <w:spacing w:after="120" w:line="360" w:lineRule="auto"/>
        <w:ind w:left="1286" w:hanging="540"/>
        <w:jc w:val="both"/>
      </w:pPr>
      <w:r w:rsidRPr="00AC6FAC">
        <w:rPr>
          <w:rtl/>
        </w:rPr>
        <w:t>ב</w:t>
      </w:r>
      <w:hyperlink r:id="rId37" w:history="1">
        <w:r w:rsidR="00973321" w:rsidRPr="00973321">
          <w:rPr>
            <w:color w:val="0000FF"/>
            <w:u w:val="single"/>
            <w:rtl/>
          </w:rPr>
          <w:t>ת"פ (מח' ב"ש) 37903-03-15</w:t>
        </w:r>
      </w:hyperlink>
      <w:r w:rsidRPr="00AC6FAC">
        <w:rPr>
          <w:b/>
          <w:bCs/>
          <w:rtl/>
        </w:rPr>
        <w:t xml:space="preserve"> מדינת ישראל נ' מאירוב</w:t>
      </w:r>
      <w:r w:rsidRPr="00AC6FAC">
        <w:rPr>
          <w:rtl/>
        </w:rPr>
        <w:t xml:space="preserve"> </w:t>
      </w:r>
      <w:r w:rsidR="00B42346" w:rsidRPr="00B42346">
        <w:rPr>
          <w:sz w:val="22"/>
          <w:rtl/>
        </w:rPr>
        <w:t xml:space="preserve">[פורסם בנבו] </w:t>
      </w:r>
      <w:r w:rsidRPr="00AC6FAC">
        <w:rPr>
          <w:rtl/>
        </w:rPr>
        <w:t xml:space="preserve">(9.11.15), הורשע הנאשם בהתאם להודאתו במסגרת הסדר טיעון, בעבירות של הפקת סם מסוכן ועבירה של נטילת חשמל. הנאשם הקים מעבדה לגידול סם מסוג קנאביס בדירה ששכר ובדירה שהחזיק, שכללה ציוד נלווה ולצורך כך גנב חשמל. נמצאו סמים במשקל כולל של </w:t>
      </w:r>
      <w:r w:rsidRPr="00AC6FAC">
        <w:rPr>
          <w:b/>
          <w:bCs/>
          <w:rtl/>
        </w:rPr>
        <w:t>60 ק"ג</w:t>
      </w:r>
      <w:r w:rsidRPr="00AC6FAC">
        <w:rPr>
          <w:rtl/>
        </w:rPr>
        <w:t xml:space="preserve">. בית המשפט קבע </w:t>
      </w:r>
      <w:r w:rsidRPr="00AC6FAC">
        <w:rPr>
          <w:b/>
          <w:bCs/>
          <w:rtl/>
        </w:rPr>
        <w:t>מתחם עונש הנע בין 18 ל- 30 חודשי מאסר בפועל</w:t>
      </w:r>
      <w:r w:rsidRPr="00AC6FAC">
        <w:rPr>
          <w:rtl/>
        </w:rPr>
        <w:t xml:space="preserve"> וגזר על הנאשם עונש של </w:t>
      </w:r>
      <w:r w:rsidRPr="00AC6FAC">
        <w:rPr>
          <w:b/>
          <w:bCs/>
          <w:rtl/>
        </w:rPr>
        <w:t>20 חודשי מאסר בפועל</w:t>
      </w:r>
      <w:r w:rsidRPr="00AC6FAC">
        <w:rPr>
          <w:rtl/>
        </w:rPr>
        <w:t xml:space="preserve"> תוך שהתייחס לעברו הנקי, היות הנאשם נשוי ואב לילדים קטנים ולהמלצת שירות המבחן. </w:t>
      </w:r>
    </w:p>
    <w:p w14:paraId="70368F1F"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בהתאם לתיקון 113 ל</w:t>
      </w:r>
      <w:hyperlink r:id="rId38" w:history="1">
        <w:r w:rsidR="00973321" w:rsidRPr="00973321">
          <w:rPr>
            <w:rFonts w:ascii="David" w:hAnsi="David"/>
            <w:color w:val="0000FF"/>
            <w:u w:val="single"/>
            <w:rtl/>
          </w:rPr>
          <w:t>חוק העונשין</w:t>
        </w:r>
      </w:hyperlink>
      <w:r w:rsidRPr="00AC6FAC">
        <w:rPr>
          <w:rFonts w:ascii="David" w:hAnsi="David"/>
          <w:color w:val="000000"/>
          <w:rtl/>
        </w:rPr>
        <w:t xml:space="preserve"> (סעיף </w:t>
      </w:r>
      <w:hyperlink r:id="rId39" w:history="1">
        <w:r w:rsidR="00E11605" w:rsidRPr="00E11605">
          <w:rPr>
            <w:rFonts w:ascii="David" w:hAnsi="David"/>
            <w:color w:val="0000FF"/>
            <w:u w:val="single"/>
            <w:rtl/>
          </w:rPr>
          <w:t>40 יג'</w:t>
        </w:r>
      </w:hyperlink>
      <w:r w:rsidRPr="00AC6FAC">
        <w:rPr>
          <w:rFonts w:ascii="David" w:hAnsi="David"/>
          <w:color w:val="000000"/>
          <w:rtl/>
        </w:rPr>
        <w:t xml:space="preserve">), אני קובע כי </w:t>
      </w:r>
      <w:r w:rsidRPr="00AC6FAC">
        <w:rPr>
          <w:rFonts w:ascii="David" w:hAnsi="David"/>
          <w:b/>
          <w:bCs/>
          <w:color w:val="000000"/>
          <w:rtl/>
        </w:rPr>
        <w:t>מתחם העונש ההולם</w:t>
      </w:r>
      <w:r w:rsidRPr="00AC6FAC">
        <w:rPr>
          <w:rFonts w:ascii="David" w:hAnsi="David"/>
          <w:color w:val="000000"/>
          <w:rtl/>
        </w:rPr>
        <w:t xml:space="preserve"> הוא </w:t>
      </w:r>
      <w:r w:rsidRPr="00AC6FAC">
        <w:rPr>
          <w:rFonts w:ascii="David" w:hAnsi="David"/>
          <w:b/>
          <w:bCs/>
          <w:color w:val="000000"/>
          <w:rtl/>
        </w:rPr>
        <w:t>החל מ-22 ועד ל-46 חודשי מאסר בפועל</w:t>
      </w:r>
      <w:r w:rsidRPr="00AC6FAC">
        <w:rPr>
          <w:rFonts w:ascii="David" w:hAnsi="David"/>
          <w:color w:val="000000"/>
          <w:rtl/>
        </w:rPr>
        <w:t xml:space="preserve">. </w:t>
      </w:r>
    </w:p>
    <w:p w14:paraId="781D8FC5"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color w:val="000000"/>
          <w:rtl/>
        </w:rPr>
        <w:t xml:space="preserve">במקרה דנן, לא קיימים שיקולים אשר מצדיקים חריגה מהמתחם, לחומרה או לקולה. </w:t>
      </w:r>
    </w:p>
    <w:p w14:paraId="21216DFB" w14:textId="77777777" w:rsidR="00305C80" w:rsidRPr="00AC6FAC" w:rsidRDefault="00305C80" w:rsidP="00305C80">
      <w:pPr>
        <w:spacing w:after="120" w:line="360" w:lineRule="auto"/>
        <w:jc w:val="both"/>
        <w:rPr>
          <w:bCs/>
          <w:u w:val="single"/>
          <w:lang w:eastAsia="he-IL"/>
        </w:rPr>
      </w:pPr>
      <w:r w:rsidRPr="00AC6FAC">
        <w:rPr>
          <w:bCs/>
          <w:u w:val="single"/>
          <w:rtl/>
          <w:lang w:eastAsia="he-IL"/>
        </w:rPr>
        <w:t>גזירת העונש המתאים לנאשם</w:t>
      </w:r>
    </w:p>
    <w:p w14:paraId="1A8501F0" w14:textId="77777777" w:rsidR="00305C80" w:rsidRPr="00AC6FAC" w:rsidRDefault="00305C80" w:rsidP="00305C80">
      <w:pPr>
        <w:numPr>
          <w:ilvl w:val="0"/>
          <w:numId w:val="1"/>
        </w:numPr>
        <w:spacing w:after="120" w:line="360" w:lineRule="auto"/>
        <w:jc w:val="both"/>
        <w:rPr>
          <w:b/>
          <w:bCs/>
          <w:color w:val="000000"/>
        </w:rPr>
      </w:pPr>
      <w:r w:rsidRPr="00AC6FAC">
        <w:rPr>
          <w:rFonts w:ascii="David" w:hAnsi="David"/>
          <w:color w:val="000000"/>
          <w:rtl/>
        </w:rPr>
        <w:t xml:space="preserve">בגזירת העונש המתאים לנאשם, בגדרי מתחם העונש ההולם, יש להתחשב </w:t>
      </w:r>
      <w:r w:rsidRPr="00AC6FAC">
        <w:rPr>
          <w:rFonts w:ascii="David" w:hAnsi="David"/>
          <w:b/>
          <w:bCs/>
          <w:color w:val="000000"/>
          <w:rtl/>
        </w:rPr>
        <w:t>בנסיבות שאינן קשורות בביצוע העבירה</w:t>
      </w:r>
      <w:r w:rsidRPr="00AC6FAC">
        <w:rPr>
          <w:rFonts w:ascii="David" w:hAnsi="David"/>
          <w:color w:val="000000"/>
          <w:rtl/>
        </w:rPr>
        <w:t xml:space="preserve"> (סעיף </w:t>
      </w:r>
      <w:hyperlink r:id="rId40" w:history="1">
        <w:r w:rsidR="00E11605" w:rsidRPr="00E11605">
          <w:rPr>
            <w:rFonts w:ascii="David" w:hAnsi="David"/>
            <w:color w:val="0000FF"/>
            <w:u w:val="single"/>
            <w:rtl/>
          </w:rPr>
          <w:t>40 יא'</w:t>
        </w:r>
      </w:hyperlink>
      <w:r w:rsidRPr="00AC6FAC">
        <w:rPr>
          <w:rFonts w:ascii="David" w:hAnsi="David"/>
          <w:color w:val="000000"/>
          <w:rtl/>
        </w:rPr>
        <w:t xml:space="preserve">). במסגרת זו </w:t>
      </w:r>
      <w:r w:rsidRPr="00AC6FAC">
        <w:rPr>
          <w:color w:val="000000"/>
          <w:rtl/>
        </w:rPr>
        <w:t xml:space="preserve">מן הראוי לתת את הדעת להיות הנאשם אדם כבן 41, גרוש ואב לילדים, אשר גדל בסביבה נורמטיבית ובני משפחתו תומכים בו לאורך השנים. הנאשם עצור לראשונה בחייו. מובן כי עונש מאסר ממושך יקשה על הנאשם ועל בני משפחתו ובפרט על ילדיו. הנאשם הודה בכתב האישום ונטל אחריות למעשיו. עם זאת שירות המבחן התרשם כי הנאשם מצמצם מחומרת העבירה בה הורשע ומסבירה על רקע הצורך בהחזר חובותיו ולשלום מזונות ילדיו. הנאשם התמכר להימורים ולאורך השנים התמכרותו להימורים העמיקה והוא ספג הפסדים כבדים שהביאו לחובות כספיים לגורמים שוליים. שירות המבחן התרשם כי הנאשם אינו מכיר באופן מלא בחומרת התמכרותו ובצורך בהשתלבות בטיפול ארוך טווח ואינטנסיבי והוא אף מסרב לכך. שירות המבחן לא בא בהמלצה בעניינו של הנאשם. לטענת בא כוחו, הרקע לסירוב הנאשם להשתלב בהליך טיפולי במסגרת סגורה מחוץ למעצר טמון ברצונו שלא להיות מנותק מילידו למשך תקופה ארוכה. הנאשם מתפקד באופן תקין בבית המעצר ואף שולב בתוכנית הכנה לטיפול בהתמכרויות בבית המעצר והביע נכונות להמשך טיפול במסגרת זו. לנאשם הרשעה קודמת אחת בעבירות מרמה מחודש אפריל 2018 שבגינו נדון למאסר על תנאי ולקנס. </w:t>
      </w:r>
    </w:p>
    <w:p w14:paraId="7BA82029" w14:textId="77777777" w:rsidR="00305C80" w:rsidRPr="00AC6FAC" w:rsidRDefault="00305C80" w:rsidP="00305C80">
      <w:pPr>
        <w:numPr>
          <w:ilvl w:val="0"/>
          <w:numId w:val="1"/>
        </w:numPr>
        <w:spacing w:after="120" w:line="360" w:lineRule="auto"/>
        <w:jc w:val="both"/>
        <w:rPr>
          <w:color w:val="000000"/>
        </w:rPr>
      </w:pPr>
      <w:r w:rsidRPr="00AC6FAC">
        <w:rPr>
          <w:rFonts w:ascii="David" w:hAnsi="David"/>
          <w:color w:val="000000"/>
          <w:rtl/>
        </w:rPr>
        <w:t xml:space="preserve">עוד יש לתת את הדעת לשיקול </w:t>
      </w:r>
      <w:r w:rsidRPr="00AC6FAC">
        <w:rPr>
          <w:rFonts w:ascii="David" w:hAnsi="David"/>
          <w:b/>
          <w:bCs/>
          <w:color w:val="000000"/>
          <w:rtl/>
        </w:rPr>
        <w:t>הרתעת היחיד</w:t>
      </w:r>
      <w:r w:rsidRPr="00AC6FAC">
        <w:rPr>
          <w:rFonts w:ascii="David" w:hAnsi="David"/>
          <w:color w:val="000000"/>
          <w:rtl/>
        </w:rPr>
        <w:t xml:space="preserve"> בגדרו של המתחם, וזאת בשים לב להתרשמות שירות המבחן ביחס לסיכון במצבו של הנאשם סביב עמדתו המתוארת ביחס למצבו ההתמכרותי, לצורך בקבלת טיפול וביחס לעבירה. הנאשם עדיין חייב כסף לגורמים שוליים, ובמצב זה קיים סיכון להישנות ביצוע העבירות.  </w:t>
      </w:r>
    </w:p>
    <w:p w14:paraId="7BE6CC23" w14:textId="77777777" w:rsidR="00305C80" w:rsidRPr="00AC6FAC" w:rsidRDefault="00305C80" w:rsidP="00305C80">
      <w:pPr>
        <w:numPr>
          <w:ilvl w:val="0"/>
          <w:numId w:val="1"/>
        </w:numPr>
        <w:spacing w:after="120" w:line="360" w:lineRule="auto"/>
        <w:jc w:val="both"/>
        <w:rPr>
          <w:color w:val="000000"/>
        </w:rPr>
      </w:pPr>
      <w:r w:rsidRPr="00AC6FAC">
        <w:rPr>
          <w:color w:val="000000"/>
          <w:rtl/>
        </w:rPr>
        <w:t xml:space="preserve">באיזון בין השיקולים השונים, סבורני כי יש לגזור על הנאשם עונש בשליש התחתון של מתחם העונש. כמו כן הואיל ומדובר בעבירה שבוצעה למטרה כלכלית ובמסגרתה אף גנב הנאשם חשמל בהיקף של כ- 37,000 ₪, סבורני כי יש להשית על הנאשם אף קנס כספי משמעותי, תוך התחשבות במצבו הכלכלי ובתקופת המאסר שנגזרת עליו. במקביל יש להורות על חילוט הרכוש שנתפס, ואשר שימש לביצוע העבירה או שהושג כתוצאה מביצוע העבירה. </w:t>
      </w:r>
    </w:p>
    <w:p w14:paraId="603255AC" w14:textId="77777777" w:rsidR="00305C80" w:rsidRPr="00AC6FAC" w:rsidRDefault="00305C80" w:rsidP="00305C80">
      <w:pPr>
        <w:spacing w:after="120" w:line="360" w:lineRule="auto"/>
        <w:jc w:val="both"/>
        <w:rPr>
          <w:b/>
          <w:bCs/>
          <w:u w:val="single"/>
          <w:rtl/>
        </w:rPr>
      </w:pPr>
      <w:r w:rsidRPr="00AC6FAC">
        <w:rPr>
          <w:b/>
          <w:bCs/>
          <w:u w:val="single"/>
          <w:rtl/>
        </w:rPr>
        <w:t>סוף דבר</w:t>
      </w:r>
    </w:p>
    <w:p w14:paraId="060D842D" w14:textId="77777777" w:rsidR="00305C80" w:rsidRPr="00AC6FAC" w:rsidRDefault="00305C80" w:rsidP="00305C80">
      <w:pPr>
        <w:numPr>
          <w:ilvl w:val="0"/>
          <w:numId w:val="1"/>
        </w:numPr>
        <w:spacing w:after="120" w:line="360" w:lineRule="auto"/>
        <w:jc w:val="both"/>
        <w:rPr>
          <w:rFonts w:ascii="David" w:hAnsi="David"/>
          <w:color w:val="000000"/>
        </w:rPr>
      </w:pPr>
      <w:r w:rsidRPr="00AC6FAC">
        <w:rPr>
          <w:rFonts w:ascii="David" w:hAnsi="David"/>
          <w:b/>
          <w:bCs/>
          <w:color w:val="000000"/>
          <w:u w:val="single"/>
          <w:rtl/>
        </w:rPr>
        <w:t>אשר על-כן, הנני גוזר על הנאשם את העונשים הבאים</w:t>
      </w:r>
      <w:r w:rsidRPr="00AC6FAC">
        <w:rPr>
          <w:rFonts w:ascii="David" w:hAnsi="David"/>
          <w:color w:val="000000"/>
          <w:rtl/>
        </w:rPr>
        <w:t>:</w:t>
      </w:r>
    </w:p>
    <w:p w14:paraId="4F9459E9" w14:textId="77777777" w:rsidR="00305C80" w:rsidRPr="00AC6FAC" w:rsidRDefault="00305C80" w:rsidP="00305C80">
      <w:pPr>
        <w:numPr>
          <w:ilvl w:val="1"/>
          <w:numId w:val="1"/>
        </w:numPr>
        <w:tabs>
          <w:tab w:val="clear" w:pos="1620"/>
          <w:tab w:val="num" w:pos="1286"/>
        </w:tabs>
        <w:spacing w:after="120" w:line="360" w:lineRule="auto"/>
        <w:ind w:left="1287" w:hanging="539"/>
        <w:jc w:val="both"/>
      </w:pPr>
      <w:r w:rsidRPr="00AC6FAC">
        <w:rPr>
          <w:b/>
          <w:bCs/>
          <w:rtl/>
        </w:rPr>
        <w:t>25 חודשי מאסר בפועל</w:t>
      </w:r>
      <w:r w:rsidRPr="00AC6FAC">
        <w:rPr>
          <w:rtl/>
        </w:rPr>
        <w:t xml:space="preserve"> אשר מניינם מיום מעצרו 4.11.18. </w:t>
      </w:r>
    </w:p>
    <w:p w14:paraId="094A15E4" w14:textId="77777777" w:rsidR="00305C80" w:rsidRPr="00AC6FAC" w:rsidRDefault="00305C80" w:rsidP="00305C80">
      <w:pPr>
        <w:numPr>
          <w:ilvl w:val="1"/>
          <w:numId w:val="1"/>
        </w:numPr>
        <w:tabs>
          <w:tab w:val="clear" w:pos="1620"/>
          <w:tab w:val="num" w:pos="1286"/>
        </w:tabs>
        <w:spacing w:after="120" w:line="360" w:lineRule="auto"/>
        <w:ind w:left="1287" w:hanging="540"/>
        <w:jc w:val="both"/>
      </w:pPr>
      <w:r w:rsidRPr="00AC6FAC">
        <w:rPr>
          <w:rtl/>
        </w:rPr>
        <w:t xml:space="preserve">12 חודשי מאסר על תנאי, לבל יעבור הנאשם במשך שלוש שנים מיום שחרורו, כל עבירת סמים מסוג פשע.  </w:t>
      </w:r>
    </w:p>
    <w:p w14:paraId="7A3681EC" w14:textId="77777777" w:rsidR="00305C80" w:rsidRPr="00AC6FAC" w:rsidRDefault="00305C80" w:rsidP="00305C80">
      <w:pPr>
        <w:numPr>
          <w:ilvl w:val="1"/>
          <w:numId w:val="1"/>
        </w:numPr>
        <w:tabs>
          <w:tab w:val="clear" w:pos="1620"/>
          <w:tab w:val="num" w:pos="1286"/>
        </w:tabs>
        <w:spacing w:after="120" w:line="360" w:lineRule="auto"/>
        <w:ind w:left="1287" w:hanging="540"/>
        <w:jc w:val="both"/>
        <w:rPr>
          <w:lang w:eastAsia="he-IL"/>
        </w:rPr>
      </w:pPr>
      <w:r w:rsidRPr="00AC6FAC">
        <w:rPr>
          <w:rtl/>
        </w:rPr>
        <w:t>קנס כספי בסך של 36,000 ₪ או 150 ימי מאסר תמורתו. הקנס ישולם ב- 36 תשלומים חודשיים שווים</w:t>
      </w:r>
      <w:r w:rsidRPr="00AC6FAC">
        <w:rPr>
          <w:rtl/>
          <w:lang w:eastAsia="he-IL"/>
        </w:rPr>
        <w:t xml:space="preserve"> ורצופים, שהראשון שבהם ביום 1.9.20. אם לא ישולם תשלום כלשהו במועדו, תעמוד היתרה לפירעון מיידי.</w:t>
      </w:r>
    </w:p>
    <w:p w14:paraId="1823407C" w14:textId="77777777" w:rsidR="00305C80" w:rsidRPr="00AC6FAC" w:rsidRDefault="00305C80" w:rsidP="00305C80">
      <w:pPr>
        <w:numPr>
          <w:ilvl w:val="1"/>
          <w:numId w:val="1"/>
        </w:numPr>
        <w:tabs>
          <w:tab w:val="clear" w:pos="1620"/>
          <w:tab w:val="num" w:pos="1286"/>
        </w:tabs>
        <w:spacing w:after="120" w:line="360" w:lineRule="auto"/>
        <w:ind w:left="1287" w:hanging="540"/>
        <w:jc w:val="both"/>
        <w:rPr>
          <w:lang w:eastAsia="he-IL"/>
        </w:rPr>
      </w:pPr>
      <w:r w:rsidRPr="00AC6FAC">
        <w:rPr>
          <w:rtl/>
          <w:lang w:eastAsia="he-IL"/>
        </w:rPr>
        <w:t xml:space="preserve">חילוט הרכוש שנתפס הכולל כסף מזומן בסך 1,250 ₪, 2 טלפונים ניידים מסוג אייפון וטלפון נייד מסוג נוקיה והציוד שנתפס במעבדה, וזאת לטובת הקרן לפי פקודת הסמים. </w:t>
      </w:r>
    </w:p>
    <w:p w14:paraId="1B6D915E" w14:textId="77777777" w:rsidR="00305C80" w:rsidRPr="00AC6FAC" w:rsidRDefault="00305C80" w:rsidP="00305C80">
      <w:pPr>
        <w:spacing w:after="120" w:line="360" w:lineRule="auto"/>
        <w:ind w:left="720"/>
        <w:rPr>
          <w:rFonts w:ascii="David" w:hAnsi="David"/>
          <w:color w:val="000000"/>
          <w:rtl/>
          <w:lang w:eastAsia="he-IL"/>
        </w:rPr>
      </w:pPr>
    </w:p>
    <w:p w14:paraId="556E7F17" w14:textId="77777777" w:rsidR="00305C80" w:rsidRPr="00AC6FAC" w:rsidRDefault="00305C80" w:rsidP="00305C80">
      <w:pPr>
        <w:spacing w:after="120" w:line="360" w:lineRule="auto"/>
        <w:ind w:left="720"/>
        <w:rPr>
          <w:rFonts w:ascii="David" w:hAnsi="David"/>
          <w:color w:val="000000"/>
          <w:rtl/>
          <w:lang w:eastAsia="he-IL"/>
        </w:rPr>
      </w:pPr>
      <w:r w:rsidRPr="00AC6FAC">
        <w:rPr>
          <w:rFonts w:ascii="David" w:hAnsi="David"/>
          <w:color w:val="000000"/>
          <w:rtl/>
          <w:lang w:eastAsia="he-IL"/>
        </w:rPr>
        <w:t xml:space="preserve">הסמים יושמדו. חילוט ציוד המעבדה והשמדת הסמים יבוצעו לאחר היות גזר הדין חלוט. </w:t>
      </w:r>
    </w:p>
    <w:p w14:paraId="0B0E7B30" w14:textId="77777777" w:rsidR="00305C80" w:rsidRPr="00AC6FAC" w:rsidRDefault="00305C80" w:rsidP="00305C80">
      <w:pPr>
        <w:spacing w:after="120" w:line="360" w:lineRule="auto"/>
        <w:ind w:left="720"/>
        <w:rPr>
          <w:rFonts w:ascii="David" w:hAnsi="David"/>
          <w:color w:val="000000"/>
          <w:rtl/>
          <w:lang w:eastAsia="he-IL"/>
        </w:rPr>
      </w:pPr>
      <w:r w:rsidRPr="00AC6FAC">
        <w:rPr>
          <w:rFonts w:ascii="David" w:hAnsi="David"/>
          <w:color w:val="000000"/>
          <w:rtl/>
          <w:lang w:eastAsia="he-IL"/>
        </w:rPr>
        <w:t>מזכירות בית המשפט תמציא העתק גזר דין לשירות המבחן.</w:t>
      </w:r>
    </w:p>
    <w:p w14:paraId="45988E25" w14:textId="77777777" w:rsidR="00305C80" w:rsidRPr="00AC6FAC" w:rsidRDefault="00305C80" w:rsidP="00305C80">
      <w:pPr>
        <w:spacing w:after="120" w:line="360" w:lineRule="auto"/>
        <w:ind w:firstLine="360"/>
        <w:jc w:val="both"/>
      </w:pPr>
      <w:r w:rsidRPr="00AC6FAC">
        <w:rPr>
          <w:rtl/>
          <w:lang w:eastAsia="he-IL"/>
        </w:rPr>
        <w:tab/>
        <w:t xml:space="preserve">זכות ערעור לבית-המשפט העליון תוך 45 ימים. </w:t>
      </w:r>
    </w:p>
    <w:p w14:paraId="0891F3A4" w14:textId="77777777" w:rsidR="00305C80" w:rsidRPr="00AC6FAC" w:rsidRDefault="00305C80" w:rsidP="00305C80">
      <w:pPr>
        <w:rPr>
          <w:rtl/>
        </w:rPr>
      </w:pPr>
    </w:p>
    <w:p w14:paraId="623C9804" w14:textId="77777777" w:rsidR="00305C80" w:rsidRPr="00B05847" w:rsidRDefault="00305C80" w:rsidP="00305C80">
      <w:pPr>
        <w:rPr>
          <w:rtl/>
        </w:rPr>
      </w:pPr>
    </w:p>
    <w:p w14:paraId="49A0CF8F" w14:textId="77777777" w:rsidR="00305C80" w:rsidRPr="00B05847" w:rsidRDefault="00305C80" w:rsidP="00305C80">
      <w:pPr>
        <w:rPr>
          <w:rtl/>
        </w:rPr>
      </w:pPr>
    </w:p>
    <w:p w14:paraId="39476F53" w14:textId="77777777" w:rsidR="00305C80" w:rsidRPr="00973321" w:rsidRDefault="00973321" w:rsidP="00305C80">
      <w:pPr>
        <w:rPr>
          <w:color w:val="FFFFFF"/>
          <w:sz w:val="2"/>
          <w:szCs w:val="2"/>
          <w:rtl/>
        </w:rPr>
      </w:pPr>
      <w:r w:rsidRPr="00973321">
        <w:rPr>
          <w:color w:val="FFFFFF"/>
          <w:sz w:val="2"/>
          <w:szCs w:val="2"/>
          <w:rtl/>
        </w:rPr>
        <w:t>5129371</w:t>
      </w:r>
    </w:p>
    <w:p w14:paraId="04869CD8" w14:textId="77777777" w:rsidR="00305C80" w:rsidRPr="00B42346" w:rsidRDefault="00973321" w:rsidP="00305C80">
      <w:pPr>
        <w:rPr>
          <w:rFonts w:cs="FrankRuehl"/>
          <w:b/>
          <w:bCs/>
          <w:sz w:val="28"/>
          <w:szCs w:val="28"/>
          <w:rtl/>
        </w:rPr>
      </w:pPr>
      <w:bookmarkStart w:id="8" w:name="Nitan"/>
      <w:r w:rsidRPr="00B42346">
        <w:rPr>
          <w:rFonts w:ascii="Arial" w:hAnsi="Arial"/>
          <w:b/>
          <w:bCs/>
          <w:color w:val="FFFFFF"/>
          <w:sz w:val="2"/>
          <w:szCs w:val="2"/>
          <w:rtl/>
        </w:rPr>
        <w:t>54678313</w:t>
      </w:r>
      <w:r w:rsidRPr="00B42346">
        <w:rPr>
          <w:rFonts w:ascii="Arial" w:hAnsi="Arial"/>
          <w:b/>
          <w:bCs/>
          <w:rtl/>
        </w:rPr>
        <w:t xml:space="preserve">ניתן היום,  י"ט אלול תשע"ט, 19 ספטמבר 2019, בנוכחות הצדדים. </w:t>
      </w:r>
      <w:bookmarkEnd w:id="8"/>
    </w:p>
    <w:p w14:paraId="3B3BCE34" w14:textId="77777777" w:rsidR="00305C80" w:rsidRDefault="00305C80" w:rsidP="0097332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0628287" w14:textId="77777777" w:rsidR="00305C80" w:rsidRDefault="00305C80" w:rsidP="00305C80">
      <w:pPr>
        <w:jc w:val="center"/>
        <w:rPr>
          <w:rFonts w:ascii="Arial" w:hAnsi="Arial" w:cs="FrankRuehl"/>
          <w:sz w:val="28"/>
          <w:szCs w:val="28"/>
          <w:rtl/>
        </w:rPr>
      </w:pPr>
    </w:p>
    <w:p w14:paraId="5E361C27" w14:textId="77777777" w:rsidR="00973321" w:rsidRDefault="00973321" w:rsidP="00973321">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5CE2FD54" w14:textId="77777777" w:rsidR="00E11605" w:rsidRPr="00E11605" w:rsidRDefault="00E11605" w:rsidP="00E11605">
      <w:pPr>
        <w:keepNext/>
        <w:rPr>
          <w:rFonts w:ascii="David" w:hAnsi="David"/>
          <w:color w:val="000000"/>
          <w:sz w:val="22"/>
          <w:szCs w:val="22"/>
          <w:rtl/>
        </w:rPr>
      </w:pPr>
    </w:p>
    <w:p w14:paraId="0B1D5CBB" w14:textId="77777777" w:rsidR="00E11605" w:rsidRPr="00E11605" w:rsidRDefault="00E11605" w:rsidP="00E11605">
      <w:pPr>
        <w:keepNext/>
        <w:rPr>
          <w:rFonts w:ascii="David" w:hAnsi="David"/>
          <w:color w:val="000000"/>
          <w:sz w:val="22"/>
          <w:szCs w:val="22"/>
          <w:rtl/>
        </w:rPr>
      </w:pPr>
      <w:r w:rsidRPr="00E11605">
        <w:rPr>
          <w:rFonts w:ascii="David" w:hAnsi="David"/>
          <w:color w:val="000000"/>
          <w:sz w:val="22"/>
          <w:szCs w:val="22"/>
          <w:rtl/>
        </w:rPr>
        <w:t>עמי קובו 54678313-/</w:t>
      </w:r>
    </w:p>
    <w:p w14:paraId="007B23EA" w14:textId="77777777" w:rsidR="00973321" w:rsidRPr="00973321" w:rsidRDefault="00E11605" w:rsidP="00E11605">
      <w:pPr>
        <w:rPr>
          <w:color w:val="0000FF"/>
          <w:u w:val="single"/>
        </w:rPr>
      </w:pPr>
      <w:r w:rsidRPr="00E11605">
        <w:rPr>
          <w:color w:val="000000"/>
          <w:u w:val="single"/>
          <w:rtl/>
        </w:rPr>
        <w:t>נוסח מסמך זה כפוף לשינויי ניסוח ועריכה</w:t>
      </w:r>
    </w:p>
    <w:sectPr w:rsidR="00973321" w:rsidRPr="00973321" w:rsidSect="00E11605">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2487B" w14:textId="77777777" w:rsidR="003B5169" w:rsidRDefault="003B5169" w:rsidP="00E4357D">
      <w:r>
        <w:separator/>
      </w:r>
    </w:p>
  </w:endnote>
  <w:endnote w:type="continuationSeparator" w:id="0">
    <w:p w14:paraId="60EE7953" w14:textId="77777777" w:rsidR="003B5169" w:rsidRDefault="003B5169" w:rsidP="00E43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9392A" w14:textId="77777777" w:rsidR="00212C2B" w:rsidRDefault="00212C2B" w:rsidP="00E1160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52F359" w14:textId="77777777" w:rsidR="00212C2B" w:rsidRPr="00E11605" w:rsidRDefault="00212C2B" w:rsidP="00E11605">
    <w:pPr>
      <w:pStyle w:val="a6"/>
      <w:pBdr>
        <w:top w:val="single" w:sz="4" w:space="1" w:color="auto"/>
        <w:between w:val="single" w:sz="4" w:space="0" w:color="auto"/>
      </w:pBdr>
      <w:spacing w:after="60"/>
      <w:jc w:val="center"/>
      <w:rPr>
        <w:rFonts w:ascii="FrankRuehl" w:hAnsi="FrankRuehl" w:cs="FrankRuehl"/>
        <w:color w:val="000000"/>
      </w:rPr>
    </w:pPr>
    <w:r w:rsidRPr="00E116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EA4A9" w14:textId="77777777" w:rsidR="00212C2B" w:rsidRDefault="00212C2B" w:rsidP="00E1160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07F0">
      <w:rPr>
        <w:rFonts w:ascii="FrankRuehl" w:hAnsi="FrankRuehl" w:cs="FrankRuehl"/>
        <w:noProof/>
        <w:rtl/>
      </w:rPr>
      <w:t>1</w:t>
    </w:r>
    <w:r>
      <w:rPr>
        <w:rFonts w:ascii="FrankRuehl" w:hAnsi="FrankRuehl" w:cs="FrankRuehl"/>
        <w:rtl/>
      </w:rPr>
      <w:fldChar w:fldCharType="end"/>
    </w:r>
  </w:p>
  <w:p w14:paraId="093F9A6D" w14:textId="77777777" w:rsidR="00212C2B" w:rsidRPr="00E11605" w:rsidRDefault="00212C2B" w:rsidP="00E11605">
    <w:pPr>
      <w:pStyle w:val="a6"/>
      <w:pBdr>
        <w:top w:val="single" w:sz="4" w:space="1" w:color="auto"/>
        <w:between w:val="single" w:sz="4" w:space="0" w:color="auto"/>
      </w:pBdr>
      <w:spacing w:after="60"/>
      <w:jc w:val="center"/>
      <w:rPr>
        <w:rFonts w:ascii="FrankRuehl" w:hAnsi="FrankRuehl" w:cs="FrankRuehl"/>
        <w:color w:val="000000"/>
      </w:rPr>
    </w:pPr>
    <w:r w:rsidRPr="00E11605">
      <w:rPr>
        <w:rFonts w:ascii="FrankRuehl" w:hAnsi="FrankRuehl" w:cs="FrankRuehl"/>
        <w:color w:val="000000"/>
      </w:rPr>
      <w:pict w14:anchorId="3B6C9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A2B80" w14:textId="77777777" w:rsidR="003B5169" w:rsidRDefault="003B5169" w:rsidP="00E4357D">
      <w:r>
        <w:separator/>
      </w:r>
    </w:p>
  </w:footnote>
  <w:footnote w:type="continuationSeparator" w:id="0">
    <w:p w14:paraId="47B3813A" w14:textId="77777777" w:rsidR="003B5169" w:rsidRDefault="003B5169" w:rsidP="00E43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DE98E" w14:textId="77777777" w:rsidR="00212C2B" w:rsidRPr="00E11605" w:rsidRDefault="00212C2B" w:rsidP="00E1160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25458-11-18</w:t>
    </w:r>
    <w:r>
      <w:rPr>
        <w:rFonts w:ascii="David" w:hAnsi="David"/>
        <w:color w:val="000000"/>
        <w:sz w:val="22"/>
        <w:szCs w:val="22"/>
        <w:rtl/>
      </w:rPr>
      <w:tab/>
      <w:t xml:space="preserve"> מדינת ישראל נ' ארז אליאב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18636" w14:textId="77777777" w:rsidR="00212C2B" w:rsidRPr="00E11605" w:rsidRDefault="00212C2B" w:rsidP="00E1160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25458-11-18</w:t>
    </w:r>
    <w:r>
      <w:rPr>
        <w:rFonts w:ascii="David" w:hAnsi="David"/>
        <w:color w:val="000000"/>
        <w:sz w:val="22"/>
        <w:szCs w:val="22"/>
        <w:rtl/>
      </w:rPr>
      <w:tab/>
      <w:t xml:space="preserve"> מדינת ישראל נ' ארז אליאב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A0AC72A2"/>
    <w:lvl w:ilvl="0" w:tplc="51CA0740">
      <w:start w:val="1"/>
      <w:numFmt w:val="decimal"/>
      <w:pStyle w:val="a"/>
      <w:lvlText w:val="%1."/>
      <w:lvlJc w:val="left"/>
      <w:pPr>
        <w:tabs>
          <w:tab w:val="num" w:pos="720"/>
        </w:tabs>
        <w:ind w:left="720" w:hanging="720"/>
      </w:pPr>
      <w:rPr>
        <w:rFonts w:cs="Times New Roman" w:hint="default"/>
      </w:rPr>
    </w:lvl>
    <w:lvl w:ilvl="1" w:tplc="123CDCB8">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9608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5C80"/>
    <w:rsid w:val="000851B0"/>
    <w:rsid w:val="00212C2B"/>
    <w:rsid w:val="00241E71"/>
    <w:rsid w:val="00286371"/>
    <w:rsid w:val="00305C80"/>
    <w:rsid w:val="00381020"/>
    <w:rsid w:val="003B5169"/>
    <w:rsid w:val="004A07F0"/>
    <w:rsid w:val="0082540E"/>
    <w:rsid w:val="00973321"/>
    <w:rsid w:val="00A35A1F"/>
    <w:rsid w:val="00B42346"/>
    <w:rsid w:val="00DC2F85"/>
    <w:rsid w:val="00E11605"/>
    <w:rsid w:val="00E4357D"/>
    <w:rsid w:val="00FC15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268804"/>
  <w15:chartTrackingRefBased/>
  <w15:docId w15:val="{CC3947C4-3C97-4C09-AF3C-69A39FEF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05C80"/>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305C80"/>
    <w:pPr>
      <w:tabs>
        <w:tab w:val="center" w:pos="4153"/>
        <w:tab w:val="right" w:pos="8306"/>
      </w:tabs>
    </w:pPr>
  </w:style>
  <w:style w:type="character" w:customStyle="1" w:styleId="a5">
    <w:name w:val="כותרת עליונה תו"/>
    <w:link w:val="a4"/>
    <w:rsid w:val="00305C80"/>
    <w:rPr>
      <w:rFonts w:ascii="Times New Roman" w:eastAsia="Times New Roman" w:hAnsi="Times New Roman" w:cs="David"/>
      <w:sz w:val="24"/>
      <w:szCs w:val="24"/>
    </w:rPr>
  </w:style>
  <w:style w:type="paragraph" w:styleId="a6">
    <w:name w:val="footer"/>
    <w:basedOn w:val="a0"/>
    <w:link w:val="a7"/>
    <w:rsid w:val="00305C80"/>
    <w:pPr>
      <w:tabs>
        <w:tab w:val="center" w:pos="4153"/>
        <w:tab w:val="right" w:pos="8306"/>
      </w:tabs>
    </w:pPr>
  </w:style>
  <w:style w:type="character" w:customStyle="1" w:styleId="a7">
    <w:name w:val="כותרת תחתונה תו"/>
    <w:link w:val="a6"/>
    <w:rsid w:val="00305C80"/>
    <w:rPr>
      <w:rFonts w:ascii="Times New Roman" w:eastAsia="Times New Roman" w:hAnsi="Times New Roman" w:cs="David"/>
      <w:sz w:val="24"/>
      <w:szCs w:val="24"/>
    </w:rPr>
  </w:style>
  <w:style w:type="table" w:styleId="a8">
    <w:name w:val="Table Grid"/>
    <w:basedOn w:val="a2"/>
    <w:rsid w:val="00305C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305C80"/>
  </w:style>
  <w:style w:type="paragraph" w:customStyle="1" w:styleId="a">
    <w:name w:val="ממוספר"/>
    <w:basedOn w:val="a0"/>
    <w:rsid w:val="00305C80"/>
    <w:pPr>
      <w:numPr>
        <w:numId w:val="1"/>
      </w:numPr>
      <w:spacing w:after="120" w:line="360" w:lineRule="auto"/>
    </w:pPr>
    <w:rPr>
      <w:rFonts w:ascii="David" w:hAnsi="David"/>
      <w:color w:val="000000"/>
    </w:rPr>
  </w:style>
  <w:style w:type="character" w:styleId="Hyperlink">
    <w:name w:val="Hyperlink"/>
    <w:rsid w:val="0097332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i"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2023519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36028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2791245" TargetMode="External"/><Relationship Id="rId37" Type="http://schemas.openxmlformats.org/officeDocument/2006/relationships/hyperlink" Target="http://www.nevo.co.il/case/20126486" TargetMode="External"/><Relationship Id="rId40" Type="http://schemas.openxmlformats.org/officeDocument/2006/relationships/hyperlink" Target="http://www.nevo.co.il/law/70301/40ja"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602844" TargetMode="External"/><Relationship Id="rId36" Type="http://schemas.openxmlformats.org/officeDocument/2006/relationships/hyperlink" Target="http://www.nevo.co.il/case/23299816" TargetMode="External"/><Relationship Id="rId10" Type="http://schemas.openxmlformats.org/officeDocument/2006/relationships/hyperlink" Target="http://www.nevo.co.il/law/4216/9.d" TargetMode="External"/><Relationship Id="rId19" Type="http://schemas.openxmlformats.org/officeDocument/2006/relationships/hyperlink" Target="http://www.nevo.co.il/law/4216/9.a" TargetMode="External"/><Relationship Id="rId31" Type="http://schemas.openxmlformats.org/officeDocument/2006/relationships/hyperlink" Target="http://www.nevo.co.il/case/2284141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70301/400" TargetMode="External"/><Relationship Id="rId27" Type="http://schemas.openxmlformats.org/officeDocument/2006/relationships/hyperlink" Target="http://www.nevo.co.il/case/21644133" TargetMode="External"/><Relationship Id="rId30" Type="http://schemas.openxmlformats.org/officeDocument/2006/relationships/hyperlink" Target="http://www.nevo.co.il/case/20008894" TargetMode="External"/><Relationship Id="rId35" Type="http://schemas.openxmlformats.org/officeDocument/2006/relationships/hyperlink" Target="http://www.nevo.co.il/case/22527622"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22841413" TargetMode="External"/><Relationship Id="rId33" Type="http://schemas.openxmlformats.org/officeDocument/2006/relationships/hyperlink" Target="http://www.nevo.co.il/case/22695050"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4216/9.d"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3853</Words>
  <Characters>19269</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23076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3997810</vt:i4>
      </vt:variant>
      <vt:variant>
        <vt:i4>90</vt:i4>
      </vt:variant>
      <vt:variant>
        <vt:i4>0</vt:i4>
      </vt:variant>
      <vt:variant>
        <vt:i4>5</vt:i4>
      </vt:variant>
      <vt:variant>
        <vt:lpwstr>http://www.nevo.co.il/case/20126486</vt:lpwstr>
      </vt:variant>
      <vt:variant>
        <vt:lpwstr/>
      </vt:variant>
      <vt:variant>
        <vt:i4>3670134</vt:i4>
      </vt:variant>
      <vt:variant>
        <vt:i4>87</vt:i4>
      </vt:variant>
      <vt:variant>
        <vt:i4>0</vt:i4>
      </vt:variant>
      <vt:variant>
        <vt:i4>5</vt:i4>
      </vt:variant>
      <vt:variant>
        <vt:lpwstr>http://www.nevo.co.il/case/23299816</vt:lpwstr>
      </vt:variant>
      <vt:variant>
        <vt:lpwstr/>
      </vt:variant>
      <vt:variant>
        <vt:i4>3276914</vt:i4>
      </vt:variant>
      <vt:variant>
        <vt:i4>84</vt:i4>
      </vt:variant>
      <vt:variant>
        <vt:i4>0</vt:i4>
      </vt:variant>
      <vt:variant>
        <vt:i4>5</vt:i4>
      </vt:variant>
      <vt:variant>
        <vt:lpwstr>http://www.nevo.co.il/case/22527622</vt:lpwstr>
      </vt:variant>
      <vt:variant>
        <vt:lpwstr/>
      </vt:variant>
      <vt:variant>
        <vt:i4>3932278</vt:i4>
      </vt:variant>
      <vt:variant>
        <vt:i4>81</vt:i4>
      </vt:variant>
      <vt:variant>
        <vt:i4>0</vt:i4>
      </vt:variant>
      <vt:variant>
        <vt:i4>5</vt:i4>
      </vt:variant>
      <vt:variant>
        <vt:lpwstr>http://www.nevo.co.il/case/20235191</vt:lpwstr>
      </vt:variant>
      <vt:variant>
        <vt:lpwstr/>
      </vt:variant>
      <vt:variant>
        <vt:i4>3407999</vt:i4>
      </vt:variant>
      <vt:variant>
        <vt:i4>78</vt:i4>
      </vt:variant>
      <vt:variant>
        <vt:i4>0</vt:i4>
      </vt:variant>
      <vt:variant>
        <vt:i4>5</vt:i4>
      </vt:variant>
      <vt:variant>
        <vt:lpwstr>http://www.nevo.co.il/case/22695050</vt:lpwstr>
      </vt:variant>
      <vt:variant>
        <vt:lpwstr/>
      </vt:variant>
      <vt:variant>
        <vt:i4>3145853</vt:i4>
      </vt:variant>
      <vt:variant>
        <vt:i4>75</vt:i4>
      </vt:variant>
      <vt:variant>
        <vt:i4>0</vt:i4>
      </vt:variant>
      <vt:variant>
        <vt:i4>5</vt:i4>
      </vt:variant>
      <vt:variant>
        <vt:lpwstr>http://www.nevo.co.il/case/22791245</vt:lpwstr>
      </vt:variant>
      <vt:variant>
        <vt:lpwstr/>
      </vt:variant>
      <vt:variant>
        <vt:i4>3801206</vt:i4>
      </vt:variant>
      <vt:variant>
        <vt:i4>72</vt:i4>
      </vt:variant>
      <vt:variant>
        <vt:i4>0</vt:i4>
      </vt:variant>
      <vt:variant>
        <vt:i4>5</vt:i4>
      </vt:variant>
      <vt:variant>
        <vt:lpwstr>http://www.nevo.co.il/case/22841413</vt:lpwstr>
      </vt:variant>
      <vt:variant>
        <vt:lpwstr/>
      </vt:variant>
      <vt:variant>
        <vt:i4>3342460</vt:i4>
      </vt:variant>
      <vt:variant>
        <vt:i4>69</vt:i4>
      </vt:variant>
      <vt:variant>
        <vt:i4>0</vt:i4>
      </vt:variant>
      <vt:variant>
        <vt:i4>5</vt:i4>
      </vt:variant>
      <vt:variant>
        <vt:lpwstr>http://www.nevo.co.il/case/20008894</vt:lpwstr>
      </vt:variant>
      <vt:variant>
        <vt:lpwstr/>
      </vt:variant>
      <vt:variant>
        <vt:i4>3276927</vt:i4>
      </vt:variant>
      <vt:variant>
        <vt:i4>66</vt:i4>
      </vt:variant>
      <vt:variant>
        <vt:i4>0</vt:i4>
      </vt:variant>
      <vt:variant>
        <vt:i4>5</vt:i4>
      </vt:variant>
      <vt:variant>
        <vt:lpwstr>http://www.nevo.co.il/case/23602843</vt:lpwstr>
      </vt:variant>
      <vt:variant>
        <vt:lpwstr/>
      </vt:variant>
      <vt:variant>
        <vt:i4>3276927</vt:i4>
      </vt:variant>
      <vt:variant>
        <vt:i4>63</vt:i4>
      </vt:variant>
      <vt:variant>
        <vt:i4>0</vt:i4>
      </vt:variant>
      <vt:variant>
        <vt:i4>5</vt:i4>
      </vt:variant>
      <vt:variant>
        <vt:lpwstr>http://www.nevo.co.il/case/23602844</vt:lpwstr>
      </vt:variant>
      <vt:variant>
        <vt:lpwstr/>
      </vt:variant>
      <vt:variant>
        <vt:i4>3342448</vt:i4>
      </vt:variant>
      <vt:variant>
        <vt:i4>60</vt:i4>
      </vt:variant>
      <vt:variant>
        <vt:i4>0</vt:i4>
      </vt:variant>
      <vt:variant>
        <vt:i4>5</vt:i4>
      </vt:variant>
      <vt:variant>
        <vt:lpwstr>http://www.nevo.co.il/case/21644133</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http://www.nevo.co.il/law/70301/400</vt:lpwstr>
      </vt:variant>
      <vt:variant>
        <vt:lpwstr/>
      </vt:variant>
      <vt:variant>
        <vt:i4>5177418</vt:i4>
      </vt:variant>
      <vt:variant>
        <vt:i4>42</vt:i4>
      </vt:variant>
      <vt:variant>
        <vt:i4>0</vt:i4>
      </vt:variant>
      <vt:variant>
        <vt:i4>5</vt:i4>
      </vt:variant>
      <vt:variant>
        <vt:lpwstr>http://www.nevo.co.il/law/4216/10</vt:lpwstr>
      </vt:variant>
      <vt:variant>
        <vt:lpwstr/>
      </vt:variant>
      <vt:variant>
        <vt:i4>2293860</vt:i4>
      </vt:variant>
      <vt:variant>
        <vt:i4>39</vt:i4>
      </vt:variant>
      <vt:variant>
        <vt:i4>0</vt:i4>
      </vt:variant>
      <vt:variant>
        <vt:i4>5</vt:i4>
      </vt:variant>
      <vt:variant>
        <vt:lpwstr>http://www.nevo.co.il/law/4216/9.d</vt:lpwstr>
      </vt:variant>
      <vt:variant>
        <vt:lpwstr/>
      </vt:variant>
      <vt:variant>
        <vt:i4>2490468</vt:i4>
      </vt:variant>
      <vt:variant>
        <vt:i4>36</vt:i4>
      </vt:variant>
      <vt:variant>
        <vt:i4>0</vt:i4>
      </vt:variant>
      <vt:variant>
        <vt:i4>5</vt:i4>
      </vt:variant>
      <vt:variant>
        <vt:lpwstr>http://www.nevo.co.il/law/4216/9.a</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2293860</vt:i4>
      </vt:variant>
      <vt:variant>
        <vt:i4>9</vt:i4>
      </vt:variant>
      <vt:variant>
        <vt:i4>0</vt:i4>
      </vt:variant>
      <vt:variant>
        <vt:i4>5</vt:i4>
      </vt:variant>
      <vt:variant>
        <vt:lpwstr>http://www.nevo.co.il/law/4216/9.d</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2025-04-22T20:58:00Z</dcterms:created>
  <dcterms:modified xsi:type="dcterms:W3CDTF">2025-04-22T20:58:00Z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25458</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ארז אליאב</vt:lpwstr>
  </property>
  <property fmtid="{D5CDD505-2E9C-101B-9397-08002B2CF9AE}" pid="10" name="LAWYER">
    <vt:lpwstr>שירה סוכצקי;משה סוחמי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20190919</vt:lpwstr>
  </property>
  <property fmtid="{D5CDD505-2E9C-101B-9397-08002B2CF9AE}" pid="14" name="TYPE_N_DATE">
    <vt:lpwstr>39020190919</vt:lpwstr>
  </property>
  <property fmtid="{D5CDD505-2E9C-101B-9397-08002B2CF9AE}" pid="15" name="WORDNUMPAGES">
    <vt:lpwstr>11</vt:lpwstr>
  </property>
  <property fmtid="{D5CDD505-2E9C-101B-9397-08002B2CF9AE}" pid="16" name="TYPE_ABS_DATE">
    <vt:lpwstr>390120190919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23827604;22841413:2;21644133;23602844;23602843;20008894;22791245;22695050;20235191;22527622;23299816;20126486</vt:lpwstr>
  </property>
  <property fmtid="{D5CDD505-2E9C-101B-9397-08002B2CF9AE}" pid="36" name="LAWLISTTMP1">
    <vt:lpwstr>4216/006;009.a;009.d;010</vt:lpwstr>
  </property>
  <property fmtid="{D5CDD505-2E9C-101B-9397-08002B2CF9AE}" pid="37" name="LAWLISTTMP2">
    <vt:lpwstr>70301/400;040i;40jc;40ja</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20191027</vt:lpwstr>
  </property>
  <property fmtid="{D5CDD505-2E9C-101B-9397-08002B2CF9AE}" pid="72" name="METAKZER">
    <vt:lpwstr>עומרי</vt:lpwstr>
  </property>
</Properties>
</file>