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932" w:type="dxa"/>
        <w:jc w:val="center"/>
        <w:tblLook w:val="0000" w:firstRow="0" w:lastRow="0" w:firstColumn="0" w:lastColumn="0" w:noHBand="0" w:noVBand="0"/>
      </w:tblPr>
      <w:tblGrid>
        <w:gridCol w:w="5385"/>
        <w:gridCol w:w="3547"/>
      </w:tblGrid>
      <w:tr w:rsidR="00AB6DF6" w:rsidRPr="00BF0EFD" w14:paraId="4FA86591" w14:textId="77777777" w:rsidTr="00A56F2D">
        <w:trPr>
          <w:trHeight w:hRule="exact" w:val="709"/>
          <w:jc w:val="center"/>
        </w:trPr>
        <w:tc>
          <w:tcPr>
            <w:tcW w:w="8932" w:type="dxa"/>
            <w:gridSpan w:val="2"/>
          </w:tcPr>
          <w:p w14:paraId="0BB23BAF" w14:textId="77777777" w:rsidR="00AB6DF6" w:rsidRPr="00C9086B" w:rsidRDefault="00AB6DF6" w:rsidP="00A56F2D">
            <w:pPr>
              <w:pStyle w:val="a3"/>
              <w:jc w:val="center"/>
              <w:rPr>
                <w:rFonts w:ascii="Tahoma" w:hAnsi="Tahoma" w:cs="Tahoma"/>
                <w:color w:val="000080"/>
                <w:rtl/>
              </w:rPr>
            </w:pPr>
            <w:bookmarkStart w:id="0" w:name="LastJudge"/>
            <w:r w:rsidRPr="00C9086B">
              <w:rPr>
                <w:rFonts w:ascii="Tahoma" w:hAnsi="Tahoma" w:cs="Tahoma"/>
                <w:b/>
                <w:bCs/>
                <w:color w:val="000080"/>
                <w:rtl/>
              </w:rPr>
              <w:t>בית המשפט המחוזי בתל אביב - יפו</w:t>
            </w:r>
          </w:p>
        </w:tc>
      </w:tr>
      <w:tr w:rsidR="00AB6DF6" w:rsidRPr="00BF0EFD" w14:paraId="6FBB882C" w14:textId="77777777" w:rsidTr="00A56F2D">
        <w:trPr>
          <w:trHeight w:val="337"/>
          <w:jc w:val="center"/>
        </w:trPr>
        <w:tc>
          <w:tcPr>
            <w:tcW w:w="5385" w:type="dxa"/>
          </w:tcPr>
          <w:p w14:paraId="0A4D3FF9" w14:textId="77777777" w:rsidR="00AB6DF6" w:rsidRPr="00C9086B" w:rsidRDefault="00AB6DF6" w:rsidP="00A56F2D">
            <w:pPr>
              <w:rPr>
                <w:b/>
                <w:bCs/>
                <w:sz w:val="26"/>
                <w:szCs w:val="26"/>
                <w:rtl/>
              </w:rPr>
            </w:pPr>
            <w:r w:rsidRPr="00C9086B">
              <w:rPr>
                <w:b/>
                <w:bCs/>
                <w:sz w:val="26"/>
                <w:szCs w:val="26"/>
                <w:rtl/>
              </w:rPr>
              <w:t>ת"פ</w:t>
            </w:r>
            <w:r w:rsidRPr="00C9086B">
              <w:rPr>
                <w:rFonts w:hint="cs"/>
                <w:b/>
                <w:bCs/>
                <w:sz w:val="26"/>
                <w:szCs w:val="26"/>
                <w:rtl/>
              </w:rPr>
              <w:t xml:space="preserve"> </w:t>
            </w:r>
            <w:r w:rsidRPr="00C9086B">
              <w:rPr>
                <w:b/>
                <w:bCs/>
                <w:sz w:val="26"/>
                <w:szCs w:val="26"/>
                <w:rtl/>
              </w:rPr>
              <w:t>39299-11-18</w:t>
            </w:r>
            <w:r w:rsidRPr="00C9086B">
              <w:rPr>
                <w:rFonts w:hint="cs"/>
                <w:b/>
                <w:bCs/>
                <w:sz w:val="26"/>
                <w:szCs w:val="26"/>
                <w:rtl/>
              </w:rPr>
              <w:t xml:space="preserve"> </w:t>
            </w:r>
            <w:r w:rsidRPr="00C9086B">
              <w:rPr>
                <w:b/>
                <w:bCs/>
                <w:sz w:val="26"/>
                <w:szCs w:val="26"/>
                <w:rtl/>
              </w:rPr>
              <w:t xml:space="preserve">מדינת ישראל נ' </w:t>
            </w:r>
            <w:r w:rsidRPr="00C9086B">
              <w:rPr>
                <w:rFonts w:hint="cs"/>
                <w:b/>
                <w:bCs/>
                <w:sz w:val="26"/>
                <w:szCs w:val="26"/>
                <w:rtl/>
              </w:rPr>
              <w:t>ג</w:t>
            </w:r>
            <w:r w:rsidRPr="00C9086B">
              <w:rPr>
                <w:b/>
                <w:bCs/>
                <w:sz w:val="26"/>
                <w:szCs w:val="26"/>
                <w:rtl/>
              </w:rPr>
              <w:t>לוחובסקי</w:t>
            </w:r>
            <w:r w:rsidRPr="00C9086B">
              <w:rPr>
                <w:rFonts w:hint="cs"/>
                <w:b/>
                <w:bCs/>
                <w:sz w:val="26"/>
                <w:szCs w:val="26"/>
                <w:rtl/>
              </w:rPr>
              <w:t xml:space="preserve"> </w:t>
            </w:r>
            <w:r w:rsidRPr="00C9086B">
              <w:rPr>
                <w:b/>
                <w:bCs/>
                <w:sz w:val="26"/>
                <w:szCs w:val="26"/>
                <w:rtl/>
              </w:rPr>
              <w:t>(עציר)</w:t>
            </w:r>
          </w:p>
          <w:p w14:paraId="509BF432" w14:textId="77777777" w:rsidR="00AB6DF6" w:rsidRPr="00BF0EFD" w:rsidRDefault="00AB6DF6" w:rsidP="00A56F2D">
            <w:pPr>
              <w:pStyle w:val="a3"/>
              <w:rPr>
                <w:rFonts w:cs="FrankRuehl"/>
                <w:sz w:val="28"/>
                <w:szCs w:val="28"/>
                <w:rtl/>
              </w:rPr>
            </w:pPr>
          </w:p>
        </w:tc>
        <w:tc>
          <w:tcPr>
            <w:tcW w:w="3547" w:type="dxa"/>
          </w:tcPr>
          <w:p w14:paraId="09F3F99C" w14:textId="77777777" w:rsidR="00AB6DF6" w:rsidRPr="00BF0EFD" w:rsidRDefault="00AB6DF6" w:rsidP="00A56F2D">
            <w:pPr>
              <w:pStyle w:val="a3"/>
              <w:jc w:val="right"/>
              <w:rPr>
                <w:rFonts w:cs="FrankRuehl"/>
                <w:sz w:val="28"/>
                <w:szCs w:val="28"/>
                <w:rtl/>
              </w:rPr>
            </w:pPr>
          </w:p>
        </w:tc>
      </w:tr>
    </w:tbl>
    <w:p w14:paraId="0863EA29" w14:textId="77777777" w:rsidR="00AB6DF6" w:rsidRPr="00BF0EFD" w:rsidRDefault="00AB6DF6" w:rsidP="00AB6DF6">
      <w:pPr>
        <w:pStyle w:val="a3"/>
        <w:rPr>
          <w:rtl/>
        </w:rPr>
      </w:pPr>
      <w:r w:rsidRPr="00BF0EFD">
        <w:rPr>
          <w:rFonts w:hint="cs"/>
          <w:rtl/>
        </w:rPr>
        <w:t xml:space="preserve"> </w:t>
      </w:r>
    </w:p>
    <w:tbl>
      <w:tblPr>
        <w:bidiVisual/>
        <w:tblW w:w="8804" w:type="dxa"/>
        <w:tblLook w:val="01E0" w:firstRow="1" w:lastRow="1" w:firstColumn="1" w:lastColumn="1" w:noHBand="0" w:noVBand="0"/>
      </w:tblPr>
      <w:tblGrid>
        <w:gridCol w:w="693"/>
        <w:gridCol w:w="2325"/>
        <w:gridCol w:w="5786"/>
      </w:tblGrid>
      <w:tr w:rsidR="00C9086B" w:rsidRPr="00BF0EFD" w14:paraId="2C790AD1" w14:textId="77777777" w:rsidTr="00C9086B">
        <w:trPr>
          <w:cantSplit/>
          <w:trHeight w:val="500"/>
        </w:trPr>
        <w:tc>
          <w:tcPr>
            <w:tcW w:w="693" w:type="dxa"/>
            <w:shd w:val="clear" w:color="auto" w:fill="auto"/>
          </w:tcPr>
          <w:p w14:paraId="7C1AE934" w14:textId="77777777" w:rsidR="00C9086B" w:rsidRPr="001A2171" w:rsidRDefault="00C9086B" w:rsidP="001A2171">
            <w:pPr>
              <w:spacing w:before="120" w:after="120"/>
              <w:ind w:left="26"/>
              <w:rPr>
                <w:rFonts w:ascii="David" w:hAnsi="David"/>
                <w:b/>
                <w:bCs/>
                <w:sz w:val="26"/>
                <w:szCs w:val="26"/>
              </w:rPr>
            </w:pPr>
            <w:r w:rsidRPr="001A2171">
              <w:rPr>
                <w:rFonts w:ascii="David" w:hAnsi="David"/>
                <w:b/>
                <w:bCs/>
                <w:sz w:val="26"/>
                <w:szCs w:val="26"/>
                <w:rtl/>
              </w:rPr>
              <w:t>לפני</w:t>
            </w:r>
          </w:p>
        </w:tc>
        <w:tc>
          <w:tcPr>
            <w:tcW w:w="8111" w:type="dxa"/>
            <w:gridSpan w:val="2"/>
            <w:shd w:val="clear" w:color="auto" w:fill="auto"/>
          </w:tcPr>
          <w:p w14:paraId="2F716694" w14:textId="77777777" w:rsidR="00C9086B" w:rsidRPr="001A2171" w:rsidRDefault="00C9086B" w:rsidP="001A2171">
            <w:pPr>
              <w:spacing w:before="120" w:after="120"/>
              <w:ind w:right="155"/>
              <w:rPr>
                <w:rFonts w:ascii="David" w:hAnsi="David"/>
                <w:b/>
                <w:bCs/>
                <w:sz w:val="26"/>
                <w:szCs w:val="26"/>
                <w:rtl/>
              </w:rPr>
            </w:pPr>
            <w:r w:rsidRPr="001A2171">
              <w:rPr>
                <w:rFonts w:ascii="David" w:hAnsi="David"/>
                <w:b/>
                <w:bCs/>
                <w:sz w:val="26"/>
                <w:szCs w:val="26"/>
                <w:rtl/>
              </w:rPr>
              <w:t>כבוד השופט  יוסי טופף</w:t>
            </w:r>
          </w:p>
        </w:tc>
      </w:tr>
      <w:tr w:rsidR="00AB6DF6" w:rsidRPr="00BF0EFD" w14:paraId="462726F9" w14:textId="77777777" w:rsidTr="00C9086B">
        <w:trPr>
          <w:cantSplit/>
          <w:trHeight w:val="724"/>
        </w:trPr>
        <w:tc>
          <w:tcPr>
            <w:tcW w:w="3018" w:type="dxa"/>
            <w:gridSpan w:val="2"/>
            <w:shd w:val="clear" w:color="auto" w:fill="auto"/>
          </w:tcPr>
          <w:p w14:paraId="3AA0BF9B" w14:textId="77777777" w:rsidR="00AB6DF6" w:rsidRPr="001A2171" w:rsidRDefault="00AB6DF6" w:rsidP="001A2171">
            <w:pPr>
              <w:spacing w:before="120" w:after="120"/>
              <w:ind w:left="26"/>
              <w:rPr>
                <w:rFonts w:ascii="David" w:hAnsi="David"/>
                <w:b/>
                <w:bCs/>
                <w:sz w:val="26"/>
                <w:szCs w:val="26"/>
                <w:rtl/>
              </w:rPr>
            </w:pPr>
            <w:bookmarkStart w:id="1" w:name="FirstAppellant"/>
            <w:bookmarkStart w:id="2" w:name="FirstLawyer"/>
            <w:r w:rsidRPr="001A2171">
              <w:rPr>
                <w:rFonts w:ascii="David" w:hAnsi="David"/>
                <w:b/>
                <w:bCs/>
                <w:sz w:val="26"/>
                <w:szCs w:val="26"/>
                <w:rtl/>
              </w:rPr>
              <w:t>המאשימה:</w:t>
            </w:r>
          </w:p>
        </w:tc>
        <w:tc>
          <w:tcPr>
            <w:tcW w:w="5786" w:type="dxa"/>
            <w:shd w:val="clear" w:color="auto" w:fill="auto"/>
          </w:tcPr>
          <w:p w14:paraId="43E36251" w14:textId="77777777" w:rsidR="00AB6DF6" w:rsidRPr="001A2171" w:rsidRDefault="00AB6DF6" w:rsidP="001A2171">
            <w:pPr>
              <w:spacing w:before="120" w:after="120"/>
              <w:rPr>
                <w:rFonts w:ascii="David" w:hAnsi="David"/>
                <w:b/>
                <w:bCs/>
                <w:sz w:val="26"/>
                <w:szCs w:val="26"/>
                <w:rtl/>
              </w:rPr>
            </w:pPr>
            <w:r w:rsidRPr="001A2171">
              <w:rPr>
                <w:rFonts w:ascii="David" w:hAnsi="David"/>
                <w:b/>
                <w:bCs/>
                <w:sz w:val="26"/>
                <w:szCs w:val="26"/>
                <w:rtl/>
              </w:rPr>
              <w:t>מדינת ישראל</w:t>
            </w:r>
          </w:p>
          <w:p w14:paraId="053FA26F" w14:textId="77777777" w:rsidR="00AB6DF6" w:rsidRPr="001A2171" w:rsidRDefault="00AB6DF6" w:rsidP="001A2171">
            <w:pPr>
              <w:spacing w:before="120" w:after="120"/>
              <w:rPr>
                <w:rFonts w:ascii="David" w:hAnsi="David"/>
                <w:b/>
                <w:bCs/>
                <w:sz w:val="26"/>
                <w:szCs w:val="26"/>
                <w:rtl/>
              </w:rPr>
            </w:pPr>
            <w:r w:rsidRPr="001A2171">
              <w:rPr>
                <w:rFonts w:ascii="David" w:hAnsi="David"/>
                <w:b/>
                <w:bCs/>
                <w:sz w:val="26"/>
                <w:szCs w:val="26"/>
                <w:rtl/>
              </w:rPr>
              <w:t>ע"י ב"כ עו"ד שלי קוטין ורונית חסון</w:t>
            </w:r>
          </w:p>
          <w:p w14:paraId="75472A1A" w14:textId="77777777" w:rsidR="00AB6DF6" w:rsidRPr="001A2171" w:rsidRDefault="00AB6DF6" w:rsidP="001A2171">
            <w:pPr>
              <w:spacing w:before="120" w:after="120"/>
              <w:rPr>
                <w:rFonts w:ascii="David" w:hAnsi="David"/>
                <w:b/>
                <w:bCs/>
                <w:sz w:val="26"/>
                <w:szCs w:val="26"/>
                <w:rtl/>
              </w:rPr>
            </w:pPr>
            <w:r w:rsidRPr="001A2171">
              <w:rPr>
                <w:rFonts w:ascii="David" w:hAnsi="David"/>
                <w:b/>
                <w:bCs/>
                <w:sz w:val="26"/>
                <w:szCs w:val="26"/>
                <w:rtl/>
              </w:rPr>
              <w:t>מטעם פרקליטות מחוז תל אביב (פלילי)</w:t>
            </w:r>
          </w:p>
        </w:tc>
      </w:tr>
      <w:bookmarkEnd w:id="1"/>
      <w:bookmarkEnd w:id="2"/>
      <w:tr w:rsidR="00AB6DF6" w:rsidRPr="00BF0EFD" w14:paraId="453E42EF" w14:textId="77777777" w:rsidTr="00C9086B">
        <w:tc>
          <w:tcPr>
            <w:tcW w:w="8804" w:type="dxa"/>
            <w:gridSpan w:val="3"/>
            <w:shd w:val="clear" w:color="auto" w:fill="auto"/>
            <w:vAlign w:val="center"/>
          </w:tcPr>
          <w:p w14:paraId="670EFE4A" w14:textId="77777777" w:rsidR="00AB6DF6" w:rsidRPr="001A2171" w:rsidRDefault="00AB6DF6" w:rsidP="001A2171">
            <w:pPr>
              <w:spacing w:before="120" w:after="120"/>
              <w:jc w:val="center"/>
              <w:rPr>
                <w:rFonts w:ascii="David" w:hAnsi="David" w:hint="cs"/>
                <w:b/>
                <w:bCs/>
                <w:sz w:val="26"/>
                <w:szCs w:val="26"/>
                <w:rtl/>
              </w:rPr>
            </w:pPr>
            <w:r w:rsidRPr="001A2171">
              <w:rPr>
                <w:rFonts w:ascii="David" w:hAnsi="David"/>
                <w:b/>
                <w:bCs/>
                <w:sz w:val="26"/>
                <w:szCs w:val="26"/>
                <w:rtl/>
              </w:rPr>
              <w:t>נגד</w:t>
            </w:r>
          </w:p>
        </w:tc>
      </w:tr>
      <w:tr w:rsidR="00AB6DF6" w:rsidRPr="00BF0EFD" w14:paraId="6DB6E03C" w14:textId="77777777" w:rsidTr="00C9086B">
        <w:tc>
          <w:tcPr>
            <w:tcW w:w="3018" w:type="dxa"/>
            <w:gridSpan w:val="2"/>
            <w:shd w:val="clear" w:color="auto" w:fill="auto"/>
          </w:tcPr>
          <w:p w14:paraId="009AB3CE" w14:textId="77777777" w:rsidR="00AB6DF6" w:rsidRPr="001A2171" w:rsidRDefault="00AB6DF6" w:rsidP="001A2171">
            <w:pPr>
              <w:spacing w:before="120" w:after="120"/>
              <w:ind w:left="26"/>
              <w:rPr>
                <w:rFonts w:ascii="David" w:hAnsi="David"/>
                <w:b/>
                <w:bCs/>
                <w:sz w:val="26"/>
                <w:szCs w:val="26"/>
                <w:rtl/>
              </w:rPr>
            </w:pPr>
            <w:r w:rsidRPr="001A2171">
              <w:rPr>
                <w:rFonts w:ascii="David" w:hAnsi="David"/>
                <w:b/>
                <w:bCs/>
                <w:sz w:val="26"/>
                <w:szCs w:val="26"/>
                <w:rtl/>
              </w:rPr>
              <w:t>הנאשם:</w:t>
            </w:r>
          </w:p>
        </w:tc>
        <w:tc>
          <w:tcPr>
            <w:tcW w:w="5786" w:type="dxa"/>
            <w:shd w:val="clear" w:color="auto" w:fill="auto"/>
          </w:tcPr>
          <w:p w14:paraId="49F0854E" w14:textId="77777777" w:rsidR="00AB6DF6" w:rsidRPr="001A2171" w:rsidRDefault="00AB6DF6" w:rsidP="001A2171">
            <w:pPr>
              <w:spacing w:before="120" w:after="120"/>
              <w:rPr>
                <w:rFonts w:ascii="David" w:hAnsi="David"/>
                <w:b/>
                <w:bCs/>
                <w:sz w:val="26"/>
                <w:szCs w:val="26"/>
                <w:rtl/>
              </w:rPr>
            </w:pPr>
            <w:r w:rsidRPr="001A2171">
              <w:rPr>
                <w:rFonts w:ascii="David" w:hAnsi="David"/>
                <w:b/>
                <w:bCs/>
                <w:sz w:val="26"/>
                <w:szCs w:val="26"/>
                <w:rtl/>
              </w:rPr>
              <w:t xml:space="preserve">יאיר גלוחובסקי (עציר), ת.ז.  </w:t>
            </w:r>
            <w:r w:rsidR="00BF0EFD" w:rsidRPr="001A2171">
              <w:rPr>
                <w:rFonts w:ascii="David" w:hAnsi="David"/>
                <w:b/>
                <w:bCs/>
                <w:sz w:val="26"/>
                <w:szCs w:val="26"/>
              </w:rPr>
              <w:t>xxxxxxxxxx</w:t>
            </w:r>
          </w:p>
          <w:p w14:paraId="2B36E644" w14:textId="77777777" w:rsidR="00AB6DF6" w:rsidRPr="001A2171" w:rsidRDefault="00AB6DF6" w:rsidP="001A2171">
            <w:pPr>
              <w:spacing w:before="120" w:after="120"/>
              <w:rPr>
                <w:rFonts w:ascii="David" w:hAnsi="David"/>
                <w:b/>
                <w:bCs/>
                <w:sz w:val="26"/>
                <w:szCs w:val="26"/>
                <w:rtl/>
              </w:rPr>
            </w:pPr>
            <w:r w:rsidRPr="001A2171">
              <w:rPr>
                <w:rFonts w:ascii="David" w:hAnsi="David"/>
                <w:b/>
                <w:bCs/>
                <w:sz w:val="26"/>
                <w:szCs w:val="26"/>
                <w:rtl/>
              </w:rPr>
              <w:t>ע"י ב"כ עו"ד אדוה אלאב</w:t>
            </w:r>
          </w:p>
          <w:p w14:paraId="742C9757" w14:textId="77777777" w:rsidR="00AB6DF6" w:rsidRPr="001A2171" w:rsidRDefault="00AB6DF6" w:rsidP="001A2171">
            <w:pPr>
              <w:spacing w:before="120" w:after="120"/>
              <w:rPr>
                <w:rFonts w:ascii="David" w:hAnsi="David" w:hint="cs"/>
                <w:b/>
                <w:bCs/>
                <w:sz w:val="26"/>
                <w:szCs w:val="26"/>
                <w:rtl/>
              </w:rPr>
            </w:pPr>
            <w:r w:rsidRPr="001A2171">
              <w:rPr>
                <w:rFonts w:ascii="David" w:hAnsi="David"/>
                <w:b/>
                <w:bCs/>
                <w:sz w:val="26"/>
                <w:szCs w:val="26"/>
                <w:rtl/>
              </w:rPr>
              <w:t>מטעם הסנגוריה הציבורית</w:t>
            </w:r>
          </w:p>
        </w:tc>
      </w:tr>
      <w:bookmarkEnd w:id="0"/>
    </w:tbl>
    <w:p w14:paraId="1BC552EA" w14:textId="77777777" w:rsidR="000A0A09" w:rsidRDefault="000A0A09" w:rsidP="007D5FFB">
      <w:pPr>
        <w:jc w:val="center"/>
        <w:rPr>
          <w:rFonts w:ascii="Arial" w:hAnsi="Arial"/>
          <w:sz w:val="32"/>
          <w:szCs w:val="32"/>
          <w:rtl/>
        </w:rPr>
      </w:pPr>
    </w:p>
    <w:p w14:paraId="7C0A8AE2" w14:textId="77777777" w:rsidR="001A2171" w:rsidRPr="001A2171" w:rsidRDefault="001A2171" w:rsidP="001A2171">
      <w:pPr>
        <w:spacing w:after="120" w:line="240" w:lineRule="exact"/>
        <w:ind w:left="283" w:hanging="283"/>
        <w:jc w:val="both"/>
        <w:rPr>
          <w:rFonts w:ascii="FrankRuehl" w:hAnsi="FrankRuehl" w:cs="FrankRuehl"/>
          <w:rtl/>
        </w:rPr>
      </w:pPr>
      <w:bookmarkStart w:id="3" w:name="LawTable"/>
      <w:bookmarkEnd w:id="3"/>
      <w:r w:rsidRPr="001A2171">
        <w:rPr>
          <w:rFonts w:ascii="FrankRuehl" w:hAnsi="FrankRuehl" w:cs="FrankRuehl"/>
          <w:rtl/>
        </w:rPr>
        <w:t xml:space="preserve">חקיקה שאוזכרה: </w:t>
      </w:r>
    </w:p>
    <w:p w14:paraId="3B7F02ED" w14:textId="77777777" w:rsidR="001A2171" w:rsidRPr="001A2171" w:rsidRDefault="001A2171" w:rsidP="001A2171">
      <w:pPr>
        <w:spacing w:after="120" w:line="240" w:lineRule="exact"/>
        <w:ind w:left="283" w:hanging="283"/>
        <w:jc w:val="both"/>
        <w:rPr>
          <w:rFonts w:ascii="FrankRuehl" w:hAnsi="FrankRuehl" w:cs="FrankRuehl"/>
          <w:rtl/>
        </w:rPr>
      </w:pPr>
      <w:hyperlink r:id="rId6" w:history="1">
        <w:r w:rsidRPr="001A2171">
          <w:rPr>
            <w:rFonts w:ascii="FrankRuehl" w:hAnsi="FrankRuehl" w:cs="FrankRuehl"/>
            <w:color w:val="0000FF"/>
            <w:u w:val="single"/>
            <w:rtl/>
          </w:rPr>
          <w:t>פקודת הסמים המסוכנים [נוסח חדש], תשל"ג-1973</w:t>
        </w:r>
      </w:hyperlink>
      <w:r w:rsidRPr="001A2171">
        <w:rPr>
          <w:rFonts w:ascii="FrankRuehl" w:hAnsi="FrankRuehl" w:cs="FrankRuehl"/>
          <w:rtl/>
        </w:rPr>
        <w:t xml:space="preserve">: סע'  </w:t>
      </w:r>
      <w:hyperlink r:id="rId7" w:history="1">
        <w:r w:rsidRPr="001A2171">
          <w:rPr>
            <w:rFonts w:ascii="FrankRuehl" w:hAnsi="FrankRuehl" w:cs="FrankRuehl"/>
            <w:color w:val="0000FF"/>
            <w:u w:val="single"/>
            <w:rtl/>
          </w:rPr>
          <w:t>7.א.</w:t>
        </w:r>
      </w:hyperlink>
      <w:r w:rsidRPr="001A2171">
        <w:rPr>
          <w:rFonts w:ascii="FrankRuehl" w:hAnsi="FrankRuehl" w:cs="FrankRuehl"/>
          <w:rtl/>
        </w:rPr>
        <w:t xml:space="preserve">, </w:t>
      </w:r>
      <w:hyperlink r:id="rId8" w:history="1">
        <w:r w:rsidRPr="001A2171">
          <w:rPr>
            <w:rFonts w:ascii="FrankRuehl" w:hAnsi="FrankRuehl" w:cs="FrankRuehl"/>
            <w:color w:val="0000FF"/>
            <w:u w:val="single"/>
            <w:rtl/>
          </w:rPr>
          <w:t>7.ג</w:t>
        </w:r>
      </w:hyperlink>
    </w:p>
    <w:p w14:paraId="12A01DA2" w14:textId="77777777" w:rsidR="001A2171" w:rsidRPr="001A2171" w:rsidRDefault="001A2171" w:rsidP="001A2171">
      <w:pPr>
        <w:spacing w:after="120" w:line="240" w:lineRule="exact"/>
        <w:ind w:left="283" w:hanging="283"/>
        <w:jc w:val="both"/>
        <w:rPr>
          <w:rFonts w:ascii="FrankRuehl" w:hAnsi="FrankRuehl" w:cs="FrankRuehl"/>
          <w:rtl/>
        </w:rPr>
      </w:pPr>
      <w:hyperlink r:id="rId9" w:history="1">
        <w:r w:rsidRPr="001A2171">
          <w:rPr>
            <w:rFonts w:ascii="FrankRuehl" w:hAnsi="FrankRuehl" w:cs="FrankRuehl"/>
            <w:color w:val="0000FF"/>
            <w:u w:val="single"/>
            <w:rtl/>
          </w:rPr>
          <w:t>חוק העונשין, תשל"ז-1977</w:t>
        </w:r>
      </w:hyperlink>
      <w:r w:rsidRPr="001A2171">
        <w:rPr>
          <w:rFonts w:ascii="FrankRuehl" w:hAnsi="FrankRuehl" w:cs="FrankRuehl"/>
          <w:rtl/>
        </w:rPr>
        <w:t xml:space="preserve">: סע'  </w:t>
      </w:r>
      <w:hyperlink r:id="rId10" w:history="1">
        <w:r w:rsidRPr="001A2171">
          <w:rPr>
            <w:rFonts w:ascii="FrankRuehl" w:hAnsi="FrankRuehl" w:cs="FrankRuehl"/>
            <w:color w:val="0000FF"/>
            <w:u w:val="single"/>
            <w:rtl/>
          </w:rPr>
          <w:t>40(ט)</w:t>
        </w:r>
      </w:hyperlink>
      <w:r w:rsidRPr="001A2171">
        <w:rPr>
          <w:rFonts w:ascii="FrankRuehl" w:hAnsi="FrankRuehl" w:cs="FrankRuehl"/>
          <w:rtl/>
        </w:rPr>
        <w:t xml:space="preserve">, </w:t>
      </w:r>
      <w:hyperlink r:id="rId11" w:history="1">
        <w:r w:rsidRPr="001A2171">
          <w:rPr>
            <w:rFonts w:ascii="FrankRuehl" w:hAnsi="FrankRuehl" w:cs="FrankRuehl"/>
            <w:color w:val="0000FF"/>
            <w:u w:val="single"/>
            <w:rtl/>
          </w:rPr>
          <w:t>40ג(א)</w:t>
        </w:r>
      </w:hyperlink>
      <w:r w:rsidRPr="001A2171">
        <w:rPr>
          <w:rFonts w:ascii="FrankRuehl" w:hAnsi="FrankRuehl" w:cs="FrankRuehl"/>
          <w:rtl/>
        </w:rPr>
        <w:t xml:space="preserve">, </w:t>
      </w:r>
      <w:hyperlink r:id="rId12" w:history="1">
        <w:r w:rsidRPr="001A2171">
          <w:rPr>
            <w:rFonts w:ascii="FrankRuehl" w:hAnsi="FrankRuehl" w:cs="FrankRuehl"/>
            <w:color w:val="0000FF"/>
            <w:u w:val="single"/>
            <w:rtl/>
          </w:rPr>
          <w:t>40ד</w:t>
        </w:r>
      </w:hyperlink>
      <w:r w:rsidRPr="001A2171">
        <w:rPr>
          <w:rFonts w:ascii="FrankRuehl" w:hAnsi="FrankRuehl" w:cs="FrankRuehl"/>
          <w:rtl/>
        </w:rPr>
        <w:t xml:space="preserve">, </w:t>
      </w:r>
      <w:hyperlink r:id="rId13" w:history="1">
        <w:r w:rsidRPr="001A2171">
          <w:rPr>
            <w:rFonts w:ascii="FrankRuehl" w:hAnsi="FrankRuehl" w:cs="FrankRuehl"/>
            <w:color w:val="0000FF"/>
            <w:u w:val="single"/>
            <w:rtl/>
          </w:rPr>
          <w:t>40ה</w:t>
        </w:r>
      </w:hyperlink>
      <w:r w:rsidRPr="001A2171">
        <w:rPr>
          <w:rFonts w:ascii="FrankRuehl" w:hAnsi="FrankRuehl" w:cs="FrankRuehl"/>
          <w:rtl/>
        </w:rPr>
        <w:t xml:space="preserve">, </w:t>
      </w:r>
      <w:hyperlink r:id="rId14" w:history="1">
        <w:r w:rsidRPr="001A2171">
          <w:rPr>
            <w:rFonts w:ascii="FrankRuehl" w:hAnsi="FrankRuehl" w:cs="FrankRuehl"/>
            <w:color w:val="0000FF"/>
            <w:u w:val="single"/>
            <w:rtl/>
          </w:rPr>
          <w:t>40ו</w:t>
        </w:r>
      </w:hyperlink>
      <w:r w:rsidRPr="001A2171">
        <w:rPr>
          <w:rFonts w:ascii="FrankRuehl" w:hAnsi="FrankRuehl" w:cs="FrankRuehl"/>
          <w:rtl/>
        </w:rPr>
        <w:t xml:space="preserve">, </w:t>
      </w:r>
      <w:hyperlink r:id="rId15" w:history="1">
        <w:r w:rsidRPr="001A2171">
          <w:rPr>
            <w:rFonts w:ascii="FrankRuehl" w:hAnsi="FrankRuehl" w:cs="FrankRuehl"/>
            <w:color w:val="0000FF"/>
            <w:u w:val="single"/>
            <w:rtl/>
          </w:rPr>
          <w:t>40ז</w:t>
        </w:r>
      </w:hyperlink>
      <w:r w:rsidRPr="001A2171">
        <w:rPr>
          <w:rFonts w:ascii="FrankRuehl" w:hAnsi="FrankRuehl" w:cs="FrankRuehl"/>
          <w:rtl/>
        </w:rPr>
        <w:t xml:space="preserve">, </w:t>
      </w:r>
      <w:hyperlink r:id="rId16" w:history="1">
        <w:r w:rsidRPr="001A2171">
          <w:rPr>
            <w:rFonts w:ascii="FrankRuehl" w:hAnsi="FrankRuehl" w:cs="FrankRuehl"/>
            <w:color w:val="0000FF"/>
            <w:u w:val="single"/>
            <w:rtl/>
          </w:rPr>
          <w:t>40יא</w:t>
        </w:r>
      </w:hyperlink>
      <w:r w:rsidRPr="001A2171">
        <w:rPr>
          <w:rFonts w:ascii="FrankRuehl" w:hAnsi="FrankRuehl" w:cs="FrankRuehl"/>
          <w:rtl/>
        </w:rPr>
        <w:t xml:space="preserve">, </w:t>
      </w:r>
      <w:hyperlink r:id="rId17" w:history="1">
        <w:r w:rsidRPr="001A2171">
          <w:rPr>
            <w:rFonts w:ascii="FrankRuehl" w:hAnsi="FrankRuehl" w:cs="FrankRuehl"/>
            <w:color w:val="0000FF"/>
            <w:u w:val="single"/>
            <w:rtl/>
          </w:rPr>
          <w:t>40יג(א)</w:t>
        </w:r>
      </w:hyperlink>
    </w:p>
    <w:p w14:paraId="239D9A08" w14:textId="77777777" w:rsidR="001A2171" w:rsidRPr="001A2171" w:rsidRDefault="001A2171" w:rsidP="001A2171">
      <w:pPr>
        <w:spacing w:after="120" w:line="240" w:lineRule="exact"/>
        <w:ind w:left="283" w:hanging="283"/>
        <w:jc w:val="both"/>
        <w:rPr>
          <w:rFonts w:ascii="FrankRuehl" w:hAnsi="FrankRuehl" w:cs="FrankRuehl"/>
          <w:rtl/>
        </w:rPr>
      </w:pPr>
    </w:p>
    <w:p w14:paraId="702AF800" w14:textId="77777777" w:rsidR="001A2171" w:rsidRDefault="001A2171" w:rsidP="001A2171">
      <w:pPr>
        <w:pBdr>
          <w:top w:val="single" w:sz="4" w:space="1" w:color="auto"/>
          <w:bottom w:val="single" w:sz="4" w:space="1" w:color="auto"/>
        </w:pBdr>
        <w:spacing w:after="120" w:line="320" w:lineRule="exact"/>
        <w:jc w:val="both"/>
        <w:rPr>
          <w:rFonts w:cs="FrankRuehl" w:hint="cs"/>
          <w:szCs w:val="26"/>
          <w:rtl/>
        </w:rPr>
      </w:pPr>
      <w:bookmarkStart w:id="4" w:name="LawTable_End"/>
      <w:bookmarkStart w:id="5" w:name="ABSTRACT_START"/>
      <w:bookmarkEnd w:id="4"/>
      <w:bookmarkEnd w:id="5"/>
      <w:r>
        <w:rPr>
          <w:rFonts w:cs="FrankRuehl"/>
          <w:szCs w:val="26"/>
          <w:rtl/>
        </w:rPr>
        <w:t>מיני-רציו:</w:t>
      </w:r>
    </w:p>
    <w:p w14:paraId="3B7902B3" w14:textId="77777777" w:rsidR="001A2171" w:rsidRPr="001A2171" w:rsidRDefault="001A2171" w:rsidP="001A2171">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 xml:space="preserve">* </w:t>
      </w:r>
      <w:r w:rsidRPr="001A2171">
        <w:rPr>
          <w:rFonts w:cs="FrankRuehl" w:hint="cs"/>
          <w:szCs w:val="26"/>
          <w:rtl/>
        </w:rPr>
        <w:t xml:space="preserve">בית המשפט גזר על הנאשם שהורשע </w:t>
      </w:r>
      <w:r w:rsidRPr="001A2171">
        <w:rPr>
          <w:rFonts w:cs="FrankRuehl"/>
          <w:szCs w:val="26"/>
          <w:rtl/>
        </w:rPr>
        <w:t>על יסוד הודאתו בכתב אישום מתוקן, במסגרת הסדר דיוני, בביצוע עבירות של החזקת סם שלא לצריכה עצמית; והחזקת סם לצריכה עצמית</w:t>
      </w:r>
      <w:r w:rsidRPr="001A2171">
        <w:rPr>
          <w:rFonts w:cs="FrankRuehl" w:hint="cs"/>
          <w:szCs w:val="26"/>
          <w:rtl/>
        </w:rPr>
        <w:t xml:space="preserve"> עונש של </w:t>
      </w:r>
      <w:r w:rsidRPr="001A2171">
        <w:rPr>
          <w:rFonts w:cs="FrankRuehl"/>
          <w:szCs w:val="26"/>
          <w:rtl/>
        </w:rPr>
        <w:t>מאסר בפועל לתקופה של 38 חודשים</w:t>
      </w:r>
      <w:r w:rsidRPr="001A2171">
        <w:rPr>
          <w:rFonts w:cs="FrankRuehl" w:hint="cs"/>
          <w:szCs w:val="26"/>
          <w:rtl/>
        </w:rPr>
        <w:t xml:space="preserve">, מאסר על תנאי וקנס. </w:t>
      </w:r>
    </w:p>
    <w:p w14:paraId="2C6959AE" w14:textId="77777777" w:rsidR="001A2171" w:rsidRDefault="001A2171" w:rsidP="001A2171">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מדיניות ענישה: עבירות סמים</w:t>
      </w:r>
    </w:p>
    <w:p w14:paraId="60A23B14" w14:textId="77777777" w:rsidR="001A2171" w:rsidRDefault="001A2171" w:rsidP="001A2171">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4AC16A6C" w14:textId="77777777" w:rsidR="001A2171" w:rsidRPr="001A2171" w:rsidRDefault="001A2171" w:rsidP="001A2171">
      <w:pPr>
        <w:pBdr>
          <w:top w:val="single" w:sz="4" w:space="1" w:color="auto"/>
          <w:bottom w:val="single" w:sz="4" w:space="1" w:color="auto"/>
        </w:pBdr>
        <w:spacing w:after="120" w:line="320" w:lineRule="exact"/>
        <w:jc w:val="both"/>
        <w:rPr>
          <w:rFonts w:cs="FrankRuehl"/>
          <w:szCs w:val="26"/>
          <w:rtl/>
        </w:rPr>
      </w:pPr>
      <w:r w:rsidRPr="001A2171">
        <w:rPr>
          <w:rFonts w:cs="FrankRuehl" w:hint="cs"/>
          <w:szCs w:val="26"/>
          <w:rtl/>
        </w:rPr>
        <w:t>בית המשפט נדרש לגזור את דינו של הנאשם ש</w:t>
      </w:r>
      <w:r w:rsidRPr="001A2171">
        <w:rPr>
          <w:rFonts w:cs="FrankRuehl"/>
          <w:szCs w:val="26"/>
          <w:rtl/>
        </w:rPr>
        <w:t>הורשע, על יסוד הודאתו בכתב אישום מתוקן, במסגרת הסדר דיוני, בביצוע עבירות של החזקת סם שלא לצריכה עצמית; והחזקת סם לצריכה עצמית.</w:t>
      </w:r>
    </w:p>
    <w:p w14:paraId="791C8A3F" w14:textId="77777777" w:rsidR="001A2171" w:rsidRPr="001A2171" w:rsidRDefault="001A2171" w:rsidP="001A2171">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56F08AFF" w14:textId="77777777" w:rsidR="001A2171" w:rsidRPr="001A2171" w:rsidRDefault="001A2171" w:rsidP="001A2171">
      <w:pPr>
        <w:pBdr>
          <w:top w:val="single" w:sz="4" w:space="1" w:color="auto"/>
          <w:bottom w:val="single" w:sz="4" w:space="1" w:color="auto"/>
        </w:pBdr>
        <w:spacing w:after="120" w:line="320" w:lineRule="exact"/>
        <w:jc w:val="both"/>
        <w:rPr>
          <w:rFonts w:cs="FrankRuehl"/>
          <w:szCs w:val="26"/>
          <w:rtl/>
        </w:rPr>
      </w:pPr>
      <w:r w:rsidRPr="001A2171">
        <w:rPr>
          <w:rFonts w:cs="FrankRuehl" w:hint="cs"/>
          <w:szCs w:val="26"/>
          <w:rtl/>
        </w:rPr>
        <w:t>בית המשפט פסק כלהלן:</w:t>
      </w:r>
    </w:p>
    <w:p w14:paraId="65113911" w14:textId="77777777" w:rsidR="001A2171" w:rsidRPr="001A2171" w:rsidRDefault="001A2171" w:rsidP="001A2171">
      <w:pPr>
        <w:pBdr>
          <w:top w:val="single" w:sz="4" w:space="1" w:color="auto"/>
          <w:bottom w:val="single" w:sz="4" w:space="1" w:color="auto"/>
        </w:pBdr>
        <w:spacing w:after="120" w:line="320" w:lineRule="exact"/>
        <w:jc w:val="both"/>
        <w:rPr>
          <w:rFonts w:cs="FrankRuehl"/>
          <w:szCs w:val="26"/>
          <w:rtl/>
        </w:rPr>
      </w:pPr>
      <w:r w:rsidRPr="001A2171">
        <w:rPr>
          <w:rFonts w:cs="FrankRuehl"/>
          <w:szCs w:val="26"/>
          <w:rtl/>
        </w:rPr>
        <w:t xml:space="preserve">הנאשם הורשע כאמור בעבירות של החזקת סם שלא לצריכה עצמית והחזקת סם לצריכה עצמית. המדובר במסכת עבריינית אחת, לכן </w:t>
      </w:r>
      <w:r w:rsidRPr="001A2171">
        <w:rPr>
          <w:rFonts w:cs="FrankRuehl" w:hint="cs"/>
          <w:szCs w:val="26"/>
          <w:rtl/>
        </w:rPr>
        <w:t>יש לקבוע</w:t>
      </w:r>
      <w:r w:rsidRPr="001A2171">
        <w:rPr>
          <w:rFonts w:cs="FrankRuehl"/>
          <w:szCs w:val="26"/>
          <w:rtl/>
        </w:rPr>
        <w:t xml:space="preserve"> מתחם ענישה הולם לאירוע, בנסיבות ביצועו, ו</w:t>
      </w:r>
      <w:r w:rsidRPr="001A2171">
        <w:rPr>
          <w:rFonts w:cs="FrankRuehl" w:hint="cs"/>
          <w:szCs w:val="26"/>
          <w:rtl/>
        </w:rPr>
        <w:t>לגזור</w:t>
      </w:r>
      <w:r w:rsidRPr="001A2171">
        <w:rPr>
          <w:rFonts w:cs="FrankRuehl"/>
          <w:szCs w:val="26"/>
          <w:rtl/>
        </w:rPr>
        <w:t xml:space="preserve"> עונש כולל לכל העבירות בשל אותו אירוע</w:t>
      </w:r>
      <w:r w:rsidRPr="001A2171">
        <w:rPr>
          <w:rFonts w:cs="FrankRuehl" w:hint="cs"/>
          <w:szCs w:val="26"/>
          <w:rtl/>
        </w:rPr>
        <w:t>.</w:t>
      </w:r>
    </w:p>
    <w:p w14:paraId="60C7389C" w14:textId="77777777" w:rsidR="001A2171" w:rsidRPr="001A2171" w:rsidRDefault="001A2171" w:rsidP="001A2171">
      <w:pPr>
        <w:pBdr>
          <w:top w:val="single" w:sz="4" w:space="1" w:color="auto"/>
          <w:bottom w:val="single" w:sz="4" w:space="1" w:color="auto"/>
        </w:pBdr>
        <w:spacing w:after="120" w:line="320" w:lineRule="exact"/>
        <w:jc w:val="both"/>
        <w:rPr>
          <w:rFonts w:cs="FrankRuehl"/>
          <w:szCs w:val="26"/>
          <w:rtl/>
        </w:rPr>
      </w:pPr>
      <w:r w:rsidRPr="001A2171">
        <w:rPr>
          <w:rFonts w:cs="FrankRuehl"/>
          <w:szCs w:val="26"/>
          <w:rtl/>
        </w:rPr>
        <w:lastRenderedPageBreak/>
        <w:t xml:space="preserve">במקרה דנן, מידת הפגיעה בערכים המוגנים הינה ברף גבוה. המדובר בסמים הנמנים על הסמים הקשים מבין הסמים המסוכנים, בכמות גדולה, שלבטח אינה לצריכה עצמית, בעת שהנאשם החזיק באותם סמים כשהם מחולקים למנות, דבר העשוי להצביע לכאורה על כוונת סחר או הספקה. </w:t>
      </w:r>
    </w:p>
    <w:p w14:paraId="55D3A70A" w14:textId="77777777" w:rsidR="001A2171" w:rsidRPr="001A2171" w:rsidRDefault="001A2171" w:rsidP="001A2171">
      <w:pPr>
        <w:pBdr>
          <w:top w:val="single" w:sz="4" w:space="1" w:color="auto"/>
          <w:bottom w:val="single" w:sz="4" w:space="1" w:color="auto"/>
        </w:pBdr>
        <w:spacing w:after="120" w:line="320" w:lineRule="exact"/>
        <w:jc w:val="both"/>
        <w:rPr>
          <w:rFonts w:cs="FrankRuehl"/>
          <w:szCs w:val="26"/>
          <w:rtl/>
        </w:rPr>
      </w:pPr>
      <w:r w:rsidRPr="001A2171">
        <w:rPr>
          <w:rFonts w:cs="FrankRuehl"/>
          <w:szCs w:val="26"/>
          <w:rtl/>
        </w:rPr>
        <w:t xml:space="preserve">מתחם העונש ההולם לעבירות שביצע הנאשם, בנסיבות ביצוען, הינו בין 36 לבין 60 חודשי מאסר בפועל, לצד ענישה מרתיעה צופה פני עתיד וענישה כלכלית.  </w:t>
      </w:r>
    </w:p>
    <w:p w14:paraId="33BC19D4" w14:textId="77777777" w:rsidR="001A2171" w:rsidRPr="001A2171" w:rsidRDefault="001A2171" w:rsidP="001A2171">
      <w:pPr>
        <w:pBdr>
          <w:top w:val="single" w:sz="4" w:space="1" w:color="auto"/>
          <w:bottom w:val="single" w:sz="4" w:space="1" w:color="auto"/>
        </w:pBdr>
        <w:spacing w:after="120" w:line="320" w:lineRule="exact"/>
        <w:jc w:val="both"/>
        <w:rPr>
          <w:rFonts w:cs="FrankRuehl"/>
          <w:szCs w:val="26"/>
          <w:rtl/>
        </w:rPr>
      </w:pPr>
      <w:r w:rsidRPr="001A2171">
        <w:rPr>
          <w:rFonts w:cs="FrankRuehl" w:hint="cs"/>
          <w:szCs w:val="26"/>
          <w:rtl/>
        </w:rPr>
        <w:t xml:space="preserve">אין </w:t>
      </w:r>
      <w:r w:rsidRPr="001A2171">
        <w:rPr>
          <w:rFonts w:cs="FrankRuehl"/>
          <w:szCs w:val="26"/>
          <w:rtl/>
        </w:rPr>
        <w:t>הצדקה לחריגה ממתחם הענישה</w:t>
      </w:r>
      <w:r w:rsidRPr="001A2171">
        <w:rPr>
          <w:rFonts w:cs="FrankRuehl" w:hint="cs"/>
          <w:szCs w:val="26"/>
          <w:rtl/>
        </w:rPr>
        <w:t>.</w:t>
      </w:r>
    </w:p>
    <w:p w14:paraId="5237A2C5" w14:textId="77777777" w:rsidR="001A2171" w:rsidRPr="001A2171" w:rsidRDefault="001A2171" w:rsidP="000A0A09">
      <w:pPr>
        <w:spacing w:after="120" w:line="240" w:lineRule="exact"/>
        <w:ind w:left="283" w:hanging="283"/>
        <w:jc w:val="both"/>
        <w:rPr>
          <w:rFonts w:ascii="FrankRuehl" w:hAnsi="FrankRuehl" w:cs="FrankRuehl"/>
          <w:rtl/>
        </w:rPr>
      </w:pPr>
      <w:bookmarkStart w:id="6" w:name="ABSTRACT_END"/>
      <w:bookmarkEnd w:id="6"/>
    </w:p>
    <w:p w14:paraId="3B6C47B8" w14:textId="77777777" w:rsidR="007D5FFB" w:rsidRPr="00BF0EFD" w:rsidRDefault="007D5FFB" w:rsidP="007D5FFB">
      <w:pPr>
        <w:jc w:val="center"/>
        <w:rPr>
          <w:rFonts w:ascii="Arial" w:hAnsi="Arial"/>
          <w:b/>
          <w:bCs/>
          <w:sz w:val="32"/>
          <w:szCs w:val="32"/>
          <w:u w:val="single"/>
          <w:rtl/>
        </w:rPr>
      </w:pPr>
      <w:bookmarkStart w:id="7" w:name="PsakDin"/>
      <w:r w:rsidRPr="00BF0EFD">
        <w:rPr>
          <w:rFonts w:ascii="Arial" w:hAnsi="Arial"/>
          <w:b/>
          <w:bCs/>
          <w:sz w:val="32"/>
          <w:szCs w:val="32"/>
          <w:u w:val="single"/>
          <w:rtl/>
        </w:rPr>
        <w:t>גזר דין</w:t>
      </w:r>
    </w:p>
    <w:bookmarkEnd w:id="7"/>
    <w:p w14:paraId="440823C0" w14:textId="77777777" w:rsidR="00AB6DF6" w:rsidRPr="00B05847" w:rsidRDefault="00AB6DF6" w:rsidP="00AB6DF6">
      <w:pPr>
        <w:spacing w:line="360" w:lineRule="auto"/>
        <w:rPr>
          <w:rFonts w:ascii="Arial" w:hAnsi="Arial"/>
          <w:rtl/>
        </w:rPr>
      </w:pPr>
    </w:p>
    <w:p w14:paraId="075068A7" w14:textId="77777777" w:rsidR="00AB6DF6" w:rsidRDefault="00AB6DF6" w:rsidP="00AB6DF6">
      <w:pPr>
        <w:spacing w:line="360" w:lineRule="auto"/>
        <w:jc w:val="both"/>
        <w:rPr>
          <w:rFonts w:ascii="David" w:hAnsi="David"/>
          <w:b/>
          <w:bCs/>
          <w:u w:val="single"/>
        </w:rPr>
      </w:pPr>
      <w:r>
        <w:rPr>
          <w:rFonts w:ascii="David" w:hAnsi="David"/>
          <w:b/>
          <w:bCs/>
          <w:u w:val="single"/>
          <w:rtl/>
        </w:rPr>
        <w:t>האישום וההרשעה</w:t>
      </w:r>
    </w:p>
    <w:p w14:paraId="32CB715C" w14:textId="77777777" w:rsidR="00AB6DF6" w:rsidRDefault="00AB6DF6" w:rsidP="00AB6DF6">
      <w:pPr>
        <w:spacing w:line="360" w:lineRule="auto"/>
        <w:jc w:val="both"/>
        <w:rPr>
          <w:rFonts w:ascii="David" w:hAnsi="David"/>
          <w:rtl/>
        </w:rPr>
      </w:pPr>
    </w:p>
    <w:p w14:paraId="41C8B415" w14:textId="77777777" w:rsidR="00AB6DF6" w:rsidRDefault="00AB6DF6" w:rsidP="00AB6DF6">
      <w:pPr>
        <w:tabs>
          <w:tab w:val="left" w:pos="466"/>
        </w:tabs>
        <w:spacing w:line="360" w:lineRule="auto"/>
        <w:ind w:left="466" w:hanging="466"/>
        <w:jc w:val="both"/>
        <w:rPr>
          <w:rFonts w:ascii="David" w:hAnsi="David"/>
          <w:rtl/>
        </w:rPr>
      </w:pPr>
      <w:r>
        <w:rPr>
          <w:rFonts w:ascii="David" w:hAnsi="David"/>
          <w:rtl/>
        </w:rPr>
        <w:t>1.</w:t>
      </w:r>
      <w:r>
        <w:rPr>
          <w:rFonts w:ascii="David" w:hAnsi="David"/>
          <w:rtl/>
        </w:rPr>
        <w:tab/>
        <w:t xml:space="preserve">ביום 26.5.2019 הורשע הנאשם, על יסוד הודאתו בכתב אישום מתוקן, </w:t>
      </w:r>
      <w:r>
        <w:rPr>
          <w:rtl/>
        </w:rPr>
        <w:t>במסגרת הסדר דיוני, ב</w:t>
      </w:r>
      <w:r>
        <w:rPr>
          <w:rFonts w:ascii="David" w:hAnsi="David"/>
          <w:rtl/>
        </w:rPr>
        <w:t xml:space="preserve">ביצוע עבירות של </w:t>
      </w:r>
      <w:r>
        <w:rPr>
          <w:rFonts w:ascii="David" w:hAnsi="David"/>
          <w:b/>
          <w:bCs/>
          <w:rtl/>
        </w:rPr>
        <w:t>החזקת סם שלא לצריכה עצמית</w:t>
      </w:r>
      <w:r>
        <w:rPr>
          <w:rFonts w:ascii="David" w:hAnsi="David"/>
          <w:rtl/>
        </w:rPr>
        <w:t xml:space="preserve">, לפי </w:t>
      </w:r>
      <w:hyperlink r:id="rId18" w:history="1">
        <w:r w:rsidR="000A0A09" w:rsidRPr="000A0A09">
          <w:rPr>
            <w:rFonts w:ascii="David" w:hAnsi="David"/>
            <w:color w:val="0000FF"/>
            <w:u w:val="single"/>
            <w:rtl/>
          </w:rPr>
          <w:t>סעיף 7(א)+(ג)</w:t>
        </w:r>
      </w:hyperlink>
      <w:r>
        <w:rPr>
          <w:rFonts w:ascii="David" w:hAnsi="David"/>
          <w:rtl/>
        </w:rPr>
        <w:t xml:space="preserve"> רישא ל</w:t>
      </w:r>
      <w:hyperlink r:id="rId19" w:history="1">
        <w:r w:rsidR="00BF0EFD" w:rsidRPr="00BF0EFD">
          <w:rPr>
            <w:rFonts w:ascii="David" w:hAnsi="David"/>
            <w:color w:val="0000FF"/>
            <w:u w:val="single"/>
            <w:rtl/>
          </w:rPr>
          <w:t>פקודת הסמים המסוכנים</w:t>
        </w:r>
      </w:hyperlink>
      <w:r>
        <w:rPr>
          <w:rFonts w:ascii="David" w:hAnsi="David"/>
          <w:rtl/>
        </w:rPr>
        <w:t xml:space="preserve"> [נוסח חדש], התשל"ג-1973 (להלן: "</w:t>
      </w:r>
      <w:r>
        <w:rPr>
          <w:rFonts w:ascii="David" w:hAnsi="David"/>
          <w:b/>
          <w:bCs/>
          <w:rtl/>
        </w:rPr>
        <w:t>פקודת הסמים המסוכנים</w:t>
      </w:r>
      <w:r>
        <w:rPr>
          <w:rFonts w:ascii="David" w:hAnsi="David"/>
          <w:rtl/>
        </w:rPr>
        <w:t>"); ו</w:t>
      </w:r>
      <w:r>
        <w:rPr>
          <w:rFonts w:ascii="David" w:hAnsi="David"/>
          <w:b/>
          <w:bCs/>
          <w:rtl/>
        </w:rPr>
        <w:t>החזקת סם לצריכה עצמית,</w:t>
      </w:r>
      <w:r>
        <w:rPr>
          <w:rFonts w:ascii="David" w:hAnsi="David"/>
          <w:rtl/>
        </w:rPr>
        <w:t xml:space="preserve"> לפי </w:t>
      </w:r>
      <w:hyperlink r:id="rId20" w:history="1">
        <w:r w:rsidR="000A0A09" w:rsidRPr="000A0A09">
          <w:rPr>
            <w:rFonts w:ascii="David" w:hAnsi="David"/>
            <w:color w:val="0000FF"/>
            <w:u w:val="single"/>
            <w:rtl/>
          </w:rPr>
          <w:t>סעיף 7(א)+(ג)</w:t>
        </w:r>
      </w:hyperlink>
      <w:r>
        <w:rPr>
          <w:rFonts w:ascii="David" w:hAnsi="David"/>
          <w:rtl/>
        </w:rPr>
        <w:t xml:space="preserve"> סיפא לפקודת הסמים המסוכנים. </w:t>
      </w:r>
    </w:p>
    <w:p w14:paraId="4BB1656A" w14:textId="77777777" w:rsidR="00AB6DF6" w:rsidRDefault="00AB6DF6" w:rsidP="00AB6DF6">
      <w:pPr>
        <w:tabs>
          <w:tab w:val="left" w:pos="466"/>
        </w:tabs>
        <w:spacing w:line="360" w:lineRule="auto"/>
        <w:ind w:left="466" w:hanging="466"/>
        <w:jc w:val="both"/>
        <w:rPr>
          <w:rFonts w:ascii="David" w:hAnsi="David"/>
          <w:rtl/>
        </w:rPr>
      </w:pPr>
    </w:p>
    <w:p w14:paraId="6F8C80E7" w14:textId="77777777" w:rsidR="00AB6DF6" w:rsidRDefault="00AB6DF6" w:rsidP="00AB6DF6">
      <w:pPr>
        <w:tabs>
          <w:tab w:val="left" w:pos="466"/>
        </w:tabs>
        <w:spacing w:line="360" w:lineRule="auto"/>
        <w:ind w:left="466" w:hanging="466"/>
        <w:jc w:val="both"/>
        <w:rPr>
          <w:rFonts w:ascii="David" w:hAnsi="David"/>
          <w:rtl/>
        </w:rPr>
      </w:pPr>
      <w:r>
        <w:rPr>
          <w:rFonts w:ascii="David" w:hAnsi="David"/>
          <w:rtl/>
        </w:rPr>
        <w:t>2.</w:t>
      </w:r>
      <w:r>
        <w:rPr>
          <w:rFonts w:ascii="David" w:hAnsi="David"/>
          <w:rtl/>
        </w:rPr>
        <w:tab/>
        <w:t>לפי כתב האישום המתוקן, ביום 11.11.2018 בשעה 13:55 בקירוב, ברחוב פנחס לבון בתל אביב, החזיק הנאשם בכיס השמאלי של מכנסיו סם מסוכן מסוג הרואין במשקל כולל של 101.464 גרם נטו, כשהוא מחולק למנות. בנוסף, החזיק הנאשם בכיס הימני של מכנסיו סם מסוכן מסוג קוקאין במשקל של 8.2272 גרם נטו, כשהוא מחולק למנות, ומנת סם מסוכן מסוג הרואין במשקל של 0.4334 גרם נטו, וכל זאת ללא היתר או רישיון כדין.</w:t>
      </w:r>
    </w:p>
    <w:p w14:paraId="7C39FF3F" w14:textId="77777777" w:rsidR="00AB6DF6" w:rsidRDefault="00AB6DF6" w:rsidP="00AB6DF6">
      <w:pPr>
        <w:tabs>
          <w:tab w:val="left" w:pos="466"/>
        </w:tabs>
        <w:spacing w:line="360" w:lineRule="auto"/>
        <w:ind w:left="466" w:hanging="466"/>
        <w:jc w:val="both"/>
        <w:rPr>
          <w:rFonts w:ascii="David" w:hAnsi="David"/>
          <w:rtl/>
        </w:rPr>
      </w:pPr>
    </w:p>
    <w:p w14:paraId="5802124A" w14:textId="77777777" w:rsidR="00AB6DF6" w:rsidRDefault="00AB6DF6" w:rsidP="00AB6DF6">
      <w:pPr>
        <w:tabs>
          <w:tab w:val="left" w:pos="466"/>
        </w:tabs>
        <w:spacing w:line="360" w:lineRule="auto"/>
        <w:ind w:left="466" w:hanging="466"/>
        <w:jc w:val="both"/>
        <w:rPr>
          <w:rFonts w:ascii="David" w:hAnsi="David"/>
          <w:rtl/>
        </w:rPr>
      </w:pPr>
      <w:r>
        <w:rPr>
          <w:rFonts w:ascii="David" w:hAnsi="David"/>
          <w:rtl/>
        </w:rPr>
        <w:tab/>
        <w:t xml:space="preserve">במעשיו המתוארים לעיל, החזיק הנאשם בסמים מסוכנים מסוג הרואין וקוקאין שלא לצריכה עצמית ובנוסף החזיק מנת סם הרואין לצריכה עצמית. </w:t>
      </w:r>
    </w:p>
    <w:p w14:paraId="62848B34" w14:textId="77777777" w:rsidR="00AB6DF6" w:rsidRDefault="00AB6DF6" w:rsidP="00AB6DF6">
      <w:pPr>
        <w:tabs>
          <w:tab w:val="left" w:pos="608"/>
        </w:tabs>
        <w:spacing w:line="360" w:lineRule="auto"/>
        <w:ind w:left="608" w:hanging="608"/>
        <w:jc w:val="both"/>
        <w:rPr>
          <w:rFonts w:ascii="David" w:hAnsi="David"/>
          <w:b/>
          <w:bCs/>
          <w:u w:val="single"/>
          <w:rtl/>
        </w:rPr>
      </w:pPr>
    </w:p>
    <w:p w14:paraId="11DD406E" w14:textId="77777777" w:rsidR="00AB6DF6" w:rsidRDefault="00AB6DF6" w:rsidP="00AB6DF6">
      <w:pPr>
        <w:tabs>
          <w:tab w:val="left" w:pos="608"/>
        </w:tabs>
        <w:spacing w:line="360" w:lineRule="auto"/>
        <w:ind w:left="608" w:hanging="608"/>
        <w:jc w:val="both"/>
        <w:rPr>
          <w:rFonts w:ascii="David" w:hAnsi="David"/>
          <w:b/>
          <w:bCs/>
          <w:u w:val="single"/>
          <w:rtl/>
        </w:rPr>
      </w:pPr>
    </w:p>
    <w:p w14:paraId="6FFD7D12" w14:textId="77777777" w:rsidR="00AB6DF6" w:rsidRDefault="00AB6DF6" w:rsidP="00AB6DF6">
      <w:pPr>
        <w:spacing w:line="360" w:lineRule="auto"/>
        <w:jc w:val="both"/>
        <w:rPr>
          <w:rFonts w:ascii="David" w:hAnsi="David"/>
          <w:rtl/>
        </w:rPr>
      </w:pPr>
      <w:r>
        <w:rPr>
          <w:rFonts w:ascii="David" w:hAnsi="David"/>
          <w:b/>
          <w:bCs/>
          <w:u w:val="single"/>
          <w:rtl/>
        </w:rPr>
        <w:t>טיעוני הצדדים לעונש</w:t>
      </w:r>
    </w:p>
    <w:p w14:paraId="6AB415D2" w14:textId="77777777" w:rsidR="00AB6DF6" w:rsidRDefault="00AB6DF6" w:rsidP="00AB6DF6">
      <w:pPr>
        <w:spacing w:line="360" w:lineRule="auto"/>
        <w:jc w:val="both"/>
        <w:rPr>
          <w:rFonts w:ascii="David" w:hAnsi="David"/>
          <w:rtl/>
        </w:rPr>
      </w:pPr>
    </w:p>
    <w:p w14:paraId="19B603EA" w14:textId="77777777" w:rsidR="00AB6DF6" w:rsidRDefault="00AB6DF6" w:rsidP="00AB6DF6">
      <w:pPr>
        <w:tabs>
          <w:tab w:val="left" w:pos="466"/>
        </w:tabs>
        <w:spacing w:line="360" w:lineRule="auto"/>
        <w:ind w:left="466" w:hanging="466"/>
        <w:jc w:val="both"/>
        <w:rPr>
          <w:rFonts w:ascii="David" w:hAnsi="David"/>
          <w:rtl/>
        </w:rPr>
      </w:pPr>
      <w:r>
        <w:rPr>
          <w:rFonts w:ascii="David" w:hAnsi="David"/>
          <w:rtl/>
        </w:rPr>
        <w:t>3.</w:t>
      </w:r>
      <w:r>
        <w:rPr>
          <w:rFonts w:ascii="David" w:hAnsi="David"/>
          <w:rtl/>
        </w:rPr>
        <w:tab/>
        <w:t xml:space="preserve">ב"כ המאשימה, עו"ד רונית חסון, </w:t>
      </w:r>
      <w:r>
        <w:rPr>
          <w:rtl/>
        </w:rPr>
        <w:t xml:space="preserve">עתרה למתחם ענישה שבין 4 לבין 6 שנות מאסר בפועל. בנסיבות המקרה דנא, ביקשה התביעה להשית על הנאשם עונש ברף התיכון של מתחם הענישה הנטען מטעמה, מאסר מותנה וענישה כלכלית בדמות קנס. </w:t>
      </w:r>
      <w:r>
        <w:rPr>
          <w:rFonts w:ascii="David" w:hAnsi="David"/>
          <w:rtl/>
        </w:rPr>
        <w:t xml:space="preserve">ב"כ המאשימה עמדה בטיעוניה על חומרת העבירות בהן הורשע הנאשם, והדגישה כי  הסמים שנתפסו בחזקת הנאשם הם מהמסוכנים מבין הסמים, בכמויות גדולות, אשר הוחזקו על ידי הנאשם במנות. ב"כ המאשימה ציינה כי בתי המשפט הדגישו בפסיקתם את המסוכנות הרבה הכרוכה בהחזקה והפצה של סמים מסוכנים. ב"כ המאשימה הציגה את גיליון הרשעותיו של הנאשם (ת/1), </w:t>
      </w:r>
      <w:r>
        <w:rPr>
          <w:rFonts w:ascii="David" w:hAnsi="David"/>
          <w:rtl/>
        </w:rPr>
        <w:lastRenderedPageBreak/>
        <w:t>הכולל 3 הרשעות קודמות בעבירות סמים ורכוש, בגינן הושתו עליו, בין היתר, עונשי מאסר בפועל ומאסרים מותנים. נטען כי לפי עברו של הנאשם הוא לא השכיל לחזור למוטב, להפסיק את השימוש העצמי בסמים ולהחזיק סמים מסוכנים בכמויות גדולות. צוין כי הנאשם אינו משתתף במסגרת טיפולית שיקומית במהלך מעצרו, ולא השתתף במסגרת שכזו מחוץ כתלי בית הכלא, ולכן אין הצדקה לסטות לקולה ממתחם הענישה. ב"כ המאשימה ציינה לטובת הנאשם כי הוא הודה במיוחס לו וחסך זמן שיפוטי יקר. הוצגה פסיקה רלוונטית.</w:t>
      </w:r>
    </w:p>
    <w:p w14:paraId="76C0EDB0" w14:textId="77777777" w:rsidR="00AB6DF6" w:rsidRDefault="00AB6DF6" w:rsidP="00AB6DF6">
      <w:pPr>
        <w:tabs>
          <w:tab w:val="left" w:pos="466"/>
        </w:tabs>
        <w:spacing w:line="360" w:lineRule="auto"/>
        <w:ind w:left="466" w:hanging="466"/>
        <w:jc w:val="both"/>
        <w:rPr>
          <w:rFonts w:ascii="David" w:eastAsia="Calibri" w:hAnsi="David"/>
          <w:rtl/>
        </w:rPr>
      </w:pPr>
    </w:p>
    <w:p w14:paraId="626B764A" w14:textId="77777777" w:rsidR="00AB6DF6" w:rsidRDefault="00AB6DF6" w:rsidP="00AB6DF6">
      <w:pPr>
        <w:tabs>
          <w:tab w:val="left" w:pos="466"/>
        </w:tabs>
        <w:spacing w:line="360" w:lineRule="auto"/>
        <w:ind w:left="466" w:hanging="466"/>
        <w:jc w:val="both"/>
        <w:rPr>
          <w:rFonts w:ascii="David" w:hAnsi="David"/>
          <w:rtl/>
        </w:rPr>
      </w:pPr>
      <w:r>
        <w:rPr>
          <w:rFonts w:ascii="David" w:hAnsi="David"/>
          <w:rtl/>
        </w:rPr>
        <w:t>4.</w:t>
      </w:r>
      <w:r>
        <w:rPr>
          <w:rFonts w:ascii="David" w:hAnsi="David"/>
          <w:rtl/>
        </w:rPr>
        <w:tab/>
        <w:t>ב"כ הנאשם, עו"ד אדוה אלאב, טענה למתחם ענישה הולם שבין 20 חודשים ל-4 שנות מאסר, ועתרה לגזור על הנאשם עונש המצוי ברף התחתון של כל מתחם שייקבע. נטען כי הנאשם נולד בבלרוס לזוג הורים, יש לו 4 אחים. אביו נפטר בהיותו כבן שנתיים, הוא גדל בטורקמניסטן ועלה לארץ בגיל 22, עם אמו ואחותו הקטנה. נטען כי הנאשם גר בשכונת "התקווה" שבתל אביב, וקשיי הקליטה בישראל הובילו אותו במהרה לשימוש בסמים. נמסר כי לאחר הסתבכותו של הנאשם עם החוק בשנת 2014, הוא השתלב בהליך גמילה בירושלים, אך בסופו של יום, הצליח לשמור על ניקיון מסמים למשך תקופה לא ארוכה, שלאחריה שב ונפל לעולם הסמים. נטען כי הנאשם עצור מהיום בו נתפס על ידי המשטרה, לאחר שלא עלה בידי ההגנה להציג חלופת מעצר, שכן רק לאחרונה חודש הקשר בינו לבין משפחתו. צוין כי הנאשם סובל מקטרקט בעיניו, עבר ניתוח במסגרת מעצרו וצפוי לו ניתוח נוסף. נטען כי הנאשם מתחרט על מעשיו, קיבל אחריות מלאה לאמור בכתב האישום ומבקש את התחשבות בית המשפט לתן לו אופק. הוצגה פסיקה רלוונטית.</w:t>
      </w:r>
    </w:p>
    <w:p w14:paraId="4FA5F0BD" w14:textId="77777777" w:rsidR="00AB6DF6" w:rsidRDefault="00AB6DF6" w:rsidP="00AB6DF6">
      <w:pPr>
        <w:tabs>
          <w:tab w:val="left" w:pos="466"/>
        </w:tabs>
        <w:spacing w:line="360" w:lineRule="auto"/>
        <w:ind w:left="466" w:hanging="466"/>
        <w:jc w:val="both"/>
        <w:rPr>
          <w:rFonts w:ascii="David" w:hAnsi="David"/>
          <w:rtl/>
        </w:rPr>
      </w:pPr>
    </w:p>
    <w:p w14:paraId="2C11662B" w14:textId="77777777" w:rsidR="00AB6DF6" w:rsidRDefault="00AB6DF6" w:rsidP="00AB6DF6">
      <w:pPr>
        <w:tabs>
          <w:tab w:val="left" w:pos="466"/>
        </w:tabs>
        <w:spacing w:line="360" w:lineRule="auto"/>
        <w:ind w:left="466" w:hanging="466"/>
        <w:jc w:val="both"/>
        <w:rPr>
          <w:rFonts w:ascii="David" w:hAnsi="David"/>
          <w:rtl/>
        </w:rPr>
      </w:pPr>
      <w:r>
        <w:rPr>
          <w:rFonts w:ascii="David" w:hAnsi="David"/>
          <w:rtl/>
        </w:rPr>
        <w:t>5.</w:t>
      </w:r>
      <w:r>
        <w:rPr>
          <w:rFonts w:ascii="David" w:hAnsi="David"/>
          <w:rtl/>
        </w:rPr>
        <w:tab/>
        <w:t>הנאשם בחר שלא להוסיף דברים נוספים מטעמו.</w:t>
      </w:r>
    </w:p>
    <w:p w14:paraId="32893B7D" w14:textId="77777777" w:rsidR="00AB6DF6" w:rsidRDefault="00AB6DF6" w:rsidP="00AB6DF6">
      <w:pPr>
        <w:tabs>
          <w:tab w:val="left" w:pos="466"/>
        </w:tabs>
        <w:spacing w:line="360" w:lineRule="auto"/>
        <w:ind w:left="466" w:hanging="466"/>
        <w:jc w:val="both"/>
        <w:rPr>
          <w:rFonts w:ascii="David" w:hAnsi="David"/>
          <w:rtl/>
        </w:rPr>
      </w:pPr>
    </w:p>
    <w:p w14:paraId="55BC0945" w14:textId="77777777" w:rsidR="00AB6DF6" w:rsidRDefault="00AB6DF6" w:rsidP="00AB6DF6">
      <w:pPr>
        <w:tabs>
          <w:tab w:val="left" w:pos="466"/>
        </w:tabs>
        <w:spacing w:line="360" w:lineRule="auto"/>
        <w:ind w:left="466" w:hanging="466"/>
        <w:jc w:val="both"/>
        <w:rPr>
          <w:rFonts w:ascii="David" w:eastAsia="Calibri" w:hAnsi="David"/>
          <w:rtl/>
        </w:rPr>
      </w:pPr>
    </w:p>
    <w:p w14:paraId="29BC7442" w14:textId="77777777" w:rsidR="00AB6DF6" w:rsidRDefault="00AB6DF6" w:rsidP="00AB6DF6">
      <w:pPr>
        <w:spacing w:line="360" w:lineRule="auto"/>
        <w:ind w:left="720" w:hanging="720"/>
        <w:jc w:val="both"/>
        <w:rPr>
          <w:rFonts w:ascii="David" w:hAnsi="David"/>
          <w:b/>
          <w:bCs/>
          <w:u w:val="single"/>
          <w:rtl/>
        </w:rPr>
      </w:pPr>
      <w:r>
        <w:rPr>
          <w:rFonts w:ascii="David" w:hAnsi="David"/>
          <w:b/>
          <w:bCs/>
          <w:u w:val="single"/>
          <w:rtl/>
        </w:rPr>
        <w:t xml:space="preserve">דיון ומסקנות </w:t>
      </w:r>
    </w:p>
    <w:p w14:paraId="3DC4D9CC" w14:textId="77777777" w:rsidR="00AB6DF6" w:rsidRDefault="00AB6DF6" w:rsidP="00AB6DF6">
      <w:pPr>
        <w:tabs>
          <w:tab w:val="left" w:pos="466"/>
        </w:tabs>
        <w:spacing w:line="360" w:lineRule="auto"/>
        <w:ind w:left="466" w:hanging="466"/>
        <w:jc w:val="both"/>
        <w:rPr>
          <w:rFonts w:ascii="David" w:hAnsi="David"/>
          <w:rtl/>
        </w:rPr>
      </w:pPr>
    </w:p>
    <w:p w14:paraId="43E44E70" w14:textId="77777777" w:rsidR="00AB6DF6" w:rsidRDefault="00AB6DF6" w:rsidP="00AB6DF6">
      <w:pPr>
        <w:tabs>
          <w:tab w:val="left" w:pos="466"/>
        </w:tabs>
        <w:spacing w:line="360" w:lineRule="auto"/>
        <w:ind w:left="466" w:hanging="466"/>
        <w:jc w:val="both"/>
        <w:rPr>
          <w:rFonts w:ascii="David" w:hAnsi="David"/>
          <w:u w:val="single"/>
          <w:rtl/>
        </w:rPr>
      </w:pPr>
      <w:r>
        <w:rPr>
          <w:rFonts w:ascii="David" w:hAnsi="David"/>
          <w:u w:val="single"/>
          <w:rtl/>
        </w:rPr>
        <w:t>קביעת מתחם הענישה ההולם</w:t>
      </w:r>
    </w:p>
    <w:p w14:paraId="28A1E4AC" w14:textId="77777777" w:rsidR="00AB6DF6" w:rsidRDefault="00AB6DF6" w:rsidP="00AB6DF6">
      <w:pPr>
        <w:tabs>
          <w:tab w:val="left" w:pos="466"/>
        </w:tabs>
        <w:spacing w:line="360" w:lineRule="auto"/>
        <w:ind w:left="466" w:hanging="466"/>
        <w:jc w:val="both"/>
        <w:rPr>
          <w:rFonts w:ascii="David" w:hAnsi="David"/>
          <w:rtl/>
        </w:rPr>
      </w:pPr>
    </w:p>
    <w:p w14:paraId="65CE66FC" w14:textId="77777777" w:rsidR="00AB6DF6" w:rsidRDefault="00AB6DF6" w:rsidP="00AB6DF6">
      <w:pPr>
        <w:tabs>
          <w:tab w:val="left" w:pos="466"/>
        </w:tabs>
        <w:spacing w:line="360" w:lineRule="auto"/>
        <w:ind w:left="466" w:hanging="466"/>
        <w:jc w:val="both"/>
        <w:rPr>
          <w:rFonts w:ascii="David" w:hAnsi="David"/>
          <w:rtl/>
        </w:rPr>
      </w:pPr>
      <w:r>
        <w:rPr>
          <w:rFonts w:ascii="David" w:hAnsi="David"/>
          <w:rtl/>
        </w:rPr>
        <w:t>6.</w:t>
      </w:r>
      <w:r>
        <w:rPr>
          <w:rFonts w:ascii="David" w:hAnsi="David"/>
          <w:rtl/>
        </w:rPr>
        <w:tab/>
        <w:t>בהתאם לתיקון 113 ל</w:t>
      </w:r>
      <w:hyperlink r:id="rId21" w:history="1">
        <w:r w:rsidR="00BF0EFD" w:rsidRPr="00BF0EFD">
          <w:rPr>
            <w:rFonts w:ascii="David" w:hAnsi="David"/>
            <w:color w:val="0000FF"/>
            <w:u w:val="single"/>
            <w:rtl/>
          </w:rPr>
          <w:t>חוק העונשין</w:t>
        </w:r>
      </w:hyperlink>
      <w:r>
        <w:rPr>
          <w:rFonts w:ascii="David" w:hAnsi="David"/>
          <w:rtl/>
        </w:rPr>
        <w:t>, נדרש יחס הולם בין חומרת מעשה העבירה בנסיבותיו ומידת אשמו של הנאשם לבין סוג ומידת העונש המוטל עליו. תחילה, אקבע את מתחם הענישה למעשה העבירות שביצע הנאשם, על בסיס שיקולים נורמטיביים ואובייקטיבים, בהתחשב בערכים החברתיים שנפגעו, מידת הפגיעה בהם, במדיניות הענישה ובנסיבות הקשורות בביצוע העבירות. לאחר מכן, אקבע את העונש המתאים לנאשם, בהתחשב בנסיבותיו, בצורך בהרתעתו ואחרים כמותו, ובכלל זה אבחן האם ראוי כי ענישת הנאשם תחרוג ממתחם הענישה (</w:t>
      </w:r>
      <w:hyperlink r:id="rId22" w:history="1">
        <w:r w:rsidR="00BF0EFD" w:rsidRPr="00BF0EFD">
          <w:rPr>
            <w:rFonts w:ascii="David" w:hAnsi="David"/>
            <w:color w:val="0000FF"/>
            <w:u w:val="single"/>
            <w:rtl/>
          </w:rPr>
          <w:t>ע"פ 2918/13</w:t>
        </w:r>
      </w:hyperlink>
      <w:r>
        <w:rPr>
          <w:rFonts w:ascii="David" w:hAnsi="David"/>
          <w:rtl/>
        </w:rPr>
        <w:t xml:space="preserve"> </w:t>
      </w:r>
      <w:r>
        <w:rPr>
          <w:rFonts w:ascii="David" w:hAnsi="David"/>
          <w:b/>
          <w:bCs/>
          <w:rtl/>
        </w:rPr>
        <w:t>דבס נ' מדינת ישראל</w:t>
      </w:r>
      <w:r>
        <w:rPr>
          <w:rFonts w:ascii="David" w:hAnsi="David"/>
          <w:rtl/>
        </w:rPr>
        <w:t xml:space="preserve"> </w:t>
      </w:r>
      <w:r w:rsidR="00C9086B" w:rsidRPr="00C9086B">
        <w:rPr>
          <w:sz w:val="22"/>
          <w:rtl/>
        </w:rPr>
        <w:t xml:space="preserve">[פורסם בנבו] </w:t>
      </w:r>
      <w:r>
        <w:rPr>
          <w:rFonts w:ascii="David" w:hAnsi="David"/>
          <w:rtl/>
        </w:rPr>
        <w:t xml:space="preserve">(18.7.2013); </w:t>
      </w:r>
      <w:hyperlink r:id="rId23" w:history="1">
        <w:r w:rsidR="00BF0EFD" w:rsidRPr="00BF0EFD">
          <w:rPr>
            <w:rFonts w:ascii="David" w:hAnsi="David"/>
            <w:color w:val="0000FF"/>
            <w:u w:val="single"/>
            <w:rtl/>
          </w:rPr>
          <w:t>ע"פ 1903/13</w:t>
        </w:r>
      </w:hyperlink>
      <w:r>
        <w:rPr>
          <w:rFonts w:ascii="David" w:hAnsi="David"/>
          <w:rtl/>
        </w:rPr>
        <w:t xml:space="preserve"> </w:t>
      </w:r>
      <w:r>
        <w:rPr>
          <w:rFonts w:ascii="David" w:hAnsi="David"/>
          <w:b/>
          <w:bCs/>
          <w:rtl/>
        </w:rPr>
        <w:t>עיאשה נ' מדינת ישראל</w:t>
      </w:r>
      <w:r>
        <w:rPr>
          <w:rFonts w:ascii="David" w:hAnsi="David"/>
          <w:rtl/>
        </w:rPr>
        <w:t xml:space="preserve"> </w:t>
      </w:r>
      <w:r w:rsidR="00C9086B" w:rsidRPr="00C9086B">
        <w:rPr>
          <w:sz w:val="22"/>
          <w:rtl/>
        </w:rPr>
        <w:t xml:space="preserve">[פורסם בנבו] </w:t>
      </w:r>
      <w:r>
        <w:rPr>
          <w:rFonts w:ascii="David" w:hAnsi="David"/>
          <w:rtl/>
        </w:rPr>
        <w:t xml:space="preserve">(14.7.2013); </w:t>
      </w:r>
      <w:hyperlink r:id="rId24" w:history="1">
        <w:r w:rsidR="00BF0EFD" w:rsidRPr="00BF0EFD">
          <w:rPr>
            <w:rFonts w:ascii="David" w:hAnsi="David"/>
            <w:color w:val="0000FF"/>
            <w:u w:val="single"/>
            <w:rtl/>
          </w:rPr>
          <w:t>ע"פ 1323/13</w:t>
        </w:r>
      </w:hyperlink>
      <w:r>
        <w:rPr>
          <w:rFonts w:ascii="David" w:hAnsi="David"/>
          <w:rtl/>
        </w:rPr>
        <w:t xml:space="preserve"> </w:t>
      </w:r>
      <w:r>
        <w:rPr>
          <w:rFonts w:ascii="David" w:hAnsi="David"/>
          <w:b/>
          <w:bCs/>
          <w:rtl/>
        </w:rPr>
        <w:t>חסן נ' מדינת ישראל</w:t>
      </w:r>
      <w:r>
        <w:rPr>
          <w:rFonts w:ascii="David" w:hAnsi="David"/>
          <w:rtl/>
        </w:rPr>
        <w:t xml:space="preserve"> </w:t>
      </w:r>
      <w:r w:rsidR="00C9086B" w:rsidRPr="00C9086B">
        <w:rPr>
          <w:sz w:val="22"/>
          <w:rtl/>
        </w:rPr>
        <w:t xml:space="preserve">[פורסם בנבו] </w:t>
      </w:r>
      <w:r>
        <w:rPr>
          <w:rFonts w:ascii="David" w:hAnsi="David"/>
          <w:rtl/>
        </w:rPr>
        <w:t>(5.6.2013)).</w:t>
      </w:r>
    </w:p>
    <w:p w14:paraId="3A51BCD8" w14:textId="77777777" w:rsidR="00AB6DF6" w:rsidRDefault="00AB6DF6" w:rsidP="00AB6DF6">
      <w:pPr>
        <w:tabs>
          <w:tab w:val="left" w:pos="466"/>
        </w:tabs>
        <w:spacing w:line="360" w:lineRule="auto"/>
        <w:ind w:left="466" w:hanging="466"/>
        <w:jc w:val="both"/>
        <w:rPr>
          <w:rFonts w:ascii="David" w:hAnsi="David"/>
          <w:rtl/>
        </w:rPr>
      </w:pPr>
    </w:p>
    <w:p w14:paraId="6CC68880" w14:textId="77777777" w:rsidR="00AB6DF6" w:rsidRDefault="00AB6DF6" w:rsidP="00AB6DF6">
      <w:pPr>
        <w:tabs>
          <w:tab w:val="left" w:pos="466"/>
        </w:tabs>
        <w:spacing w:line="360" w:lineRule="auto"/>
        <w:ind w:left="466" w:hanging="466"/>
        <w:jc w:val="both"/>
        <w:rPr>
          <w:rFonts w:ascii="David" w:hAnsi="David"/>
          <w:rtl/>
        </w:rPr>
      </w:pPr>
      <w:r>
        <w:rPr>
          <w:rFonts w:ascii="David" w:hAnsi="David"/>
          <w:rtl/>
        </w:rPr>
        <w:t>7.</w:t>
      </w:r>
      <w:r>
        <w:rPr>
          <w:rFonts w:ascii="David" w:hAnsi="David"/>
          <w:rtl/>
        </w:rPr>
        <w:tab/>
        <w:t xml:space="preserve">מתחם העונש ההולם יקבע בהתאם לעקרון ההלימה כפי שהוגדר </w:t>
      </w:r>
      <w:hyperlink r:id="rId25" w:history="1">
        <w:r w:rsidR="000A0A09" w:rsidRPr="000A0A09">
          <w:rPr>
            <w:rFonts w:ascii="David" w:hAnsi="David"/>
            <w:color w:val="0000FF"/>
            <w:u w:val="single"/>
            <w:rtl/>
          </w:rPr>
          <w:t>בסעיף 40ג(א)</w:t>
        </w:r>
      </w:hyperlink>
      <w:r>
        <w:rPr>
          <w:rFonts w:ascii="David" w:hAnsi="David"/>
          <w:rtl/>
        </w:rPr>
        <w:t xml:space="preserve"> ל</w:t>
      </w:r>
      <w:hyperlink r:id="rId26" w:history="1">
        <w:r w:rsidR="00BF0EFD" w:rsidRPr="00BF0EFD">
          <w:rPr>
            <w:rFonts w:ascii="David" w:hAnsi="David"/>
            <w:color w:val="0000FF"/>
            <w:u w:val="single"/>
            <w:rtl/>
          </w:rPr>
          <w:t>חוק העונשין</w:t>
        </w:r>
      </w:hyperlink>
      <w:r>
        <w:rPr>
          <w:rFonts w:ascii="David" w:hAnsi="David"/>
          <w:rtl/>
        </w:rPr>
        <w:t>. על מנת ליישמו אביא בחשבון את הערכים החברתיים שנפגעו ומידת הפגיעה; נסיבות הקשורות בביצוע העבירה ומידת אשמו של הנאשם ובמדיניות הענישה הנהוגה (</w:t>
      </w:r>
      <w:hyperlink r:id="rId27" w:history="1">
        <w:r w:rsidR="00BF0EFD" w:rsidRPr="00BF0EFD">
          <w:rPr>
            <w:rFonts w:ascii="David" w:hAnsi="David"/>
            <w:color w:val="0000FF"/>
            <w:u w:val="single"/>
            <w:rtl/>
          </w:rPr>
          <w:t>ע"פ 8641/12</w:t>
        </w:r>
      </w:hyperlink>
      <w:r>
        <w:rPr>
          <w:rFonts w:ascii="David" w:hAnsi="David"/>
          <w:rtl/>
        </w:rPr>
        <w:t xml:space="preserve"> </w:t>
      </w:r>
      <w:r>
        <w:rPr>
          <w:rFonts w:ascii="David" w:hAnsi="David"/>
          <w:b/>
          <w:bCs/>
          <w:rtl/>
        </w:rPr>
        <w:t>סעד נ' מדינת ישראל</w:t>
      </w:r>
      <w:r>
        <w:rPr>
          <w:rFonts w:ascii="David" w:hAnsi="David"/>
          <w:rtl/>
        </w:rPr>
        <w:t xml:space="preserve"> </w:t>
      </w:r>
      <w:r w:rsidR="00C9086B" w:rsidRPr="00C9086B">
        <w:rPr>
          <w:sz w:val="22"/>
          <w:rtl/>
        </w:rPr>
        <w:t xml:space="preserve">[פורסם בנבו] </w:t>
      </w:r>
      <w:r>
        <w:rPr>
          <w:rFonts w:ascii="David" w:hAnsi="David"/>
          <w:rtl/>
        </w:rPr>
        <w:t>(5.8.2013)).</w:t>
      </w:r>
    </w:p>
    <w:p w14:paraId="176F9522" w14:textId="77777777" w:rsidR="00AB6DF6" w:rsidRDefault="00AB6DF6" w:rsidP="00AB6DF6">
      <w:pPr>
        <w:tabs>
          <w:tab w:val="left" w:pos="466"/>
        </w:tabs>
        <w:spacing w:line="360" w:lineRule="auto"/>
        <w:ind w:left="466" w:hanging="466"/>
        <w:jc w:val="both"/>
        <w:rPr>
          <w:rFonts w:ascii="David" w:hAnsi="David"/>
          <w:rtl/>
        </w:rPr>
      </w:pPr>
    </w:p>
    <w:p w14:paraId="2EB8EBEE" w14:textId="77777777" w:rsidR="00AB6DF6" w:rsidRDefault="00AB6DF6" w:rsidP="00AB6DF6">
      <w:pPr>
        <w:tabs>
          <w:tab w:val="left" w:pos="466"/>
          <w:tab w:val="num" w:pos="720"/>
        </w:tabs>
        <w:spacing w:line="360" w:lineRule="auto"/>
        <w:ind w:left="466" w:hanging="466"/>
        <w:jc w:val="both"/>
        <w:rPr>
          <w:rFonts w:ascii="David" w:hAnsi="David"/>
          <w:rtl/>
        </w:rPr>
      </w:pPr>
      <w:r>
        <w:rPr>
          <w:rFonts w:ascii="David" w:hAnsi="David"/>
          <w:rtl/>
        </w:rPr>
        <w:t>8.</w:t>
      </w:r>
      <w:r>
        <w:rPr>
          <w:rFonts w:ascii="David" w:hAnsi="David"/>
          <w:rtl/>
        </w:rPr>
        <w:tab/>
      </w:r>
      <w:r>
        <w:rPr>
          <w:rtl/>
        </w:rPr>
        <w:t xml:space="preserve">הנאשם הורשע כאמור בעבירות של </w:t>
      </w:r>
      <w:r>
        <w:rPr>
          <w:rFonts w:ascii="David" w:hAnsi="David"/>
          <w:rtl/>
        </w:rPr>
        <w:t>החזקת סם שלא לצריכה עצמית והחזקת סם לצריכה עצמית</w:t>
      </w:r>
      <w:r>
        <w:rPr>
          <w:rtl/>
        </w:rPr>
        <w:t xml:space="preserve">. המדובר במסכת עבריינית אחת, </w:t>
      </w:r>
      <w:r>
        <w:rPr>
          <w:rFonts w:ascii="David" w:hAnsi="David"/>
          <w:rtl/>
        </w:rPr>
        <w:t xml:space="preserve">לכן אקבע מתחם ענישה הולם לאירוע, בנסיבות ביצועו, ואגזור עונש כולל לכל העבירות בשל אותו אירוע (ראו: </w:t>
      </w:r>
      <w:hyperlink r:id="rId28" w:history="1">
        <w:r w:rsidR="00BF0EFD" w:rsidRPr="00BF0EFD">
          <w:rPr>
            <w:rFonts w:ascii="David" w:hAnsi="David"/>
            <w:color w:val="0000FF"/>
            <w:u w:val="single"/>
            <w:rtl/>
          </w:rPr>
          <w:t>ע"פ 4910/13</w:t>
        </w:r>
      </w:hyperlink>
      <w:r>
        <w:rPr>
          <w:rFonts w:ascii="David" w:hAnsi="David"/>
          <w:rtl/>
        </w:rPr>
        <w:t xml:space="preserve"> </w:t>
      </w:r>
      <w:r>
        <w:rPr>
          <w:rFonts w:ascii="David" w:hAnsi="David"/>
          <w:b/>
          <w:bCs/>
          <w:rtl/>
        </w:rPr>
        <w:t>אחמד בני ג'אבר נ' מדינת ישראל</w:t>
      </w:r>
      <w:r>
        <w:rPr>
          <w:rFonts w:ascii="David" w:hAnsi="David"/>
          <w:rtl/>
        </w:rPr>
        <w:t xml:space="preserve"> </w:t>
      </w:r>
      <w:r w:rsidR="00C9086B" w:rsidRPr="00C9086B">
        <w:rPr>
          <w:sz w:val="22"/>
          <w:rtl/>
        </w:rPr>
        <w:t xml:space="preserve">[פורסם בנבו] </w:t>
      </w:r>
      <w:r>
        <w:rPr>
          <w:rFonts w:ascii="David" w:hAnsi="David"/>
          <w:rtl/>
        </w:rPr>
        <w:t xml:space="preserve">(29.10.2014); </w:t>
      </w:r>
      <w:hyperlink r:id="rId29" w:history="1">
        <w:r w:rsidR="00BF0EFD" w:rsidRPr="00BF0EFD">
          <w:rPr>
            <w:rFonts w:ascii="David" w:hAnsi="David"/>
            <w:color w:val="0000FF"/>
            <w:u w:val="single"/>
            <w:rtl/>
          </w:rPr>
          <w:t>ע"פ 2519/14</w:t>
        </w:r>
      </w:hyperlink>
      <w:r>
        <w:rPr>
          <w:rFonts w:ascii="David" w:hAnsi="David"/>
          <w:rtl/>
        </w:rPr>
        <w:t xml:space="preserve"> </w:t>
      </w:r>
      <w:r>
        <w:rPr>
          <w:rFonts w:ascii="David" w:hAnsi="David"/>
          <w:b/>
          <w:bCs/>
          <w:rtl/>
        </w:rPr>
        <w:t>ענאד אבו קיעאן נ' מדינת ישראל</w:t>
      </w:r>
      <w:r>
        <w:rPr>
          <w:rFonts w:ascii="David" w:hAnsi="David"/>
          <w:rtl/>
        </w:rPr>
        <w:t xml:space="preserve"> </w:t>
      </w:r>
      <w:r w:rsidR="00C9086B" w:rsidRPr="00C9086B">
        <w:rPr>
          <w:sz w:val="22"/>
          <w:rtl/>
        </w:rPr>
        <w:t xml:space="preserve">[פורסם בנבו] </w:t>
      </w:r>
      <w:r>
        <w:rPr>
          <w:rFonts w:ascii="David" w:hAnsi="David"/>
          <w:rtl/>
        </w:rPr>
        <w:t xml:space="preserve">(29.12.2014); </w:t>
      </w:r>
      <w:hyperlink r:id="rId30" w:history="1">
        <w:r w:rsidR="000A0A09" w:rsidRPr="000A0A09">
          <w:rPr>
            <w:rFonts w:ascii="David" w:hAnsi="David"/>
            <w:color w:val="0000FF"/>
            <w:u w:val="single"/>
            <w:rtl/>
          </w:rPr>
          <w:t>סע' 40יג(א)</w:t>
        </w:r>
      </w:hyperlink>
      <w:r>
        <w:rPr>
          <w:rFonts w:ascii="David" w:hAnsi="David"/>
          <w:rtl/>
        </w:rPr>
        <w:t xml:space="preserve"> ו-</w:t>
      </w:r>
      <w:hyperlink r:id="rId31" w:history="1">
        <w:r w:rsidR="000A0A09" w:rsidRPr="000A0A09">
          <w:rPr>
            <w:rFonts w:ascii="David" w:hAnsi="David"/>
            <w:color w:val="0000FF"/>
            <w:u w:val="single"/>
            <w:rtl/>
          </w:rPr>
          <w:t>40ג(א)</w:t>
        </w:r>
      </w:hyperlink>
      <w:r>
        <w:rPr>
          <w:rFonts w:ascii="David" w:hAnsi="David"/>
          <w:rtl/>
        </w:rPr>
        <w:t xml:space="preserve"> ל</w:t>
      </w:r>
      <w:hyperlink r:id="rId32" w:history="1">
        <w:r w:rsidR="00BF0EFD" w:rsidRPr="00BF0EFD">
          <w:rPr>
            <w:rFonts w:ascii="David" w:hAnsi="David"/>
            <w:color w:val="0000FF"/>
            <w:u w:val="single"/>
            <w:rtl/>
          </w:rPr>
          <w:t>חוק העונשין</w:t>
        </w:r>
      </w:hyperlink>
      <w:r>
        <w:rPr>
          <w:rFonts w:ascii="David" w:hAnsi="David"/>
          <w:rtl/>
        </w:rPr>
        <w:t xml:space="preserve">). </w:t>
      </w:r>
    </w:p>
    <w:p w14:paraId="073FD43E" w14:textId="77777777" w:rsidR="00AB6DF6" w:rsidRDefault="00AB6DF6" w:rsidP="00AB6DF6">
      <w:pPr>
        <w:tabs>
          <w:tab w:val="left" w:pos="466"/>
        </w:tabs>
        <w:spacing w:line="360" w:lineRule="auto"/>
        <w:ind w:left="466" w:hanging="466"/>
        <w:jc w:val="both"/>
        <w:rPr>
          <w:rFonts w:ascii="David" w:hAnsi="David"/>
          <w:rtl/>
        </w:rPr>
      </w:pPr>
    </w:p>
    <w:p w14:paraId="36BE0CA4" w14:textId="77777777" w:rsidR="00AB6DF6" w:rsidRDefault="00AB6DF6" w:rsidP="00AB6DF6">
      <w:pPr>
        <w:tabs>
          <w:tab w:val="left" w:pos="466"/>
        </w:tabs>
        <w:spacing w:line="360" w:lineRule="auto"/>
        <w:ind w:left="466" w:hanging="466"/>
        <w:jc w:val="both"/>
        <w:rPr>
          <w:highlight w:val="yellow"/>
          <w:rtl/>
        </w:rPr>
      </w:pPr>
      <w:r>
        <w:rPr>
          <w:rFonts w:ascii="David" w:hAnsi="David"/>
          <w:rtl/>
        </w:rPr>
        <w:t>9.</w:t>
      </w:r>
      <w:r>
        <w:rPr>
          <w:rFonts w:ascii="David" w:hAnsi="David"/>
          <w:rtl/>
        </w:rPr>
        <w:tab/>
      </w:r>
      <w:r>
        <w:rPr>
          <w:rFonts w:ascii="David" w:hAnsi="David"/>
          <w:b/>
          <w:bCs/>
          <w:rtl/>
        </w:rPr>
        <w:t>הערכים החברתיים שנפגעו</w:t>
      </w:r>
      <w:r>
        <w:rPr>
          <w:rFonts w:ascii="David" w:hAnsi="David"/>
          <w:rtl/>
        </w:rPr>
        <w:t xml:space="preserve">: עבירות סמים, ובכללן החזקת סמים מסוכנים שלא לצריכה עצמית והחזקת סמים מסוכנים לצריכה עצמית, לצדן קבע המחוקק עונשים מרביים של 20 שנות מאסר ו-3 שנות מאסר בהתאמה, פוגעות בערכים החברתיים של הגנה על שלום הציבור, ביטחונו ובריאותו מפני הפגיעה ההרסנית הכרוכה בשימוש באותם סמים. בנוסף לכך, יש צורך לפעול למניעת </w:t>
      </w:r>
      <w:r>
        <w:rPr>
          <w:rtl/>
        </w:rPr>
        <w:t xml:space="preserve">אותם נזקים כלכליים וחברתיים עקיפים הנגרמים עקב השימוש בסמים. ההלכה הפסוקה עמדה על ההכרח להיאבק בנגע הסמים ועל הצורך להעביר מסר מרתיע מפני ביצוע עבירות אלה, בין היתר על-ידי הטלת עונשים מחמירים על מי שנותן ידו להפיכת הסמים לזמינים ונגישים </w:t>
      </w:r>
      <w:r>
        <w:rPr>
          <w:rFonts w:ascii="David" w:hAnsi="David"/>
          <w:rtl/>
        </w:rPr>
        <w:t xml:space="preserve">(ראו למשל: </w:t>
      </w:r>
      <w:hyperlink r:id="rId33" w:history="1">
        <w:r w:rsidR="00BF0EFD" w:rsidRPr="00BF0EFD">
          <w:rPr>
            <w:rFonts w:ascii="David" w:hAnsi="David"/>
            <w:color w:val="0000FF"/>
            <w:u w:val="single"/>
            <w:rtl/>
          </w:rPr>
          <w:t>ע"פ 4998/95 מדינת ישראל נ' מיגל אוקטביו גומז-קרדוסו, פ"ד נא</w:t>
        </w:r>
      </w:hyperlink>
      <w:r>
        <w:rPr>
          <w:rFonts w:ascii="David" w:hAnsi="David"/>
          <w:rtl/>
        </w:rPr>
        <w:t xml:space="preserve">(3) 769; </w:t>
      </w:r>
      <w:hyperlink r:id="rId34" w:history="1">
        <w:r w:rsidR="00BF0EFD" w:rsidRPr="00BF0EFD">
          <w:rPr>
            <w:rFonts w:ascii="David" w:hAnsi="David"/>
            <w:color w:val="0000FF"/>
            <w:u w:val="single"/>
            <w:rtl/>
          </w:rPr>
          <w:t>ע"פ 6029/03 מדינת ישראל נ' גולן שמאי, פ"ד נח</w:t>
        </w:r>
      </w:hyperlink>
      <w:r>
        <w:rPr>
          <w:rFonts w:ascii="David" w:hAnsi="David"/>
          <w:rtl/>
        </w:rPr>
        <w:t xml:space="preserve">(2) 734, 738-739; </w:t>
      </w:r>
      <w:hyperlink r:id="rId35" w:history="1">
        <w:r w:rsidR="00BF0EFD" w:rsidRPr="00BF0EFD">
          <w:rPr>
            <w:rFonts w:ascii="David" w:hAnsi="David"/>
            <w:color w:val="0000FF"/>
            <w:u w:val="single"/>
            <w:rtl/>
          </w:rPr>
          <w:t>ע"פ 4381/05</w:t>
        </w:r>
      </w:hyperlink>
      <w:r>
        <w:rPr>
          <w:rFonts w:ascii="David" w:hAnsi="David"/>
          <w:b/>
          <w:bCs/>
          <w:rtl/>
        </w:rPr>
        <w:t xml:space="preserve"> אבו זקיקה נ' מדינת ישראל</w:t>
      </w:r>
      <w:r>
        <w:rPr>
          <w:rFonts w:ascii="David" w:hAnsi="David"/>
          <w:rtl/>
        </w:rPr>
        <w:t xml:space="preserve"> </w:t>
      </w:r>
      <w:r w:rsidR="00C9086B" w:rsidRPr="00C9086B">
        <w:rPr>
          <w:sz w:val="22"/>
          <w:rtl/>
        </w:rPr>
        <w:t xml:space="preserve">[פורסם בנבו] </w:t>
      </w:r>
      <w:r>
        <w:rPr>
          <w:rFonts w:ascii="David" w:hAnsi="David"/>
          <w:rtl/>
        </w:rPr>
        <w:t xml:space="preserve">(ניתן ביום 12.7.2006); </w:t>
      </w:r>
      <w:hyperlink r:id="rId36" w:history="1">
        <w:r w:rsidR="00BF0EFD" w:rsidRPr="00BF0EFD">
          <w:rPr>
            <w:rFonts w:ascii="David" w:hAnsi="David"/>
            <w:color w:val="0000FF"/>
            <w:u w:val="single"/>
            <w:rtl/>
          </w:rPr>
          <w:t>ע"פ 211/09</w:t>
        </w:r>
      </w:hyperlink>
      <w:r>
        <w:rPr>
          <w:rFonts w:ascii="David" w:hAnsi="David"/>
          <w:rtl/>
        </w:rPr>
        <w:t xml:space="preserve"> </w:t>
      </w:r>
      <w:r>
        <w:rPr>
          <w:rFonts w:ascii="David" w:hAnsi="David"/>
          <w:b/>
          <w:bCs/>
          <w:rtl/>
        </w:rPr>
        <w:t>אזולאי נ' מדינת ישראל</w:t>
      </w:r>
      <w:r>
        <w:rPr>
          <w:rFonts w:ascii="David" w:hAnsi="David"/>
          <w:rtl/>
        </w:rPr>
        <w:t xml:space="preserve"> </w:t>
      </w:r>
      <w:r w:rsidR="00C9086B" w:rsidRPr="00C9086B">
        <w:rPr>
          <w:sz w:val="22"/>
          <w:rtl/>
        </w:rPr>
        <w:t xml:space="preserve">[פורסם בנבו] </w:t>
      </w:r>
      <w:r>
        <w:rPr>
          <w:rFonts w:ascii="David" w:hAnsi="David"/>
          <w:rtl/>
        </w:rPr>
        <w:t>(22.6.2010))</w:t>
      </w:r>
    </w:p>
    <w:p w14:paraId="33F7B94F" w14:textId="77777777" w:rsidR="00AB6DF6" w:rsidRDefault="00AB6DF6" w:rsidP="00AB6DF6">
      <w:pPr>
        <w:tabs>
          <w:tab w:val="left" w:pos="466"/>
        </w:tabs>
        <w:spacing w:line="360" w:lineRule="auto"/>
        <w:ind w:left="466" w:hanging="466"/>
        <w:jc w:val="both"/>
        <w:rPr>
          <w:rtl/>
        </w:rPr>
      </w:pPr>
    </w:p>
    <w:p w14:paraId="418CDB59" w14:textId="77777777" w:rsidR="00AB6DF6" w:rsidRDefault="00AB6DF6" w:rsidP="00AB6DF6">
      <w:pPr>
        <w:tabs>
          <w:tab w:val="left" w:pos="466"/>
        </w:tabs>
        <w:spacing w:line="360" w:lineRule="auto"/>
        <w:ind w:left="466" w:hanging="466"/>
        <w:jc w:val="both"/>
        <w:rPr>
          <w:rFonts w:ascii="David" w:eastAsia="Calibri" w:hAnsi="David"/>
          <w:rtl/>
        </w:rPr>
      </w:pPr>
      <w:r>
        <w:rPr>
          <w:rtl/>
        </w:rPr>
        <w:tab/>
      </w:r>
      <w:r>
        <w:rPr>
          <w:rFonts w:ascii="David" w:hAnsi="David"/>
          <w:rtl/>
        </w:rPr>
        <w:t>קולמוסים רבים נשתברו זה מכבר על ידי בתי המשפט בנושא נגע הסמים והנזקים הישירים והעקיפים הכרוכים בו. עבירות הסמים הן בגדר רעה חולה שפשה בחברתנו ומחובתו של בית המשפט לתרום חלקו למיגור נגע זה באמצעות הטלת עונשים מחמירים ומרתיעים.</w:t>
      </w:r>
    </w:p>
    <w:p w14:paraId="53C7C264" w14:textId="77777777" w:rsidR="00AB6DF6" w:rsidRDefault="00AB6DF6" w:rsidP="00AB6DF6">
      <w:pPr>
        <w:tabs>
          <w:tab w:val="left" w:pos="466"/>
        </w:tabs>
        <w:spacing w:line="360" w:lineRule="auto"/>
        <w:ind w:left="466" w:hanging="466"/>
        <w:jc w:val="both"/>
        <w:rPr>
          <w:rFonts w:ascii="David" w:hAnsi="David"/>
          <w:rtl/>
        </w:rPr>
      </w:pPr>
    </w:p>
    <w:p w14:paraId="31796719" w14:textId="77777777" w:rsidR="00AB6DF6" w:rsidRDefault="00AB6DF6" w:rsidP="00AB6DF6">
      <w:pPr>
        <w:tabs>
          <w:tab w:val="left" w:pos="466"/>
        </w:tabs>
        <w:spacing w:line="360" w:lineRule="auto"/>
        <w:ind w:left="466" w:hanging="466"/>
        <w:jc w:val="both"/>
        <w:rPr>
          <w:rtl/>
        </w:rPr>
      </w:pPr>
      <w:r>
        <w:rPr>
          <w:rFonts w:ascii="David" w:hAnsi="David"/>
          <w:rtl/>
        </w:rPr>
        <w:tab/>
      </w:r>
      <w:r>
        <w:rPr>
          <w:rtl/>
        </w:rPr>
        <w:t>בתי המשפט הבהירו לא אחת את החשיבות שבמאבק בעבירות הסמים. כך למשל, ב</w:t>
      </w:r>
      <w:hyperlink r:id="rId37" w:history="1">
        <w:r w:rsidR="00BF0EFD" w:rsidRPr="00BF0EFD">
          <w:rPr>
            <w:color w:val="0000FF"/>
            <w:u w:val="single"/>
            <w:rtl/>
          </w:rPr>
          <w:t>ע"פ 211/09</w:t>
        </w:r>
      </w:hyperlink>
      <w:r>
        <w:rPr>
          <w:rtl/>
        </w:rPr>
        <w:t xml:space="preserve"> </w:t>
      </w:r>
      <w:r>
        <w:rPr>
          <w:b/>
          <w:bCs/>
          <w:rtl/>
        </w:rPr>
        <w:t>אזולאי נ' מדינת ישראל</w:t>
      </w:r>
      <w:r>
        <w:rPr>
          <w:rtl/>
        </w:rPr>
        <w:t xml:space="preserve"> </w:t>
      </w:r>
      <w:r w:rsidR="00C9086B" w:rsidRPr="00C9086B">
        <w:rPr>
          <w:sz w:val="22"/>
          <w:rtl/>
        </w:rPr>
        <w:t xml:space="preserve">[פורסם בנבו] </w:t>
      </w:r>
      <w:r>
        <w:rPr>
          <w:rtl/>
        </w:rPr>
        <w:t>(22.6.2010) פסקה כב' השופטת פרוקצ'יה את הדברים הבאים:</w:t>
      </w:r>
    </w:p>
    <w:p w14:paraId="1974EBB9" w14:textId="77777777" w:rsidR="00AB6DF6" w:rsidRDefault="00AB6DF6" w:rsidP="00AB6DF6">
      <w:pPr>
        <w:pStyle w:val="Ruller40"/>
        <w:rPr>
          <w:rtl/>
        </w:rPr>
      </w:pPr>
    </w:p>
    <w:p w14:paraId="3583D02E" w14:textId="77777777" w:rsidR="00AB6DF6" w:rsidRDefault="00AB6DF6" w:rsidP="00AB6DF6">
      <w:pPr>
        <w:spacing w:line="360" w:lineRule="auto"/>
        <w:ind w:left="608" w:right="284"/>
        <w:jc w:val="both"/>
        <w:rPr>
          <w:rFonts w:ascii="David" w:hAnsi="David"/>
          <w:b/>
          <w:bCs/>
          <w:rtl/>
        </w:rPr>
      </w:pPr>
      <w:r>
        <w:rPr>
          <w:rFonts w:ascii="David" w:hAnsi="David"/>
          <w:b/>
          <w:bCs/>
          <w:rtl/>
        </w:rPr>
        <w:t>"על חומרתה המופלגת של עבירת החזקת סמים מסוכנים שלא לצריכה</w:t>
      </w:r>
      <w:r>
        <w:rPr>
          <w:rFonts w:ascii="David" w:hAnsi="David"/>
          <w:b/>
          <w:bCs/>
        </w:rPr>
        <w:t xml:space="preserve"> </w:t>
      </w:r>
      <w:r>
        <w:rPr>
          <w:rFonts w:ascii="David" w:hAnsi="David"/>
          <w:b/>
          <w:bCs/>
          <w:rtl/>
        </w:rPr>
        <w:t>עצמית אין צורך להכביר מילים, ולא כל שכן כך הוא כאשר מדובר</w:t>
      </w:r>
      <w:r>
        <w:rPr>
          <w:rFonts w:ascii="David" w:hAnsi="David"/>
          <w:b/>
          <w:bCs/>
        </w:rPr>
        <w:t xml:space="preserve"> </w:t>
      </w:r>
      <w:r>
        <w:rPr>
          <w:rFonts w:ascii="David" w:hAnsi="David"/>
          <w:b/>
          <w:bCs/>
          <w:rtl/>
        </w:rPr>
        <w:t>בכמות כה גדולה של סמים מסוג זה. הענישה בעבירות מסוג זה נועדה, קודם לכל, לשרת את</w:t>
      </w:r>
      <w:r>
        <w:rPr>
          <w:rFonts w:ascii="David" w:hAnsi="David"/>
          <w:b/>
          <w:bCs/>
        </w:rPr>
        <w:t xml:space="preserve"> </w:t>
      </w:r>
      <w:r>
        <w:rPr>
          <w:rFonts w:ascii="David" w:hAnsi="David"/>
          <w:b/>
          <w:bCs/>
          <w:rtl/>
        </w:rPr>
        <w:t>מטרת הגמול לעבריין על עיסוק בסם העלול לסכן חיי אדם ולפגוע בבריאות המשתמשים בו; שנית, על העונש להעביר מסר חד-משמעי של הרתעה ביחס לעבריינים פוטנציאליים, ולשמש</w:t>
      </w:r>
      <w:r>
        <w:rPr>
          <w:rFonts w:ascii="David" w:hAnsi="David"/>
          <w:b/>
          <w:bCs/>
        </w:rPr>
        <w:t xml:space="preserve"> </w:t>
      </w:r>
      <w:r>
        <w:rPr>
          <w:rFonts w:ascii="David" w:hAnsi="David"/>
          <w:b/>
          <w:bCs/>
          <w:rtl/>
        </w:rPr>
        <w:t>אות אזהרה אפקטיבי לכל מי שמתכוון לקחת חלק במערכת ההעברות והסחר בסמים, תהא אשר</w:t>
      </w:r>
      <w:r>
        <w:rPr>
          <w:rFonts w:ascii="David" w:hAnsi="David"/>
          <w:b/>
          <w:bCs/>
        </w:rPr>
        <w:t xml:space="preserve"> </w:t>
      </w:r>
      <w:r>
        <w:rPr>
          <w:rFonts w:ascii="David" w:hAnsi="David"/>
          <w:b/>
          <w:bCs/>
          <w:rtl/>
        </w:rPr>
        <w:t>תהא הפונקציה אותה הוא ממלא בשרשרת זו של העברת הסם מיד ליד. מזה זמן רב, מדגישים</w:t>
      </w:r>
      <w:r>
        <w:rPr>
          <w:rFonts w:ascii="David" w:hAnsi="David"/>
          <w:b/>
          <w:bCs/>
        </w:rPr>
        <w:t xml:space="preserve"> </w:t>
      </w:r>
      <w:r>
        <w:rPr>
          <w:rFonts w:ascii="David" w:hAnsi="David"/>
          <w:b/>
          <w:bCs/>
          <w:rtl/>
        </w:rPr>
        <w:t>בתי המשפט בפסיקתם את חשיבות הערך הענישתי בעבירות סמים כאחד הכלים החשובים</w:t>
      </w:r>
      <w:r>
        <w:rPr>
          <w:rFonts w:ascii="David" w:hAnsi="David"/>
          <w:b/>
          <w:bCs/>
        </w:rPr>
        <w:t xml:space="preserve"> </w:t>
      </w:r>
      <w:r>
        <w:rPr>
          <w:rFonts w:ascii="David" w:hAnsi="David"/>
          <w:b/>
          <w:bCs/>
          <w:rtl/>
        </w:rPr>
        <w:t>בפעילות לביעורו של נגע הסמים. ההחמרה בענישה בגין עבירות סמים משרתת את מטרות</w:t>
      </w:r>
      <w:r>
        <w:rPr>
          <w:rFonts w:ascii="David" w:hAnsi="David"/>
          <w:b/>
          <w:bCs/>
        </w:rPr>
        <w:t xml:space="preserve"> </w:t>
      </w:r>
      <w:r>
        <w:rPr>
          <w:rFonts w:ascii="David" w:hAnsi="David"/>
          <w:b/>
          <w:bCs/>
          <w:rtl/>
        </w:rPr>
        <w:t>הגמול וההרתעה, שהן היעדים העיקריים של הענישה בתחום הסמים."</w:t>
      </w:r>
    </w:p>
    <w:p w14:paraId="1CD6427D" w14:textId="77777777" w:rsidR="00AB6DF6" w:rsidRDefault="00AB6DF6" w:rsidP="00AB6DF6">
      <w:pPr>
        <w:pStyle w:val="Ruller5"/>
        <w:rPr>
          <w:rFonts w:ascii="David" w:hAnsi="David" w:cs="David"/>
          <w:b/>
          <w:bCs/>
          <w:sz w:val="24"/>
          <w:szCs w:val="24"/>
          <w:rtl/>
        </w:rPr>
      </w:pPr>
    </w:p>
    <w:p w14:paraId="62C17DB7" w14:textId="77777777" w:rsidR="00AB6DF6" w:rsidRDefault="00AB6DF6" w:rsidP="00AB6DF6">
      <w:pPr>
        <w:tabs>
          <w:tab w:val="left" w:pos="466"/>
        </w:tabs>
        <w:spacing w:line="360" w:lineRule="auto"/>
        <w:ind w:left="466" w:hanging="466"/>
        <w:jc w:val="both"/>
        <w:rPr>
          <w:rFonts w:ascii="David" w:hAnsi="David"/>
          <w:rtl/>
        </w:rPr>
      </w:pPr>
    </w:p>
    <w:p w14:paraId="3400BA2F" w14:textId="77777777" w:rsidR="00AB6DF6" w:rsidRDefault="00AB6DF6" w:rsidP="00AB6DF6">
      <w:pPr>
        <w:tabs>
          <w:tab w:val="left" w:pos="466"/>
        </w:tabs>
        <w:spacing w:line="360" w:lineRule="auto"/>
        <w:ind w:left="466" w:hanging="466"/>
        <w:jc w:val="both"/>
        <w:rPr>
          <w:rFonts w:ascii="David" w:hAnsi="David"/>
          <w:rtl/>
        </w:rPr>
      </w:pPr>
      <w:r>
        <w:rPr>
          <w:rFonts w:ascii="David" w:hAnsi="David"/>
          <w:rtl/>
        </w:rPr>
        <w:tab/>
        <w:t xml:space="preserve">ראו עוד בעניין זה </w:t>
      </w:r>
      <w:r>
        <w:rPr>
          <w:rtl/>
        </w:rPr>
        <w:t xml:space="preserve">דברי כב' השופט א. רובינשטיין </w:t>
      </w:r>
      <w:r>
        <w:rPr>
          <w:rFonts w:ascii="David" w:hAnsi="David"/>
          <w:rtl/>
        </w:rPr>
        <w:t>ב</w:t>
      </w:r>
      <w:hyperlink r:id="rId38" w:history="1">
        <w:r w:rsidR="00BF0EFD" w:rsidRPr="00BF0EFD">
          <w:rPr>
            <w:rFonts w:ascii="David" w:hAnsi="David"/>
            <w:color w:val="0000FF"/>
            <w:u w:val="single"/>
            <w:rtl/>
          </w:rPr>
          <w:t>ע"פ 1345/08</w:t>
        </w:r>
      </w:hyperlink>
      <w:r>
        <w:rPr>
          <w:rFonts w:ascii="David" w:hAnsi="David"/>
          <w:rtl/>
        </w:rPr>
        <w:t xml:space="preserve"> </w:t>
      </w:r>
      <w:r>
        <w:rPr>
          <w:rFonts w:ascii="David" w:hAnsi="David"/>
          <w:b/>
          <w:bCs/>
          <w:rtl/>
        </w:rPr>
        <w:t>ארקדי איסטרחוב נ' מדינת ישראל</w:t>
      </w:r>
      <w:r w:rsidR="00C9086B" w:rsidRPr="00C9086B">
        <w:rPr>
          <w:sz w:val="22"/>
          <w:rtl/>
        </w:rPr>
        <w:t xml:space="preserve">[פורסם בנבו] </w:t>
      </w:r>
      <w:r>
        <w:rPr>
          <w:rFonts w:ascii="David" w:hAnsi="David"/>
          <w:rtl/>
        </w:rPr>
        <w:t xml:space="preserve"> (18.5.2009):</w:t>
      </w:r>
    </w:p>
    <w:p w14:paraId="1AF37BB6" w14:textId="77777777" w:rsidR="00AB6DF6" w:rsidRDefault="00AB6DF6" w:rsidP="00AB6DF6">
      <w:pPr>
        <w:tabs>
          <w:tab w:val="left" w:pos="608"/>
        </w:tabs>
        <w:spacing w:line="360" w:lineRule="auto"/>
        <w:ind w:left="608" w:hanging="608"/>
        <w:jc w:val="both"/>
        <w:rPr>
          <w:rFonts w:ascii="David" w:hAnsi="David"/>
          <w:rtl/>
        </w:rPr>
      </w:pPr>
    </w:p>
    <w:p w14:paraId="09DDB868" w14:textId="77777777" w:rsidR="00AB6DF6" w:rsidRDefault="00AB6DF6" w:rsidP="00AB6DF6">
      <w:pPr>
        <w:spacing w:line="360" w:lineRule="auto"/>
        <w:ind w:left="608" w:right="284"/>
        <w:jc w:val="both"/>
        <w:rPr>
          <w:rFonts w:ascii="David" w:hAnsi="David"/>
          <w:rtl/>
        </w:rPr>
      </w:pPr>
      <w:r>
        <w:rPr>
          <w:rFonts w:ascii="David" w:hAnsi="David"/>
          <w:b/>
          <w:bCs/>
          <w:rtl/>
        </w:rPr>
        <w:t xml:space="preserve">"אין מנוס מהכבדת היד על המחזיקים סמים שלא לצריכה עצמית, שכל בר דעת מבין כי נועדו לצריכת </w:t>
      </w:r>
      <w:r>
        <w:rPr>
          <w:b/>
          <w:bCs/>
          <w:rtl/>
        </w:rPr>
        <w:t>הזולת</w:t>
      </w:r>
      <w:r>
        <w:rPr>
          <w:rFonts w:ascii="David" w:hAnsi="David"/>
          <w:b/>
          <w:bCs/>
          <w:rtl/>
        </w:rPr>
        <w:t xml:space="preserve">, </w:t>
      </w:r>
      <w:r>
        <w:rPr>
          <w:b/>
          <w:bCs/>
          <w:rtl/>
        </w:rPr>
        <w:t>קרי, להוספת שמן על מדורת הסמים אשר להבותיה אופפות רבים וטובים, או רבים שהיו טובי</w:t>
      </w:r>
      <w:r>
        <w:rPr>
          <w:rFonts w:ascii="David" w:hAnsi="David"/>
          <w:b/>
          <w:bCs/>
          <w:rtl/>
        </w:rPr>
        <w:t>ם. עבירה זו היא תאומתה הסטטוטורית של עבירת הסחר בסמים, אלא שלא ניתן להוכיח לגביה את הסחר עצמו, ונקבע לשתיהן עונש זהה, עונש מירבי של עשרים שנות מאסר וקנס פי עשרים וחמישה מזה הקבוע בסעיף 61(א)(4) ל</w:t>
      </w:r>
      <w:hyperlink r:id="rId39" w:history="1">
        <w:r w:rsidR="00BF0EFD" w:rsidRPr="00BF0EFD">
          <w:rPr>
            <w:rFonts w:ascii="David" w:hAnsi="David"/>
            <w:b/>
            <w:bCs/>
            <w:color w:val="0000FF"/>
            <w:u w:val="single"/>
            <w:rtl/>
          </w:rPr>
          <w:t>חוק העונשין</w:t>
        </w:r>
      </w:hyperlink>
      <w:r>
        <w:rPr>
          <w:rFonts w:ascii="David" w:hAnsi="David"/>
          <w:b/>
          <w:bCs/>
          <w:rtl/>
        </w:rPr>
        <w:t>, העומד כיום על 202,000 ₪... יידעו המעורבים בסמים שלא לצריכה עצמית, כי יד המשפט תכבד עליהם".</w:t>
      </w:r>
    </w:p>
    <w:p w14:paraId="19F8259B" w14:textId="77777777" w:rsidR="00AB6DF6" w:rsidRDefault="00AB6DF6" w:rsidP="00AB6DF6">
      <w:pPr>
        <w:spacing w:line="360" w:lineRule="auto"/>
        <w:ind w:left="608" w:right="284"/>
        <w:jc w:val="both"/>
        <w:rPr>
          <w:rFonts w:ascii="David" w:hAnsi="David"/>
          <w:rtl/>
        </w:rPr>
      </w:pPr>
    </w:p>
    <w:p w14:paraId="5FC76B25" w14:textId="77777777" w:rsidR="00AB6DF6" w:rsidRDefault="00AB6DF6" w:rsidP="00AB6DF6">
      <w:pPr>
        <w:tabs>
          <w:tab w:val="left" w:pos="466"/>
        </w:tabs>
        <w:spacing w:line="360" w:lineRule="auto"/>
        <w:ind w:left="466" w:hanging="466"/>
        <w:jc w:val="both"/>
        <w:rPr>
          <w:rFonts w:ascii="David" w:hAnsi="David"/>
          <w:rtl/>
        </w:rPr>
      </w:pPr>
      <w:r>
        <w:rPr>
          <w:rtl/>
        </w:rPr>
        <w:tab/>
        <w:t>וראו גם דברי כב' השופט א. שהם ב</w:t>
      </w:r>
      <w:hyperlink r:id="rId40" w:history="1">
        <w:r w:rsidR="00BF0EFD" w:rsidRPr="00BF0EFD">
          <w:rPr>
            <w:color w:val="0000FF"/>
            <w:u w:val="single"/>
            <w:rtl/>
          </w:rPr>
          <w:t>רע"פ 4512/15</w:t>
        </w:r>
      </w:hyperlink>
      <w:r>
        <w:rPr>
          <w:rtl/>
        </w:rPr>
        <w:t xml:space="preserve"> </w:t>
      </w:r>
      <w:r>
        <w:rPr>
          <w:b/>
          <w:bCs/>
          <w:rtl/>
        </w:rPr>
        <w:t>אברהם הרוש נ' מדינת ישראל</w:t>
      </w:r>
      <w:r>
        <w:rPr>
          <w:rtl/>
        </w:rPr>
        <w:t xml:space="preserve"> </w:t>
      </w:r>
      <w:r w:rsidR="00C9086B" w:rsidRPr="00C9086B">
        <w:rPr>
          <w:sz w:val="22"/>
          <w:rtl/>
        </w:rPr>
        <w:t xml:space="preserve">[פורסם בנבו] </w:t>
      </w:r>
      <w:r>
        <w:rPr>
          <w:rtl/>
        </w:rPr>
        <w:t xml:space="preserve">(6.7.2015): </w:t>
      </w:r>
    </w:p>
    <w:p w14:paraId="0066615B" w14:textId="77777777" w:rsidR="00AB6DF6" w:rsidRDefault="00AB6DF6" w:rsidP="00AB6DF6">
      <w:pPr>
        <w:spacing w:line="360" w:lineRule="auto"/>
        <w:ind w:right="284"/>
        <w:jc w:val="both"/>
        <w:rPr>
          <w:rtl/>
        </w:rPr>
      </w:pPr>
    </w:p>
    <w:p w14:paraId="72B19DA6" w14:textId="77777777" w:rsidR="00AB6DF6" w:rsidRDefault="00AB6DF6" w:rsidP="00AB6DF6">
      <w:pPr>
        <w:spacing w:line="360" w:lineRule="auto"/>
        <w:ind w:left="608" w:right="284"/>
        <w:jc w:val="both"/>
        <w:rPr>
          <w:b/>
          <w:bCs/>
          <w:rtl/>
        </w:rPr>
      </w:pPr>
      <w:r>
        <w:rPr>
          <w:b/>
          <w:bCs/>
          <w:rtl/>
        </w:rPr>
        <w:t>"ראוי להזכיר, כי כאשר בעבירות סמים עסקינן, על בית המשפט לנקוט ביד קשה כדי להרתיע עבריינים פוטנציאליים מפני ביצוען. כפי שנאמר ב</w:t>
      </w:r>
      <w:hyperlink r:id="rId41" w:history="1">
        <w:r w:rsidR="00BF0EFD" w:rsidRPr="00BF0EFD">
          <w:rPr>
            <w:b/>
            <w:bCs/>
            <w:color w:val="0000FF"/>
            <w:u w:val="single"/>
            <w:rtl/>
          </w:rPr>
          <w:t>ע"פ 211/09</w:t>
        </w:r>
      </w:hyperlink>
      <w:r>
        <w:rPr>
          <w:b/>
          <w:bCs/>
          <w:rtl/>
        </w:rPr>
        <w:t xml:space="preserve"> אזולאי נ' מדינת ישראל </w:t>
      </w:r>
      <w:r w:rsidR="00C9086B" w:rsidRPr="00C9086B">
        <w:rPr>
          <w:b/>
          <w:bCs/>
          <w:sz w:val="22"/>
          <w:rtl/>
        </w:rPr>
        <w:t xml:space="preserve">[פורסם בנבו] </w:t>
      </w:r>
      <w:r>
        <w:rPr>
          <w:b/>
          <w:bCs/>
          <w:rtl/>
        </w:rPr>
        <w:t xml:space="preserve">(22.6.2010): 'הענישה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 מזה זמן רב, מדגישים בתי המשפט בפסיקתם את חשיבות הערך הענישתי בעבירות סמים כאחד הכלים החשובים בפעילות לביעורו של נגע הסמים. ההחמרה בענישה בגין עבירות סמים משרתת את מטרות הגמול וההרתעה, שהן היעדים העיקריים של הענישה בתחום הסמים' (ראו גם: </w:t>
      </w:r>
      <w:hyperlink r:id="rId42" w:history="1">
        <w:r w:rsidR="00BF0EFD" w:rsidRPr="00BF0EFD">
          <w:rPr>
            <w:b/>
            <w:bCs/>
            <w:color w:val="0000FF"/>
            <w:u w:val="single"/>
            <w:rtl/>
          </w:rPr>
          <w:t>ע"פ 3623/13</w:t>
        </w:r>
      </w:hyperlink>
      <w:r>
        <w:rPr>
          <w:b/>
          <w:bCs/>
          <w:rtl/>
        </w:rPr>
        <w:t xml:space="preserve"> ברון נ' מדינת ישראל </w:t>
      </w:r>
      <w:r w:rsidR="00C9086B" w:rsidRPr="00C9086B">
        <w:rPr>
          <w:b/>
          <w:bCs/>
          <w:sz w:val="22"/>
          <w:rtl/>
        </w:rPr>
        <w:t xml:space="preserve">[פורסם בנבו] </w:t>
      </w:r>
      <w:r>
        <w:rPr>
          <w:b/>
          <w:bCs/>
          <w:rtl/>
        </w:rPr>
        <w:t xml:space="preserve">(26.11.2014); </w:t>
      </w:r>
      <w:hyperlink r:id="rId43" w:history="1">
        <w:r w:rsidR="00BF0EFD" w:rsidRPr="00BF0EFD">
          <w:rPr>
            <w:b/>
            <w:bCs/>
            <w:color w:val="0000FF"/>
            <w:u w:val="single"/>
            <w:rtl/>
          </w:rPr>
          <w:t>ע"פ 4597/13</w:t>
        </w:r>
      </w:hyperlink>
      <w:r>
        <w:rPr>
          <w:b/>
          <w:bCs/>
          <w:rtl/>
        </w:rPr>
        <w:t xml:space="preserve"> פיצו נ' מדינת ישראל </w:t>
      </w:r>
      <w:r w:rsidR="00C9086B" w:rsidRPr="00C9086B">
        <w:rPr>
          <w:b/>
          <w:bCs/>
          <w:sz w:val="22"/>
          <w:rtl/>
        </w:rPr>
        <w:t xml:space="preserve">[פורסם בנבו] </w:t>
      </w:r>
      <w:r>
        <w:rPr>
          <w:b/>
          <w:bCs/>
          <w:rtl/>
        </w:rPr>
        <w:t>(22.9.2014))".</w:t>
      </w:r>
    </w:p>
    <w:p w14:paraId="22F9CEFC" w14:textId="77777777" w:rsidR="00AB6DF6" w:rsidRDefault="00AB6DF6" w:rsidP="00AB6DF6">
      <w:pPr>
        <w:spacing w:line="360" w:lineRule="auto"/>
        <w:ind w:right="284"/>
        <w:jc w:val="both"/>
        <w:rPr>
          <w:b/>
          <w:bCs/>
          <w:rtl/>
        </w:rPr>
      </w:pPr>
    </w:p>
    <w:p w14:paraId="64866E24" w14:textId="77777777" w:rsidR="00AB6DF6" w:rsidRDefault="00AB6DF6" w:rsidP="00AB6DF6">
      <w:pPr>
        <w:tabs>
          <w:tab w:val="left" w:pos="466"/>
        </w:tabs>
        <w:spacing w:line="360" w:lineRule="auto"/>
        <w:ind w:left="466" w:hanging="466"/>
        <w:jc w:val="both"/>
        <w:rPr>
          <w:rtl/>
        </w:rPr>
      </w:pPr>
      <w:r>
        <w:rPr>
          <w:rtl/>
        </w:rPr>
        <w:tab/>
        <w:t>וכן ראו ב</w:t>
      </w:r>
      <w:hyperlink r:id="rId44" w:history="1">
        <w:r w:rsidR="00BF0EFD" w:rsidRPr="00BF0EFD">
          <w:rPr>
            <w:color w:val="0000FF"/>
            <w:u w:val="single"/>
            <w:rtl/>
          </w:rPr>
          <w:t>ע"פ 6029/03 מדינת ישראל נ' גולן שמאי, פ"ד נח</w:t>
        </w:r>
      </w:hyperlink>
      <w:r>
        <w:rPr>
          <w:rtl/>
        </w:rPr>
        <w:t xml:space="preserve">(2) 734,  שם נקבע: </w:t>
      </w:r>
    </w:p>
    <w:p w14:paraId="143C37B1" w14:textId="77777777" w:rsidR="00AB6DF6" w:rsidRDefault="00AB6DF6" w:rsidP="00AB6DF6">
      <w:pPr>
        <w:spacing w:line="360" w:lineRule="auto"/>
        <w:ind w:right="284"/>
        <w:jc w:val="both"/>
        <w:rPr>
          <w:b/>
          <w:bCs/>
          <w:rtl/>
        </w:rPr>
      </w:pPr>
    </w:p>
    <w:p w14:paraId="65314842" w14:textId="77777777" w:rsidR="00AB6DF6" w:rsidRDefault="00AB6DF6" w:rsidP="00AB6DF6">
      <w:pPr>
        <w:spacing w:line="360" w:lineRule="auto"/>
        <w:ind w:left="608" w:right="284"/>
        <w:jc w:val="both"/>
        <w:rPr>
          <w:b/>
          <w:bCs/>
          <w:rtl/>
        </w:rPr>
      </w:pPr>
      <w:r>
        <w:rPr>
          <w:b/>
          <w:bCs/>
          <w:rtl/>
        </w:rPr>
        <w:t xml:space="preserve">"נגע הסמים אוכל באוכלוסיה שלנו בכל פה, והחברה הכריזה עליו מלחמת חורמה ומצפה שהעונשים שיגזרו ע"י בתי המשפט בשל עבירות סמים ישתלבו במאבק הכולל להדברת הנגע..." </w:t>
      </w:r>
    </w:p>
    <w:p w14:paraId="2EADE657" w14:textId="77777777" w:rsidR="00AB6DF6" w:rsidRDefault="00AB6DF6" w:rsidP="00AB6DF6">
      <w:pPr>
        <w:spacing w:line="360" w:lineRule="auto"/>
        <w:ind w:right="284"/>
        <w:jc w:val="both"/>
        <w:rPr>
          <w:b/>
          <w:bCs/>
          <w:rtl/>
        </w:rPr>
      </w:pPr>
    </w:p>
    <w:p w14:paraId="606A73B1" w14:textId="77777777" w:rsidR="00AB6DF6" w:rsidRDefault="00AB6DF6" w:rsidP="00AB6DF6">
      <w:pPr>
        <w:tabs>
          <w:tab w:val="left" w:pos="466"/>
        </w:tabs>
        <w:spacing w:line="360" w:lineRule="auto"/>
        <w:ind w:left="466" w:hanging="466"/>
        <w:jc w:val="both"/>
        <w:rPr>
          <w:rFonts w:ascii="David" w:hAnsi="David"/>
          <w:rtl/>
        </w:rPr>
      </w:pPr>
      <w:r>
        <w:rPr>
          <w:rFonts w:ascii="David" w:hAnsi="David"/>
          <w:rtl/>
        </w:rPr>
        <w:t>10.</w:t>
      </w:r>
      <w:r>
        <w:rPr>
          <w:rFonts w:ascii="David" w:hAnsi="David"/>
          <w:rtl/>
        </w:rPr>
        <w:tab/>
        <w:t xml:space="preserve">במקרה דנן, </w:t>
      </w:r>
      <w:r>
        <w:rPr>
          <w:rFonts w:ascii="David" w:hAnsi="David"/>
          <w:b/>
          <w:bCs/>
          <w:rtl/>
        </w:rPr>
        <w:t>מידת הפגיעה בערכים המוגנים</w:t>
      </w:r>
      <w:r>
        <w:rPr>
          <w:rFonts w:ascii="David" w:hAnsi="David"/>
          <w:rtl/>
        </w:rPr>
        <w:t xml:space="preserve"> הינה ברף גבוה. בעת קביעת מתחם העונש ההולם יש לתן את הדעת לסוג העבירות (החזקת סם שלא לצריכה עצמית ולצריכה עצמית), סוג הסם (הרואין וקוקאין) וכמות הסם (101.464 גרם נטו הרואין; 8.2272 גרם נטו קוקאין, כשהם מחולקים למנות; והרואין במשקל של 0.4334 גרם נטו לצריכה עצמית). הנה כי כן, המדובר בסמים הנמנים על הסמים הקשים מבין הסמים המסוכנים, בכמות גדולה, שלבטח אינה לצריכה עצמית, בעת שהנאשם החזיק באותם סמים כשהם מחולקים למנות, דבר העשוי להצביע לכאורה על כוונת סחר או הספקה. </w:t>
      </w:r>
    </w:p>
    <w:p w14:paraId="6EE53034" w14:textId="77777777" w:rsidR="00AB6DF6" w:rsidRDefault="00AB6DF6" w:rsidP="00AB6DF6">
      <w:pPr>
        <w:tabs>
          <w:tab w:val="left" w:pos="466"/>
        </w:tabs>
        <w:spacing w:line="360" w:lineRule="auto"/>
        <w:ind w:left="466" w:hanging="466"/>
        <w:jc w:val="both"/>
        <w:rPr>
          <w:rFonts w:ascii="David" w:hAnsi="David"/>
          <w:rtl/>
        </w:rPr>
      </w:pPr>
    </w:p>
    <w:p w14:paraId="69773219" w14:textId="77777777" w:rsidR="00AB6DF6" w:rsidRDefault="00AB6DF6" w:rsidP="00AB6DF6">
      <w:pPr>
        <w:tabs>
          <w:tab w:val="left" w:pos="466"/>
        </w:tabs>
        <w:spacing w:line="360" w:lineRule="auto"/>
        <w:ind w:left="466" w:hanging="466"/>
        <w:jc w:val="both"/>
        <w:rPr>
          <w:rFonts w:ascii="David" w:hAnsi="David"/>
          <w:rtl/>
        </w:rPr>
      </w:pPr>
      <w:r>
        <w:rPr>
          <w:rFonts w:ascii="David" w:hAnsi="David"/>
          <w:rtl/>
        </w:rPr>
        <w:t>11.</w:t>
      </w:r>
      <w:r>
        <w:rPr>
          <w:rFonts w:ascii="David" w:hAnsi="David"/>
          <w:rtl/>
        </w:rPr>
        <w:tab/>
        <w:t xml:space="preserve">בבחינת </w:t>
      </w:r>
      <w:r>
        <w:rPr>
          <w:rFonts w:ascii="David" w:hAnsi="David"/>
          <w:b/>
          <w:bCs/>
          <w:rtl/>
        </w:rPr>
        <w:t>נסיבות הקשורות בביצוע העבירה</w:t>
      </w:r>
      <w:r>
        <w:rPr>
          <w:rFonts w:ascii="David" w:hAnsi="David"/>
          <w:rtl/>
        </w:rPr>
        <w:t xml:space="preserve"> (</w:t>
      </w:r>
      <w:hyperlink r:id="rId45" w:history="1">
        <w:r w:rsidR="000A0A09" w:rsidRPr="000A0A09">
          <w:rPr>
            <w:rFonts w:ascii="David" w:hAnsi="David"/>
            <w:color w:val="0000FF"/>
            <w:u w:val="single"/>
            <w:rtl/>
          </w:rPr>
          <w:t>סעיף 40(ט)</w:t>
        </w:r>
      </w:hyperlink>
      <w:r>
        <w:rPr>
          <w:rFonts w:ascii="David" w:hAnsi="David"/>
          <w:rtl/>
        </w:rPr>
        <w:t xml:space="preserve"> ל</w:t>
      </w:r>
      <w:hyperlink r:id="rId46" w:history="1">
        <w:r w:rsidR="00BF0EFD" w:rsidRPr="00BF0EFD">
          <w:rPr>
            <w:rFonts w:ascii="David" w:hAnsi="David"/>
            <w:color w:val="0000FF"/>
            <w:u w:val="single"/>
            <w:rtl/>
          </w:rPr>
          <w:t>חוק העונשין</w:t>
        </w:r>
      </w:hyperlink>
      <w:r>
        <w:rPr>
          <w:rFonts w:ascii="David" w:hAnsi="David"/>
          <w:rtl/>
        </w:rPr>
        <w:t xml:space="preserve">), נתתי דעתי לסוגי הסם, הרואין וקוקאין, שהינם כאמור מהמסוכנים שמבין הסמים האסורים, לכמות הגדולה של הסם שהוחזקה על ידי הנאשם, אופן החזקתו במנות, ולכך שלא נשמעה סיבה המשמשת לזכותו. </w:t>
      </w:r>
      <w:r>
        <w:rPr>
          <w:rtl/>
        </w:rPr>
        <w:t xml:space="preserve">הנזק שהיה צפוי להיגרם מביצוע העבירות מתבטא בפגיעה ביחיד ובחברה מהפצת ושימוש בסמים, וההשלכות הבריאותיות והכלכליות הכרוכות בכך, לרבות פוטנציאל לביצוע עבירות רכוש, כתוצאה מהתמכרות לסמים והצורך לממנם. עם זאת, לא ניכר כי במקרה דנא נגרם נזק בפועל. לא נשמעו סיבות לזכות הנאשם, קשיי קליטתו בארץ אינם מצדיקים את ביצוע העבירות. </w:t>
      </w:r>
      <w:r>
        <w:rPr>
          <w:rFonts w:ascii="David" w:hAnsi="David"/>
          <w:rtl/>
        </w:rPr>
        <w:t xml:space="preserve">מצוקותיו האישיות של הנאשם שיכול ועמדו בבסיס מעשיו, אינן צריכות לגרוע מהביטחון הנדרש לציבור, המבקש להיות מוגן מפני פגיעתם הקשה של סמים מסוכנים. הנאשם יכל להימנע ממעשיו ומידת שליטתו בהם הייתה מלאה ואין הוא קרוב לסייג אחריות פלילית. </w:t>
      </w:r>
    </w:p>
    <w:p w14:paraId="1CC9E8FD" w14:textId="77777777" w:rsidR="00AB6DF6" w:rsidRDefault="00AB6DF6" w:rsidP="00AB6DF6">
      <w:pPr>
        <w:tabs>
          <w:tab w:val="left" w:pos="466"/>
        </w:tabs>
        <w:spacing w:line="360" w:lineRule="auto"/>
        <w:ind w:left="466" w:hanging="466"/>
        <w:jc w:val="both"/>
        <w:rPr>
          <w:rFonts w:ascii="David" w:hAnsi="David"/>
          <w:rtl/>
        </w:rPr>
      </w:pPr>
    </w:p>
    <w:p w14:paraId="08FBE7B6" w14:textId="77777777" w:rsidR="00AB6DF6" w:rsidRDefault="00AB6DF6" w:rsidP="00AB6DF6">
      <w:pPr>
        <w:tabs>
          <w:tab w:val="left" w:pos="466"/>
        </w:tabs>
        <w:spacing w:line="360" w:lineRule="auto"/>
        <w:ind w:left="466" w:hanging="466"/>
        <w:jc w:val="both"/>
        <w:rPr>
          <w:rFonts w:ascii="David" w:hAnsi="David"/>
          <w:rtl/>
        </w:rPr>
      </w:pPr>
    </w:p>
    <w:p w14:paraId="42F4F4A1" w14:textId="77777777" w:rsidR="00AB6DF6" w:rsidRDefault="00AB6DF6" w:rsidP="00AB6DF6">
      <w:pPr>
        <w:tabs>
          <w:tab w:val="left" w:pos="466"/>
        </w:tabs>
        <w:spacing w:line="360" w:lineRule="auto"/>
        <w:ind w:left="466" w:hanging="466"/>
        <w:jc w:val="both"/>
        <w:rPr>
          <w:rFonts w:ascii="Calibri" w:hAnsi="Calibri"/>
          <w:rtl/>
        </w:rPr>
      </w:pPr>
      <w:r>
        <w:rPr>
          <w:rFonts w:ascii="David" w:hAnsi="David"/>
          <w:rtl/>
        </w:rPr>
        <w:t>12.</w:t>
      </w:r>
      <w:r>
        <w:rPr>
          <w:rFonts w:ascii="David" w:hAnsi="David"/>
          <w:rtl/>
        </w:rPr>
        <w:tab/>
      </w:r>
      <w:r>
        <w:rPr>
          <w:rFonts w:ascii="David" w:hAnsi="David"/>
          <w:b/>
          <w:bCs/>
          <w:rtl/>
        </w:rPr>
        <w:t>מדיניות הענישה הנהוגה</w:t>
      </w:r>
      <w:r>
        <w:rPr>
          <w:rFonts w:ascii="David" w:hAnsi="David"/>
          <w:rtl/>
        </w:rPr>
        <w:t xml:space="preserve"> בעבירות שביצע הנאשם מתחשבת בצורך במאבק בנגע הסמים. </w:t>
      </w:r>
      <w:r>
        <w:rPr>
          <w:rtl/>
        </w:rPr>
        <w:t xml:space="preserve">טווח הענישה רחב, והוא תלוי נסיבות </w:t>
      </w:r>
      <w:r>
        <w:rPr>
          <w:rFonts w:ascii="David" w:hAnsi="David"/>
          <w:rtl/>
        </w:rPr>
        <w:t>ביצוע העבירות</w:t>
      </w:r>
      <w:r>
        <w:rPr>
          <w:rtl/>
        </w:rPr>
        <w:t>, סוג הסם, כמות הסם, אופן החזקתו, ונסיבות המעשה והעושה. לרוב</w:t>
      </w:r>
      <w:r>
        <w:rPr>
          <w:rFonts w:ascii="David" w:hAnsi="David"/>
          <w:rtl/>
        </w:rPr>
        <w:t xml:space="preserve"> הוטלו על נאשמים עונשי מאסר לתקופות ממושכות, לצד ענישה מרתיעה צופה פני עתיד וענישה כלכלית. כך למשל:</w:t>
      </w:r>
    </w:p>
    <w:p w14:paraId="4A599137" w14:textId="77777777" w:rsidR="00AB6DF6" w:rsidRDefault="00AB6DF6" w:rsidP="00AB6DF6">
      <w:pPr>
        <w:tabs>
          <w:tab w:val="left" w:pos="466"/>
        </w:tabs>
        <w:spacing w:line="360" w:lineRule="auto"/>
        <w:ind w:left="466" w:hanging="466"/>
        <w:jc w:val="both"/>
        <w:rPr>
          <w:rtl/>
        </w:rPr>
      </w:pPr>
    </w:p>
    <w:p w14:paraId="6924C4D1" w14:textId="77777777" w:rsidR="00AB6DF6" w:rsidRDefault="00AB6DF6" w:rsidP="00AB6DF6">
      <w:pPr>
        <w:tabs>
          <w:tab w:val="left" w:pos="466"/>
          <w:tab w:val="left" w:pos="892"/>
        </w:tabs>
        <w:spacing w:line="360" w:lineRule="auto"/>
        <w:ind w:left="892" w:hanging="892"/>
        <w:jc w:val="both"/>
        <w:rPr>
          <w:rFonts w:ascii="David" w:eastAsia="Calibri" w:hAnsi="David"/>
          <w:rtl/>
        </w:rPr>
      </w:pPr>
      <w:r>
        <w:rPr>
          <w:rtl/>
        </w:rPr>
        <w:tab/>
        <w:t>א.</w:t>
      </w:r>
      <w:r>
        <w:rPr>
          <w:rtl/>
        </w:rPr>
        <w:tab/>
        <w:t>ב</w:t>
      </w:r>
      <w:hyperlink r:id="rId47" w:history="1">
        <w:r w:rsidR="00BF0EFD" w:rsidRPr="00BF0EFD">
          <w:rPr>
            <w:color w:val="0000FF"/>
            <w:u w:val="single"/>
            <w:rtl/>
          </w:rPr>
          <w:t>ע"פ 4592/15</w:t>
        </w:r>
      </w:hyperlink>
      <w:r>
        <w:rPr>
          <w:rtl/>
        </w:rPr>
        <w:t xml:space="preserve"> </w:t>
      </w:r>
      <w:r>
        <w:rPr>
          <w:b/>
          <w:bCs/>
          <w:rtl/>
        </w:rPr>
        <w:t>פדידה נ' מדינת ישראל</w:t>
      </w:r>
      <w:r>
        <w:rPr>
          <w:rtl/>
        </w:rPr>
        <w:t xml:space="preserve"> </w:t>
      </w:r>
      <w:r w:rsidR="00C9086B" w:rsidRPr="00C9086B">
        <w:rPr>
          <w:sz w:val="22"/>
          <w:rtl/>
        </w:rPr>
        <w:t xml:space="preserve">[פורסם בנבו] </w:t>
      </w:r>
      <w:r>
        <w:rPr>
          <w:rtl/>
        </w:rPr>
        <w:t>(8.2.2016) נאמר : "מסקירת הפסיקה בנושא עולה, כי אמנם קיים גיוון רב בענישה, אולם במקרים העוסקים בהחזקת סם מסוכן מסוג הרואין או קוקאין שלא לצריכה עצמית, בכמות של עשרות גרמים, נע טווח הענישה בין שלוש לחמש שנות מאסר (</w:t>
      </w:r>
      <w:hyperlink r:id="rId48" w:history="1">
        <w:r w:rsidR="00BF0EFD" w:rsidRPr="00BF0EFD">
          <w:rPr>
            <w:color w:val="0000FF"/>
            <w:u w:val="single"/>
            <w:rtl/>
          </w:rPr>
          <w:t>ע"פ 8820/14</w:t>
        </w:r>
      </w:hyperlink>
      <w:r>
        <w:rPr>
          <w:rtl/>
        </w:rPr>
        <w:t xml:space="preserve"> </w:t>
      </w:r>
      <w:r>
        <w:rPr>
          <w:b/>
          <w:bCs/>
          <w:rtl/>
        </w:rPr>
        <w:t>זהר שחר נ' מדינת ישראל</w:t>
      </w:r>
      <w:r>
        <w:rPr>
          <w:rtl/>
        </w:rPr>
        <w:t xml:space="preserve"> </w:t>
      </w:r>
      <w:r w:rsidR="00C9086B" w:rsidRPr="00C9086B">
        <w:rPr>
          <w:sz w:val="22"/>
          <w:rtl/>
        </w:rPr>
        <w:t xml:space="preserve">[פורסם בנבו] </w:t>
      </w:r>
      <w:r>
        <w:rPr>
          <w:rtl/>
        </w:rPr>
        <w:t xml:space="preserve">(2015) בפסקה 12 וההפניות שם; </w:t>
      </w:r>
      <w:hyperlink r:id="rId49" w:history="1">
        <w:r w:rsidR="00C9086B" w:rsidRPr="00C9086B">
          <w:rPr>
            <w:color w:val="0000FF"/>
            <w:u w:val="single"/>
            <w:rtl/>
          </w:rPr>
          <w:t>1313/14</w:t>
        </w:r>
      </w:hyperlink>
      <w:r>
        <w:rPr>
          <w:rtl/>
        </w:rPr>
        <w:t xml:space="preserve"> </w:t>
      </w:r>
      <w:r>
        <w:rPr>
          <w:b/>
          <w:bCs/>
          <w:rtl/>
        </w:rPr>
        <w:t>גמאל בהתימי נ' מדינת ישראל</w:t>
      </w:r>
      <w:r>
        <w:rPr>
          <w:rtl/>
        </w:rPr>
        <w:t xml:space="preserve"> </w:t>
      </w:r>
      <w:r w:rsidR="00C9086B" w:rsidRPr="00C9086B">
        <w:rPr>
          <w:sz w:val="22"/>
          <w:rtl/>
        </w:rPr>
        <w:t xml:space="preserve">[פורסם בנבו] </w:t>
      </w:r>
      <w:r>
        <w:rPr>
          <w:rtl/>
        </w:rPr>
        <w:t xml:space="preserve">(2015); עניין פיצו, בפסקה 14 וההפניות שם; </w:t>
      </w:r>
      <w:hyperlink r:id="rId50" w:history="1">
        <w:r w:rsidR="00BF0EFD" w:rsidRPr="00BF0EFD">
          <w:rPr>
            <w:color w:val="0000FF"/>
            <w:u w:val="single"/>
            <w:rtl/>
          </w:rPr>
          <w:t>ע"פ 5374/12</w:t>
        </w:r>
      </w:hyperlink>
      <w:r>
        <w:rPr>
          <w:rtl/>
        </w:rPr>
        <w:t xml:space="preserve"> </w:t>
      </w:r>
      <w:r>
        <w:rPr>
          <w:b/>
          <w:bCs/>
          <w:rtl/>
        </w:rPr>
        <w:t>אברג'יל נ' מדינת ישראל</w:t>
      </w:r>
      <w:r>
        <w:rPr>
          <w:rtl/>
        </w:rPr>
        <w:t xml:space="preserve"> </w:t>
      </w:r>
      <w:r w:rsidR="00C9086B" w:rsidRPr="00C9086B">
        <w:rPr>
          <w:sz w:val="22"/>
          <w:rtl/>
        </w:rPr>
        <w:t xml:space="preserve">[פורסם בנבו] </w:t>
      </w:r>
      <w:r>
        <w:rPr>
          <w:rtl/>
        </w:rPr>
        <w:t xml:space="preserve">(2013); </w:t>
      </w:r>
      <w:hyperlink r:id="rId51" w:history="1">
        <w:r w:rsidR="00BF0EFD" w:rsidRPr="00BF0EFD">
          <w:rPr>
            <w:color w:val="0000FF"/>
            <w:u w:val="single"/>
            <w:rtl/>
          </w:rPr>
          <w:t>ע"פ 11469/05</w:t>
        </w:r>
      </w:hyperlink>
      <w:r>
        <w:rPr>
          <w:rtl/>
        </w:rPr>
        <w:t xml:space="preserve"> </w:t>
      </w:r>
      <w:r>
        <w:rPr>
          <w:b/>
          <w:bCs/>
          <w:rtl/>
        </w:rPr>
        <w:t>מדינת ישראל נ' עייש</w:t>
      </w:r>
      <w:r>
        <w:rPr>
          <w:rtl/>
        </w:rPr>
        <w:t xml:space="preserve"> </w:t>
      </w:r>
      <w:r w:rsidR="00C9086B" w:rsidRPr="00C9086B">
        <w:rPr>
          <w:sz w:val="22"/>
          <w:rtl/>
        </w:rPr>
        <w:t xml:space="preserve">[פורסם בנבו] </w:t>
      </w:r>
      <w:r>
        <w:rPr>
          <w:rtl/>
        </w:rPr>
        <w:t xml:space="preserve">(2006); </w:t>
      </w:r>
      <w:hyperlink r:id="rId52" w:history="1">
        <w:r w:rsidR="00C9086B" w:rsidRPr="00C9086B">
          <w:rPr>
            <w:color w:val="0000FF"/>
            <w:u w:val="single"/>
            <w:rtl/>
          </w:rPr>
          <w:t>5958/13</w:t>
        </w:r>
      </w:hyperlink>
      <w:r>
        <w:rPr>
          <w:rtl/>
        </w:rPr>
        <w:t xml:space="preserve"> </w:t>
      </w:r>
      <w:r>
        <w:rPr>
          <w:b/>
          <w:bCs/>
          <w:rtl/>
        </w:rPr>
        <w:t xml:space="preserve">גיא שרגא סבג נ' מדינת ישראל </w:t>
      </w:r>
      <w:r w:rsidR="00C9086B" w:rsidRPr="00C9086B">
        <w:rPr>
          <w:sz w:val="22"/>
          <w:rtl/>
        </w:rPr>
        <w:t xml:space="preserve">[פורסם בנבו] </w:t>
      </w:r>
      <w:r>
        <w:rPr>
          <w:rtl/>
        </w:rPr>
        <w:t xml:space="preserve">(2014); </w:t>
      </w:r>
      <w:hyperlink r:id="rId53" w:history="1">
        <w:r w:rsidR="00C9086B" w:rsidRPr="00C9086B">
          <w:rPr>
            <w:color w:val="0000FF"/>
            <w:u w:val="single"/>
            <w:rtl/>
          </w:rPr>
          <w:t>4203/14</w:t>
        </w:r>
      </w:hyperlink>
      <w:r>
        <w:rPr>
          <w:rtl/>
        </w:rPr>
        <w:t xml:space="preserve"> </w:t>
      </w:r>
      <w:r>
        <w:rPr>
          <w:b/>
          <w:bCs/>
          <w:rtl/>
        </w:rPr>
        <w:t>אליהו כהן נ' מדינת ישראל</w:t>
      </w:r>
      <w:r>
        <w:rPr>
          <w:rtl/>
        </w:rPr>
        <w:t xml:space="preserve">  </w:t>
      </w:r>
      <w:r w:rsidR="00C9086B" w:rsidRPr="00C9086B">
        <w:rPr>
          <w:sz w:val="22"/>
          <w:rtl/>
        </w:rPr>
        <w:t xml:space="preserve">[פורסם בנבו] </w:t>
      </w:r>
      <w:r>
        <w:rPr>
          <w:rtl/>
        </w:rPr>
        <w:t>(2015))".</w:t>
      </w:r>
      <w:r>
        <w:rPr>
          <w:rFonts w:ascii="David" w:hAnsi="David"/>
          <w:rtl/>
        </w:rPr>
        <w:t xml:space="preserve"> </w:t>
      </w:r>
    </w:p>
    <w:p w14:paraId="429F7DF6" w14:textId="77777777" w:rsidR="00AB6DF6" w:rsidRDefault="00AB6DF6" w:rsidP="00AB6DF6">
      <w:pPr>
        <w:tabs>
          <w:tab w:val="left" w:pos="466"/>
          <w:tab w:val="left" w:pos="892"/>
        </w:tabs>
        <w:spacing w:line="360" w:lineRule="auto"/>
        <w:ind w:left="892" w:hanging="892"/>
        <w:jc w:val="both"/>
        <w:rPr>
          <w:rFonts w:ascii="David" w:hAnsi="David"/>
          <w:rtl/>
        </w:rPr>
      </w:pPr>
    </w:p>
    <w:p w14:paraId="7BB01FC1" w14:textId="77777777" w:rsidR="00AB6DF6" w:rsidRDefault="00AB6DF6" w:rsidP="00AB6DF6">
      <w:pPr>
        <w:tabs>
          <w:tab w:val="left" w:pos="466"/>
          <w:tab w:val="left" w:pos="892"/>
        </w:tabs>
        <w:spacing w:line="360" w:lineRule="auto"/>
        <w:ind w:left="892" w:hanging="892"/>
        <w:jc w:val="both"/>
        <w:rPr>
          <w:rFonts w:ascii="David" w:hAnsi="David"/>
          <w:rtl/>
        </w:rPr>
      </w:pPr>
      <w:r>
        <w:rPr>
          <w:rFonts w:ascii="David" w:hAnsi="David"/>
          <w:rtl/>
        </w:rPr>
        <w:tab/>
        <w:t>ב.</w:t>
      </w:r>
      <w:r>
        <w:rPr>
          <w:rFonts w:ascii="David" w:hAnsi="David"/>
          <w:rtl/>
        </w:rPr>
        <w:tab/>
      </w:r>
      <w:hyperlink r:id="rId54" w:history="1">
        <w:r w:rsidR="00BF0EFD" w:rsidRPr="00BF0EFD">
          <w:rPr>
            <w:rFonts w:ascii="David" w:hAnsi="David"/>
            <w:color w:val="0000FF"/>
            <w:u w:val="single"/>
            <w:rtl/>
          </w:rPr>
          <w:t>ע"פ 8820/14</w:t>
        </w:r>
      </w:hyperlink>
      <w:r>
        <w:rPr>
          <w:rFonts w:ascii="David" w:hAnsi="David"/>
          <w:rtl/>
        </w:rPr>
        <w:t xml:space="preserve"> </w:t>
      </w:r>
      <w:r>
        <w:rPr>
          <w:rFonts w:ascii="David" w:hAnsi="David"/>
          <w:b/>
          <w:bCs/>
          <w:rtl/>
        </w:rPr>
        <w:t>זהר שחר נ' מדינת ישראל</w:t>
      </w:r>
      <w:r>
        <w:rPr>
          <w:rFonts w:ascii="David" w:hAnsi="David"/>
          <w:rtl/>
        </w:rPr>
        <w:t xml:space="preserve"> </w:t>
      </w:r>
      <w:r w:rsidR="00C9086B" w:rsidRPr="00C9086B">
        <w:rPr>
          <w:sz w:val="22"/>
          <w:rtl/>
        </w:rPr>
        <w:t xml:space="preserve">[פורסם בנבו] </w:t>
      </w:r>
      <w:r>
        <w:rPr>
          <w:rFonts w:ascii="David" w:hAnsi="David"/>
          <w:rtl/>
        </w:rPr>
        <w:t xml:space="preserve">(17.5.2015) - נדחה ערעור של נאשם על חומרת העונש, לאחר שהורשע על יסוד הודאתו בעבירות של החזקת סמים שלא לצריכה עצמית והחזקת סמים לצריכה עצמית. הנאשם, בעל עבר פלילי, הודה בהחזקת 3.74 גרם סם מסוכן מסוג חשיש, ו-112.3416 גרם סם מסוכן מסוג קוקאין, ארוזים במספר שקיות קטנות. בית המשפט המחוזי קבע מתחם עונש הולם שבין 3 ל-5 שנות מאסר, וגזר על הנאשם </w:t>
      </w:r>
      <w:r>
        <w:rPr>
          <w:rFonts w:ascii="David" w:hAnsi="David"/>
          <w:b/>
          <w:bCs/>
          <w:rtl/>
        </w:rPr>
        <w:t>36 חודשי מאסר בפועל</w:t>
      </w:r>
      <w:r>
        <w:rPr>
          <w:rFonts w:ascii="David" w:hAnsi="David"/>
          <w:rtl/>
        </w:rPr>
        <w:t>, 12 חודשי מאסר על תנאי וקנס בסך 20,000 ₪. בית המשפט העליון קבע כי רמת הענישה שנקבעה בפסיקה כשמדובר בהחזקת סם מסוכן מסוג הרואין או קוקאין, שלא לצריכה עצמית, בכמות של עשרות גרמים נע בין 3 ל-5 שנות מאסר כך שעונשו של הנאשם אינו סוטה לחומרה מרמת ענישה זו.</w:t>
      </w:r>
    </w:p>
    <w:p w14:paraId="2EBF23B4" w14:textId="77777777" w:rsidR="00AB6DF6" w:rsidRDefault="00AB6DF6" w:rsidP="00AB6DF6">
      <w:pPr>
        <w:tabs>
          <w:tab w:val="left" w:pos="466"/>
          <w:tab w:val="left" w:pos="892"/>
        </w:tabs>
        <w:spacing w:line="360" w:lineRule="auto"/>
        <w:ind w:left="892" w:hanging="892"/>
        <w:jc w:val="both"/>
        <w:rPr>
          <w:rFonts w:ascii="David" w:hAnsi="David"/>
          <w:rtl/>
        </w:rPr>
      </w:pPr>
    </w:p>
    <w:p w14:paraId="75C97C24" w14:textId="77777777" w:rsidR="00AB6DF6" w:rsidRDefault="00AB6DF6" w:rsidP="00AB6DF6">
      <w:pPr>
        <w:tabs>
          <w:tab w:val="left" w:pos="466"/>
          <w:tab w:val="left" w:pos="892"/>
        </w:tabs>
        <w:spacing w:line="360" w:lineRule="auto"/>
        <w:ind w:left="892" w:hanging="892"/>
        <w:jc w:val="both"/>
        <w:rPr>
          <w:rFonts w:ascii="David" w:hAnsi="David"/>
          <w:rtl/>
        </w:rPr>
      </w:pPr>
    </w:p>
    <w:p w14:paraId="4DAC636B" w14:textId="77777777" w:rsidR="00AB6DF6" w:rsidRDefault="00AB6DF6" w:rsidP="00AB6DF6">
      <w:pPr>
        <w:tabs>
          <w:tab w:val="left" w:pos="466"/>
          <w:tab w:val="left" w:pos="892"/>
        </w:tabs>
        <w:spacing w:line="360" w:lineRule="auto"/>
        <w:ind w:left="892" w:hanging="892"/>
        <w:jc w:val="both"/>
        <w:rPr>
          <w:rFonts w:ascii="David" w:hAnsi="David"/>
          <w:rtl/>
        </w:rPr>
      </w:pPr>
      <w:r>
        <w:rPr>
          <w:rFonts w:ascii="David" w:hAnsi="David"/>
          <w:rtl/>
        </w:rPr>
        <w:tab/>
        <w:t>ג.</w:t>
      </w:r>
      <w:r>
        <w:rPr>
          <w:rFonts w:ascii="David" w:hAnsi="David"/>
          <w:rtl/>
        </w:rPr>
        <w:tab/>
      </w:r>
      <w:hyperlink r:id="rId55" w:history="1">
        <w:r w:rsidR="00BF0EFD" w:rsidRPr="00BF0EFD">
          <w:rPr>
            <w:rFonts w:ascii="David" w:hAnsi="David"/>
            <w:color w:val="0000FF"/>
            <w:u w:val="single"/>
            <w:rtl/>
          </w:rPr>
          <w:t>ע"פ 2570/17</w:t>
        </w:r>
      </w:hyperlink>
      <w:r>
        <w:rPr>
          <w:rFonts w:ascii="David" w:hAnsi="David"/>
          <w:rtl/>
        </w:rPr>
        <w:t xml:space="preserve"> </w:t>
      </w:r>
      <w:r>
        <w:rPr>
          <w:rFonts w:ascii="David" w:hAnsi="David"/>
          <w:b/>
          <w:bCs/>
          <w:rtl/>
        </w:rPr>
        <w:t>דוד קריחלי נ' מדינת ישראל</w:t>
      </w:r>
      <w:r>
        <w:rPr>
          <w:rFonts w:ascii="David" w:hAnsi="David"/>
          <w:rtl/>
        </w:rPr>
        <w:t xml:space="preserve"> </w:t>
      </w:r>
      <w:r w:rsidR="00C9086B" w:rsidRPr="00C9086B">
        <w:rPr>
          <w:sz w:val="22"/>
          <w:rtl/>
        </w:rPr>
        <w:t xml:space="preserve">[פורסם בנבו] </w:t>
      </w:r>
      <w:r>
        <w:rPr>
          <w:rFonts w:ascii="David" w:hAnsi="David"/>
          <w:rtl/>
        </w:rPr>
        <w:t xml:space="preserve">(17.01.2018) - התקבל ערעורו של נאשם אשר הורשע בעבירות של החזקת סם מסוכן שלא לצריכה עצמית ובהחזקת כלים המשמשים לצריכת סם מסוכן. הנאשם הודה בהחזקת סם מסוכן מסוג חשיש במשקל של 1.20 גרם; סם מסוכן מסוג קוקאין במשקל של 2.6451 גרם; ובמשקל דיגיטלי אשר שימש לשקילת הסמים. כמו כן, הורשע הנאשם בהחזקת 99.28 גרם קוקאין. בית המשפט המחוזי גזר על הנאשם 40 חודשי מאסר בפועל, פסילה מקבלת או מהחזקת רישיון נהיגה למשך 6 חודשים, קנס כספי של 5,000 ₪ ועונשים מותנים. בית המשפט העליון הפחית את עונש המאסר </w:t>
      </w:r>
      <w:r>
        <w:rPr>
          <w:rFonts w:ascii="David" w:hAnsi="David"/>
          <w:b/>
          <w:bCs/>
          <w:rtl/>
        </w:rPr>
        <w:t>ל-34 חודשי מאסר בפועל,</w:t>
      </w:r>
      <w:r>
        <w:rPr>
          <w:rFonts w:ascii="David" w:hAnsi="David"/>
          <w:rtl/>
        </w:rPr>
        <w:t xml:space="preserve"> ויתר רכיבי גזר הדין נותרו על כנם.</w:t>
      </w:r>
    </w:p>
    <w:p w14:paraId="696EE0E7" w14:textId="77777777" w:rsidR="00AB6DF6" w:rsidRDefault="00AB6DF6" w:rsidP="00AB6DF6">
      <w:pPr>
        <w:tabs>
          <w:tab w:val="left" w:pos="466"/>
          <w:tab w:val="left" w:pos="892"/>
        </w:tabs>
        <w:spacing w:line="360" w:lineRule="auto"/>
        <w:ind w:left="892" w:hanging="892"/>
        <w:jc w:val="both"/>
        <w:rPr>
          <w:rFonts w:ascii="David" w:hAnsi="David"/>
          <w:rtl/>
        </w:rPr>
      </w:pPr>
    </w:p>
    <w:p w14:paraId="5DB6E05F" w14:textId="77777777" w:rsidR="00AB6DF6" w:rsidRDefault="00AB6DF6" w:rsidP="00AB6DF6">
      <w:pPr>
        <w:tabs>
          <w:tab w:val="left" w:pos="466"/>
          <w:tab w:val="left" w:pos="892"/>
        </w:tabs>
        <w:spacing w:line="360" w:lineRule="auto"/>
        <w:ind w:left="892" w:hanging="892"/>
        <w:jc w:val="both"/>
        <w:rPr>
          <w:rFonts w:ascii="David" w:hAnsi="David"/>
          <w:rtl/>
        </w:rPr>
      </w:pPr>
      <w:r>
        <w:rPr>
          <w:rFonts w:ascii="David" w:hAnsi="David"/>
          <w:rtl/>
        </w:rPr>
        <w:tab/>
        <w:t>ד.</w:t>
      </w:r>
      <w:r>
        <w:rPr>
          <w:rFonts w:ascii="David" w:hAnsi="David"/>
          <w:rtl/>
        </w:rPr>
        <w:tab/>
      </w:r>
      <w:hyperlink r:id="rId56" w:history="1">
        <w:r w:rsidR="00BF0EFD" w:rsidRPr="00BF0EFD">
          <w:rPr>
            <w:color w:val="0000FF"/>
            <w:u w:val="single"/>
            <w:rtl/>
          </w:rPr>
          <w:t>ע"פ 5377/11</w:t>
        </w:r>
      </w:hyperlink>
      <w:r>
        <w:rPr>
          <w:rtl/>
        </w:rPr>
        <w:t xml:space="preserve"> </w:t>
      </w:r>
      <w:r>
        <w:rPr>
          <w:b/>
          <w:bCs/>
          <w:rtl/>
        </w:rPr>
        <w:t>סויסה נ' מדינת ישראל</w:t>
      </w:r>
      <w:r>
        <w:rPr>
          <w:rtl/>
        </w:rPr>
        <w:t xml:space="preserve"> </w:t>
      </w:r>
      <w:r w:rsidR="00C9086B" w:rsidRPr="00C9086B">
        <w:rPr>
          <w:sz w:val="22"/>
          <w:rtl/>
        </w:rPr>
        <w:t xml:space="preserve">[פורסם בנבו] </w:t>
      </w:r>
      <w:r>
        <w:rPr>
          <w:rtl/>
        </w:rPr>
        <w:t xml:space="preserve">(3.7.2012) </w:t>
      </w:r>
      <w:r>
        <w:rPr>
          <w:rFonts w:ascii="David" w:hAnsi="David"/>
          <w:rtl/>
        </w:rPr>
        <w:t>– נאשם הורשע בעבירה של החזקת סמים שלא לצריכה עצמית. נמצא כי לאחר שהנאשם שב מחופשה בת 48 שעות במהלך ריצוי עונש מאסר, הוא החזיק ופלט מגופו סמים מסוכנים מסוג הרואין (</w:t>
      </w:r>
      <w:smartTag w:uri="urn:schemas-microsoft-com:office:smarttags" w:element="country-region">
        <w:smartTagPr>
          <w:attr w:name="ProductID" w:val="70 גרם"/>
        </w:smartTagPr>
        <w:r>
          <w:rPr>
            <w:rFonts w:ascii="David" w:hAnsi="David"/>
            <w:rtl/>
          </w:rPr>
          <w:t>70 גרם</w:t>
        </w:r>
      </w:smartTag>
      <w:r>
        <w:rPr>
          <w:rFonts w:ascii="David" w:hAnsi="David"/>
          <w:rtl/>
        </w:rPr>
        <w:t>) וחשיש (כ-</w:t>
      </w:r>
      <w:smartTag w:uri="urn:schemas-microsoft-com:office:smarttags" w:element="country-region">
        <w:smartTagPr>
          <w:attr w:name="ProductID" w:val="50 גרם"/>
        </w:smartTagPr>
        <w:r>
          <w:rPr>
            <w:rFonts w:ascii="David" w:hAnsi="David"/>
            <w:rtl/>
          </w:rPr>
          <w:t>50 גרם</w:t>
        </w:r>
      </w:smartTag>
      <w:r>
        <w:rPr>
          <w:rFonts w:ascii="David" w:hAnsi="David"/>
          <w:rtl/>
        </w:rPr>
        <w:t>). במקביל הואשם הנאשם בבית משפט השלום בעבירות אחרות. על הנאשם נגזרו</w:t>
      </w:r>
      <w:r>
        <w:rPr>
          <w:rFonts w:ascii="David" w:hAnsi="David"/>
          <w:b/>
          <w:bCs/>
          <w:rtl/>
        </w:rPr>
        <w:t xml:space="preserve"> 40 חודשי מאסר בפועל</w:t>
      </w:r>
      <w:r>
        <w:rPr>
          <w:rFonts w:ascii="David" w:hAnsi="David"/>
          <w:rtl/>
        </w:rPr>
        <w:t>, מהם 10 חודשים ירוצו במקביל לתקופת המאסר שנגזרה עליו בבית משפט השלום בעבירה אחרת, וכן מאסר מותנה. ניתן משקל לנסיבות אישיות ומשפחתיות מורכבות, כמו גם לעברו המכביד. בית המשפט העליון דחה את ערעור הנאשם על חומרת העונש, וקבע כי העונש שנגזר אינו חורג מרף הענישה הראוי לעבירת סמים מסוג זה, בהתייחס לחומרתה הרבה, בהיותו עונש מידתי בשים לב לאינטרס הציבורי כבד-המשקל בענישה מחמירה בעבירות סמים, וזאת לאחר שנלקחו בחשבון השיקולים לקולא.</w:t>
      </w:r>
    </w:p>
    <w:p w14:paraId="4BCA9047" w14:textId="77777777" w:rsidR="00AB6DF6" w:rsidRDefault="00AB6DF6" w:rsidP="00AB6DF6">
      <w:pPr>
        <w:tabs>
          <w:tab w:val="left" w:pos="466"/>
          <w:tab w:val="left" w:pos="892"/>
        </w:tabs>
        <w:spacing w:line="360" w:lineRule="auto"/>
        <w:ind w:left="892" w:hanging="892"/>
        <w:jc w:val="both"/>
        <w:rPr>
          <w:rFonts w:ascii="David" w:eastAsia="Calibri" w:hAnsi="David"/>
          <w:rtl/>
        </w:rPr>
      </w:pPr>
    </w:p>
    <w:p w14:paraId="350DBF9F" w14:textId="77777777" w:rsidR="00AB6DF6" w:rsidRDefault="00AB6DF6" w:rsidP="00AB6DF6">
      <w:pPr>
        <w:tabs>
          <w:tab w:val="left" w:pos="466"/>
          <w:tab w:val="left" w:pos="892"/>
        </w:tabs>
        <w:spacing w:line="360" w:lineRule="auto"/>
        <w:ind w:left="892" w:hanging="892"/>
        <w:jc w:val="both"/>
        <w:rPr>
          <w:rFonts w:ascii="David" w:hAnsi="David"/>
          <w:rtl/>
        </w:rPr>
      </w:pPr>
      <w:r>
        <w:rPr>
          <w:rFonts w:ascii="David" w:hAnsi="David"/>
          <w:rtl/>
        </w:rPr>
        <w:tab/>
        <w:t>ה.</w:t>
      </w:r>
      <w:r>
        <w:rPr>
          <w:rFonts w:ascii="David" w:hAnsi="David"/>
          <w:rtl/>
        </w:rPr>
        <w:tab/>
      </w:r>
      <w:hyperlink r:id="rId57" w:history="1">
        <w:r w:rsidR="00BF0EFD" w:rsidRPr="00BF0EFD">
          <w:rPr>
            <w:rFonts w:ascii="David" w:hAnsi="David"/>
            <w:color w:val="0000FF"/>
            <w:u w:val="single"/>
            <w:rtl/>
          </w:rPr>
          <w:t>ע"פ 1313/14</w:t>
        </w:r>
      </w:hyperlink>
      <w:r>
        <w:rPr>
          <w:rFonts w:ascii="David" w:hAnsi="David"/>
          <w:rtl/>
        </w:rPr>
        <w:t xml:space="preserve"> </w:t>
      </w:r>
      <w:r>
        <w:rPr>
          <w:rFonts w:ascii="David" w:hAnsi="David"/>
          <w:b/>
          <w:bCs/>
          <w:rtl/>
        </w:rPr>
        <w:t>בהתימי נ' מדינת ישראל</w:t>
      </w:r>
      <w:r>
        <w:rPr>
          <w:rFonts w:ascii="David" w:hAnsi="David"/>
          <w:rtl/>
        </w:rPr>
        <w:t xml:space="preserve"> </w:t>
      </w:r>
      <w:r w:rsidR="00C9086B" w:rsidRPr="00C9086B">
        <w:rPr>
          <w:sz w:val="22"/>
          <w:rtl/>
        </w:rPr>
        <w:t xml:space="preserve">[פורסם בנבו] </w:t>
      </w:r>
      <w:r>
        <w:rPr>
          <w:rFonts w:ascii="David" w:hAnsi="David"/>
          <w:rtl/>
        </w:rPr>
        <w:t xml:space="preserve">(9.6.2015) – נדחה ערעור של נאשם שהורשע בעבירה של החזקת סם שלא לצריכה עצמית. המערער הורשע על סמך הודאתו בהחזקה של 50 גרם סם מסוכן מסוג קוקאין. בית המשפט המחוזי גזר על הנאשם </w:t>
      </w:r>
      <w:r>
        <w:rPr>
          <w:rFonts w:ascii="David" w:hAnsi="David"/>
          <w:b/>
          <w:bCs/>
          <w:rtl/>
        </w:rPr>
        <w:t>42 חודשי מאסר בפועל</w:t>
      </w:r>
      <w:r>
        <w:rPr>
          <w:rFonts w:ascii="David" w:hAnsi="David"/>
          <w:rtl/>
        </w:rPr>
        <w:t>, הפעלת 10 חודשי מאסר מותנה, 18 חודשי מאסר על תנאי וקנס של 5,000 ₪. לנאשם היה עבר פלילי מכביד, בין היתר בעבירות סמים, והוא ביצע את העבירה בעת שהיה תלוי נגדו מאסר מותנה. בית המשפט העליון קבע כי אין מקום להתערב בעונש שנגזר על הנאשם נוכח כמות וסוג הסם, עברו הפלילי ומבלי שהורתע מעונשים קודמים שהוטלו עליו.</w:t>
      </w:r>
    </w:p>
    <w:p w14:paraId="6B7D09B4" w14:textId="77777777" w:rsidR="00AB6DF6" w:rsidRDefault="00AB6DF6" w:rsidP="00AB6DF6">
      <w:pPr>
        <w:tabs>
          <w:tab w:val="left" w:pos="466"/>
          <w:tab w:val="left" w:pos="892"/>
        </w:tabs>
        <w:spacing w:line="360" w:lineRule="auto"/>
        <w:ind w:left="892" w:hanging="892"/>
        <w:jc w:val="both"/>
        <w:rPr>
          <w:rFonts w:ascii="David" w:hAnsi="David"/>
          <w:rtl/>
        </w:rPr>
      </w:pPr>
    </w:p>
    <w:p w14:paraId="36EA4184" w14:textId="77777777" w:rsidR="00AB6DF6" w:rsidRDefault="00AB6DF6" w:rsidP="00AB6DF6">
      <w:pPr>
        <w:tabs>
          <w:tab w:val="left" w:pos="466"/>
          <w:tab w:val="left" w:pos="892"/>
        </w:tabs>
        <w:spacing w:line="360" w:lineRule="auto"/>
        <w:ind w:left="892" w:hanging="892"/>
        <w:jc w:val="both"/>
        <w:rPr>
          <w:rFonts w:ascii="David" w:hAnsi="David"/>
          <w:rtl/>
        </w:rPr>
      </w:pPr>
      <w:r>
        <w:rPr>
          <w:rFonts w:ascii="David" w:hAnsi="David"/>
          <w:rtl/>
        </w:rPr>
        <w:tab/>
        <w:t>ו.</w:t>
      </w:r>
      <w:r>
        <w:rPr>
          <w:rFonts w:ascii="David" w:hAnsi="David"/>
          <w:rtl/>
        </w:rPr>
        <w:tab/>
      </w:r>
      <w:bookmarkStart w:id="8" w:name="Text1"/>
      <w:r w:rsidR="00BF0EFD" w:rsidRPr="00BF0EFD">
        <w:rPr>
          <w:rFonts w:ascii="David" w:hAnsi="David"/>
          <w:b/>
          <w:color w:val="0000FF"/>
          <w:u w:val="single"/>
          <w:rtl/>
        </w:rPr>
        <w:fldChar w:fldCharType="begin"/>
      </w:r>
      <w:r w:rsidR="00BF0EFD" w:rsidRPr="00BF0EFD">
        <w:rPr>
          <w:rFonts w:ascii="David" w:hAnsi="David"/>
          <w:b/>
          <w:color w:val="0000FF"/>
          <w:u w:val="single"/>
          <w:rtl/>
        </w:rPr>
        <w:instrText xml:space="preserve"> </w:instrText>
      </w:r>
      <w:r w:rsidR="00BF0EFD" w:rsidRPr="00BF0EFD">
        <w:rPr>
          <w:rFonts w:ascii="David" w:hAnsi="David"/>
          <w:b/>
          <w:color w:val="0000FF"/>
          <w:u w:val="single"/>
        </w:rPr>
        <w:instrText xml:space="preserve">HYPERLINK </w:instrText>
      </w:r>
      <w:r w:rsidR="00BF0EFD" w:rsidRPr="00BF0EFD">
        <w:rPr>
          <w:rFonts w:ascii="David" w:hAnsi="David"/>
          <w:b/>
          <w:color w:val="0000FF"/>
          <w:u w:val="single"/>
          <w:rtl/>
        </w:rPr>
        <w:instrText>"</w:instrText>
      </w:r>
      <w:r w:rsidR="00BF0EFD" w:rsidRPr="00BF0EFD">
        <w:rPr>
          <w:rFonts w:ascii="David" w:hAnsi="David"/>
          <w:b/>
          <w:color w:val="0000FF"/>
          <w:u w:val="single"/>
        </w:rPr>
        <w:instrText>http://www.nevo.co.il/case/5590128"</w:instrText>
      </w:r>
      <w:r w:rsidR="00BF0EFD" w:rsidRPr="00BF0EFD">
        <w:rPr>
          <w:rFonts w:ascii="David" w:hAnsi="David"/>
          <w:b/>
          <w:color w:val="0000FF"/>
          <w:u w:val="single"/>
          <w:rtl/>
        </w:rPr>
        <w:instrText xml:space="preserve"> </w:instrText>
      </w:r>
      <w:r w:rsidR="00BF0EFD" w:rsidRPr="00BF0EFD">
        <w:rPr>
          <w:rFonts w:ascii="David" w:hAnsi="David"/>
          <w:b/>
          <w:color w:val="0000FF"/>
          <w:u w:val="single"/>
          <w:rtl/>
        </w:rPr>
      </w:r>
      <w:r w:rsidR="00BF0EFD" w:rsidRPr="00BF0EFD">
        <w:rPr>
          <w:rFonts w:ascii="David" w:hAnsi="David"/>
          <w:b/>
          <w:color w:val="0000FF"/>
          <w:u w:val="single"/>
          <w:rtl/>
        </w:rPr>
        <w:fldChar w:fldCharType="separate"/>
      </w:r>
      <w:r w:rsidR="00BF0EFD" w:rsidRPr="00BF0EFD">
        <w:rPr>
          <w:rFonts w:ascii="David" w:hAnsi="David"/>
          <w:b/>
          <w:color w:val="0000FF"/>
          <w:u w:val="single"/>
          <w:rtl/>
        </w:rPr>
        <w:t>ע"פ 5374/12</w:t>
      </w:r>
      <w:r w:rsidR="00BF0EFD" w:rsidRPr="00BF0EFD">
        <w:rPr>
          <w:rFonts w:ascii="David" w:hAnsi="David"/>
          <w:b/>
          <w:color w:val="0000FF"/>
          <w:u w:val="single"/>
          <w:rtl/>
        </w:rPr>
        <w:fldChar w:fldCharType="end"/>
      </w:r>
      <w:r>
        <w:rPr>
          <w:rFonts w:ascii="David" w:hAnsi="David"/>
          <w:b/>
          <w:rtl/>
        </w:rPr>
        <w:t xml:space="preserve"> </w:t>
      </w:r>
      <w:r>
        <w:rPr>
          <w:rFonts w:ascii="David" w:hAnsi="David"/>
          <w:bCs/>
          <w:rtl/>
        </w:rPr>
        <w:t>שלמה אברג'יל נ' מדינת ישראל</w:t>
      </w:r>
      <w:bookmarkEnd w:id="8"/>
      <w:r>
        <w:rPr>
          <w:rFonts w:ascii="David" w:hAnsi="David"/>
          <w:bCs/>
          <w:rtl/>
        </w:rPr>
        <w:t xml:space="preserve"> </w:t>
      </w:r>
      <w:r w:rsidR="00C9086B" w:rsidRPr="00C9086B">
        <w:rPr>
          <w:sz w:val="22"/>
          <w:rtl/>
        </w:rPr>
        <w:t xml:space="preserve">[פורסם בנבו] </w:t>
      </w:r>
      <w:r>
        <w:rPr>
          <w:rFonts w:ascii="David" w:hAnsi="David"/>
          <w:b/>
          <w:rtl/>
        </w:rPr>
        <w:t xml:space="preserve">(9.1.2013) – </w:t>
      </w:r>
      <w:r>
        <w:rPr>
          <w:rFonts w:ascii="David" w:hAnsi="David"/>
          <w:rtl/>
        </w:rPr>
        <w:t xml:space="preserve">נדחה ערעור של נאשם שהורשע על יסוד הודאתו בעבירה של החזקת סם שלא לצריכה עצמית. המערער הורשע על סמך הודאתו בהחזקת שלוש אריזות פלסטיק, שבתוכן 60 אריזות המכילות סם מסוכן מסוג קוקאין במשקל כולל של כ-43 גרם. בית המשפט המחוזי גזר על הנאשם </w:t>
      </w:r>
      <w:r>
        <w:rPr>
          <w:rFonts w:ascii="David" w:hAnsi="David"/>
          <w:b/>
          <w:bCs/>
          <w:rtl/>
        </w:rPr>
        <w:t>36 חודשי מאסר בפועל</w:t>
      </w:r>
      <w:r>
        <w:rPr>
          <w:rFonts w:ascii="David" w:hAnsi="David"/>
          <w:rtl/>
        </w:rPr>
        <w:t xml:space="preserve"> ו-12 חודשי מאסר על תנאי. לנאשם היה עבר פלילי, אך לא בעבירות סמים. בית המשפט העליון קבע כי אין מקום להתערב בעונש שנגזר על הנאשם נוכח כמות וסוג הסם, וכי העונש שהושת איננו חורג ממדיניות הענישה המקובלת בעבירות מהסוג שבהן הורשע.</w:t>
      </w:r>
    </w:p>
    <w:p w14:paraId="53E039FF" w14:textId="77777777" w:rsidR="00AB6DF6" w:rsidRDefault="00AB6DF6" w:rsidP="00AB6DF6">
      <w:pPr>
        <w:tabs>
          <w:tab w:val="left" w:pos="466"/>
          <w:tab w:val="left" w:pos="892"/>
        </w:tabs>
        <w:spacing w:line="360" w:lineRule="auto"/>
        <w:ind w:left="892" w:hanging="892"/>
        <w:jc w:val="both"/>
        <w:rPr>
          <w:rFonts w:ascii="David" w:hAnsi="David"/>
          <w:rtl/>
        </w:rPr>
      </w:pPr>
    </w:p>
    <w:p w14:paraId="5C1DCBB2" w14:textId="77777777" w:rsidR="00AB6DF6" w:rsidRDefault="00AB6DF6" w:rsidP="00AB6DF6">
      <w:pPr>
        <w:tabs>
          <w:tab w:val="left" w:pos="466"/>
          <w:tab w:val="left" w:pos="892"/>
        </w:tabs>
        <w:spacing w:line="360" w:lineRule="auto"/>
        <w:ind w:left="892" w:hanging="892"/>
        <w:jc w:val="both"/>
        <w:rPr>
          <w:rFonts w:ascii="David" w:hAnsi="David"/>
          <w:rtl/>
        </w:rPr>
      </w:pPr>
      <w:r>
        <w:rPr>
          <w:rFonts w:ascii="David" w:hAnsi="David"/>
          <w:rtl/>
        </w:rPr>
        <w:tab/>
        <w:t>ז.</w:t>
      </w:r>
      <w:r>
        <w:rPr>
          <w:rFonts w:ascii="David" w:hAnsi="David"/>
          <w:rtl/>
        </w:rPr>
        <w:tab/>
      </w:r>
      <w:hyperlink r:id="rId58" w:history="1">
        <w:r w:rsidR="00BF0EFD" w:rsidRPr="00BF0EFD">
          <w:rPr>
            <w:rFonts w:ascii="David" w:hAnsi="David"/>
            <w:color w:val="0000FF"/>
            <w:u w:val="single"/>
            <w:rtl/>
          </w:rPr>
          <w:t>ע"פ 7507/12</w:t>
        </w:r>
      </w:hyperlink>
      <w:r>
        <w:rPr>
          <w:rFonts w:ascii="David" w:hAnsi="David"/>
          <w:rtl/>
        </w:rPr>
        <w:t xml:space="preserve"> </w:t>
      </w:r>
      <w:r>
        <w:rPr>
          <w:rFonts w:ascii="David" w:hAnsi="David"/>
          <w:b/>
          <w:bCs/>
          <w:rtl/>
        </w:rPr>
        <w:t xml:space="preserve">תרא טאעון נ' מדינת ישראל </w:t>
      </w:r>
      <w:r w:rsidR="00C9086B" w:rsidRPr="00C9086B">
        <w:rPr>
          <w:sz w:val="22"/>
          <w:rtl/>
        </w:rPr>
        <w:t xml:space="preserve">[פורסם בנבו] </w:t>
      </w:r>
      <w:r>
        <w:rPr>
          <w:rFonts w:ascii="David" w:hAnsi="David"/>
          <w:rtl/>
        </w:rPr>
        <w:t xml:space="preserve">(16.10.2013)- נדחה ערעורו של נאשם אשר הורשע בעבירה של החזקת סמים שלא לצריכה עצמית. לאחר שמיעת חלק מהראיות, הודה הנאשם בהחזקה של כ-94 גרם סם מסוכן מסוג הרואין, מחולק למנות באריזות פלסטיק סגורות. לנאשם הרשעה קודמת בהחזקת סם שלא לצריכה עצמית. בית המשפט המחוזי גזר על הנאשם </w:t>
      </w:r>
      <w:r>
        <w:rPr>
          <w:rFonts w:ascii="David" w:hAnsi="David"/>
          <w:b/>
          <w:bCs/>
          <w:rtl/>
        </w:rPr>
        <w:t>48 חודשי מאסר בפועל</w:t>
      </w:r>
      <w:r>
        <w:rPr>
          <w:rFonts w:ascii="David" w:hAnsi="David"/>
          <w:rtl/>
        </w:rPr>
        <w:t>, הופעל מאסר על תנאי בן 7 חודשים במצטבר, והוטל מאסר מותנה למשך 12 חודשים. בית המשפט העליון דחה את ערעורו של הנאשם.</w:t>
      </w:r>
    </w:p>
    <w:p w14:paraId="7E1C4041" w14:textId="77777777" w:rsidR="00AB6DF6" w:rsidRDefault="00AB6DF6" w:rsidP="00AB6DF6">
      <w:pPr>
        <w:tabs>
          <w:tab w:val="left" w:pos="466"/>
          <w:tab w:val="left" w:pos="892"/>
        </w:tabs>
        <w:spacing w:line="360" w:lineRule="auto"/>
        <w:ind w:left="892" w:hanging="892"/>
        <w:jc w:val="both"/>
        <w:rPr>
          <w:rFonts w:ascii="David" w:hAnsi="David"/>
          <w:rtl/>
        </w:rPr>
      </w:pPr>
    </w:p>
    <w:p w14:paraId="1CDA0097" w14:textId="77777777" w:rsidR="00AB6DF6" w:rsidRDefault="00AB6DF6" w:rsidP="00AB6DF6">
      <w:pPr>
        <w:tabs>
          <w:tab w:val="left" w:pos="466"/>
          <w:tab w:val="left" w:pos="892"/>
        </w:tabs>
        <w:spacing w:line="360" w:lineRule="auto"/>
        <w:ind w:left="892" w:hanging="892"/>
        <w:jc w:val="both"/>
        <w:rPr>
          <w:rFonts w:ascii="David" w:hAnsi="David"/>
          <w:rtl/>
        </w:rPr>
      </w:pPr>
      <w:r>
        <w:rPr>
          <w:rFonts w:ascii="David" w:hAnsi="David"/>
          <w:rtl/>
        </w:rPr>
        <w:tab/>
        <w:t>ח.</w:t>
      </w:r>
      <w:r>
        <w:rPr>
          <w:rFonts w:ascii="David" w:hAnsi="David"/>
          <w:rtl/>
        </w:rPr>
        <w:tab/>
      </w:r>
      <w:hyperlink r:id="rId59" w:history="1">
        <w:r w:rsidR="00BF0EFD" w:rsidRPr="00BF0EFD">
          <w:rPr>
            <w:rFonts w:ascii="David" w:hAnsi="David"/>
            <w:color w:val="0000FF"/>
            <w:u w:val="single"/>
            <w:rtl/>
          </w:rPr>
          <w:t>ע"פ 810/11</w:t>
        </w:r>
      </w:hyperlink>
      <w:r>
        <w:rPr>
          <w:rFonts w:ascii="David" w:hAnsi="David"/>
          <w:rtl/>
        </w:rPr>
        <w:t xml:space="preserve"> </w:t>
      </w:r>
      <w:r>
        <w:rPr>
          <w:rFonts w:ascii="David" w:hAnsi="David"/>
          <w:b/>
          <w:bCs/>
          <w:rtl/>
        </w:rPr>
        <w:t>רועי</w:t>
      </w:r>
      <w:r>
        <w:rPr>
          <w:rFonts w:ascii="David" w:hAnsi="David"/>
          <w:rtl/>
        </w:rPr>
        <w:t xml:space="preserve"> </w:t>
      </w:r>
      <w:r>
        <w:rPr>
          <w:rFonts w:ascii="David" w:hAnsi="David"/>
          <w:b/>
          <w:bCs/>
          <w:rtl/>
        </w:rPr>
        <w:t>שודגוקר בורגרקר נ' מדינת ישראל</w:t>
      </w:r>
      <w:r>
        <w:rPr>
          <w:rFonts w:ascii="David" w:hAnsi="David"/>
          <w:rtl/>
        </w:rPr>
        <w:t xml:space="preserve"> </w:t>
      </w:r>
      <w:r w:rsidR="00C9086B" w:rsidRPr="00C9086B">
        <w:rPr>
          <w:sz w:val="22"/>
          <w:rtl/>
        </w:rPr>
        <w:t xml:space="preserve">[פורסם בנבו] </w:t>
      </w:r>
      <w:r>
        <w:rPr>
          <w:rFonts w:ascii="David" w:hAnsi="David"/>
          <w:rtl/>
        </w:rPr>
        <w:t xml:space="preserve">(30.5.2011) - נדחה ערעורו של נאשם אשר הורשע על יסוד הודאתו בעבירה של החזקת סם מסוכן שלא לצריכה עצמית. הנאשם הודה בהחזקה של כ-59 גרם סם מסוכן מסוג הרואין. בית המשפט המחוזי גזר על הנאשם </w:t>
      </w:r>
      <w:r>
        <w:rPr>
          <w:rFonts w:ascii="David" w:hAnsi="David"/>
          <w:b/>
          <w:bCs/>
          <w:rtl/>
        </w:rPr>
        <w:t>36 חודשי מאסר בפועל</w:t>
      </w:r>
      <w:r>
        <w:rPr>
          <w:rFonts w:ascii="David" w:hAnsi="David"/>
          <w:rtl/>
        </w:rPr>
        <w:t>, ו-14 חודשי מאסר על תנאי. בית המשפט העליון קבע כי העונש שנגזר על הנאשם מצוי במתחם הענישה המקובל בעבירות מהסוג שביצע, ודחה את הערעור.</w:t>
      </w:r>
    </w:p>
    <w:p w14:paraId="725567CF" w14:textId="77777777" w:rsidR="00AB6DF6" w:rsidRDefault="00AB6DF6" w:rsidP="00AB6DF6">
      <w:pPr>
        <w:tabs>
          <w:tab w:val="left" w:pos="466"/>
          <w:tab w:val="left" w:pos="892"/>
        </w:tabs>
        <w:spacing w:line="360" w:lineRule="auto"/>
        <w:ind w:left="892" w:hanging="892"/>
        <w:jc w:val="both"/>
        <w:rPr>
          <w:rFonts w:ascii="David" w:hAnsi="David"/>
          <w:rtl/>
        </w:rPr>
      </w:pPr>
    </w:p>
    <w:p w14:paraId="517C70ED" w14:textId="77777777" w:rsidR="00AB6DF6" w:rsidRDefault="00AB6DF6" w:rsidP="00AB6DF6">
      <w:pPr>
        <w:tabs>
          <w:tab w:val="left" w:pos="466"/>
          <w:tab w:val="left" w:pos="892"/>
        </w:tabs>
        <w:spacing w:line="360" w:lineRule="auto"/>
        <w:ind w:left="892" w:hanging="892"/>
        <w:jc w:val="both"/>
        <w:rPr>
          <w:rFonts w:ascii="David" w:hAnsi="David"/>
          <w:rtl/>
        </w:rPr>
      </w:pPr>
      <w:r>
        <w:rPr>
          <w:rFonts w:ascii="David" w:hAnsi="David"/>
          <w:rtl/>
        </w:rPr>
        <w:tab/>
        <w:t>ט.</w:t>
      </w:r>
      <w:r>
        <w:rPr>
          <w:rFonts w:ascii="David" w:hAnsi="David"/>
          <w:rtl/>
        </w:rPr>
        <w:tab/>
      </w:r>
      <w:hyperlink r:id="rId60" w:history="1">
        <w:r w:rsidR="00BF0EFD" w:rsidRPr="00BF0EFD">
          <w:rPr>
            <w:rFonts w:ascii="David" w:hAnsi="David"/>
            <w:color w:val="0000FF"/>
            <w:u w:val="single"/>
            <w:rtl/>
          </w:rPr>
          <w:t>ע"פ 4381/05</w:t>
        </w:r>
      </w:hyperlink>
      <w:r>
        <w:rPr>
          <w:rFonts w:ascii="David" w:hAnsi="David"/>
          <w:rtl/>
        </w:rPr>
        <w:t xml:space="preserve"> </w:t>
      </w:r>
      <w:r>
        <w:rPr>
          <w:rFonts w:ascii="David" w:hAnsi="David"/>
          <w:b/>
          <w:bCs/>
          <w:rtl/>
        </w:rPr>
        <w:t>פאזי אבו זקיקה נ' מדינת ישראל</w:t>
      </w:r>
      <w:r>
        <w:rPr>
          <w:rFonts w:ascii="David" w:hAnsi="David"/>
          <w:rtl/>
        </w:rPr>
        <w:t xml:space="preserve"> </w:t>
      </w:r>
      <w:r w:rsidR="00C9086B" w:rsidRPr="00C9086B">
        <w:rPr>
          <w:sz w:val="22"/>
          <w:rtl/>
        </w:rPr>
        <w:t xml:space="preserve">[פורסם בנבו] </w:t>
      </w:r>
      <w:r>
        <w:rPr>
          <w:rFonts w:ascii="David" w:hAnsi="David"/>
          <w:rtl/>
        </w:rPr>
        <w:t xml:space="preserve">(12.7.2006)- נדחה ערעורו של נאשם שהורשע על יסוד הודאתו בעבירה של החזקת סם מסוכן שלא לצריכה עצמית. הנאשם, ללא עבר פלילי, הודה בהחזקת סם מסוכן מסוג הרואין במשקל של 100.92 גרם נטו. בית המשפט המחוזי גזר על הנאשם </w:t>
      </w:r>
      <w:r>
        <w:rPr>
          <w:rFonts w:ascii="David" w:hAnsi="David"/>
          <w:b/>
          <w:bCs/>
          <w:rtl/>
        </w:rPr>
        <w:t>48 חודשי מאסר בפועל</w:t>
      </w:r>
      <w:r>
        <w:rPr>
          <w:rFonts w:ascii="David" w:hAnsi="David"/>
          <w:rtl/>
        </w:rPr>
        <w:t>, 12 חודשי מאסר על תנאי ופסילת רישיון נהיגה למשך 12 חודשים. בית המשפט העליון קבע כי בעבירות סמים מסוג זה יש לייחס לנסיבותיו האישיות של הנאשם את המשקל השולי ביותר שכן חובה על בתי המשפט להילחם מלחמת חורמה בתופעה של החזקת סמים מסוכנים, ובנסיבות המקרה הספציפי, שבו דובר על בחור צעיר ללא עבר פלילי, בעל משפחה ועבר צבאי מרשים, העונש שנגזר הולם את מעשי הנאשם ומאזן בין שיקולי הענישה השונים.</w:t>
      </w:r>
    </w:p>
    <w:p w14:paraId="2E051056" w14:textId="77777777" w:rsidR="00AB6DF6" w:rsidRDefault="00AB6DF6" w:rsidP="00AB6DF6">
      <w:pPr>
        <w:tabs>
          <w:tab w:val="left" w:pos="466"/>
          <w:tab w:val="left" w:pos="892"/>
        </w:tabs>
        <w:spacing w:line="360" w:lineRule="auto"/>
        <w:ind w:left="892" w:hanging="892"/>
        <w:jc w:val="both"/>
        <w:rPr>
          <w:rFonts w:ascii="David" w:hAnsi="David"/>
          <w:rtl/>
        </w:rPr>
      </w:pPr>
    </w:p>
    <w:p w14:paraId="13507DB9" w14:textId="77777777" w:rsidR="00AB6DF6" w:rsidRDefault="00AB6DF6" w:rsidP="00C9086B">
      <w:pPr>
        <w:tabs>
          <w:tab w:val="left" w:pos="466"/>
          <w:tab w:val="left" w:pos="892"/>
        </w:tabs>
        <w:spacing w:line="360" w:lineRule="auto"/>
        <w:ind w:left="892" w:hanging="892"/>
        <w:jc w:val="both"/>
        <w:rPr>
          <w:rFonts w:ascii="David" w:hAnsi="David"/>
          <w:rtl/>
        </w:rPr>
      </w:pPr>
      <w:r>
        <w:rPr>
          <w:rFonts w:ascii="David" w:hAnsi="David"/>
          <w:rtl/>
        </w:rPr>
        <w:tab/>
        <w:t>י.</w:t>
      </w:r>
      <w:r>
        <w:rPr>
          <w:rFonts w:ascii="David" w:hAnsi="David"/>
          <w:rtl/>
        </w:rPr>
        <w:tab/>
      </w:r>
      <w:hyperlink r:id="rId61" w:history="1">
        <w:r w:rsidR="00BF0EFD" w:rsidRPr="00BF0EFD">
          <w:rPr>
            <w:rFonts w:ascii="David" w:hAnsi="David"/>
            <w:color w:val="0000FF"/>
            <w:u w:val="single"/>
            <w:rtl/>
          </w:rPr>
          <w:t>ע"פ 3092/04</w:t>
        </w:r>
      </w:hyperlink>
      <w:r>
        <w:rPr>
          <w:rFonts w:ascii="David" w:hAnsi="David"/>
          <w:rtl/>
        </w:rPr>
        <w:t xml:space="preserve"> </w:t>
      </w:r>
      <w:r>
        <w:rPr>
          <w:rFonts w:ascii="David" w:hAnsi="David"/>
          <w:b/>
          <w:bCs/>
          <w:rtl/>
        </w:rPr>
        <w:t>בן שיטרית נ' מדינת ישראל</w:t>
      </w:r>
      <w:r>
        <w:rPr>
          <w:rFonts w:ascii="David" w:hAnsi="David"/>
          <w:rtl/>
        </w:rPr>
        <w:t xml:space="preserve"> </w:t>
      </w:r>
      <w:r w:rsidR="00C9086B" w:rsidRPr="00C9086B">
        <w:rPr>
          <w:sz w:val="22"/>
          <w:rtl/>
        </w:rPr>
        <w:t xml:space="preserve">[פורסם בנבו] </w:t>
      </w:r>
      <w:r>
        <w:rPr>
          <w:rFonts w:ascii="David" w:hAnsi="David"/>
          <w:rtl/>
        </w:rPr>
        <w:t>(3.11.2004)- נדחה ערעורה של נאשמת אשר הורשעה בעבירה של החזקת סמים שלא לשימוש עצמי. הנאשמת הודתה בהחזק</w:t>
      </w:r>
      <w:r>
        <w:rPr>
          <w:rFonts w:ascii="David" w:hAnsi="David" w:hint="cs"/>
          <w:rtl/>
        </w:rPr>
        <w:t xml:space="preserve">ה של </w:t>
      </w:r>
      <w:r>
        <w:rPr>
          <w:rFonts w:ascii="David" w:hAnsi="David"/>
          <w:rtl/>
        </w:rPr>
        <w:t>כ-135.25 גרם נטו סם מסוכן מסוג קוקאין. בית המשפט המחוזי גזר על הנאשמת</w:t>
      </w:r>
      <w:r>
        <w:rPr>
          <w:rFonts w:ascii="David" w:hAnsi="David"/>
          <w:b/>
          <w:bCs/>
          <w:rtl/>
        </w:rPr>
        <w:t xml:space="preserve"> 36 חודשי מאסר בפועל</w:t>
      </w:r>
      <w:r>
        <w:rPr>
          <w:rFonts w:ascii="David" w:hAnsi="David"/>
          <w:rtl/>
        </w:rPr>
        <w:t xml:space="preserve">, ו-12 חודשי מאסר על תנאי.  </w:t>
      </w:r>
    </w:p>
    <w:p w14:paraId="11F3EAD1" w14:textId="77777777" w:rsidR="00AB6DF6" w:rsidRDefault="00AB6DF6" w:rsidP="00AB6DF6">
      <w:pPr>
        <w:tabs>
          <w:tab w:val="left" w:pos="466"/>
          <w:tab w:val="left" w:pos="892"/>
        </w:tabs>
        <w:spacing w:line="360" w:lineRule="auto"/>
        <w:ind w:left="892" w:hanging="892"/>
        <w:jc w:val="both"/>
        <w:rPr>
          <w:rFonts w:ascii="David" w:hAnsi="David"/>
          <w:rtl/>
        </w:rPr>
      </w:pPr>
    </w:p>
    <w:p w14:paraId="558407C6" w14:textId="77777777" w:rsidR="00AB6DF6" w:rsidRDefault="00AB6DF6" w:rsidP="00AB6DF6">
      <w:pPr>
        <w:tabs>
          <w:tab w:val="left" w:pos="466"/>
          <w:tab w:val="left" w:pos="892"/>
        </w:tabs>
        <w:spacing w:line="360" w:lineRule="auto"/>
        <w:ind w:left="892" w:hanging="892"/>
        <w:jc w:val="both"/>
        <w:rPr>
          <w:rFonts w:ascii="David" w:hAnsi="David"/>
          <w:rtl/>
        </w:rPr>
      </w:pPr>
      <w:r>
        <w:rPr>
          <w:rFonts w:ascii="David" w:hAnsi="David"/>
          <w:rtl/>
        </w:rPr>
        <w:tab/>
        <w:t>יא.</w:t>
      </w:r>
      <w:r>
        <w:rPr>
          <w:rFonts w:ascii="David" w:hAnsi="David"/>
          <w:rtl/>
        </w:rPr>
        <w:tab/>
      </w:r>
      <w:hyperlink r:id="rId62" w:history="1">
        <w:r w:rsidR="00BF0EFD" w:rsidRPr="00BF0EFD">
          <w:rPr>
            <w:rFonts w:ascii="David" w:hAnsi="David"/>
            <w:color w:val="0000FF"/>
            <w:u w:val="single"/>
            <w:rtl/>
          </w:rPr>
          <w:t>ת"פ 58488-08-18</w:t>
        </w:r>
      </w:hyperlink>
      <w:r>
        <w:rPr>
          <w:rFonts w:ascii="David" w:hAnsi="David"/>
          <w:rtl/>
        </w:rPr>
        <w:t xml:space="preserve"> </w:t>
      </w:r>
      <w:r>
        <w:rPr>
          <w:rFonts w:ascii="David" w:hAnsi="David"/>
          <w:b/>
          <w:bCs/>
          <w:rtl/>
        </w:rPr>
        <w:t>מדינת ישראל נ' ז'בניה</w:t>
      </w:r>
      <w:r>
        <w:rPr>
          <w:rFonts w:ascii="David" w:hAnsi="David"/>
          <w:rtl/>
        </w:rPr>
        <w:t xml:space="preserve"> </w:t>
      </w:r>
      <w:r w:rsidR="00C9086B" w:rsidRPr="00C9086B">
        <w:rPr>
          <w:sz w:val="22"/>
          <w:rtl/>
        </w:rPr>
        <w:t xml:space="preserve">[פורסם בנבו] </w:t>
      </w:r>
      <w:r>
        <w:rPr>
          <w:rFonts w:ascii="David" w:hAnsi="David"/>
          <w:rtl/>
        </w:rPr>
        <w:t xml:space="preserve">(16.4.2019) – נאשם הורשע על יסוד הודאתו במסגרת הסדר דיוני בעבירה של החזקת סם שלא לצריכה עצמית. הנאשם נתפס כשבחזקתו 109.25 גרם סם מסוכן מסוג הרואין, מחולק למנות, שלא לשימוש עצמי ועבור אחר. נקבע  </w:t>
      </w:r>
      <w:r>
        <w:rPr>
          <w:rFonts w:ascii="David" w:hAnsi="David"/>
          <w:b/>
          <w:bCs/>
          <w:rtl/>
        </w:rPr>
        <w:t>מתחם ענישה הולם שבין 3 ל-5 שנות מאסר</w:t>
      </w:r>
      <w:r>
        <w:rPr>
          <w:rFonts w:ascii="David" w:hAnsi="David"/>
          <w:rtl/>
        </w:rPr>
        <w:t xml:space="preserve">. על הנאשם, בעל עבר פלילי בתחום האלימות והרכוש, נגזרו </w:t>
      </w:r>
      <w:r>
        <w:rPr>
          <w:rFonts w:ascii="David" w:hAnsi="David"/>
          <w:b/>
          <w:bCs/>
          <w:rtl/>
        </w:rPr>
        <w:t>38 חודשי מאסר בפועל</w:t>
      </w:r>
      <w:r>
        <w:rPr>
          <w:rFonts w:ascii="David" w:hAnsi="David"/>
          <w:rtl/>
        </w:rPr>
        <w:t xml:space="preserve">, 10 חודשי מאסר על תנאי באם יעבור עבירה מסוג פשע לפי </w:t>
      </w:r>
      <w:hyperlink r:id="rId63" w:history="1">
        <w:r w:rsidR="00BF0EFD" w:rsidRPr="00BF0EFD">
          <w:rPr>
            <w:rFonts w:ascii="David" w:hAnsi="David"/>
            <w:color w:val="0000FF"/>
            <w:u w:val="single"/>
            <w:rtl/>
          </w:rPr>
          <w:t>פקודת הסמים המסוכנים</w:t>
        </w:r>
      </w:hyperlink>
      <w:r>
        <w:rPr>
          <w:rFonts w:ascii="David" w:hAnsi="David"/>
          <w:rtl/>
        </w:rPr>
        <w:t>, 6 חודשי מאסר על תנאי באם יעבור עבירת עוון לפי פקודת הסמים המסוכנים, וקנס בסך 10,000 ₪.</w:t>
      </w:r>
    </w:p>
    <w:p w14:paraId="452B2B71" w14:textId="77777777" w:rsidR="00AB6DF6" w:rsidRDefault="00AB6DF6" w:rsidP="00AB6DF6">
      <w:pPr>
        <w:tabs>
          <w:tab w:val="left" w:pos="466"/>
        </w:tabs>
        <w:spacing w:line="360" w:lineRule="auto"/>
        <w:ind w:left="466" w:hanging="466"/>
        <w:jc w:val="both"/>
        <w:rPr>
          <w:rFonts w:ascii="Calibri" w:hAnsi="Calibri"/>
          <w:highlight w:val="yellow"/>
          <w:rtl/>
        </w:rPr>
      </w:pPr>
    </w:p>
    <w:p w14:paraId="242E7933" w14:textId="77777777" w:rsidR="00AB6DF6" w:rsidRDefault="00AB6DF6" w:rsidP="00AB6DF6">
      <w:pPr>
        <w:tabs>
          <w:tab w:val="left" w:pos="466"/>
        </w:tabs>
        <w:spacing w:line="360" w:lineRule="auto"/>
        <w:ind w:left="466" w:hanging="466"/>
        <w:jc w:val="both"/>
        <w:rPr>
          <w:rtl/>
        </w:rPr>
      </w:pPr>
      <w:r>
        <w:rPr>
          <w:rtl/>
        </w:rPr>
        <w:t>13.</w:t>
      </w:r>
      <w:r>
        <w:rPr>
          <w:rtl/>
        </w:rPr>
        <w:tab/>
        <w:t xml:space="preserve">מכל המקובץ, סבורני כי </w:t>
      </w:r>
      <w:r>
        <w:rPr>
          <w:b/>
          <w:bCs/>
          <w:rtl/>
        </w:rPr>
        <w:t>מתחם העונש ההולם</w:t>
      </w:r>
      <w:r>
        <w:rPr>
          <w:rtl/>
        </w:rPr>
        <w:t xml:space="preserve"> לעבירות שביצע הנאשם, בנסיבות ביצוען, הינו בין 36 לבין 60 </w:t>
      </w:r>
      <w:r>
        <w:rPr>
          <w:b/>
          <w:bCs/>
          <w:rtl/>
        </w:rPr>
        <w:t>חודשי מאסר בפועל</w:t>
      </w:r>
      <w:r>
        <w:rPr>
          <w:rtl/>
        </w:rPr>
        <w:t xml:space="preserve">, לצד ענישה מרתיעה צופה פני עתיד וענישה כלכלית.  </w:t>
      </w:r>
    </w:p>
    <w:p w14:paraId="25EC69A1" w14:textId="77777777" w:rsidR="00AB6DF6" w:rsidRDefault="00AB6DF6" w:rsidP="00AB6DF6">
      <w:pPr>
        <w:tabs>
          <w:tab w:val="left" w:pos="466"/>
          <w:tab w:val="left" w:pos="892"/>
        </w:tabs>
        <w:spacing w:line="360" w:lineRule="auto"/>
        <w:ind w:left="892" w:hanging="892"/>
        <w:jc w:val="both"/>
        <w:rPr>
          <w:rFonts w:ascii="David" w:eastAsia="Calibri" w:hAnsi="David"/>
          <w:rtl/>
        </w:rPr>
      </w:pPr>
    </w:p>
    <w:p w14:paraId="799CFFA1" w14:textId="77777777" w:rsidR="00AB6DF6" w:rsidRDefault="00AB6DF6" w:rsidP="00AB6DF6">
      <w:pPr>
        <w:tabs>
          <w:tab w:val="left" w:pos="466"/>
        </w:tabs>
        <w:spacing w:line="360" w:lineRule="auto"/>
        <w:ind w:left="466" w:hanging="466"/>
        <w:jc w:val="both"/>
        <w:rPr>
          <w:rFonts w:ascii="Calibri" w:hAnsi="Calibri"/>
          <w:rtl/>
        </w:rPr>
      </w:pPr>
    </w:p>
    <w:p w14:paraId="1707C1E5" w14:textId="77777777" w:rsidR="00AB6DF6" w:rsidRDefault="00AB6DF6" w:rsidP="00AB6DF6">
      <w:pPr>
        <w:spacing w:line="360" w:lineRule="auto"/>
        <w:ind w:left="720" w:hanging="720"/>
        <w:jc w:val="both"/>
        <w:rPr>
          <w:b/>
          <w:bCs/>
          <w:u w:val="single"/>
          <w:rtl/>
        </w:rPr>
      </w:pPr>
      <w:r>
        <w:rPr>
          <w:b/>
          <w:bCs/>
          <w:u w:val="single"/>
          <w:rtl/>
        </w:rPr>
        <w:t xml:space="preserve">האם יש מקום לחריגה מגבולות מתחם הענישה? </w:t>
      </w:r>
    </w:p>
    <w:p w14:paraId="1FA63227" w14:textId="77777777" w:rsidR="00AB6DF6" w:rsidRDefault="00AB6DF6" w:rsidP="00AB6DF6">
      <w:pPr>
        <w:spacing w:line="360" w:lineRule="auto"/>
        <w:ind w:left="720" w:hanging="720"/>
        <w:jc w:val="both"/>
        <w:rPr>
          <w:rtl/>
        </w:rPr>
      </w:pPr>
    </w:p>
    <w:p w14:paraId="45DED257" w14:textId="77777777" w:rsidR="00AB6DF6" w:rsidRDefault="00AB6DF6" w:rsidP="00AB6DF6">
      <w:pPr>
        <w:tabs>
          <w:tab w:val="left" w:pos="466"/>
        </w:tabs>
        <w:spacing w:line="360" w:lineRule="auto"/>
        <w:ind w:left="466" w:hanging="466"/>
        <w:jc w:val="both"/>
        <w:rPr>
          <w:rtl/>
        </w:rPr>
      </w:pPr>
      <w:r>
        <w:rPr>
          <w:rtl/>
        </w:rPr>
        <w:t>14.</w:t>
      </w:r>
      <w:r>
        <w:rPr>
          <w:rtl/>
        </w:rPr>
        <w:tab/>
        <w:t>בהינתן מתחם הענישה ההולם, על בית המשפט לבחון האם ראוי לחרוג ממנו לקולה בשל שיקולי שיקום (</w:t>
      </w:r>
      <w:hyperlink r:id="rId64" w:history="1">
        <w:r w:rsidR="000A0A09" w:rsidRPr="000A0A09">
          <w:rPr>
            <w:color w:val="0000FF"/>
            <w:u w:val="single"/>
            <w:rtl/>
          </w:rPr>
          <w:t>סעיף 40ד</w:t>
        </w:r>
      </w:hyperlink>
      <w:r>
        <w:rPr>
          <w:rtl/>
        </w:rPr>
        <w:t xml:space="preserve"> ל</w:t>
      </w:r>
      <w:hyperlink r:id="rId65" w:history="1">
        <w:r w:rsidR="00BF0EFD" w:rsidRPr="00BF0EFD">
          <w:rPr>
            <w:color w:val="0000FF"/>
            <w:u w:val="single"/>
            <w:rtl/>
          </w:rPr>
          <w:t>חוק העונשין</w:t>
        </w:r>
      </w:hyperlink>
      <w:r>
        <w:rPr>
          <w:rtl/>
        </w:rPr>
        <w:t>) או לחומרה בשל הצורך להגנה על שלום הציבור (</w:t>
      </w:r>
      <w:hyperlink r:id="rId66" w:history="1">
        <w:r w:rsidR="000A0A09" w:rsidRPr="000A0A09">
          <w:rPr>
            <w:color w:val="0000FF"/>
            <w:u w:val="single"/>
            <w:rtl/>
          </w:rPr>
          <w:t>סעיף 40ה</w:t>
        </w:r>
      </w:hyperlink>
      <w:r>
        <w:rPr>
          <w:rtl/>
        </w:rPr>
        <w:t xml:space="preserve"> לחוק העונשין). בנסיבות דנא, לא מצאתי הצדקה לחריגה ממתחם הענישה, כפי קביעתי, בשל שיקולי שיקום, בהעדר אופק שיקומי רלוונטי ביחס לנאשם. מנגד, החשש שהנאשם יחזור לבצע עבירות דומות אינו מצדיק חציית רף מתחם הענישה לחומרה משיקולי הגנה על שלום הציבור. אי לכך, מכלול השיקולים, לרבות שיקולי הרתעת הנאשם ואחרים כמותו (ר' </w:t>
      </w:r>
      <w:hyperlink r:id="rId67" w:history="1">
        <w:r w:rsidR="000A0A09" w:rsidRPr="000A0A09">
          <w:rPr>
            <w:color w:val="0000FF"/>
            <w:u w:val="single"/>
            <w:rtl/>
          </w:rPr>
          <w:t>סעיפים 40ו</w:t>
        </w:r>
      </w:hyperlink>
      <w:r>
        <w:rPr>
          <w:rtl/>
        </w:rPr>
        <w:t xml:space="preserve"> ו-</w:t>
      </w:r>
      <w:hyperlink r:id="rId68" w:history="1">
        <w:r w:rsidR="000A0A09" w:rsidRPr="000A0A09">
          <w:rPr>
            <w:color w:val="0000FF"/>
            <w:u w:val="single"/>
            <w:rtl/>
          </w:rPr>
          <w:t>40ז</w:t>
        </w:r>
      </w:hyperlink>
      <w:r>
        <w:rPr>
          <w:rtl/>
        </w:rPr>
        <w:t xml:space="preserve"> ל</w:t>
      </w:r>
      <w:hyperlink r:id="rId69" w:history="1">
        <w:r w:rsidR="00BF0EFD" w:rsidRPr="00BF0EFD">
          <w:rPr>
            <w:color w:val="0000FF"/>
            <w:u w:val="single"/>
            <w:rtl/>
          </w:rPr>
          <w:t>חוק העונשין</w:t>
        </w:r>
      </w:hyperlink>
      <w:r>
        <w:rPr>
          <w:rtl/>
        </w:rPr>
        <w:t xml:space="preserve">), ינחוני בקביעת העונש המתאים לנאשם בגדרי מתחם הענישה. </w:t>
      </w:r>
    </w:p>
    <w:p w14:paraId="10383B16" w14:textId="77777777" w:rsidR="00AB6DF6" w:rsidRDefault="00AB6DF6" w:rsidP="00AB6DF6">
      <w:pPr>
        <w:tabs>
          <w:tab w:val="left" w:pos="466"/>
        </w:tabs>
        <w:spacing w:line="360" w:lineRule="auto"/>
        <w:ind w:left="466" w:hanging="466"/>
        <w:jc w:val="both"/>
        <w:rPr>
          <w:rFonts w:ascii="Calibri" w:hAnsi="Calibri"/>
          <w:rtl/>
        </w:rPr>
      </w:pPr>
    </w:p>
    <w:p w14:paraId="583F688C" w14:textId="77777777" w:rsidR="00AB6DF6" w:rsidRDefault="00AB6DF6" w:rsidP="00AB6DF6">
      <w:pPr>
        <w:tabs>
          <w:tab w:val="left" w:pos="466"/>
        </w:tabs>
        <w:spacing w:line="360" w:lineRule="auto"/>
        <w:ind w:left="466" w:hanging="466"/>
        <w:jc w:val="both"/>
        <w:rPr>
          <w:rtl/>
        </w:rPr>
      </w:pPr>
    </w:p>
    <w:p w14:paraId="139AAD7C" w14:textId="77777777" w:rsidR="00AB6DF6" w:rsidRDefault="00AB6DF6" w:rsidP="00AB6DF6">
      <w:pPr>
        <w:tabs>
          <w:tab w:val="left" w:pos="466"/>
        </w:tabs>
        <w:spacing w:line="360" w:lineRule="auto"/>
        <w:ind w:left="466" w:hanging="466"/>
        <w:jc w:val="both"/>
        <w:rPr>
          <w:b/>
          <w:bCs/>
          <w:u w:val="single"/>
          <w:rtl/>
        </w:rPr>
      </w:pPr>
      <w:r>
        <w:rPr>
          <w:b/>
          <w:bCs/>
          <w:u w:val="single"/>
          <w:rtl/>
        </w:rPr>
        <w:t>קביעת העונש המתאים לנאשם</w:t>
      </w:r>
    </w:p>
    <w:p w14:paraId="2FFE33BB" w14:textId="77777777" w:rsidR="00AB6DF6" w:rsidRDefault="00AB6DF6" w:rsidP="00AB6DF6">
      <w:pPr>
        <w:spacing w:line="360" w:lineRule="auto"/>
        <w:ind w:left="1440" w:hanging="720"/>
        <w:jc w:val="both"/>
        <w:rPr>
          <w:rtl/>
        </w:rPr>
      </w:pPr>
    </w:p>
    <w:p w14:paraId="461363ED" w14:textId="77777777" w:rsidR="00AB6DF6" w:rsidRDefault="00AB6DF6" w:rsidP="00AB6DF6">
      <w:pPr>
        <w:tabs>
          <w:tab w:val="left" w:pos="466"/>
        </w:tabs>
        <w:spacing w:line="360" w:lineRule="auto"/>
        <w:ind w:left="466" w:hanging="466"/>
        <w:jc w:val="both"/>
        <w:rPr>
          <w:rtl/>
        </w:rPr>
      </w:pPr>
      <w:r>
        <w:rPr>
          <w:rtl/>
        </w:rPr>
        <w:t>15.</w:t>
      </w:r>
      <w:r>
        <w:rPr>
          <w:rtl/>
        </w:rPr>
        <w:tab/>
        <w:t xml:space="preserve">לאחר קביעת מתחם העונש ההולם לעבירה בה הורשע הנאשם, יש לקבוע את העונש המתאים לו בהתאם </w:t>
      </w:r>
      <w:hyperlink r:id="rId70" w:history="1">
        <w:r w:rsidR="000A0A09" w:rsidRPr="000A0A09">
          <w:rPr>
            <w:color w:val="0000FF"/>
            <w:u w:val="single"/>
            <w:rtl/>
          </w:rPr>
          <w:t>לסעיף 40יא</w:t>
        </w:r>
      </w:hyperlink>
      <w:r>
        <w:rPr>
          <w:rtl/>
        </w:rPr>
        <w:t xml:space="preserve"> ל</w:t>
      </w:r>
      <w:hyperlink r:id="rId71" w:history="1">
        <w:r w:rsidR="00BF0EFD" w:rsidRPr="00BF0EFD">
          <w:rPr>
            <w:color w:val="0000FF"/>
            <w:u w:val="single"/>
            <w:rtl/>
          </w:rPr>
          <w:t>חוק העונשין</w:t>
        </w:r>
      </w:hyperlink>
      <w:r>
        <w:rPr>
          <w:rtl/>
        </w:rPr>
        <w:t>. בגזירת העונש המתאים לנאשם יובאו בכלל חשבון נסיבותיו האישיות, שאינן קשורות בביצוע העבירה. בדרך זו חידד תיקון מס' 113 ל</w:t>
      </w:r>
      <w:hyperlink r:id="rId72" w:history="1">
        <w:r w:rsidR="00BF0EFD" w:rsidRPr="00BF0EFD">
          <w:rPr>
            <w:color w:val="0000FF"/>
            <w:u w:val="single"/>
            <w:rtl/>
          </w:rPr>
          <w:t>חוק העונשין</w:t>
        </w:r>
      </w:hyperlink>
      <w:r>
        <w:rPr>
          <w:rtl/>
        </w:rPr>
        <w:t xml:space="preserve"> את הצורך בהמשך נקיטת שיטת ענישה אינדיווידואלית, הבוחנת נסיבותיו של כל מקרה ואדם המובא לדין (</w:t>
      </w:r>
      <w:hyperlink r:id="rId73" w:history="1">
        <w:r w:rsidR="00BF0EFD" w:rsidRPr="00BF0EFD">
          <w:rPr>
            <w:color w:val="0000FF"/>
            <w:u w:val="single"/>
            <w:rtl/>
          </w:rPr>
          <w:t>ע"פ 433/89 אטיאס נ' מדינת ישראל, פ"ד מג</w:t>
        </w:r>
      </w:hyperlink>
      <w:r>
        <w:rPr>
          <w:rtl/>
        </w:rPr>
        <w:t xml:space="preserve">(4) 170; </w:t>
      </w:r>
      <w:hyperlink r:id="rId74" w:history="1">
        <w:r w:rsidR="00BF0EFD" w:rsidRPr="00BF0EFD">
          <w:rPr>
            <w:color w:val="0000FF"/>
            <w:u w:val="single"/>
            <w:rtl/>
          </w:rPr>
          <w:t>ע"פ 5106/99 אבו ניג'מה נ' מדינת ישראל, פ"ד נד</w:t>
        </w:r>
      </w:hyperlink>
      <w:r>
        <w:rPr>
          <w:rtl/>
        </w:rPr>
        <w:t xml:space="preserve">(1) 350; </w:t>
      </w:r>
      <w:hyperlink r:id="rId75" w:history="1">
        <w:r w:rsidR="00BF0EFD" w:rsidRPr="00BF0EFD">
          <w:rPr>
            <w:color w:val="0000FF"/>
            <w:u w:val="single"/>
            <w:rtl/>
          </w:rPr>
          <w:t>רע"פ 3173/09</w:t>
        </w:r>
      </w:hyperlink>
      <w:r>
        <w:rPr>
          <w:rtl/>
        </w:rPr>
        <w:t xml:space="preserve"> </w:t>
      </w:r>
      <w:r>
        <w:rPr>
          <w:b/>
          <w:bCs/>
          <w:rtl/>
        </w:rPr>
        <w:t>פראגין נ' מדינת ישרא</w:t>
      </w:r>
      <w:r>
        <w:rPr>
          <w:rtl/>
        </w:rPr>
        <w:t xml:space="preserve">ל </w:t>
      </w:r>
      <w:r w:rsidR="00C9086B" w:rsidRPr="00C9086B">
        <w:rPr>
          <w:sz w:val="22"/>
          <w:rtl/>
        </w:rPr>
        <w:t xml:space="preserve">[פורסם בנבו] </w:t>
      </w:r>
      <w:r>
        <w:rPr>
          <w:rtl/>
        </w:rPr>
        <w:t>(ניתן ביום 5.5.2009)).</w:t>
      </w:r>
    </w:p>
    <w:p w14:paraId="70ED5083" w14:textId="77777777" w:rsidR="00AB6DF6" w:rsidRDefault="00AB6DF6" w:rsidP="00AB6DF6">
      <w:pPr>
        <w:spacing w:line="360" w:lineRule="auto"/>
        <w:rPr>
          <w:rFonts w:eastAsia="Calibri" w:cs="Arial"/>
          <w:b/>
          <w:bCs/>
          <w:sz w:val="22"/>
          <w:szCs w:val="22"/>
          <w:u w:val="single"/>
          <w:rtl/>
        </w:rPr>
      </w:pPr>
    </w:p>
    <w:p w14:paraId="5B36B47D" w14:textId="77777777" w:rsidR="00AB6DF6" w:rsidRDefault="00AB6DF6" w:rsidP="00AB6DF6">
      <w:pPr>
        <w:spacing w:line="360" w:lineRule="auto"/>
        <w:rPr>
          <w:rFonts w:eastAsia="Calibri" w:cs="Arial"/>
          <w:b/>
          <w:bCs/>
          <w:sz w:val="22"/>
          <w:szCs w:val="22"/>
          <w:u w:val="single"/>
          <w:rtl/>
        </w:rPr>
      </w:pPr>
    </w:p>
    <w:p w14:paraId="5CB705D6" w14:textId="77777777" w:rsidR="00AB6DF6" w:rsidRDefault="00AB6DF6" w:rsidP="00AB6DF6">
      <w:pPr>
        <w:spacing w:line="360" w:lineRule="auto"/>
        <w:rPr>
          <w:rFonts w:eastAsia="Calibri" w:cs="Arial"/>
          <w:b/>
          <w:bCs/>
          <w:sz w:val="22"/>
          <w:szCs w:val="22"/>
          <w:u w:val="single"/>
          <w:rtl/>
        </w:rPr>
      </w:pPr>
    </w:p>
    <w:p w14:paraId="7467C831" w14:textId="77777777" w:rsidR="00AB6DF6" w:rsidRDefault="00AB6DF6" w:rsidP="00AB6DF6">
      <w:pPr>
        <w:tabs>
          <w:tab w:val="left" w:pos="466"/>
        </w:tabs>
        <w:spacing w:line="360" w:lineRule="auto"/>
        <w:ind w:left="466" w:hanging="466"/>
        <w:jc w:val="both"/>
        <w:rPr>
          <w:b/>
          <w:bCs/>
          <w:u w:val="single"/>
          <w:rtl/>
        </w:rPr>
      </w:pPr>
      <w:r>
        <w:rPr>
          <w:b/>
          <w:bCs/>
          <w:u w:val="single"/>
          <w:rtl/>
        </w:rPr>
        <w:t xml:space="preserve">נסיבות שאינן קשורות בביצוע העבירה </w:t>
      </w:r>
    </w:p>
    <w:p w14:paraId="4C77FDC1" w14:textId="77777777" w:rsidR="00AB6DF6" w:rsidRDefault="00AB6DF6" w:rsidP="00AB6DF6">
      <w:pPr>
        <w:tabs>
          <w:tab w:val="left" w:pos="466"/>
        </w:tabs>
        <w:spacing w:line="360" w:lineRule="auto"/>
        <w:ind w:left="466" w:hanging="466"/>
        <w:jc w:val="both"/>
        <w:rPr>
          <w:rFonts w:ascii="David" w:eastAsia="Calibri" w:hAnsi="David"/>
        </w:rPr>
      </w:pPr>
    </w:p>
    <w:p w14:paraId="324EBBFE" w14:textId="77777777" w:rsidR="00AB6DF6" w:rsidRDefault="00AB6DF6" w:rsidP="00AB6DF6">
      <w:pPr>
        <w:tabs>
          <w:tab w:val="left" w:pos="466"/>
        </w:tabs>
        <w:spacing w:line="360" w:lineRule="auto"/>
        <w:ind w:left="466" w:hanging="466"/>
        <w:jc w:val="both"/>
        <w:rPr>
          <w:rFonts w:ascii="Calibri" w:hAnsi="Calibri"/>
          <w:rtl/>
        </w:rPr>
      </w:pPr>
      <w:r>
        <w:rPr>
          <w:rFonts w:ascii="David" w:hAnsi="David"/>
          <w:rtl/>
        </w:rPr>
        <w:t>16.</w:t>
      </w:r>
      <w:r>
        <w:rPr>
          <w:rFonts w:ascii="David" w:hAnsi="David"/>
          <w:rtl/>
        </w:rPr>
        <w:tab/>
        <w:t>לחובת הנאשם יש לציין את</w:t>
      </w:r>
      <w:r>
        <w:rPr>
          <w:rtl/>
        </w:rPr>
        <w:t xml:space="preserve"> חומרת העבירות שביצע, ומדיניות הענישה עליה עמדתי לעיל. עסקינן בסמים מסוכנים אשר תוצאות השימוש בהם הינן הרסניות. מכאן, יש להביא בכלל חשבון את שיקולי הרתעת היחיד והרבים, בעיקר נוכח ההשלכות החברתיות הקשות הכרוכות בביצוע העבירות בהן הורשע הנאשם. לא אחת נפסק כי בעבירות סמים יש ליתן משקל בכורה לאינטרס הציבורי (</w:t>
      </w:r>
      <w:hyperlink r:id="rId76" w:history="1">
        <w:r w:rsidR="00BF0EFD" w:rsidRPr="00BF0EFD">
          <w:rPr>
            <w:color w:val="0000FF"/>
            <w:u w:val="single"/>
            <w:rtl/>
          </w:rPr>
          <w:t>ע"פ 5265/95</w:t>
        </w:r>
      </w:hyperlink>
      <w:r>
        <w:rPr>
          <w:rtl/>
        </w:rPr>
        <w:t xml:space="preserve"> </w:t>
      </w:r>
      <w:r>
        <w:rPr>
          <w:b/>
          <w:bCs/>
          <w:rtl/>
        </w:rPr>
        <w:t>מנשה נ' מדינת ישראל</w:t>
      </w:r>
      <w:r>
        <w:rPr>
          <w:rtl/>
        </w:rPr>
        <w:t xml:space="preserve"> </w:t>
      </w:r>
      <w:r w:rsidR="00C9086B" w:rsidRPr="00C9086B">
        <w:rPr>
          <w:sz w:val="22"/>
          <w:rtl/>
        </w:rPr>
        <w:t xml:space="preserve">[פורסם בנבו] </w:t>
      </w:r>
      <w:r>
        <w:rPr>
          <w:rtl/>
        </w:rPr>
        <w:t>(23.1.1996)).</w:t>
      </w:r>
    </w:p>
    <w:p w14:paraId="118EC1D0" w14:textId="77777777" w:rsidR="00AB6DF6" w:rsidRDefault="00AB6DF6" w:rsidP="00AB6DF6">
      <w:pPr>
        <w:tabs>
          <w:tab w:val="left" w:pos="466"/>
        </w:tabs>
        <w:spacing w:line="360" w:lineRule="auto"/>
        <w:ind w:left="466" w:hanging="466"/>
        <w:jc w:val="both"/>
        <w:rPr>
          <w:rtl/>
        </w:rPr>
      </w:pPr>
    </w:p>
    <w:p w14:paraId="2CAE076E" w14:textId="77777777" w:rsidR="00AB6DF6" w:rsidRDefault="00AB6DF6" w:rsidP="00AB6DF6">
      <w:pPr>
        <w:tabs>
          <w:tab w:val="left" w:pos="466"/>
        </w:tabs>
        <w:spacing w:line="360" w:lineRule="auto"/>
        <w:ind w:left="466" w:hanging="466"/>
        <w:jc w:val="both"/>
        <w:rPr>
          <w:rtl/>
        </w:rPr>
      </w:pPr>
      <w:r>
        <w:rPr>
          <w:rtl/>
        </w:rPr>
        <w:tab/>
        <w:t>בנוסף לכך, הבאתי בכלל חשבון את עברו פלילי הרלוונטי של הנאשם, הכולל שלוש הרשעות בעבירות של החזקה/שימוש בסמים לצריכה עצמית (שני מופעים); החזקה/שימוש בסמים שלא לצריכה עצמית; פריצה לרכב; וגניבה מרכב. בגין עבירות אלו הושתו על הנאשם פעמיים עונשי מאסר למשך 30 יום, מאסרים מותנים והתחייבות להימנע מעבירה.</w:t>
      </w:r>
    </w:p>
    <w:p w14:paraId="2B5FC9A6" w14:textId="77777777" w:rsidR="00AB6DF6" w:rsidRDefault="00AB6DF6" w:rsidP="00AB6DF6">
      <w:pPr>
        <w:tabs>
          <w:tab w:val="left" w:pos="466"/>
        </w:tabs>
        <w:spacing w:line="360" w:lineRule="auto"/>
        <w:ind w:left="466" w:hanging="466"/>
        <w:jc w:val="both"/>
        <w:rPr>
          <w:rtl/>
        </w:rPr>
      </w:pPr>
    </w:p>
    <w:p w14:paraId="14C7B21C" w14:textId="77777777" w:rsidR="00AB6DF6" w:rsidRDefault="00AB6DF6" w:rsidP="00AB6DF6">
      <w:pPr>
        <w:tabs>
          <w:tab w:val="left" w:pos="466"/>
        </w:tabs>
        <w:spacing w:line="360" w:lineRule="auto"/>
        <w:ind w:left="466" w:hanging="466"/>
        <w:jc w:val="both"/>
        <w:rPr>
          <w:rtl/>
        </w:rPr>
      </w:pPr>
      <w:r>
        <w:rPr>
          <w:rtl/>
        </w:rPr>
        <w:t>17.</w:t>
      </w:r>
      <w:r>
        <w:rPr>
          <w:rtl/>
        </w:rPr>
        <w:tab/>
        <w:t>לזכות הנאשם הבאתי בכלל חשבון את הודאתו במיוחס לו בכתב האישום, לקיחת האחריות מצדו על מעשיו, שיתוף הפעולה עם המשטרה מעת שנעצר, הבעת החרטה והחיסכון בזמן שיפוטי. כמו כן, הבאתי בכלל חשבון כי הנאשם מצוי במעצר מיום האירוע, לאחר שלא עלה בידי ההגנה להציג בפני בית המשפט חלופת מעצר, בין היתר לאור הנתק בין הנאשם למשפחתו, שבהקשר זה נמסר כי הקשר ביניהם חודש אך לאחרונה.</w:t>
      </w:r>
    </w:p>
    <w:p w14:paraId="4C08969E" w14:textId="77777777" w:rsidR="00AB6DF6" w:rsidRDefault="00AB6DF6" w:rsidP="00AB6DF6">
      <w:pPr>
        <w:tabs>
          <w:tab w:val="left" w:pos="466"/>
        </w:tabs>
        <w:spacing w:line="360" w:lineRule="auto"/>
        <w:ind w:left="466" w:hanging="466"/>
        <w:jc w:val="both"/>
        <w:rPr>
          <w:rtl/>
        </w:rPr>
      </w:pPr>
    </w:p>
    <w:p w14:paraId="0086F8F4" w14:textId="77777777" w:rsidR="00AB6DF6" w:rsidRDefault="00AB6DF6" w:rsidP="00AB6DF6">
      <w:pPr>
        <w:tabs>
          <w:tab w:val="left" w:pos="466"/>
        </w:tabs>
        <w:spacing w:line="360" w:lineRule="auto"/>
        <w:ind w:left="466" w:hanging="466"/>
        <w:jc w:val="both"/>
        <w:rPr>
          <w:rtl/>
        </w:rPr>
      </w:pPr>
    </w:p>
    <w:p w14:paraId="55095C0A" w14:textId="77777777" w:rsidR="00AB6DF6" w:rsidRDefault="00AB6DF6" w:rsidP="00AB6DF6">
      <w:pPr>
        <w:spacing w:line="360" w:lineRule="auto"/>
        <w:ind w:left="720" w:hanging="720"/>
        <w:jc w:val="both"/>
        <w:rPr>
          <w:rFonts w:ascii="David" w:hAnsi="David"/>
          <w:b/>
          <w:bCs/>
          <w:u w:val="single"/>
          <w:rtl/>
        </w:rPr>
      </w:pPr>
      <w:r>
        <w:rPr>
          <w:rFonts w:ascii="David" w:hAnsi="David"/>
          <w:b/>
          <w:bCs/>
          <w:u w:val="single"/>
          <w:rtl/>
        </w:rPr>
        <w:t>העונש המ</w:t>
      </w:r>
      <w:r>
        <w:rPr>
          <w:rFonts w:ascii="David" w:hAnsi="David" w:hint="cs"/>
          <w:b/>
          <w:bCs/>
          <w:u w:val="single"/>
          <w:rtl/>
        </w:rPr>
        <w:t xml:space="preserve">תאים </w:t>
      </w:r>
      <w:r>
        <w:rPr>
          <w:rFonts w:ascii="David" w:hAnsi="David"/>
          <w:b/>
          <w:bCs/>
          <w:u w:val="single"/>
          <w:rtl/>
        </w:rPr>
        <w:t>לנאשם</w:t>
      </w:r>
    </w:p>
    <w:p w14:paraId="631CDCB3" w14:textId="77777777" w:rsidR="00AB6DF6" w:rsidRDefault="00AB6DF6" w:rsidP="00AB6DF6">
      <w:pPr>
        <w:spacing w:line="360" w:lineRule="auto"/>
        <w:ind w:left="720" w:hanging="720"/>
        <w:jc w:val="both"/>
        <w:rPr>
          <w:rFonts w:ascii="David" w:hAnsi="David"/>
          <w:u w:val="single"/>
          <w:rtl/>
        </w:rPr>
      </w:pPr>
    </w:p>
    <w:p w14:paraId="654BA800" w14:textId="77777777" w:rsidR="00AB6DF6" w:rsidRDefault="00AB6DF6" w:rsidP="00AB6DF6">
      <w:pPr>
        <w:tabs>
          <w:tab w:val="left" w:pos="466"/>
        </w:tabs>
        <w:spacing w:line="360" w:lineRule="auto"/>
        <w:ind w:left="466" w:hanging="466"/>
        <w:jc w:val="both"/>
        <w:rPr>
          <w:rFonts w:ascii="David" w:hAnsi="David"/>
          <w:rtl/>
        </w:rPr>
      </w:pPr>
      <w:r>
        <w:rPr>
          <w:rFonts w:ascii="David" w:hAnsi="David"/>
          <w:rtl/>
        </w:rPr>
        <w:t>18.</w:t>
      </w:r>
      <w:r>
        <w:rPr>
          <w:rFonts w:ascii="David" w:hAnsi="David"/>
          <w:rtl/>
        </w:rPr>
        <w:tab/>
        <w:t>מכל הנתונים, הטעמים והשיקולים שפירטתי לעיל, מצאתי להשית על הנאשם את העונש הבא:</w:t>
      </w:r>
    </w:p>
    <w:p w14:paraId="2278F433" w14:textId="77777777" w:rsidR="00AB6DF6" w:rsidRDefault="00AB6DF6" w:rsidP="00AB6DF6">
      <w:pPr>
        <w:tabs>
          <w:tab w:val="left" w:pos="466"/>
        </w:tabs>
        <w:spacing w:line="360" w:lineRule="auto"/>
        <w:ind w:left="466" w:hanging="466"/>
        <w:jc w:val="both"/>
        <w:rPr>
          <w:rFonts w:ascii="David" w:hAnsi="David"/>
          <w:rtl/>
        </w:rPr>
      </w:pPr>
    </w:p>
    <w:p w14:paraId="153D0718" w14:textId="77777777" w:rsidR="00AB6DF6" w:rsidRDefault="00AB6DF6" w:rsidP="00AB6DF6">
      <w:pPr>
        <w:tabs>
          <w:tab w:val="left" w:pos="466"/>
          <w:tab w:val="left" w:pos="892"/>
        </w:tabs>
        <w:spacing w:line="360" w:lineRule="auto"/>
        <w:ind w:left="466" w:hanging="466"/>
        <w:jc w:val="both"/>
        <w:rPr>
          <w:rFonts w:ascii="David" w:eastAsia="Calibri" w:hAnsi="David"/>
          <w:rtl/>
        </w:rPr>
      </w:pPr>
      <w:r>
        <w:rPr>
          <w:rFonts w:ascii="David" w:hAnsi="David"/>
          <w:rtl/>
        </w:rPr>
        <w:tab/>
        <w:t>א.</w:t>
      </w:r>
      <w:r>
        <w:rPr>
          <w:rFonts w:ascii="David" w:hAnsi="David"/>
          <w:rtl/>
        </w:rPr>
        <w:tab/>
      </w:r>
      <w:r>
        <w:rPr>
          <w:rFonts w:ascii="David" w:hAnsi="David"/>
          <w:u w:val="single"/>
          <w:rtl/>
        </w:rPr>
        <w:t>מאסר בפועל</w:t>
      </w:r>
      <w:r>
        <w:rPr>
          <w:rFonts w:ascii="David" w:hAnsi="David"/>
          <w:rtl/>
        </w:rPr>
        <w:t xml:space="preserve"> לתקופה של 38 חודשים, אשר תימנה מיום מעצרו של הנאשם ה- 11.11.2018.</w:t>
      </w:r>
    </w:p>
    <w:p w14:paraId="6145F0E5" w14:textId="77777777" w:rsidR="00AB6DF6" w:rsidRDefault="00AB6DF6" w:rsidP="00AB6DF6">
      <w:pPr>
        <w:tabs>
          <w:tab w:val="left" w:pos="466"/>
          <w:tab w:val="left" w:pos="892"/>
        </w:tabs>
        <w:spacing w:line="360" w:lineRule="auto"/>
        <w:ind w:left="466" w:hanging="466"/>
        <w:jc w:val="both"/>
        <w:rPr>
          <w:rFonts w:ascii="David" w:hAnsi="David"/>
          <w:rtl/>
        </w:rPr>
      </w:pPr>
    </w:p>
    <w:p w14:paraId="53375E7A" w14:textId="77777777" w:rsidR="00AB6DF6" w:rsidRDefault="00AB6DF6" w:rsidP="00AB6DF6">
      <w:pPr>
        <w:tabs>
          <w:tab w:val="left" w:pos="466"/>
          <w:tab w:val="left" w:pos="892"/>
        </w:tabs>
        <w:spacing w:line="360" w:lineRule="auto"/>
        <w:ind w:left="892" w:hanging="892"/>
        <w:jc w:val="both"/>
        <w:rPr>
          <w:rFonts w:ascii="David" w:hAnsi="David"/>
          <w:rtl/>
        </w:rPr>
      </w:pPr>
      <w:r>
        <w:rPr>
          <w:rFonts w:ascii="David" w:hAnsi="David"/>
          <w:rtl/>
        </w:rPr>
        <w:tab/>
        <w:t>ב.</w:t>
      </w:r>
      <w:r>
        <w:rPr>
          <w:rFonts w:ascii="David" w:hAnsi="David"/>
          <w:rtl/>
        </w:rPr>
        <w:tab/>
      </w:r>
      <w:r>
        <w:rPr>
          <w:rFonts w:ascii="David" w:hAnsi="David"/>
          <w:u w:val="single"/>
          <w:rtl/>
        </w:rPr>
        <w:t>מאסר מותנה</w:t>
      </w:r>
      <w:r>
        <w:rPr>
          <w:rFonts w:ascii="David" w:hAnsi="David"/>
          <w:rtl/>
        </w:rPr>
        <w:t xml:space="preserve"> לתקופה של 12 חודשים. הנאשם יישא בעונש זה אם בתקופה של שלוש שנים מיום שחרורו יעבור על כל עבירת סמים מסוג פשע.</w:t>
      </w:r>
    </w:p>
    <w:p w14:paraId="0E304DA2" w14:textId="77777777" w:rsidR="00AB6DF6" w:rsidRDefault="00AB6DF6" w:rsidP="00AB6DF6">
      <w:pPr>
        <w:tabs>
          <w:tab w:val="left" w:pos="466"/>
          <w:tab w:val="left" w:pos="892"/>
        </w:tabs>
        <w:spacing w:line="360" w:lineRule="auto"/>
        <w:ind w:left="892" w:hanging="892"/>
        <w:jc w:val="both"/>
        <w:rPr>
          <w:rFonts w:ascii="David" w:hAnsi="David"/>
          <w:rtl/>
        </w:rPr>
      </w:pPr>
      <w:r>
        <w:rPr>
          <w:rFonts w:ascii="David" w:hAnsi="David"/>
          <w:rtl/>
        </w:rPr>
        <w:tab/>
      </w:r>
    </w:p>
    <w:p w14:paraId="6E1EF520" w14:textId="77777777" w:rsidR="00AB6DF6" w:rsidRDefault="00AB6DF6" w:rsidP="00AB6DF6">
      <w:pPr>
        <w:tabs>
          <w:tab w:val="left" w:pos="466"/>
          <w:tab w:val="left" w:pos="892"/>
        </w:tabs>
        <w:spacing w:line="360" w:lineRule="auto"/>
        <w:ind w:left="892" w:hanging="892"/>
        <w:jc w:val="both"/>
        <w:rPr>
          <w:rFonts w:ascii="David" w:hAnsi="David"/>
          <w:rtl/>
        </w:rPr>
      </w:pPr>
      <w:r>
        <w:rPr>
          <w:rFonts w:ascii="David" w:hAnsi="David"/>
          <w:rtl/>
        </w:rPr>
        <w:tab/>
        <w:t>ג.</w:t>
      </w:r>
      <w:r>
        <w:rPr>
          <w:rFonts w:ascii="David" w:hAnsi="David"/>
          <w:rtl/>
        </w:rPr>
        <w:tab/>
      </w:r>
      <w:r>
        <w:rPr>
          <w:rFonts w:ascii="David" w:hAnsi="David"/>
          <w:u w:val="single"/>
          <w:rtl/>
        </w:rPr>
        <w:t>מאסר מותנה</w:t>
      </w:r>
      <w:r>
        <w:rPr>
          <w:rFonts w:ascii="David" w:hAnsi="David"/>
          <w:rtl/>
        </w:rPr>
        <w:t xml:space="preserve"> לתקופה של 7 חודשים. הנאשם יישא בעונש זה אם בתקופה של שלוש שנים מיום שחרורו יעבור כל עבירת סמים מסוג עוון.</w:t>
      </w:r>
    </w:p>
    <w:p w14:paraId="34AEAC16" w14:textId="77777777" w:rsidR="00AB6DF6" w:rsidRDefault="00AB6DF6" w:rsidP="00AB6DF6">
      <w:pPr>
        <w:tabs>
          <w:tab w:val="left" w:pos="466"/>
          <w:tab w:val="left" w:pos="892"/>
        </w:tabs>
        <w:spacing w:line="360" w:lineRule="auto"/>
        <w:ind w:left="892" w:hanging="892"/>
        <w:jc w:val="both"/>
        <w:rPr>
          <w:rFonts w:ascii="David" w:hAnsi="David"/>
          <w:rtl/>
        </w:rPr>
      </w:pPr>
    </w:p>
    <w:p w14:paraId="2C0C8B5B" w14:textId="77777777" w:rsidR="00AB6DF6" w:rsidRDefault="00AB6DF6" w:rsidP="00AB6DF6">
      <w:pPr>
        <w:tabs>
          <w:tab w:val="left" w:pos="379"/>
          <w:tab w:val="left" w:pos="892"/>
        </w:tabs>
        <w:spacing w:line="360" w:lineRule="auto"/>
        <w:ind w:left="892" w:hanging="892"/>
        <w:jc w:val="both"/>
        <w:rPr>
          <w:rFonts w:ascii="David" w:hAnsi="David"/>
          <w:rtl/>
        </w:rPr>
      </w:pPr>
    </w:p>
    <w:p w14:paraId="784AE0D8" w14:textId="77777777" w:rsidR="00AB6DF6" w:rsidRDefault="00AB6DF6" w:rsidP="00AB6DF6">
      <w:pPr>
        <w:tabs>
          <w:tab w:val="left" w:pos="379"/>
          <w:tab w:val="left" w:pos="892"/>
        </w:tabs>
        <w:spacing w:line="360" w:lineRule="auto"/>
        <w:ind w:left="892" w:hanging="892"/>
        <w:jc w:val="both"/>
        <w:rPr>
          <w:rtl/>
        </w:rPr>
      </w:pPr>
      <w:r>
        <w:rPr>
          <w:rFonts w:ascii="David" w:hAnsi="David"/>
          <w:rtl/>
        </w:rPr>
        <w:tab/>
        <w:t>ד.</w:t>
      </w:r>
      <w:r>
        <w:rPr>
          <w:rFonts w:ascii="David" w:hAnsi="David"/>
          <w:rtl/>
        </w:rPr>
        <w:tab/>
      </w:r>
      <w:r>
        <w:rPr>
          <w:rFonts w:ascii="David" w:hAnsi="David"/>
          <w:u w:val="single"/>
          <w:rtl/>
        </w:rPr>
        <w:t>קנס</w:t>
      </w:r>
      <w:r>
        <w:rPr>
          <w:rFonts w:ascii="David" w:hAnsi="David"/>
          <w:rtl/>
        </w:rPr>
        <w:t xml:space="preserve"> בסך 12,000 ₪ או 90 יום מאסר תמורתו. </w:t>
      </w:r>
      <w:r>
        <w:rPr>
          <w:rtl/>
        </w:rPr>
        <w:t xml:space="preserve">הקנס ישולם </w:t>
      </w:r>
      <w:r>
        <w:rPr>
          <w:rFonts w:hint="cs"/>
          <w:rtl/>
        </w:rPr>
        <w:t xml:space="preserve">עד לא יאוחר מיום 1.1.2021, </w:t>
      </w:r>
      <w:r>
        <w:rPr>
          <w:rtl/>
        </w:rPr>
        <w:t xml:space="preserve">שאילולא כן יחויב הנאשם בתוספת ריבית פיגורים כחוק. </w:t>
      </w:r>
    </w:p>
    <w:p w14:paraId="6BA0C6E9" w14:textId="77777777" w:rsidR="00AB6DF6" w:rsidRDefault="00AB6DF6" w:rsidP="00AB6DF6">
      <w:pPr>
        <w:tabs>
          <w:tab w:val="left" w:pos="379"/>
          <w:tab w:val="left" w:pos="892"/>
        </w:tabs>
        <w:spacing w:line="360" w:lineRule="auto"/>
        <w:ind w:left="892" w:hanging="892"/>
        <w:jc w:val="both"/>
        <w:rPr>
          <w:rtl/>
        </w:rPr>
      </w:pPr>
    </w:p>
    <w:p w14:paraId="11FBD002" w14:textId="77777777" w:rsidR="00AB6DF6" w:rsidRDefault="00AB6DF6" w:rsidP="00AB6DF6">
      <w:pPr>
        <w:tabs>
          <w:tab w:val="left" w:pos="379"/>
          <w:tab w:val="left" w:pos="892"/>
        </w:tabs>
        <w:spacing w:line="360" w:lineRule="auto"/>
        <w:ind w:left="892" w:hanging="892"/>
        <w:jc w:val="both"/>
        <w:rPr>
          <w:rtl/>
        </w:rPr>
      </w:pPr>
    </w:p>
    <w:p w14:paraId="04679DD8" w14:textId="77777777" w:rsidR="00AB6DF6" w:rsidRDefault="00AB6DF6" w:rsidP="00AB6DF6">
      <w:pPr>
        <w:tabs>
          <w:tab w:val="left" w:pos="466"/>
        </w:tabs>
        <w:spacing w:line="360" w:lineRule="auto"/>
        <w:ind w:left="466" w:hanging="466"/>
        <w:jc w:val="both"/>
        <w:rPr>
          <w:rtl/>
        </w:rPr>
      </w:pPr>
      <w:r>
        <w:rPr>
          <w:rtl/>
        </w:rPr>
        <w:t>19.</w:t>
      </w:r>
      <w:r>
        <w:rPr>
          <w:rtl/>
        </w:rPr>
        <w:tab/>
        <w:t xml:space="preserve">מורה </w:t>
      </w:r>
      <w:r>
        <w:rPr>
          <w:rFonts w:ascii="David" w:hAnsi="David"/>
          <w:rtl/>
        </w:rPr>
        <w:t>על</w:t>
      </w:r>
      <w:r>
        <w:rPr>
          <w:rtl/>
        </w:rPr>
        <w:t xml:space="preserve"> השמדת הסמים באחריות המאשימה. יתר המוצגים – יושמדו/יחולטו/יושבו לבעליהם, לפי שיקול דעת המאשימה.</w:t>
      </w:r>
    </w:p>
    <w:p w14:paraId="161F1507" w14:textId="77777777" w:rsidR="00AB6DF6" w:rsidRDefault="00AB6DF6" w:rsidP="00AB6DF6">
      <w:pPr>
        <w:tabs>
          <w:tab w:val="left" w:pos="466"/>
        </w:tabs>
        <w:spacing w:line="360" w:lineRule="auto"/>
        <w:ind w:left="466" w:hanging="466"/>
        <w:jc w:val="both"/>
        <w:rPr>
          <w:rtl/>
        </w:rPr>
      </w:pPr>
    </w:p>
    <w:p w14:paraId="417671CE" w14:textId="77777777" w:rsidR="00AB6DF6" w:rsidRDefault="00AB6DF6" w:rsidP="00AB6DF6">
      <w:pPr>
        <w:tabs>
          <w:tab w:val="left" w:pos="466"/>
        </w:tabs>
        <w:spacing w:line="360" w:lineRule="auto"/>
        <w:ind w:left="466" w:hanging="466"/>
        <w:jc w:val="both"/>
        <w:rPr>
          <w:rtl/>
        </w:rPr>
      </w:pPr>
      <w:r>
        <w:rPr>
          <w:rtl/>
        </w:rPr>
        <w:tab/>
        <w:t xml:space="preserve">זכות ערעור כדין. </w:t>
      </w:r>
    </w:p>
    <w:p w14:paraId="77F8B184" w14:textId="77777777" w:rsidR="00AB6DF6" w:rsidRPr="00B05847" w:rsidRDefault="00AB6DF6" w:rsidP="00AB6DF6">
      <w:pPr>
        <w:spacing w:line="360" w:lineRule="auto"/>
        <w:rPr>
          <w:rtl/>
        </w:rPr>
      </w:pPr>
    </w:p>
    <w:p w14:paraId="1ABF1250" w14:textId="77777777" w:rsidR="00AB6DF6" w:rsidRPr="00B05847" w:rsidRDefault="00AB6DF6" w:rsidP="00AB6DF6">
      <w:pPr>
        <w:rPr>
          <w:rtl/>
        </w:rPr>
      </w:pPr>
    </w:p>
    <w:p w14:paraId="2F2E3632" w14:textId="77777777" w:rsidR="00AB6DF6" w:rsidRPr="00B05847" w:rsidRDefault="00AB6DF6" w:rsidP="00AB6DF6">
      <w:pPr>
        <w:rPr>
          <w:rtl/>
        </w:rPr>
      </w:pPr>
    </w:p>
    <w:p w14:paraId="1AE1D94F" w14:textId="77777777" w:rsidR="00AB6DF6" w:rsidRPr="00BF0EFD" w:rsidRDefault="00BF0EFD" w:rsidP="00AB6DF6">
      <w:pPr>
        <w:rPr>
          <w:color w:val="FFFFFF"/>
          <w:sz w:val="2"/>
          <w:szCs w:val="2"/>
          <w:rtl/>
        </w:rPr>
      </w:pPr>
      <w:r w:rsidRPr="00BF0EFD">
        <w:rPr>
          <w:color w:val="FFFFFF"/>
          <w:sz w:val="2"/>
          <w:szCs w:val="2"/>
          <w:rtl/>
        </w:rPr>
        <w:t>5129371</w:t>
      </w:r>
    </w:p>
    <w:p w14:paraId="655A6791" w14:textId="77777777" w:rsidR="00AB6DF6" w:rsidRPr="00C9086B" w:rsidRDefault="00BF0EFD" w:rsidP="00AB6DF6">
      <w:pPr>
        <w:rPr>
          <w:b/>
          <w:bCs/>
          <w:rtl/>
        </w:rPr>
      </w:pPr>
      <w:bookmarkStart w:id="9" w:name="Nitan"/>
      <w:r w:rsidRPr="00C9086B">
        <w:rPr>
          <w:rFonts w:ascii="Arial" w:hAnsi="Arial"/>
          <w:b/>
          <w:bCs/>
          <w:color w:val="FFFFFF"/>
          <w:sz w:val="2"/>
          <w:szCs w:val="2"/>
          <w:rtl/>
        </w:rPr>
        <w:t>54678313</w:t>
      </w:r>
      <w:r w:rsidRPr="00C9086B">
        <w:rPr>
          <w:rFonts w:ascii="Arial" w:hAnsi="Arial"/>
          <w:b/>
          <w:bCs/>
          <w:rtl/>
        </w:rPr>
        <w:t xml:space="preserve">ניתן היום,  ט"ז אלול תשע"ט, 16 ספטמבר 2019, במעמד הצדדים. </w:t>
      </w:r>
      <w:bookmarkEnd w:id="9"/>
    </w:p>
    <w:p w14:paraId="58440489" w14:textId="77777777" w:rsidR="00AB6DF6" w:rsidRPr="00250B83" w:rsidRDefault="00AB6DF6" w:rsidP="00BF0EFD">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446ED3F6" w14:textId="77777777" w:rsidR="00AB6DF6" w:rsidRPr="00250B83" w:rsidRDefault="00AB6DF6" w:rsidP="00AB6DF6">
      <w:pPr>
        <w:jc w:val="center"/>
        <w:rPr>
          <w:rFonts w:ascii="Arial" w:hAnsi="Arial"/>
          <w:rtl/>
        </w:rPr>
      </w:pPr>
    </w:p>
    <w:p w14:paraId="6AC65630" w14:textId="77777777" w:rsidR="00BF0EFD" w:rsidRDefault="00BF0EFD" w:rsidP="00BF0EFD">
      <w:pPr>
        <w:jc w:val="center"/>
        <w:rPr>
          <w:color w:val="0000FF"/>
          <w:u w:val="single"/>
        </w:rPr>
      </w:pPr>
      <w:hyperlink r:id="rId77" w:history="1">
        <w:r>
          <w:rPr>
            <w:color w:val="0000FF"/>
            <w:u w:val="single"/>
            <w:rtl/>
          </w:rPr>
          <w:t>בעניין עריכה ושינויים במסמכי פסיקה, חקיקה ועוד באתר נבו – הקש כאן</w:t>
        </w:r>
      </w:hyperlink>
    </w:p>
    <w:p w14:paraId="55E556C3" w14:textId="77777777" w:rsidR="007D5FFB" w:rsidRPr="007D5FFB" w:rsidRDefault="007D5FFB" w:rsidP="007D5FFB">
      <w:pPr>
        <w:keepNext/>
        <w:rPr>
          <w:rFonts w:ascii="David" w:hAnsi="David"/>
          <w:color w:val="000000"/>
          <w:sz w:val="22"/>
          <w:szCs w:val="22"/>
          <w:rtl/>
        </w:rPr>
      </w:pPr>
    </w:p>
    <w:p w14:paraId="5A3E6343" w14:textId="77777777" w:rsidR="007D5FFB" w:rsidRPr="007D5FFB" w:rsidRDefault="007D5FFB" w:rsidP="007D5FFB">
      <w:pPr>
        <w:keepNext/>
        <w:rPr>
          <w:rFonts w:ascii="David" w:hAnsi="David"/>
          <w:color w:val="000000"/>
          <w:sz w:val="22"/>
          <w:szCs w:val="22"/>
          <w:rtl/>
        </w:rPr>
      </w:pPr>
      <w:r w:rsidRPr="007D5FFB">
        <w:rPr>
          <w:rFonts w:ascii="David" w:hAnsi="David"/>
          <w:color w:val="000000"/>
          <w:sz w:val="22"/>
          <w:szCs w:val="22"/>
          <w:rtl/>
        </w:rPr>
        <w:t>יוסי טופף 54678313-/</w:t>
      </w:r>
    </w:p>
    <w:p w14:paraId="2672D4D0" w14:textId="77777777" w:rsidR="00BF0EFD" w:rsidRPr="00BF0EFD" w:rsidRDefault="007D5FFB" w:rsidP="007D5FFB">
      <w:pPr>
        <w:rPr>
          <w:color w:val="0000FF"/>
          <w:u w:val="single"/>
        </w:rPr>
      </w:pPr>
      <w:r w:rsidRPr="007D5FFB">
        <w:rPr>
          <w:color w:val="000000"/>
          <w:u w:val="single"/>
          <w:rtl/>
        </w:rPr>
        <w:t>נוסח מסמך זה כפוף לשינויי ניסוח ועריכה</w:t>
      </w:r>
    </w:p>
    <w:sectPr w:rsidR="00BF0EFD" w:rsidRPr="00BF0EFD" w:rsidSect="007D5FFB">
      <w:headerReference w:type="even" r:id="rId78"/>
      <w:headerReference w:type="default" r:id="rId79"/>
      <w:footerReference w:type="even" r:id="rId80"/>
      <w:footerReference w:type="default" r:id="rId8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22029B" w14:textId="77777777" w:rsidR="00FF4FED" w:rsidRDefault="00FF4FED" w:rsidP="00F617FF">
      <w:r>
        <w:separator/>
      </w:r>
    </w:p>
  </w:endnote>
  <w:endnote w:type="continuationSeparator" w:id="0">
    <w:p w14:paraId="335B1F8A" w14:textId="77777777" w:rsidR="00FF4FED" w:rsidRDefault="00FF4FED" w:rsidP="00F61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6BF3E3" w14:textId="77777777" w:rsidR="00C9086B" w:rsidRDefault="00C9086B" w:rsidP="007D5FF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478200F" w14:textId="77777777" w:rsidR="00C9086B" w:rsidRPr="007D5FFB" w:rsidRDefault="00C9086B" w:rsidP="007D5FFB">
    <w:pPr>
      <w:pStyle w:val="a5"/>
      <w:pBdr>
        <w:top w:val="single" w:sz="4" w:space="1" w:color="auto"/>
        <w:between w:val="single" w:sz="4" w:space="0" w:color="auto"/>
      </w:pBdr>
      <w:spacing w:after="60"/>
      <w:jc w:val="center"/>
      <w:rPr>
        <w:rFonts w:ascii="FrankRuehl" w:hAnsi="FrankRuehl" w:cs="FrankRuehl"/>
        <w:color w:val="000000"/>
      </w:rPr>
    </w:pPr>
    <w:r w:rsidRPr="007D5FF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A578C4" w14:textId="77777777" w:rsidR="00C9086B" w:rsidRDefault="00C9086B" w:rsidP="007D5FF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27FB8">
      <w:rPr>
        <w:rFonts w:ascii="FrankRuehl" w:hAnsi="FrankRuehl" w:cs="FrankRuehl"/>
        <w:noProof/>
        <w:rtl/>
      </w:rPr>
      <w:t>1</w:t>
    </w:r>
    <w:r>
      <w:rPr>
        <w:rFonts w:ascii="FrankRuehl" w:hAnsi="FrankRuehl" w:cs="FrankRuehl"/>
        <w:rtl/>
      </w:rPr>
      <w:fldChar w:fldCharType="end"/>
    </w:r>
  </w:p>
  <w:p w14:paraId="0A16F7EF" w14:textId="77777777" w:rsidR="00C9086B" w:rsidRPr="007D5FFB" w:rsidRDefault="00C9086B" w:rsidP="007D5FFB">
    <w:pPr>
      <w:pStyle w:val="a5"/>
      <w:pBdr>
        <w:top w:val="single" w:sz="4" w:space="1" w:color="auto"/>
        <w:between w:val="single" w:sz="4" w:space="0" w:color="auto"/>
      </w:pBdr>
      <w:spacing w:after="60"/>
      <w:jc w:val="center"/>
      <w:rPr>
        <w:rFonts w:ascii="FrankRuehl" w:hAnsi="FrankRuehl" w:cs="FrankRuehl"/>
        <w:color w:val="000000"/>
      </w:rPr>
    </w:pPr>
    <w:r w:rsidRPr="007D5FFB">
      <w:rPr>
        <w:rFonts w:ascii="FrankRuehl" w:hAnsi="FrankRuehl" w:cs="FrankRuehl"/>
        <w:color w:val="000000"/>
      </w:rPr>
      <w:pict w14:anchorId="384455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C47149" w14:textId="77777777" w:rsidR="00FF4FED" w:rsidRDefault="00FF4FED" w:rsidP="00F617FF">
      <w:r>
        <w:separator/>
      </w:r>
    </w:p>
  </w:footnote>
  <w:footnote w:type="continuationSeparator" w:id="0">
    <w:p w14:paraId="53A13EE3" w14:textId="77777777" w:rsidR="00FF4FED" w:rsidRDefault="00FF4FED" w:rsidP="00F61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150CED" w14:textId="77777777" w:rsidR="00C9086B" w:rsidRPr="007D5FFB" w:rsidRDefault="00C9086B" w:rsidP="007D5FF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39299-11-18</w:t>
    </w:r>
    <w:r>
      <w:rPr>
        <w:rFonts w:ascii="David" w:hAnsi="David"/>
        <w:color w:val="000000"/>
        <w:sz w:val="22"/>
        <w:szCs w:val="22"/>
        <w:rtl/>
      </w:rPr>
      <w:tab/>
      <w:t xml:space="preserve"> מדינת ישראל נ' יאיר גלוחובסקי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E26CAC" w14:textId="77777777" w:rsidR="00C9086B" w:rsidRPr="007D5FFB" w:rsidRDefault="00C9086B" w:rsidP="007D5FF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39299-11-18</w:t>
    </w:r>
    <w:r>
      <w:rPr>
        <w:rFonts w:ascii="David" w:hAnsi="David"/>
        <w:color w:val="000000"/>
        <w:sz w:val="22"/>
        <w:szCs w:val="22"/>
        <w:rtl/>
      </w:rPr>
      <w:tab/>
      <w:t xml:space="preserve"> מדינת ישראל נ' יאיר גלוחובסקי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B6DF6"/>
    <w:rsid w:val="000A0A09"/>
    <w:rsid w:val="00191829"/>
    <w:rsid w:val="001A2171"/>
    <w:rsid w:val="00381020"/>
    <w:rsid w:val="00602342"/>
    <w:rsid w:val="007B6D4F"/>
    <w:rsid w:val="007D5FFB"/>
    <w:rsid w:val="00A56F2D"/>
    <w:rsid w:val="00AB6DF6"/>
    <w:rsid w:val="00BF0EFD"/>
    <w:rsid w:val="00C9086B"/>
    <w:rsid w:val="00D04C3B"/>
    <w:rsid w:val="00D27FB8"/>
    <w:rsid w:val="00EE7058"/>
    <w:rsid w:val="00F617FF"/>
    <w:rsid w:val="00FC0550"/>
    <w:rsid w:val="00FF4FE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hapeDefaults>
    <o:shapedefaults v:ext="edit" spidmax="2050"/>
    <o:shapelayout v:ext="edit">
      <o:idmap v:ext="edit" data="1"/>
    </o:shapelayout>
  </w:shapeDefaults>
  <w:decimalSymbol w:val="."/>
  <w:listSeparator w:val=","/>
  <w14:docId w14:val="2B0CE35F"/>
  <w15:chartTrackingRefBased/>
  <w15:docId w15:val="{CF428998-19DD-414A-929E-C17117374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B6DF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B6DF6"/>
    <w:pPr>
      <w:tabs>
        <w:tab w:val="center" w:pos="4153"/>
        <w:tab w:val="right" w:pos="8306"/>
      </w:tabs>
    </w:pPr>
  </w:style>
  <w:style w:type="character" w:customStyle="1" w:styleId="a4">
    <w:name w:val="כותרת עליונה תו"/>
    <w:link w:val="a3"/>
    <w:rsid w:val="00AB6DF6"/>
    <w:rPr>
      <w:rFonts w:ascii="Times New Roman" w:eastAsia="Times New Roman" w:hAnsi="Times New Roman" w:cs="David"/>
      <w:sz w:val="24"/>
      <w:szCs w:val="24"/>
    </w:rPr>
  </w:style>
  <w:style w:type="paragraph" w:styleId="a5">
    <w:name w:val="footer"/>
    <w:basedOn w:val="a"/>
    <w:link w:val="a6"/>
    <w:rsid w:val="00AB6DF6"/>
    <w:pPr>
      <w:tabs>
        <w:tab w:val="center" w:pos="4153"/>
        <w:tab w:val="right" w:pos="8306"/>
      </w:tabs>
    </w:pPr>
  </w:style>
  <w:style w:type="character" w:customStyle="1" w:styleId="a6">
    <w:name w:val="כותרת תחתונה תו"/>
    <w:link w:val="a5"/>
    <w:rsid w:val="00AB6DF6"/>
    <w:rPr>
      <w:rFonts w:ascii="Times New Roman" w:eastAsia="Times New Roman" w:hAnsi="Times New Roman" w:cs="David"/>
      <w:sz w:val="24"/>
      <w:szCs w:val="24"/>
    </w:rPr>
  </w:style>
  <w:style w:type="table" w:styleId="a7">
    <w:name w:val="Table Grid"/>
    <w:basedOn w:val="a1"/>
    <w:rsid w:val="00AB6DF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B6DF6"/>
  </w:style>
  <w:style w:type="paragraph" w:customStyle="1" w:styleId="Ruller5">
    <w:name w:val="Ruller5"/>
    <w:basedOn w:val="a"/>
    <w:rsid w:val="00AB6DF6"/>
    <w:pPr>
      <w:overflowPunct w:val="0"/>
      <w:autoSpaceDE w:val="0"/>
      <w:autoSpaceDN w:val="0"/>
      <w:adjustRightInd w:val="0"/>
      <w:ind w:left="1642" w:right="1282"/>
      <w:jc w:val="both"/>
    </w:pPr>
    <w:rPr>
      <w:rFonts w:ascii="Arial TUR" w:hAnsi="Arial TUR" w:cs="FrankRuehl"/>
      <w:spacing w:val="10"/>
      <w:sz w:val="22"/>
      <w:szCs w:val="28"/>
    </w:rPr>
  </w:style>
  <w:style w:type="character" w:customStyle="1" w:styleId="Ruller4">
    <w:name w:val="Ruller4 תו"/>
    <w:link w:val="Ruller40"/>
    <w:locked/>
    <w:rsid w:val="00AB6DF6"/>
    <w:rPr>
      <w:rFonts w:ascii="Arial TUR" w:hAnsi="Arial TUR" w:cs="FrankRuehl"/>
      <w:spacing w:val="10"/>
      <w:szCs w:val="28"/>
    </w:rPr>
  </w:style>
  <w:style w:type="paragraph" w:customStyle="1" w:styleId="Ruller40">
    <w:name w:val="Ruller4"/>
    <w:basedOn w:val="a"/>
    <w:link w:val="Ruller4"/>
    <w:rsid w:val="00AB6DF6"/>
    <w:pPr>
      <w:tabs>
        <w:tab w:val="left" w:pos="800"/>
      </w:tabs>
      <w:overflowPunct w:val="0"/>
      <w:autoSpaceDE w:val="0"/>
      <w:autoSpaceDN w:val="0"/>
      <w:adjustRightInd w:val="0"/>
      <w:spacing w:line="360" w:lineRule="auto"/>
      <w:jc w:val="both"/>
    </w:pPr>
    <w:rPr>
      <w:rFonts w:ascii="Arial TUR" w:eastAsia="Calibri" w:hAnsi="Arial TUR" w:cs="FrankRuehl"/>
      <w:spacing w:val="10"/>
      <w:sz w:val="22"/>
      <w:szCs w:val="28"/>
    </w:rPr>
  </w:style>
  <w:style w:type="character" w:styleId="Hyperlink">
    <w:name w:val="Hyperlink"/>
    <w:rsid w:val="00BF0EF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law/70301" TargetMode="External"/><Relationship Id="rId42" Type="http://schemas.openxmlformats.org/officeDocument/2006/relationships/hyperlink" Target="http://www.nevo.co.il/case/7012289" TargetMode="External"/><Relationship Id="rId47" Type="http://schemas.openxmlformats.org/officeDocument/2006/relationships/hyperlink" Target="http://www.nevo.co.il/case/20412551" TargetMode="External"/><Relationship Id="rId63" Type="http://schemas.openxmlformats.org/officeDocument/2006/relationships/hyperlink" Target="http://www.nevo.co.il/law/4216" TargetMode="External"/><Relationship Id="rId68" Type="http://schemas.openxmlformats.org/officeDocument/2006/relationships/hyperlink" Target="http://www.nevo.co.il/law/70301/40g" TargetMode="External"/><Relationship Id="rId16" Type="http://schemas.openxmlformats.org/officeDocument/2006/relationships/hyperlink" Target="http://www.nevo.co.il/law/70301/40ja" TargetMode="External"/><Relationship Id="rId11" Type="http://schemas.openxmlformats.org/officeDocument/2006/relationships/hyperlink" Target="http://www.nevo.co.il/law/70301/40c.a"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5698919" TargetMode="External"/><Relationship Id="rId53" Type="http://schemas.openxmlformats.org/officeDocument/2006/relationships/hyperlink" Target="http://www.nevo.co.il/case/20061696" TargetMode="External"/><Relationship Id="rId58" Type="http://schemas.openxmlformats.org/officeDocument/2006/relationships/hyperlink" Target="http://www.nevo.co.il/case/5601584" TargetMode="External"/><Relationship Id="rId74" Type="http://schemas.openxmlformats.org/officeDocument/2006/relationships/hyperlink" Target="http://www.nevo.co.il/case/5993616" TargetMode="External"/><Relationship Id="rId79" Type="http://schemas.openxmlformats.org/officeDocument/2006/relationships/header" Target="header2.xml"/><Relationship Id="rId5" Type="http://schemas.openxmlformats.org/officeDocument/2006/relationships/endnotes" Target="endnotes.xml"/><Relationship Id="rId61" Type="http://schemas.openxmlformats.org/officeDocument/2006/relationships/hyperlink" Target="http://www.nevo.co.il/case/5859017" TargetMode="External"/><Relationship Id="rId82" Type="http://schemas.openxmlformats.org/officeDocument/2006/relationships/fontTable" Target="fontTable.xml"/><Relationship Id="rId19" Type="http://schemas.openxmlformats.org/officeDocument/2006/relationships/hyperlink" Target="http://www.nevo.co.il/law/4216" TargetMode="External"/><Relationship Id="rId14" Type="http://schemas.openxmlformats.org/officeDocument/2006/relationships/hyperlink" Target="http://www.nevo.co.il/law/70301/40f" TargetMode="External"/><Relationship Id="rId22" Type="http://schemas.openxmlformats.org/officeDocument/2006/relationships/hyperlink" Target="http://www.nevo.co.il/case/6950458" TargetMode="External"/><Relationship Id="rId27" Type="http://schemas.openxmlformats.org/officeDocument/2006/relationships/hyperlink" Target="http://www.nevo.co.il/case/5573417" TargetMode="External"/><Relationship Id="rId30" Type="http://schemas.openxmlformats.org/officeDocument/2006/relationships/hyperlink" Target="http://www.nevo.co.il/law/70301/40jc.a" TargetMode="External"/><Relationship Id="rId35" Type="http://schemas.openxmlformats.org/officeDocument/2006/relationships/hyperlink" Target="http://www.nevo.co.il/case/5953822" TargetMode="External"/><Relationship Id="rId43" Type="http://schemas.openxmlformats.org/officeDocument/2006/relationships/hyperlink" Target="http://www.nevo.co.il/case/7697315" TargetMode="External"/><Relationship Id="rId48" Type="http://schemas.openxmlformats.org/officeDocument/2006/relationships/hyperlink" Target="http://www.nevo.co.il/case/18753213" TargetMode="External"/><Relationship Id="rId56" Type="http://schemas.openxmlformats.org/officeDocument/2006/relationships/hyperlink" Target="http://www.nevo.co.il/case/6008933" TargetMode="External"/><Relationship Id="rId64" Type="http://schemas.openxmlformats.org/officeDocument/2006/relationships/hyperlink" Target="http://www.nevo.co.il/law/70301/40d" TargetMode="External"/><Relationship Id="rId69" Type="http://schemas.openxmlformats.org/officeDocument/2006/relationships/hyperlink" Target="http://www.nevo.co.il/law/70301" TargetMode="External"/><Relationship Id="rId77" Type="http://schemas.openxmlformats.org/officeDocument/2006/relationships/hyperlink" Target="http://www.nevo.co.il/advertisements/nevo-100.doc" TargetMode="External"/><Relationship Id="rId8" Type="http://schemas.openxmlformats.org/officeDocument/2006/relationships/hyperlink" Target="http://www.nevo.co.il/law/4216/7.c" TargetMode="External"/><Relationship Id="rId51" Type="http://schemas.openxmlformats.org/officeDocument/2006/relationships/hyperlink" Target="http://www.nevo.co.il/case/6180833" TargetMode="External"/><Relationship Id="rId72" Type="http://schemas.openxmlformats.org/officeDocument/2006/relationships/hyperlink" Target="http://www.nevo.co.il/law/70301" TargetMode="External"/><Relationship Id="rId80" Type="http://schemas.openxmlformats.org/officeDocument/2006/relationships/footer" Target="footer1.xml"/><Relationship Id="rId3" Type="http://schemas.openxmlformats.org/officeDocument/2006/relationships/webSettings" Target="webSettings.xml"/><Relationship Id="rId12" Type="http://schemas.openxmlformats.org/officeDocument/2006/relationships/hyperlink" Target="http://www.nevo.co.il/law/70301/40d" TargetMode="External"/><Relationship Id="rId17" Type="http://schemas.openxmlformats.org/officeDocument/2006/relationships/hyperlink" Target="http://www.nevo.co.il/law/70301/40jc.a" TargetMode="External"/><Relationship Id="rId25" Type="http://schemas.openxmlformats.org/officeDocument/2006/relationships/hyperlink" Target="http://www.nevo.co.il/law/70301/40c.a" TargetMode="External"/><Relationship Id="rId33" Type="http://schemas.openxmlformats.org/officeDocument/2006/relationships/hyperlink" Target="http://www.nevo.co.il/case/5988308" TargetMode="External"/><Relationship Id="rId38" Type="http://schemas.openxmlformats.org/officeDocument/2006/relationships/hyperlink" Target="http://www.nevo.co.il/case/5763166" TargetMode="External"/><Relationship Id="rId46" Type="http://schemas.openxmlformats.org/officeDocument/2006/relationships/hyperlink" Target="http://www.nevo.co.il/law/70301" TargetMode="External"/><Relationship Id="rId59" Type="http://schemas.openxmlformats.org/officeDocument/2006/relationships/hyperlink" Target="http://www.nevo.co.il/case/5727295" TargetMode="External"/><Relationship Id="rId67" Type="http://schemas.openxmlformats.org/officeDocument/2006/relationships/hyperlink" Target="http://www.nevo.co.il/law/70301/40f" TargetMode="External"/><Relationship Id="rId20" Type="http://schemas.openxmlformats.org/officeDocument/2006/relationships/hyperlink" Target="http://www.nevo.co.il/law/4216/7.a.;7.c" TargetMode="External"/><Relationship Id="rId41" Type="http://schemas.openxmlformats.org/officeDocument/2006/relationships/hyperlink" Target="http://www.nevo.co.il/case/5698919" TargetMode="External"/><Relationship Id="rId54" Type="http://schemas.openxmlformats.org/officeDocument/2006/relationships/hyperlink" Target="http://www.nevo.co.il/case/18753213" TargetMode="External"/><Relationship Id="rId62" Type="http://schemas.openxmlformats.org/officeDocument/2006/relationships/hyperlink" Target="http://www.nevo.co.il/case/24954904" TargetMode="External"/><Relationship Id="rId70" Type="http://schemas.openxmlformats.org/officeDocument/2006/relationships/hyperlink" Target="http://www.nevo.co.il/law/70301/40ja" TargetMode="External"/><Relationship Id="rId75" Type="http://schemas.openxmlformats.org/officeDocument/2006/relationships/hyperlink" Target="http://www.nevo.co.il/case/5880417" TargetMode="External"/><Relationship Id="rId83"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4216" TargetMode="External"/><Relationship Id="rId15" Type="http://schemas.openxmlformats.org/officeDocument/2006/relationships/hyperlink" Target="http://www.nevo.co.il/law/70301/40g" TargetMode="External"/><Relationship Id="rId23" Type="http://schemas.openxmlformats.org/officeDocument/2006/relationships/hyperlink" Target="http://www.nevo.co.il/case/6824952" TargetMode="External"/><Relationship Id="rId28" Type="http://schemas.openxmlformats.org/officeDocument/2006/relationships/hyperlink" Target="http://www.nevo.co.il/case/13093721" TargetMode="External"/><Relationship Id="rId36" Type="http://schemas.openxmlformats.org/officeDocument/2006/relationships/hyperlink" Target="http://www.nevo.co.il/case/5698919" TargetMode="External"/><Relationship Id="rId49" Type="http://schemas.openxmlformats.org/officeDocument/2006/relationships/hyperlink" Target="http://www.nevo.co.il/case/12063973" TargetMode="External"/><Relationship Id="rId57" Type="http://schemas.openxmlformats.org/officeDocument/2006/relationships/hyperlink" Target="http://www.nevo.co.il/case/12063973" TargetMode="External"/><Relationship Id="rId10" Type="http://schemas.openxmlformats.org/officeDocument/2006/relationships/hyperlink" Target="http://www.nevo.co.il/law/70301/40.i" TargetMode="External"/><Relationship Id="rId31" Type="http://schemas.openxmlformats.org/officeDocument/2006/relationships/hyperlink" Target="http://www.nevo.co.il/law/70301/40c.a" TargetMode="External"/><Relationship Id="rId44" Type="http://schemas.openxmlformats.org/officeDocument/2006/relationships/hyperlink" Target="http://www.nevo.co.il/case/5786821" TargetMode="External"/><Relationship Id="rId52" Type="http://schemas.openxmlformats.org/officeDocument/2006/relationships/hyperlink" Target="http://www.nevo.co.il/case/7980156" TargetMode="External"/><Relationship Id="rId60" Type="http://schemas.openxmlformats.org/officeDocument/2006/relationships/hyperlink" Target="http://www.nevo.co.il/case/5953822" TargetMode="External"/><Relationship Id="rId65" Type="http://schemas.openxmlformats.org/officeDocument/2006/relationships/hyperlink" Target="http://www.nevo.co.il/law/70301" TargetMode="External"/><Relationship Id="rId73" Type="http://schemas.openxmlformats.org/officeDocument/2006/relationships/hyperlink" Target="http://www.nevo.co.il/case/17941073" TargetMode="External"/><Relationship Id="rId78" Type="http://schemas.openxmlformats.org/officeDocument/2006/relationships/header" Target="header1.xml"/><Relationship Id="rId81"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70301" TargetMode="External"/><Relationship Id="rId13" Type="http://schemas.openxmlformats.org/officeDocument/2006/relationships/hyperlink" Target="http://www.nevo.co.il/law/70301/40e" TargetMode="External"/><Relationship Id="rId18" Type="http://schemas.openxmlformats.org/officeDocument/2006/relationships/hyperlink" Target="http://www.nevo.co.il/law/4216/7.a.;7.c" TargetMode="External"/><Relationship Id="rId39" Type="http://schemas.openxmlformats.org/officeDocument/2006/relationships/hyperlink" Target="http://www.nevo.co.il/law/70301" TargetMode="External"/><Relationship Id="rId34" Type="http://schemas.openxmlformats.org/officeDocument/2006/relationships/hyperlink" Target="http://www.nevo.co.il/case/5786821" TargetMode="External"/><Relationship Id="rId50" Type="http://schemas.openxmlformats.org/officeDocument/2006/relationships/hyperlink" Target="http://www.nevo.co.il/case/5590128" TargetMode="External"/><Relationship Id="rId55" Type="http://schemas.openxmlformats.org/officeDocument/2006/relationships/hyperlink" Target="http://www.nevo.co.il/case/22505524" TargetMode="External"/><Relationship Id="rId76" Type="http://schemas.openxmlformats.org/officeDocument/2006/relationships/hyperlink" Target="http://www.nevo.co.il/case/17926104" TargetMode="External"/><Relationship Id="rId7" Type="http://schemas.openxmlformats.org/officeDocument/2006/relationships/hyperlink" Target="http://www.nevo.co.il/law/4216/7.a." TargetMode="External"/><Relationship Id="rId71" Type="http://schemas.openxmlformats.org/officeDocument/2006/relationships/hyperlink" Target="http://www.nevo.co.il/law/70301" TargetMode="External"/><Relationship Id="rId2" Type="http://schemas.openxmlformats.org/officeDocument/2006/relationships/settings" Target="settings.xml"/><Relationship Id="rId29" Type="http://schemas.openxmlformats.org/officeDocument/2006/relationships/hyperlink" Target="http://www.nevo.co.il/case/13101134" TargetMode="External"/><Relationship Id="rId24" Type="http://schemas.openxmlformats.org/officeDocument/2006/relationships/hyperlink" Target="http://www.nevo.co.il/case/6473037" TargetMode="External"/><Relationship Id="rId40" Type="http://schemas.openxmlformats.org/officeDocument/2006/relationships/hyperlink" Target="http://www.nevo.co.il/case/20402486" TargetMode="External"/><Relationship Id="rId45" Type="http://schemas.openxmlformats.org/officeDocument/2006/relationships/hyperlink" Target="http://www.nevo.co.il/law/70301/40.i" TargetMode="External"/><Relationship Id="rId66" Type="http://schemas.openxmlformats.org/officeDocument/2006/relationships/hyperlink" Target="http://www.nevo.co.il/law/70301/40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4022</Words>
  <Characters>20110</Characters>
  <Application>Microsoft Office Word</Application>
  <DocSecurity>0</DocSecurity>
  <Lines>167</Lines>
  <Paragraphs>48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24084</CharactersWithSpaces>
  <SharedDoc>false</SharedDoc>
  <HLinks>
    <vt:vector size="438" baseType="variant">
      <vt:variant>
        <vt:i4>393283</vt:i4>
      </vt:variant>
      <vt:variant>
        <vt:i4>216</vt:i4>
      </vt:variant>
      <vt:variant>
        <vt:i4>0</vt:i4>
      </vt:variant>
      <vt:variant>
        <vt:i4>5</vt:i4>
      </vt:variant>
      <vt:variant>
        <vt:lpwstr>http://www.nevo.co.il/advertisements/nevo-100.doc</vt:lpwstr>
      </vt:variant>
      <vt:variant>
        <vt:lpwstr/>
      </vt:variant>
      <vt:variant>
        <vt:i4>4063344</vt:i4>
      </vt:variant>
      <vt:variant>
        <vt:i4>213</vt:i4>
      </vt:variant>
      <vt:variant>
        <vt:i4>0</vt:i4>
      </vt:variant>
      <vt:variant>
        <vt:i4>5</vt:i4>
      </vt:variant>
      <vt:variant>
        <vt:lpwstr>http://www.nevo.co.il/case/17926104</vt:lpwstr>
      </vt:variant>
      <vt:variant>
        <vt:lpwstr/>
      </vt:variant>
      <vt:variant>
        <vt:i4>4063357</vt:i4>
      </vt:variant>
      <vt:variant>
        <vt:i4>210</vt:i4>
      </vt:variant>
      <vt:variant>
        <vt:i4>0</vt:i4>
      </vt:variant>
      <vt:variant>
        <vt:i4>5</vt:i4>
      </vt:variant>
      <vt:variant>
        <vt:lpwstr>http://www.nevo.co.il/case/5880417</vt:lpwstr>
      </vt:variant>
      <vt:variant>
        <vt:lpwstr/>
      </vt:variant>
      <vt:variant>
        <vt:i4>3932287</vt:i4>
      </vt:variant>
      <vt:variant>
        <vt:i4>207</vt:i4>
      </vt:variant>
      <vt:variant>
        <vt:i4>0</vt:i4>
      </vt:variant>
      <vt:variant>
        <vt:i4>5</vt:i4>
      </vt:variant>
      <vt:variant>
        <vt:lpwstr>http://www.nevo.co.il/case/5993616</vt:lpwstr>
      </vt:variant>
      <vt:variant>
        <vt:lpwstr/>
      </vt:variant>
      <vt:variant>
        <vt:i4>4063351</vt:i4>
      </vt:variant>
      <vt:variant>
        <vt:i4>204</vt:i4>
      </vt:variant>
      <vt:variant>
        <vt:i4>0</vt:i4>
      </vt:variant>
      <vt:variant>
        <vt:i4>5</vt:i4>
      </vt:variant>
      <vt:variant>
        <vt:lpwstr>http://www.nevo.co.il/case/17941073</vt:lpwstr>
      </vt:variant>
      <vt:variant>
        <vt:lpwstr/>
      </vt:variant>
      <vt:variant>
        <vt:i4>7995492</vt:i4>
      </vt:variant>
      <vt:variant>
        <vt:i4>201</vt:i4>
      </vt:variant>
      <vt:variant>
        <vt:i4>0</vt:i4>
      </vt:variant>
      <vt:variant>
        <vt:i4>5</vt:i4>
      </vt:variant>
      <vt:variant>
        <vt:lpwstr>http://www.nevo.co.il/law/70301</vt:lpwstr>
      </vt:variant>
      <vt:variant>
        <vt:lpwstr/>
      </vt:variant>
      <vt:variant>
        <vt:i4>7995492</vt:i4>
      </vt:variant>
      <vt:variant>
        <vt:i4>198</vt:i4>
      </vt:variant>
      <vt:variant>
        <vt:i4>0</vt:i4>
      </vt:variant>
      <vt:variant>
        <vt:i4>5</vt:i4>
      </vt:variant>
      <vt:variant>
        <vt:lpwstr>http://www.nevo.co.il/law/70301</vt:lpwstr>
      </vt:variant>
      <vt:variant>
        <vt:lpwstr/>
      </vt:variant>
      <vt:variant>
        <vt:i4>262155</vt:i4>
      </vt:variant>
      <vt:variant>
        <vt:i4>195</vt:i4>
      </vt:variant>
      <vt:variant>
        <vt:i4>0</vt:i4>
      </vt:variant>
      <vt:variant>
        <vt:i4>5</vt:i4>
      </vt:variant>
      <vt:variant>
        <vt:lpwstr>http://www.nevo.co.il/law/70301/40ja</vt:lpwstr>
      </vt:variant>
      <vt:variant>
        <vt:lpwstr/>
      </vt:variant>
      <vt:variant>
        <vt:i4>7995492</vt:i4>
      </vt:variant>
      <vt:variant>
        <vt:i4>192</vt:i4>
      </vt:variant>
      <vt:variant>
        <vt:i4>0</vt:i4>
      </vt:variant>
      <vt:variant>
        <vt:i4>5</vt:i4>
      </vt:variant>
      <vt:variant>
        <vt:lpwstr>http://www.nevo.co.il/law/70301</vt:lpwstr>
      </vt:variant>
      <vt:variant>
        <vt:lpwstr/>
      </vt:variant>
      <vt:variant>
        <vt:i4>6619233</vt:i4>
      </vt:variant>
      <vt:variant>
        <vt:i4>189</vt:i4>
      </vt:variant>
      <vt:variant>
        <vt:i4>0</vt:i4>
      </vt:variant>
      <vt:variant>
        <vt:i4>5</vt:i4>
      </vt:variant>
      <vt:variant>
        <vt:lpwstr>http://www.nevo.co.il/law/70301/40g</vt:lpwstr>
      </vt:variant>
      <vt:variant>
        <vt:lpwstr/>
      </vt:variant>
      <vt:variant>
        <vt:i4>6619233</vt:i4>
      </vt:variant>
      <vt:variant>
        <vt:i4>186</vt:i4>
      </vt:variant>
      <vt:variant>
        <vt:i4>0</vt:i4>
      </vt:variant>
      <vt:variant>
        <vt:i4>5</vt:i4>
      </vt:variant>
      <vt:variant>
        <vt:lpwstr>http://www.nevo.co.il/law/70301/40f</vt:lpwstr>
      </vt:variant>
      <vt:variant>
        <vt:lpwstr/>
      </vt:variant>
      <vt:variant>
        <vt:i4>6619233</vt:i4>
      </vt:variant>
      <vt:variant>
        <vt:i4>183</vt:i4>
      </vt:variant>
      <vt:variant>
        <vt:i4>0</vt:i4>
      </vt:variant>
      <vt:variant>
        <vt:i4>5</vt:i4>
      </vt:variant>
      <vt:variant>
        <vt:lpwstr>http://www.nevo.co.il/law/70301/40e</vt:lpwstr>
      </vt:variant>
      <vt:variant>
        <vt:lpwstr/>
      </vt:variant>
      <vt:variant>
        <vt:i4>7995492</vt:i4>
      </vt:variant>
      <vt:variant>
        <vt:i4>180</vt:i4>
      </vt:variant>
      <vt:variant>
        <vt:i4>0</vt:i4>
      </vt:variant>
      <vt:variant>
        <vt:i4>5</vt:i4>
      </vt:variant>
      <vt:variant>
        <vt:lpwstr>http://www.nevo.co.il/law/70301</vt:lpwstr>
      </vt:variant>
      <vt:variant>
        <vt:lpwstr/>
      </vt:variant>
      <vt:variant>
        <vt:i4>6619233</vt:i4>
      </vt:variant>
      <vt:variant>
        <vt:i4>177</vt:i4>
      </vt:variant>
      <vt:variant>
        <vt:i4>0</vt:i4>
      </vt:variant>
      <vt:variant>
        <vt:i4>5</vt:i4>
      </vt:variant>
      <vt:variant>
        <vt:lpwstr>http://www.nevo.co.il/law/70301/40d</vt:lpwstr>
      </vt:variant>
      <vt:variant>
        <vt:lpwstr/>
      </vt:variant>
      <vt:variant>
        <vt:i4>8257637</vt:i4>
      </vt:variant>
      <vt:variant>
        <vt:i4>174</vt:i4>
      </vt:variant>
      <vt:variant>
        <vt:i4>0</vt:i4>
      </vt:variant>
      <vt:variant>
        <vt:i4>5</vt:i4>
      </vt:variant>
      <vt:variant>
        <vt:lpwstr>http://www.nevo.co.il/law/4216</vt:lpwstr>
      </vt:variant>
      <vt:variant>
        <vt:lpwstr/>
      </vt:variant>
      <vt:variant>
        <vt:i4>4128892</vt:i4>
      </vt:variant>
      <vt:variant>
        <vt:i4>171</vt:i4>
      </vt:variant>
      <vt:variant>
        <vt:i4>0</vt:i4>
      </vt:variant>
      <vt:variant>
        <vt:i4>5</vt:i4>
      </vt:variant>
      <vt:variant>
        <vt:lpwstr>http://www.nevo.co.il/case/24954904</vt:lpwstr>
      </vt:variant>
      <vt:variant>
        <vt:lpwstr/>
      </vt:variant>
      <vt:variant>
        <vt:i4>3604596</vt:i4>
      </vt:variant>
      <vt:variant>
        <vt:i4>168</vt:i4>
      </vt:variant>
      <vt:variant>
        <vt:i4>0</vt:i4>
      </vt:variant>
      <vt:variant>
        <vt:i4>5</vt:i4>
      </vt:variant>
      <vt:variant>
        <vt:lpwstr>http://www.nevo.co.il/case/5859017</vt:lpwstr>
      </vt:variant>
      <vt:variant>
        <vt:lpwstr/>
      </vt:variant>
      <vt:variant>
        <vt:i4>3801212</vt:i4>
      </vt:variant>
      <vt:variant>
        <vt:i4>165</vt:i4>
      </vt:variant>
      <vt:variant>
        <vt:i4>0</vt:i4>
      </vt:variant>
      <vt:variant>
        <vt:i4>5</vt:i4>
      </vt:variant>
      <vt:variant>
        <vt:lpwstr>http://www.nevo.co.il/case/5953822</vt:lpwstr>
      </vt:variant>
      <vt:variant>
        <vt:lpwstr/>
      </vt:variant>
      <vt:variant>
        <vt:i4>3145853</vt:i4>
      </vt:variant>
      <vt:variant>
        <vt:i4>162</vt:i4>
      </vt:variant>
      <vt:variant>
        <vt:i4>0</vt:i4>
      </vt:variant>
      <vt:variant>
        <vt:i4>5</vt:i4>
      </vt:variant>
      <vt:variant>
        <vt:lpwstr>http://www.nevo.co.il/case/5727295</vt:lpwstr>
      </vt:variant>
      <vt:variant>
        <vt:lpwstr/>
      </vt:variant>
      <vt:variant>
        <vt:i4>3407995</vt:i4>
      </vt:variant>
      <vt:variant>
        <vt:i4>159</vt:i4>
      </vt:variant>
      <vt:variant>
        <vt:i4>0</vt:i4>
      </vt:variant>
      <vt:variant>
        <vt:i4>5</vt:i4>
      </vt:variant>
      <vt:variant>
        <vt:lpwstr>http://www.nevo.co.il/case/5601584</vt:lpwstr>
      </vt:variant>
      <vt:variant>
        <vt:lpwstr/>
      </vt:variant>
      <vt:variant>
        <vt:i4>3473523</vt:i4>
      </vt:variant>
      <vt:variant>
        <vt:i4>156</vt:i4>
      </vt:variant>
      <vt:variant>
        <vt:i4>0</vt:i4>
      </vt:variant>
      <vt:variant>
        <vt:i4>5</vt:i4>
      </vt:variant>
      <vt:variant>
        <vt:lpwstr>http://www.nevo.co.il/case/5590128</vt:lpwstr>
      </vt:variant>
      <vt:variant>
        <vt:lpwstr/>
      </vt:variant>
      <vt:variant>
        <vt:i4>3473529</vt:i4>
      </vt:variant>
      <vt:variant>
        <vt:i4>153</vt:i4>
      </vt:variant>
      <vt:variant>
        <vt:i4>0</vt:i4>
      </vt:variant>
      <vt:variant>
        <vt:i4>5</vt:i4>
      </vt:variant>
      <vt:variant>
        <vt:lpwstr>http://www.nevo.co.il/case/12063973</vt:lpwstr>
      </vt:variant>
      <vt:variant>
        <vt:lpwstr/>
      </vt:variant>
      <vt:variant>
        <vt:i4>3932287</vt:i4>
      </vt:variant>
      <vt:variant>
        <vt:i4>150</vt:i4>
      </vt:variant>
      <vt:variant>
        <vt:i4>0</vt:i4>
      </vt:variant>
      <vt:variant>
        <vt:i4>5</vt:i4>
      </vt:variant>
      <vt:variant>
        <vt:lpwstr>http://www.nevo.co.il/case/6008933</vt:lpwstr>
      </vt:variant>
      <vt:variant>
        <vt:lpwstr/>
      </vt:variant>
      <vt:variant>
        <vt:i4>3145843</vt:i4>
      </vt:variant>
      <vt:variant>
        <vt:i4>147</vt:i4>
      </vt:variant>
      <vt:variant>
        <vt:i4>0</vt:i4>
      </vt:variant>
      <vt:variant>
        <vt:i4>5</vt:i4>
      </vt:variant>
      <vt:variant>
        <vt:lpwstr>http://www.nevo.co.il/case/22505524</vt:lpwstr>
      </vt:variant>
      <vt:variant>
        <vt:lpwstr/>
      </vt:variant>
      <vt:variant>
        <vt:i4>3407995</vt:i4>
      </vt:variant>
      <vt:variant>
        <vt:i4>144</vt:i4>
      </vt:variant>
      <vt:variant>
        <vt:i4>0</vt:i4>
      </vt:variant>
      <vt:variant>
        <vt:i4>5</vt:i4>
      </vt:variant>
      <vt:variant>
        <vt:lpwstr>http://www.nevo.co.il/case/18753213</vt:lpwstr>
      </vt:variant>
      <vt:variant>
        <vt:lpwstr/>
      </vt:variant>
      <vt:variant>
        <vt:i4>3801204</vt:i4>
      </vt:variant>
      <vt:variant>
        <vt:i4>141</vt:i4>
      </vt:variant>
      <vt:variant>
        <vt:i4>0</vt:i4>
      </vt:variant>
      <vt:variant>
        <vt:i4>5</vt:i4>
      </vt:variant>
      <vt:variant>
        <vt:lpwstr>http://www.nevo.co.il/case/20061696</vt:lpwstr>
      </vt:variant>
      <vt:variant>
        <vt:lpwstr/>
      </vt:variant>
      <vt:variant>
        <vt:i4>3670136</vt:i4>
      </vt:variant>
      <vt:variant>
        <vt:i4>138</vt:i4>
      </vt:variant>
      <vt:variant>
        <vt:i4>0</vt:i4>
      </vt:variant>
      <vt:variant>
        <vt:i4>5</vt:i4>
      </vt:variant>
      <vt:variant>
        <vt:lpwstr>http://www.nevo.co.il/case/7980156</vt:lpwstr>
      </vt:variant>
      <vt:variant>
        <vt:lpwstr/>
      </vt:variant>
      <vt:variant>
        <vt:i4>3473526</vt:i4>
      </vt:variant>
      <vt:variant>
        <vt:i4>135</vt:i4>
      </vt:variant>
      <vt:variant>
        <vt:i4>0</vt:i4>
      </vt:variant>
      <vt:variant>
        <vt:i4>5</vt:i4>
      </vt:variant>
      <vt:variant>
        <vt:lpwstr>http://www.nevo.co.il/case/6180833</vt:lpwstr>
      </vt:variant>
      <vt:variant>
        <vt:lpwstr/>
      </vt:variant>
      <vt:variant>
        <vt:i4>3473523</vt:i4>
      </vt:variant>
      <vt:variant>
        <vt:i4>132</vt:i4>
      </vt:variant>
      <vt:variant>
        <vt:i4>0</vt:i4>
      </vt:variant>
      <vt:variant>
        <vt:i4>5</vt:i4>
      </vt:variant>
      <vt:variant>
        <vt:lpwstr>http://www.nevo.co.il/case/5590128</vt:lpwstr>
      </vt:variant>
      <vt:variant>
        <vt:lpwstr/>
      </vt:variant>
      <vt:variant>
        <vt:i4>3473529</vt:i4>
      </vt:variant>
      <vt:variant>
        <vt:i4>129</vt:i4>
      </vt:variant>
      <vt:variant>
        <vt:i4>0</vt:i4>
      </vt:variant>
      <vt:variant>
        <vt:i4>5</vt:i4>
      </vt:variant>
      <vt:variant>
        <vt:lpwstr>http://www.nevo.co.il/case/12063973</vt:lpwstr>
      </vt:variant>
      <vt:variant>
        <vt:lpwstr/>
      </vt:variant>
      <vt:variant>
        <vt:i4>3407995</vt:i4>
      </vt:variant>
      <vt:variant>
        <vt:i4>126</vt:i4>
      </vt:variant>
      <vt:variant>
        <vt:i4>0</vt:i4>
      </vt:variant>
      <vt:variant>
        <vt:i4>5</vt:i4>
      </vt:variant>
      <vt:variant>
        <vt:lpwstr>http://www.nevo.co.il/case/18753213</vt:lpwstr>
      </vt:variant>
      <vt:variant>
        <vt:lpwstr/>
      </vt:variant>
      <vt:variant>
        <vt:i4>3211376</vt:i4>
      </vt:variant>
      <vt:variant>
        <vt:i4>123</vt:i4>
      </vt:variant>
      <vt:variant>
        <vt:i4>0</vt:i4>
      </vt:variant>
      <vt:variant>
        <vt:i4>5</vt:i4>
      </vt:variant>
      <vt:variant>
        <vt:lpwstr>http://www.nevo.co.il/case/20412551</vt:lpwstr>
      </vt:variant>
      <vt:variant>
        <vt:lpwstr/>
      </vt:variant>
      <vt:variant>
        <vt:i4>7995492</vt:i4>
      </vt:variant>
      <vt:variant>
        <vt:i4>120</vt:i4>
      </vt:variant>
      <vt:variant>
        <vt:i4>0</vt:i4>
      </vt:variant>
      <vt:variant>
        <vt:i4>5</vt:i4>
      </vt:variant>
      <vt:variant>
        <vt:lpwstr>http://www.nevo.co.il/law/70301</vt:lpwstr>
      </vt:variant>
      <vt:variant>
        <vt:lpwstr/>
      </vt:variant>
      <vt:variant>
        <vt:i4>786511</vt:i4>
      </vt:variant>
      <vt:variant>
        <vt:i4>117</vt:i4>
      </vt:variant>
      <vt:variant>
        <vt:i4>0</vt:i4>
      </vt:variant>
      <vt:variant>
        <vt:i4>5</vt:i4>
      </vt:variant>
      <vt:variant>
        <vt:lpwstr>http://www.nevo.co.il/law/70301/40.i</vt:lpwstr>
      </vt:variant>
      <vt:variant>
        <vt:lpwstr/>
      </vt:variant>
      <vt:variant>
        <vt:i4>3407991</vt:i4>
      </vt:variant>
      <vt:variant>
        <vt:i4>114</vt:i4>
      </vt:variant>
      <vt:variant>
        <vt:i4>0</vt:i4>
      </vt:variant>
      <vt:variant>
        <vt:i4>5</vt:i4>
      </vt:variant>
      <vt:variant>
        <vt:lpwstr>http://www.nevo.co.il/case/5786821</vt:lpwstr>
      </vt:variant>
      <vt:variant>
        <vt:lpwstr/>
      </vt:variant>
      <vt:variant>
        <vt:i4>3670132</vt:i4>
      </vt:variant>
      <vt:variant>
        <vt:i4>111</vt:i4>
      </vt:variant>
      <vt:variant>
        <vt:i4>0</vt:i4>
      </vt:variant>
      <vt:variant>
        <vt:i4>5</vt:i4>
      </vt:variant>
      <vt:variant>
        <vt:lpwstr>http://www.nevo.co.il/case/7697315</vt:lpwstr>
      </vt:variant>
      <vt:variant>
        <vt:lpwstr/>
      </vt:variant>
      <vt:variant>
        <vt:i4>3997822</vt:i4>
      </vt:variant>
      <vt:variant>
        <vt:i4>108</vt:i4>
      </vt:variant>
      <vt:variant>
        <vt:i4>0</vt:i4>
      </vt:variant>
      <vt:variant>
        <vt:i4>5</vt:i4>
      </vt:variant>
      <vt:variant>
        <vt:lpwstr>http://www.nevo.co.il/case/7012289</vt:lpwstr>
      </vt:variant>
      <vt:variant>
        <vt:lpwstr/>
      </vt:variant>
      <vt:variant>
        <vt:i4>3932283</vt:i4>
      </vt:variant>
      <vt:variant>
        <vt:i4>105</vt:i4>
      </vt:variant>
      <vt:variant>
        <vt:i4>0</vt:i4>
      </vt:variant>
      <vt:variant>
        <vt:i4>5</vt:i4>
      </vt:variant>
      <vt:variant>
        <vt:lpwstr>http://www.nevo.co.il/case/5698919</vt:lpwstr>
      </vt:variant>
      <vt:variant>
        <vt:lpwstr/>
      </vt:variant>
      <vt:variant>
        <vt:i4>3932272</vt:i4>
      </vt:variant>
      <vt:variant>
        <vt:i4>102</vt:i4>
      </vt:variant>
      <vt:variant>
        <vt:i4>0</vt:i4>
      </vt:variant>
      <vt:variant>
        <vt:i4>5</vt:i4>
      </vt:variant>
      <vt:variant>
        <vt:lpwstr>http://www.nevo.co.il/case/20402486</vt:lpwstr>
      </vt:variant>
      <vt:variant>
        <vt:lpwstr/>
      </vt:variant>
      <vt:variant>
        <vt:i4>7995492</vt:i4>
      </vt:variant>
      <vt:variant>
        <vt:i4>99</vt:i4>
      </vt:variant>
      <vt:variant>
        <vt:i4>0</vt:i4>
      </vt:variant>
      <vt:variant>
        <vt:i4>5</vt:i4>
      </vt:variant>
      <vt:variant>
        <vt:lpwstr>http://www.nevo.co.il/law/70301</vt:lpwstr>
      </vt:variant>
      <vt:variant>
        <vt:lpwstr/>
      </vt:variant>
      <vt:variant>
        <vt:i4>3407990</vt:i4>
      </vt:variant>
      <vt:variant>
        <vt:i4>96</vt:i4>
      </vt:variant>
      <vt:variant>
        <vt:i4>0</vt:i4>
      </vt:variant>
      <vt:variant>
        <vt:i4>5</vt:i4>
      </vt:variant>
      <vt:variant>
        <vt:lpwstr>http://www.nevo.co.il/case/5763166</vt:lpwstr>
      </vt:variant>
      <vt:variant>
        <vt:lpwstr/>
      </vt:variant>
      <vt:variant>
        <vt:i4>3932283</vt:i4>
      </vt:variant>
      <vt:variant>
        <vt:i4>93</vt:i4>
      </vt:variant>
      <vt:variant>
        <vt:i4>0</vt:i4>
      </vt:variant>
      <vt:variant>
        <vt:i4>5</vt:i4>
      </vt:variant>
      <vt:variant>
        <vt:lpwstr>http://www.nevo.co.il/case/5698919</vt:lpwstr>
      </vt:variant>
      <vt:variant>
        <vt:lpwstr/>
      </vt:variant>
      <vt:variant>
        <vt:i4>3932283</vt:i4>
      </vt:variant>
      <vt:variant>
        <vt:i4>90</vt:i4>
      </vt:variant>
      <vt:variant>
        <vt:i4>0</vt:i4>
      </vt:variant>
      <vt:variant>
        <vt:i4>5</vt:i4>
      </vt:variant>
      <vt:variant>
        <vt:lpwstr>http://www.nevo.co.il/case/5698919</vt:lpwstr>
      </vt:variant>
      <vt:variant>
        <vt:lpwstr/>
      </vt:variant>
      <vt:variant>
        <vt:i4>3801212</vt:i4>
      </vt:variant>
      <vt:variant>
        <vt:i4>87</vt:i4>
      </vt:variant>
      <vt:variant>
        <vt:i4>0</vt:i4>
      </vt:variant>
      <vt:variant>
        <vt:i4>5</vt:i4>
      </vt:variant>
      <vt:variant>
        <vt:lpwstr>http://www.nevo.co.il/case/5953822</vt:lpwstr>
      </vt:variant>
      <vt:variant>
        <vt:lpwstr/>
      </vt:variant>
      <vt:variant>
        <vt:i4>3407991</vt:i4>
      </vt:variant>
      <vt:variant>
        <vt:i4>84</vt:i4>
      </vt:variant>
      <vt:variant>
        <vt:i4>0</vt:i4>
      </vt:variant>
      <vt:variant>
        <vt:i4>5</vt:i4>
      </vt:variant>
      <vt:variant>
        <vt:lpwstr>http://www.nevo.co.il/case/5786821</vt:lpwstr>
      </vt:variant>
      <vt:variant>
        <vt:lpwstr/>
      </vt:variant>
      <vt:variant>
        <vt:i4>3539061</vt:i4>
      </vt:variant>
      <vt:variant>
        <vt:i4>81</vt:i4>
      </vt:variant>
      <vt:variant>
        <vt:i4>0</vt:i4>
      </vt:variant>
      <vt:variant>
        <vt:i4>5</vt:i4>
      </vt:variant>
      <vt:variant>
        <vt:lpwstr>http://www.nevo.co.il/case/5988308</vt:lpwstr>
      </vt:variant>
      <vt:variant>
        <vt:lpwstr/>
      </vt:variant>
      <vt:variant>
        <vt:i4>7995492</vt:i4>
      </vt:variant>
      <vt:variant>
        <vt:i4>78</vt:i4>
      </vt:variant>
      <vt:variant>
        <vt:i4>0</vt:i4>
      </vt:variant>
      <vt:variant>
        <vt:i4>5</vt:i4>
      </vt:variant>
      <vt:variant>
        <vt:lpwstr>http://www.nevo.co.il/law/70301</vt:lpwstr>
      </vt:variant>
      <vt:variant>
        <vt:lpwstr/>
      </vt:variant>
      <vt:variant>
        <vt:i4>4915202</vt:i4>
      </vt:variant>
      <vt:variant>
        <vt:i4>75</vt:i4>
      </vt:variant>
      <vt:variant>
        <vt:i4>0</vt:i4>
      </vt:variant>
      <vt:variant>
        <vt:i4>5</vt:i4>
      </vt:variant>
      <vt:variant>
        <vt:lpwstr>http://www.nevo.co.il/law/70301/40c.a</vt:lpwstr>
      </vt:variant>
      <vt:variant>
        <vt:lpwstr/>
      </vt:variant>
      <vt:variant>
        <vt:i4>6750245</vt:i4>
      </vt:variant>
      <vt:variant>
        <vt:i4>72</vt:i4>
      </vt:variant>
      <vt:variant>
        <vt:i4>0</vt:i4>
      </vt:variant>
      <vt:variant>
        <vt:i4>5</vt:i4>
      </vt:variant>
      <vt:variant>
        <vt:lpwstr>http://www.nevo.co.il/law/70301/40jc.a</vt:lpwstr>
      </vt:variant>
      <vt:variant>
        <vt:lpwstr/>
      </vt:variant>
      <vt:variant>
        <vt:i4>3276918</vt:i4>
      </vt:variant>
      <vt:variant>
        <vt:i4>69</vt:i4>
      </vt:variant>
      <vt:variant>
        <vt:i4>0</vt:i4>
      </vt:variant>
      <vt:variant>
        <vt:i4>5</vt:i4>
      </vt:variant>
      <vt:variant>
        <vt:lpwstr>http://www.nevo.co.il/case/13101134</vt:lpwstr>
      </vt:variant>
      <vt:variant>
        <vt:lpwstr/>
      </vt:variant>
      <vt:variant>
        <vt:i4>3145849</vt:i4>
      </vt:variant>
      <vt:variant>
        <vt:i4>66</vt:i4>
      </vt:variant>
      <vt:variant>
        <vt:i4>0</vt:i4>
      </vt:variant>
      <vt:variant>
        <vt:i4>5</vt:i4>
      </vt:variant>
      <vt:variant>
        <vt:lpwstr>http://www.nevo.co.il/case/13093721</vt:lpwstr>
      </vt:variant>
      <vt:variant>
        <vt:lpwstr/>
      </vt:variant>
      <vt:variant>
        <vt:i4>3211379</vt:i4>
      </vt:variant>
      <vt:variant>
        <vt:i4>63</vt:i4>
      </vt:variant>
      <vt:variant>
        <vt:i4>0</vt:i4>
      </vt:variant>
      <vt:variant>
        <vt:i4>5</vt:i4>
      </vt:variant>
      <vt:variant>
        <vt:lpwstr>http://www.nevo.co.il/case/5573417</vt:lpwstr>
      </vt:variant>
      <vt:variant>
        <vt:lpwstr/>
      </vt:variant>
      <vt:variant>
        <vt:i4>7995492</vt:i4>
      </vt:variant>
      <vt:variant>
        <vt:i4>60</vt:i4>
      </vt:variant>
      <vt:variant>
        <vt:i4>0</vt:i4>
      </vt:variant>
      <vt:variant>
        <vt:i4>5</vt:i4>
      </vt:variant>
      <vt:variant>
        <vt:lpwstr>http://www.nevo.co.il/law/70301</vt:lpwstr>
      </vt:variant>
      <vt:variant>
        <vt:lpwstr/>
      </vt:variant>
      <vt:variant>
        <vt:i4>4915202</vt:i4>
      </vt:variant>
      <vt:variant>
        <vt:i4>57</vt:i4>
      </vt:variant>
      <vt:variant>
        <vt:i4>0</vt:i4>
      </vt:variant>
      <vt:variant>
        <vt:i4>5</vt:i4>
      </vt:variant>
      <vt:variant>
        <vt:lpwstr>http://www.nevo.co.il/law/70301/40c.a</vt:lpwstr>
      </vt:variant>
      <vt:variant>
        <vt:lpwstr/>
      </vt:variant>
      <vt:variant>
        <vt:i4>3539056</vt:i4>
      </vt:variant>
      <vt:variant>
        <vt:i4>54</vt:i4>
      </vt:variant>
      <vt:variant>
        <vt:i4>0</vt:i4>
      </vt:variant>
      <vt:variant>
        <vt:i4>5</vt:i4>
      </vt:variant>
      <vt:variant>
        <vt:lpwstr>http://www.nevo.co.il/case/6473037</vt:lpwstr>
      </vt:variant>
      <vt:variant>
        <vt:lpwstr/>
      </vt:variant>
      <vt:variant>
        <vt:i4>4128893</vt:i4>
      </vt:variant>
      <vt:variant>
        <vt:i4>51</vt:i4>
      </vt:variant>
      <vt:variant>
        <vt:i4>0</vt:i4>
      </vt:variant>
      <vt:variant>
        <vt:i4>5</vt:i4>
      </vt:variant>
      <vt:variant>
        <vt:lpwstr>http://www.nevo.co.il/case/6824952</vt:lpwstr>
      </vt:variant>
      <vt:variant>
        <vt:lpwstr/>
      </vt:variant>
      <vt:variant>
        <vt:i4>4128888</vt:i4>
      </vt:variant>
      <vt:variant>
        <vt:i4>48</vt:i4>
      </vt:variant>
      <vt:variant>
        <vt:i4>0</vt:i4>
      </vt:variant>
      <vt:variant>
        <vt:i4>5</vt:i4>
      </vt:variant>
      <vt:variant>
        <vt:lpwstr>http://www.nevo.co.il/case/6950458</vt:lpwstr>
      </vt:variant>
      <vt:variant>
        <vt:lpwstr/>
      </vt:variant>
      <vt:variant>
        <vt:i4>7995492</vt:i4>
      </vt:variant>
      <vt:variant>
        <vt:i4>45</vt:i4>
      </vt:variant>
      <vt:variant>
        <vt:i4>0</vt:i4>
      </vt:variant>
      <vt:variant>
        <vt:i4>5</vt:i4>
      </vt:variant>
      <vt:variant>
        <vt:lpwstr>http://www.nevo.co.il/law/70301</vt:lpwstr>
      </vt:variant>
      <vt:variant>
        <vt:lpwstr/>
      </vt:variant>
      <vt:variant>
        <vt:i4>3997821</vt:i4>
      </vt:variant>
      <vt:variant>
        <vt:i4>42</vt:i4>
      </vt:variant>
      <vt:variant>
        <vt:i4>0</vt:i4>
      </vt:variant>
      <vt:variant>
        <vt:i4>5</vt:i4>
      </vt:variant>
      <vt:variant>
        <vt:lpwstr>http://www.nevo.co.il/law/4216/7.a.;7.c</vt:lpwstr>
      </vt:variant>
      <vt:variant>
        <vt:lpwstr/>
      </vt:variant>
      <vt:variant>
        <vt:i4>8257637</vt:i4>
      </vt:variant>
      <vt:variant>
        <vt:i4>39</vt:i4>
      </vt:variant>
      <vt:variant>
        <vt:i4>0</vt:i4>
      </vt:variant>
      <vt:variant>
        <vt:i4>5</vt:i4>
      </vt:variant>
      <vt:variant>
        <vt:lpwstr>http://www.nevo.co.il/law/4216</vt:lpwstr>
      </vt:variant>
      <vt:variant>
        <vt:lpwstr/>
      </vt:variant>
      <vt:variant>
        <vt:i4>3997821</vt:i4>
      </vt:variant>
      <vt:variant>
        <vt:i4>36</vt:i4>
      </vt:variant>
      <vt:variant>
        <vt:i4>0</vt:i4>
      </vt:variant>
      <vt:variant>
        <vt:i4>5</vt:i4>
      </vt:variant>
      <vt:variant>
        <vt:lpwstr>http://www.nevo.co.il/law/4216/7.a.;7.c</vt:lpwstr>
      </vt:variant>
      <vt:variant>
        <vt:lpwstr/>
      </vt:variant>
      <vt:variant>
        <vt:i4>6750245</vt:i4>
      </vt:variant>
      <vt:variant>
        <vt:i4>33</vt:i4>
      </vt:variant>
      <vt:variant>
        <vt:i4>0</vt:i4>
      </vt:variant>
      <vt:variant>
        <vt:i4>5</vt:i4>
      </vt:variant>
      <vt:variant>
        <vt:lpwstr>http://www.nevo.co.il/law/70301/40jc.a</vt:lpwstr>
      </vt:variant>
      <vt:variant>
        <vt:lpwstr/>
      </vt:variant>
      <vt:variant>
        <vt:i4>262155</vt:i4>
      </vt:variant>
      <vt:variant>
        <vt:i4>30</vt:i4>
      </vt:variant>
      <vt:variant>
        <vt:i4>0</vt:i4>
      </vt:variant>
      <vt:variant>
        <vt:i4>5</vt:i4>
      </vt:variant>
      <vt:variant>
        <vt:lpwstr>http://www.nevo.co.il/law/70301/40ja</vt:lpwstr>
      </vt:variant>
      <vt:variant>
        <vt:lpwstr/>
      </vt:variant>
      <vt:variant>
        <vt:i4>6619233</vt:i4>
      </vt:variant>
      <vt:variant>
        <vt:i4>27</vt:i4>
      </vt:variant>
      <vt:variant>
        <vt:i4>0</vt:i4>
      </vt:variant>
      <vt:variant>
        <vt:i4>5</vt:i4>
      </vt:variant>
      <vt:variant>
        <vt:lpwstr>http://www.nevo.co.il/law/70301/40g</vt:lpwstr>
      </vt:variant>
      <vt:variant>
        <vt:lpwstr/>
      </vt:variant>
      <vt:variant>
        <vt:i4>6619233</vt:i4>
      </vt:variant>
      <vt:variant>
        <vt:i4>24</vt:i4>
      </vt:variant>
      <vt:variant>
        <vt:i4>0</vt:i4>
      </vt:variant>
      <vt:variant>
        <vt:i4>5</vt:i4>
      </vt:variant>
      <vt:variant>
        <vt:lpwstr>http://www.nevo.co.il/law/70301/40f</vt:lpwstr>
      </vt:variant>
      <vt:variant>
        <vt:lpwstr/>
      </vt:variant>
      <vt:variant>
        <vt:i4>6619233</vt:i4>
      </vt:variant>
      <vt:variant>
        <vt:i4>21</vt:i4>
      </vt:variant>
      <vt:variant>
        <vt:i4>0</vt:i4>
      </vt:variant>
      <vt:variant>
        <vt:i4>5</vt:i4>
      </vt:variant>
      <vt:variant>
        <vt:lpwstr>http://www.nevo.co.il/law/70301/40e</vt:lpwstr>
      </vt:variant>
      <vt:variant>
        <vt:lpwstr/>
      </vt:variant>
      <vt:variant>
        <vt:i4>6619233</vt:i4>
      </vt:variant>
      <vt:variant>
        <vt:i4>18</vt:i4>
      </vt:variant>
      <vt:variant>
        <vt:i4>0</vt:i4>
      </vt:variant>
      <vt:variant>
        <vt:i4>5</vt:i4>
      </vt:variant>
      <vt:variant>
        <vt:lpwstr>http://www.nevo.co.il/law/70301/40d</vt:lpwstr>
      </vt:variant>
      <vt:variant>
        <vt:lpwstr/>
      </vt:variant>
      <vt:variant>
        <vt:i4>4915202</vt:i4>
      </vt:variant>
      <vt:variant>
        <vt:i4>15</vt:i4>
      </vt:variant>
      <vt:variant>
        <vt:i4>0</vt:i4>
      </vt:variant>
      <vt:variant>
        <vt:i4>5</vt:i4>
      </vt:variant>
      <vt:variant>
        <vt:lpwstr>http://www.nevo.co.il/law/70301/40c.a</vt:lpwstr>
      </vt:variant>
      <vt:variant>
        <vt:lpwstr/>
      </vt:variant>
      <vt:variant>
        <vt:i4>786511</vt:i4>
      </vt:variant>
      <vt:variant>
        <vt:i4>12</vt:i4>
      </vt:variant>
      <vt:variant>
        <vt:i4>0</vt:i4>
      </vt:variant>
      <vt:variant>
        <vt:i4>5</vt:i4>
      </vt:variant>
      <vt:variant>
        <vt:lpwstr>http://www.nevo.co.il/law/70301/40.i</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2025-04-22T20:58:00Z</dcterms:created>
  <dcterms:modified xsi:type="dcterms:W3CDTF">2025-04-22T20:58:00Z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39299</vt:lpwstr>
  </property>
  <property fmtid="{D5CDD505-2E9C-101B-9397-08002B2CF9AE}" pid="6" name="NEWPARTB">
    <vt:lpwstr>11</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יאיר גלוחובסקי</vt:lpwstr>
  </property>
  <property fmtid="{D5CDD505-2E9C-101B-9397-08002B2CF9AE}" pid="10" name="LAWYER">
    <vt:lpwstr>שלי קוטין;רונית חסון;אדוה אלאב</vt:lpwstr>
  </property>
  <property fmtid="{D5CDD505-2E9C-101B-9397-08002B2CF9AE}" pid="11" name="JUDGE">
    <vt:lpwstr>יוסי טופף</vt:lpwstr>
  </property>
  <property fmtid="{D5CDD505-2E9C-101B-9397-08002B2CF9AE}" pid="12" name="CITY">
    <vt:lpwstr>ת"א</vt:lpwstr>
  </property>
  <property fmtid="{D5CDD505-2E9C-101B-9397-08002B2CF9AE}" pid="13" name="DATE">
    <vt:lpwstr>20190916</vt:lpwstr>
  </property>
  <property fmtid="{D5CDD505-2E9C-101B-9397-08002B2CF9AE}" pid="14" name="TYPE_N_DATE">
    <vt:lpwstr>39020190916</vt:lpwstr>
  </property>
  <property fmtid="{D5CDD505-2E9C-101B-9397-08002B2CF9AE}" pid="15" name="WORDNUMPAGES">
    <vt:lpwstr>12</vt:lpwstr>
  </property>
  <property fmtid="{D5CDD505-2E9C-101B-9397-08002B2CF9AE}" pid="16" name="TYPE_ABS_DATE">
    <vt:lpwstr>390120190916</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6950458;6824952;6473037;5573417;13093721;13101134;5988308;5786821:2;5953822:2;5698919:3;5763166;20402486;7012289;7697315;20412551;18753213:2;12063973:2;5590128:2;6180833;7980156;20061696;22505524;6008933;5601584;5727295;5859017;24954904;17941073;5993616</vt:lpwstr>
  </property>
  <property fmtid="{D5CDD505-2E9C-101B-9397-08002B2CF9AE}" pid="36" name="CASESLISTTMP2">
    <vt:lpwstr>5880417;17926104</vt:lpwstr>
  </property>
  <property fmtid="{D5CDD505-2E9C-101B-9397-08002B2CF9AE}" pid="37" name="LAWLISTTMP1">
    <vt:lpwstr>4216/007.a:2;007.c:2</vt:lpwstr>
  </property>
  <property fmtid="{D5CDD505-2E9C-101B-9397-08002B2CF9AE}" pid="38" name="LAWLISTTMP2">
    <vt:lpwstr>70301/040c.a:2;40jc.a;040.i;040d;040e;040f;040g;40ja</vt:lpwstr>
  </property>
  <property fmtid="{D5CDD505-2E9C-101B-9397-08002B2CF9AE}" pid="39" name="METAKZER">
    <vt:lpwstr>עומרי</vt:lpwstr>
  </property>
  <property fmtid="{D5CDD505-2E9C-101B-9397-08002B2CF9AE}" pid="40" name="NOSE1ID">
    <vt:lpwstr>77</vt:lpwstr>
  </property>
  <property fmtid="{D5CDD505-2E9C-101B-9397-08002B2CF9AE}" pid="41" name="NOSE2ID">
    <vt:lpwstr>1446</vt:lpwstr>
  </property>
  <property fmtid="{D5CDD505-2E9C-101B-9397-08002B2CF9AE}" pid="42" name="NOSE3ID">
    <vt:lpwstr>8991</vt:lpwstr>
  </property>
  <property fmtid="{D5CDD505-2E9C-101B-9397-08002B2CF9AE}" pid="43" name="NOSE11">
    <vt:lpwstr>עונשין</vt:lpwstr>
  </property>
  <property fmtid="{D5CDD505-2E9C-101B-9397-08002B2CF9AE}" pid="44" name="NOSE21">
    <vt:lpwstr>ענישה</vt:lpwstr>
  </property>
  <property fmtid="{D5CDD505-2E9C-101B-9397-08002B2CF9AE}" pid="45" name="NOSE31">
    <vt:lpwstr>מדיניות ענישה: עבירות סמים</vt:lpwstr>
  </property>
  <property fmtid="{D5CDD505-2E9C-101B-9397-08002B2CF9AE}" pid="46" name="NOSE12">
    <vt:lpwstr/>
  </property>
  <property fmtid="{D5CDD505-2E9C-101B-9397-08002B2CF9AE}" pid="47" name="NOSE22">
    <vt:lpwstr/>
  </property>
  <property fmtid="{D5CDD505-2E9C-101B-9397-08002B2CF9AE}" pid="48" name="NOSE32">
    <vt:lpwstr/>
  </property>
  <property fmtid="{D5CDD505-2E9C-101B-9397-08002B2CF9AE}" pid="49" name="NOSE13">
    <vt:lpwstr/>
  </property>
  <property fmtid="{D5CDD505-2E9C-101B-9397-08002B2CF9AE}" pid="50" name="NOSE23">
    <vt:lpwstr/>
  </property>
  <property fmtid="{D5CDD505-2E9C-101B-9397-08002B2CF9AE}" pid="51" name="NOSE33">
    <vt:lpwstr/>
  </property>
  <property fmtid="{D5CDD505-2E9C-101B-9397-08002B2CF9AE}" pid="52" name="NOSE14">
    <vt:lpwstr/>
  </property>
  <property fmtid="{D5CDD505-2E9C-101B-9397-08002B2CF9AE}" pid="53" name="NOSE24">
    <vt:lpwstr/>
  </property>
  <property fmtid="{D5CDD505-2E9C-101B-9397-08002B2CF9AE}" pid="54" name="NOSE34">
    <vt:lpwstr/>
  </property>
  <property fmtid="{D5CDD505-2E9C-101B-9397-08002B2CF9AE}" pid="55" name="NOSE15">
    <vt:lpwstr/>
  </property>
  <property fmtid="{D5CDD505-2E9C-101B-9397-08002B2CF9AE}" pid="56" name="NOSE25">
    <vt:lpwstr/>
  </property>
  <property fmtid="{D5CDD505-2E9C-101B-9397-08002B2CF9AE}" pid="57" name="NOSE35">
    <vt:lpwstr/>
  </property>
  <property fmtid="{D5CDD505-2E9C-101B-9397-08002B2CF9AE}" pid="58" name="NOSE16">
    <vt:lpwstr/>
  </property>
  <property fmtid="{D5CDD505-2E9C-101B-9397-08002B2CF9AE}" pid="59" name="NOSE26">
    <vt:lpwstr/>
  </property>
  <property fmtid="{D5CDD505-2E9C-101B-9397-08002B2CF9AE}" pid="60" name="NOSE36">
    <vt:lpwstr/>
  </property>
  <property fmtid="{D5CDD505-2E9C-101B-9397-08002B2CF9AE}" pid="61" name="NOSE17">
    <vt:lpwstr/>
  </property>
  <property fmtid="{D5CDD505-2E9C-101B-9397-08002B2CF9AE}" pid="62" name="NOSE27">
    <vt:lpwstr/>
  </property>
  <property fmtid="{D5CDD505-2E9C-101B-9397-08002B2CF9AE}" pid="63" name="NOSE37">
    <vt:lpwstr/>
  </property>
  <property fmtid="{D5CDD505-2E9C-101B-9397-08002B2CF9AE}" pid="64" name="NOSE18">
    <vt:lpwstr/>
  </property>
  <property fmtid="{D5CDD505-2E9C-101B-9397-08002B2CF9AE}" pid="65" name="NOSE28">
    <vt:lpwstr/>
  </property>
  <property fmtid="{D5CDD505-2E9C-101B-9397-08002B2CF9AE}" pid="66" name="NOSE38">
    <vt:lpwstr/>
  </property>
  <property fmtid="{D5CDD505-2E9C-101B-9397-08002B2CF9AE}" pid="67" name="NOSE19">
    <vt:lpwstr/>
  </property>
  <property fmtid="{D5CDD505-2E9C-101B-9397-08002B2CF9AE}" pid="68" name="NOSE29">
    <vt:lpwstr/>
  </property>
  <property fmtid="{D5CDD505-2E9C-101B-9397-08002B2CF9AE}" pid="69" name="NOSE39">
    <vt:lpwstr/>
  </property>
  <property fmtid="{D5CDD505-2E9C-101B-9397-08002B2CF9AE}" pid="70" name="NOSE110">
    <vt:lpwstr/>
  </property>
  <property fmtid="{D5CDD505-2E9C-101B-9397-08002B2CF9AE}" pid="71" name="NOSE210">
    <vt:lpwstr/>
  </property>
  <property fmtid="{D5CDD505-2E9C-101B-9397-08002B2CF9AE}" pid="72" name="NOSE310">
    <vt:lpwstr/>
  </property>
  <property fmtid="{D5CDD505-2E9C-101B-9397-08002B2CF9AE}" pid="73" name="PADIDATE">
    <vt:lpwstr>20191027</vt:lpwstr>
  </property>
</Properties>
</file>