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C235A5" w:rsidRPr="00487587" w14:paraId="449282E0" w14:textId="77777777" w:rsidTr="006A4C9D">
        <w:trPr>
          <w:trHeight w:hRule="exact" w:val="418"/>
          <w:jc w:val="center"/>
        </w:trPr>
        <w:tc>
          <w:tcPr>
            <w:tcW w:w="8861" w:type="dxa"/>
            <w:gridSpan w:val="2"/>
          </w:tcPr>
          <w:p w14:paraId="146D6A45" w14:textId="77777777" w:rsidR="00C235A5" w:rsidRPr="00487587" w:rsidRDefault="00C235A5" w:rsidP="006A4C9D">
            <w:pPr>
              <w:pStyle w:val="a3"/>
              <w:jc w:val="center"/>
              <w:rPr>
                <w:rFonts w:ascii="Tahoma" w:hAnsi="Tahoma"/>
                <w:color w:val="000080"/>
                <w:sz w:val="32"/>
                <w:szCs w:val="32"/>
                <w:rtl/>
              </w:rPr>
            </w:pPr>
            <w:r w:rsidRPr="00487587">
              <w:rPr>
                <w:rFonts w:ascii="Tahoma" w:hAnsi="Tahoma"/>
                <w:b/>
                <w:bCs/>
                <w:color w:val="000080"/>
                <w:sz w:val="32"/>
                <w:szCs w:val="32"/>
                <w:rtl/>
              </w:rPr>
              <w:t>בית המשפט המחוזי בתל אביב - יפו</w:t>
            </w:r>
          </w:p>
        </w:tc>
      </w:tr>
      <w:tr w:rsidR="00C235A5" w:rsidRPr="00487587" w14:paraId="1A587295" w14:textId="77777777" w:rsidTr="006A4C9D">
        <w:trPr>
          <w:trHeight w:val="337"/>
          <w:jc w:val="center"/>
        </w:trPr>
        <w:tc>
          <w:tcPr>
            <w:tcW w:w="5131" w:type="dxa"/>
          </w:tcPr>
          <w:p w14:paraId="43B3B2DA" w14:textId="77777777" w:rsidR="00C235A5" w:rsidRPr="00487587" w:rsidRDefault="00C235A5" w:rsidP="006A4C9D">
            <w:pPr>
              <w:rPr>
                <w:rFonts w:ascii="David" w:hAnsi="David"/>
                <w:b/>
                <w:bCs/>
                <w:sz w:val="26"/>
                <w:szCs w:val="26"/>
                <w:rtl/>
              </w:rPr>
            </w:pPr>
            <w:r w:rsidRPr="00487587">
              <w:rPr>
                <w:rFonts w:ascii="David" w:hAnsi="David"/>
                <w:b/>
                <w:bCs/>
                <w:sz w:val="26"/>
                <w:szCs w:val="26"/>
                <w:rtl/>
              </w:rPr>
              <w:t>ת"פ 30408-02-19 מדינת ישראל נ' אלסאנע</w:t>
            </w:r>
          </w:p>
          <w:p w14:paraId="5FE1291D" w14:textId="77777777" w:rsidR="00C235A5" w:rsidRPr="00487587" w:rsidRDefault="00C235A5" w:rsidP="006A4C9D">
            <w:pPr>
              <w:pStyle w:val="a3"/>
              <w:rPr>
                <w:rFonts w:ascii="David" w:hAnsi="David"/>
                <w:b/>
                <w:bCs/>
                <w:sz w:val="28"/>
                <w:szCs w:val="28"/>
                <w:rtl/>
              </w:rPr>
            </w:pPr>
          </w:p>
        </w:tc>
        <w:tc>
          <w:tcPr>
            <w:tcW w:w="3730" w:type="dxa"/>
          </w:tcPr>
          <w:p w14:paraId="5BF32828" w14:textId="77777777" w:rsidR="00C235A5" w:rsidRPr="00487587" w:rsidRDefault="00C235A5" w:rsidP="006A4C9D">
            <w:pPr>
              <w:pStyle w:val="a3"/>
              <w:tabs>
                <w:tab w:val="left" w:pos="334"/>
              </w:tabs>
              <w:jc w:val="right"/>
              <w:rPr>
                <w:rFonts w:ascii="David" w:hAnsi="David"/>
                <w:b/>
                <w:bCs/>
                <w:sz w:val="28"/>
                <w:szCs w:val="28"/>
                <w:rtl/>
              </w:rPr>
            </w:pPr>
            <w:r w:rsidRPr="00487587">
              <w:rPr>
                <w:rFonts w:ascii="David" w:hAnsi="David"/>
                <w:b/>
                <w:bCs/>
                <w:sz w:val="28"/>
                <w:szCs w:val="28"/>
                <w:rtl/>
              </w:rPr>
              <w:tab/>
              <w:t>13 אפריל 2021</w:t>
            </w:r>
          </w:p>
        </w:tc>
      </w:tr>
    </w:tbl>
    <w:p w14:paraId="4E306EC2" w14:textId="77777777" w:rsidR="00C235A5" w:rsidRPr="00487587" w:rsidRDefault="00C235A5" w:rsidP="00C235A5">
      <w:pPr>
        <w:pStyle w:val="a3"/>
        <w:rPr>
          <w:rtl/>
        </w:rPr>
      </w:pPr>
      <w:r w:rsidRPr="00487587">
        <w:rPr>
          <w:rFonts w:hint="cs"/>
          <w:rtl/>
        </w:rPr>
        <w:t xml:space="preserve"> </w:t>
      </w:r>
    </w:p>
    <w:p w14:paraId="3315DDE5" w14:textId="77777777" w:rsidR="00C235A5" w:rsidRPr="00487587" w:rsidRDefault="00C235A5" w:rsidP="00C235A5">
      <w:pPr>
        <w:spacing w:line="360" w:lineRule="auto"/>
        <w:ind w:left="862" w:hanging="550"/>
        <w:jc w:val="both"/>
        <w:rPr>
          <w:rtl/>
        </w:rPr>
      </w:pPr>
    </w:p>
    <w:p w14:paraId="68EE76BA" w14:textId="77777777" w:rsidR="00C235A5" w:rsidRPr="00487587" w:rsidRDefault="00C235A5" w:rsidP="00C235A5">
      <w:pPr>
        <w:spacing w:line="360" w:lineRule="auto"/>
        <w:ind w:left="862" w:hanging="550"/>
        <w:jc w:val="both"/>
        <w:rPr>
          <w:rtl/>
        </w:rPr>
      </w:pPr>
    </w:p>
    <w:tbl>
      <w:tblPr>
        <w:bidiVisual/>
        <w:tblW w:w="8361" w:type="dxa"/>
        <w:tblInd w:w="413" w:type="dxa"/>
        <w:tblLook w:val="01E0" w:firstRow="1" w:lastRow="1" w:firstColumn="1" w:lastColumn="1" w:noHBand="0" w:noVBand="0"/>
      </w:tblPr>
      <w:tblGrid>
        <w:gridCol w:w="2439"/>
        <w:gridCol w:w="5866"/>
        <w:gridCol w:w="56"/>
      </w:tblGrid>
      <w:tr w:rsidR="00C235A5" w:rsidRPr="00487587" w14:paraId="6F4E8A83" w14:textId="77777777" w:rsidTr="00C235A5">
        <w:trPr>
          <w:gridAfter w:val="1"/>
          <w:wAfter w:w="56" w:type="dxa"/>
        </w:trPr>
        <w:tc>
          <w:tcPr>
            <w:tcW w:w="8305" w:type="dxa"/>
            <w:gridSpan w:val="2"/>
            <w:shd w:val="clear" w:color="auto" w:fill="auto"/>
          </w:tcPr>
          <w:p w14:paraId="1F4DA3ED" w14:textId="77777777" w:rsidR="00C235A5" w:rsidRPr="00487587" w:rsidRDefault="00C235A5" w:rsidP="00C235A5">
            <w:pPr>
              <w:jc w:val="both"/>
              <w:rPr>
                <w:rFonts w:ascii="David" w:eastAsia="David" w:hAnsi="David"/>
                <w:b/>
                <w:bCs/>
                <w:rtl/>
              </w:rPr>
            </w:pPr>
            <w:r w:rsidRPr="00487587">
              <w:rPr>
                <w:rFonts w:ascii="David" w:eastAsia="David" w:hAnsi="David" w:hint="cs"/>
                <w:b/>
                <w:bCs/>
                <w:rtl/>
              </w:rPr>
              <w:t>בפני כב' השופט בני שגיא, סגן נשיא</w:t>
            </w:r>
          </w:p>
          <w:p w14:paraId="00967339" w14:textId="77777777" w:rsidR="00C235A5" w:rsidRPr="00487587" w:rsidRDefault="00C235A5" w:rsidP="00C235A5">
            <w:pPr>
              <w:jc w:val="both"/>
              <w:rPr>
                <w:rFonts w:ascii="David" w:eastAsia="David" w:hAnsi="David"/>
                <w:b/>
                <w:bCs/>
                <w:rtl/>
              </w:rPr>
            </w:pPr>
          </w:p>
          <w:p w14:paraId="26CF070F" w14:textId="77777777" w:rsidR="00C235A5" w:rsidRPr="00487587" w:rsidRDefault="00C235A5" w:rsidP="00C235A5">
            <w:pPr>
              <w:jc w:val="both"/>
              <w:rPr>
                <w:rFonts w:ascii="David" w:eastAsia="David" w:hAnsi="David"/>
                <w:b/>
                <w:bCs/>
                <w:rtl/>
              </w:rPr>
            </w:pPr>
          </w:p>
        </w:tc>
      </w:tr>
      <w:tr w:rsidR="00C235A5" w:rsidRPr="00487587" w14:paraId="1F744C49" w14:textId="77777777" w:rsidTr="00C235A5">
        <w:trPr>
          <w:cantSplit/>
          <w:trHeight w:val="724"/>
        </w:trPr>
        <w:tc>
          <w:tcPr>
            <w:tcW w:w="2439" w:type="dxa"/>
            <w:shd w:val="clear" w:color="auto" w:fill="auto"/>
          </w:tcPr>
          <w:p w14:paraId="3324B48C" w14:textId="77777777" w:rsidR="00C235A5" w:rsidRPr="00487587" w:rsidRDefault="00C235A5" w:rsidP="00C235A5">
            <w:pPr>
              <w:ind w:left="862" w:hanging="550"/>
              <w:jc w:val="both"/>
              <w:rPr>
                <w:rFonts w:ascii="David" w:eastAsia="David" w:hAnsi="David"/>
                <w:b/>
                <w:bCs/>
                <w:rtl/>
              </w:rPr>
            </w:pPr>
            <w:bookmarkStart w:id="0" w:name="FirstAppellant"/>
            <w:bookmarkStart w:id="1" w:name="FirstLawyer"/>
            <w:bookmarkStart w:id="2" w:name="LastJudge"/>
            <w:bookmarkEnd w:id="2"/>
          </w:p>
          <w:p w14:paraId="222F1EC6" w14:textId="77777777" w:rsidR="00C235A5" w:rsidRPr="00487587" w:rsidRDefault="00C235A5" w:rsidP="00C235A5">
            <w:pPr>
              <w:ind w:left="862" w:hanging="550"/>
              <w:jc w:val="both"/>
              <w:rPr>
                <w:rFonts w:ascii="David" w:eastAsia="David" w:hAnsi="David"/>
                <w:b/>
                <w:bCs/>
                <w:rtl/>
              </w:rPr>
            </w:pPr>
            <w:r w:rsidRPr="00487587">
              <w:rPr>
                <w:rFonts w:ascii="David" w:eastAsia="David" w:hAnsi="David" w:hint="cs"/>
                <w:b/>
                <w:bCs/>
                <w:rtl/>
              </w:rPr>
              <w:t>המאשימה:</w:t>
            </w:r>
          </w:p>
        </w:tc>
        <w:tc>
          <w:tcPr>
            <w:tcW w:w="5922" w:type="dxa"/>
            <w:gridSpan w:val="2"/>
            <w:shd w:val="clear" w:color="auto" w:fill="auto"/>
          </w:tcPr>
          <w:p w14:paraId="04BC6973" w14:textId="77777777" w:rsidR="00C235A5" w:rsidRPr="00487587" w:rsidRDefault="00C235A5" w:rsidP="00C235A5">
            <w:pPr>
              <w:ind w:left="862" w:hanging="550"/>
              <w:jc w:val="both"/>
              <w:rPr>
                <w:rFonts w:ascii="David" w:eastAsia="David" w:hAnsi="David"/>
                <w:b/>
                <w:bCs/>
                <w:rtl/>
              </w:rPr>
            </w:pPr>
          </w:p>
          <w:p w14:paraId="4B261A3F" w14:textId="77777777" w:rsidR="00C235A5" w:rsidRPr="00487587" w:rsidRDefault="00C235A5" w:rsidP="00C235A5">
            <w:pPr>
              <w:spacing w:line="360" w:lineRule="auto"/>
              <w:ind w:left="862" w:hanging="550"/>
              <w:jc w:val="both"/>
              <w:rPr>
                <w:rFonts w:ascii="David" w:eastAsia="David" w:hAnsi="David"/>
                <w:rtl/>
              </w:rPr>
            </w:pPr>
            <w:r w:rsidRPr="00487587">
              <w:rPr>
                <w:rFonts w:ascii="David" w:eastAsia="David" w:hAnsi="David" w:hint="cs"/>
                <w:b/>
                <w:bCs/>
                <w:rtl/>
              </w:rPr>
              <w:t>מדינת ישראל</w:t>
            </w:r>
          </w:p>
          <w:p w14:paraId="0FC9C8F1" w14:textId="77777777" w:rsidR="00C235A5" w:rsidRPr="00487587" w:rsidRDefault="00C235A5" w:rsidP="00C235A5">
            <w:pPr>
              <w:spacing w:line="360" w:lineRule="auto"/>
              <w:ind w:left="862" w:hanging="550"/>
              <w:jc w:val="both"/>
              <w:rPr>
                <w:rFonts w:ascii="David" w:eastAsia="David" w:hAnsi="David"/>
                <w:rtl/>
              </w:rPr>
            </w:pPr>
            <w:r w:rsidRPr="00487587">
              <w:rPr>
                <w:rFonts w:ascii="David" w:eastAsia="David" w:hAnsi="David" w:hint="cs"/>
                <w:rtl/>
              </w:rPr>
              <w:t>באמצעות פרקליטות מחוז תל-אביב (פלילי)</w:t>
            </w:r>
          </w:p>
          <w:p w14:paraId="4B2E8829" w14:textId="77777777" w:rsidR="00C235A5" w:rsidRPr="00487587" w:rsidRDefault="00C235A5" w:rsidP="00C235A5">
            <w:pPr>
              <w:spacing w:line="360" w:lineRule="auto"/>
              <w:ind w:left="862" w:hanging="550"/>
              <w:jc w:val="both"/>
              <w:rPr>
                <w:rFonts w:ascii="David" w:eastAsia="David" w:hAnsi="David"/>
                <w:rtl/>
              </w:rPr>
            </w:pPr>
            <w:r w:rsidRPr="00487587">
              <w:rPr>
                <w:rFonts w:ascii="David" w:eastAsia="David" w:hAnsi="David" w:hint="cs"/>
                <w:rtl/>
              </w:rPr>
              <w:t>על-ידי ב"כ עו"ד קארי קסה</w:t>
            </w:r>
          </w:p>
          <w:p w14:paraId="532A7917" w14:textId="77777777" w:rsidR="00C235A5" w:rsidRPr="00487587" w:rsidRDefault="00C235A5" w:rsidP="00C235A5">
            <w:pPr>
              <w:ind w:left="862" w:hanging="550"/>
              <w:jc w:val="both"/>
              <w:rPr>
                <w:rFonts w:ascii="David" w:eastAsia="David" w:hAnsi="David"/>
                <w:b/>
                <w:bCs/>
                <w:rtl/>
              </w:rPr>
            </w:pPr>
          </w:p>
        </w:tc>
      </w:tr>
      <w:bookmarkEnd w:id="0"/>
      <w:bookmarkEnd w:id="1"/>
      <w:tr w:rsidR="00C235A5" w:rsidRPr="00487587" w14:paraId="58B52921" w14:textId="77777777" w:rsidTr="00C235A5">
        <w:tc>
          <w:tcPr>
            <w:tcW w:w="8361" w:type="dxa"/>
            <w:gridSpan w:val="3"/>
            <w:shd w:val="clear" w:color="auto" w:fill="auto"/>
            <w:vAlign w:val="center"/>
          </w:tcPr>
          <w:p w14:paraId="4B9F59B2" w14:textId="77777777" w:rsidR="00C235A5" w:rsidRPr="00487587" w:rsidRDefault="00C235A5" w:rsidP="00C235A5">
            <w:pPr>
              <w:ind w:left="862" w:hanging="550"/>
              <w:jc w:val="center"/>
              <w:rPr>
                <w:rFonts w:ascii="David" w:eastAsia="David" w:hAnsi="David"/>
                <w:b/>
                <w:bCs/>
                <w:rtl/>
              </w:rPr>
            </w:pPr>
          </w:p>
          <w:p w14:paraId="3B40DEF3" w14:textId="77777777" w:rsidR="00C235A5" w:rsidRPr="00487587" w:rsidRDefault="00C235A5" w:rsidP="00C235A5">
            <w:pPr>
              <w:ind w:left="862" w:hanging="550"/>
              <w:jc w:val="center"/>
              <w:rPr>
                <w:rFonts w:ascii="David" w:eastAsia="David" w:hAnsi="David"/>
                <w:b/>
                <w:bCs/>
                <w:rtl/>
              </w:rPr>
            </w:pPr>
            <w:r w:rsidRPr="00487587">
              <w:rPr>
                <w:rFonts w:ascii="David" w:eastAsia="David" w:hAnsi="David" w:hint="cs"/>
                <w:b/>
                <w:bCs/>
                <w:rtl/>
              </w:rPr>
              <w:t>נגד</w:t>
            </w:r>
          </w:p>
          <w:p w14:paraId="42B5EF96" w14:textId="77777777" w:rsidR="00C235A5" w:rsidRPr="00487587" w:rsidRDefault="00C235A5" w:rsidP="00C235A5">
            <w:pPr>
              <w:ind w:left="862" w:hanging="550"/>
              <w:jc w:val="center"/>
              <w:rPr>
                <w:rFonts w:ascii="David" w:eastAsia="David" w:hAnsi="David"/>
                <w:b/>
                <w:bCs/>
                <w:rtl/>
              </w:rPr>
            </w:pPr>
          </w:p>
        </w:tc>
      </w:tr>
      <w:tr w:rsidR="00C235A5" w:rsidRPr="00487587" w14:paraId="20501074" w14:textId="77777777" w:rsidTr="00C235A5">
        <w:tc>
          <w:tcPr>
            <w:tcW w:w="2439" w:type="dxa"/>
            <w:shd w:val="clear" w:color="auto" w:fill="auto"/>
          </w:tcPr>
          <w:p w14:paraId="38F7B673" w14:textId="77777777" w:rsidR="00C235A5" w:rsidRPr="00487587" w:rsidRDefault="00C235A5" w:rsidP="00C235A5">
            <w:pPr>
              <w:ind w:left="862" w:hanging="550"/>
              <w:jc w:val="both"/>
              <w:rPr>
                <w:rFonts w:ascii="David" w:eastAsia="David" w:hAnsi="David"/>
                <w:b/>
                <w:bCs/>
                <w:rtl/>
              </w:rPr>
            </w:pPr>
            <w:r w:rsidRPr="00487587">
              <w:rPr>
                <w:rFonts w:ascii="David" w:eastAsia="David" w:hAnsi="David" w:hint="cs"/>
                <w:b/>
                <w:bCs/>
                <w:rtl/>
              </w:rPr>
              <w:t>הנאשם:</w:t>
            </w:r>
          </w:p>
        </w:tc>
        <w:tc>
          <w:tcPr>
            <w:tcW w:w="5922" w:type="dxa"/>
            <w:gridSpan w:val="2"/>
            <w:shd w:val="clear" w:color="auto" w:fill="auto"/>
          </w:tcPr>
          <w:p w14:paraId="121F1CFE" w14:textId="77777777" w:rsidR="00C235A5" w:rsidRPr="00487587" w:rsidRDefault="00C235A5" w:rsidP="00C235A5">
            <w:pPr>
              <w:spacing w:line="360" w:lineRule="auto"/>
              <w:ind w:left="862" w:hanging="550"/>
              <w:jc w:val="both"/>
              <w:rPr>
                <w:rFonts w:ascii="David" w:eastAsia="David" w:hAnsi="David"/>
                <w:b/>
                <w:bCs/>
                <w:rtl/>
              </w:rPr>
            </w:pPr>
            <w:r w:rsidRPr="00487587">
              <w:rPr>
                <w:rFonts w:ascii="David" w:eastAsia="David" w:hAnsi="David" w:hint="cs"/>
                <w:b/>
                <w:bCs/>
                <w:rtl/>
              </w:rPr>
              <w:t xml:space="preserve">נדים אלסאנע ת.ז. </w:t>
            </w:r>
            <w:r w:rsidR="00487587">
              <w:rPr>
                <w:rFonts w:ascii="David" w:eastAsia="David" w:hAnsi="David"/>
                <w:b/>
                <w:bCs/>
              </w:rPr>
              <w:t>xxxxxxxxxx</w:t>
            </w:r>
          </w:p>
          <w:p w14:paraId="4EA7ED20" w14:textId="77777777" w:rsidR="00C235A5" w:rsidRPr="00487587" w:rsidRDefault="00C235A5" w:rsidP="00C235A5">
            <w:pPr>
              <w:spacing w:line="360" w:lineRule="auto"/>
              <w:ind w:left="862" w:hanging="550"/>
              <w:jc w:val="both"/>
              <w:rPr>
                <w:rFonts w:ascii="David" w:eastAsia="David" w:hAnsi="David"/>
                <w:rtl/>
              </w:rPr>
            </w:pPr>
            <w:r w:rsidRPr="00487587">
              <w:rPr>
                <w:rFonts w:ascii="David" w:eastAsia="David" w:hAnsi="David" w:hint="cs"/>
                <w:rtl/>
              </w:rPr>
              <w:t>על-ידי ב"כ עו"ד שאדי כבהא</w:t>
            </w:r>
          </w:p>
          <w:p w14:paraId="1B40CEF3" w14:textId="77777777" w:rsidR="00C235A5" w:rsidRPr="00487587" w:rsidRDefault="00C235A5" w:rsidP="00C235A5">
            <w:pPr>
              <w:ind w:left="862" w:hanging="550"/>
              <w:jc w:val="both"/>
              <w:rPr>
                <w:rFonts w:ascii="David" w:eastAsia="David" w:hAnsi="David"/>
                <w:b/>
                <w:bCs/>
                <w:rtl/>
              </w:rPr>
            </w:pPr>
          </w:p>
        </w:tc>
      </w:tr>
    </w:tbl>
    <w:p w14:paraId="3A93F341" w14:textId="77777777" w:rsidR="00C235A5" w:rsidRPr="00487587" w:rsidRDefault="00C235A5" w:rsidP="00C235A5">
      <w:pPr>
        <w:spacing w:line="360" w:lineRule="auto"/>
        <w:ind w:left="862" w:hanging="550"/>
        <w:jc w:val="both"/>
        <w:rPr>
          <w:rtl/>
        </w:rPr>
      </w:pPr>
    </w:p>
    <w:p w14:paraId="58E7D888" w14:textId="77777777" w:rsidR="00487587" w:rsidRPr="00487587" w:rsidRDefault="00487587" w:rsidP="00C235A5">
      <w:pPr>
        <w:spacing w:line="360" w:lineRule="auto"/>
        <w:ind w:left="862" w:hanging="550"/>
        <w:jc w:val="center"/>
        <w:rPr>
          <w:b/>
          <w:bCs/>
          <w:sz w:val="34"/>
          <w:szCs w:val="34"/>
          <w:rtl/>
        </w:rPr>
      </w:pPr>
    </w:p>
    <w:p w14:paraId="516AC407" w14:textId="77777777" w:rsidR="00270721" w:rsidRPr="00270721" w:rsidRDefault="00270721" w:rsidP="00270721">
      <w:pPr>
        <w:spacing w:before="120" w:after="120" w:line="240" w:lineRule="exact"/>
        <w:ind w:left="283" w:hanging="283"/>
        <w:jc w:val="both"/>
        <w:rPr>
          <w:rFonts w:ascii="FrankRuehl" w:hAnsi="FrankRuehl" w:cs="FrankRuehl"/>
          <w:color w:val="0000FF"/>
          <w:rtl/>
        </w:rPr>
      </w:pPr>
    </w:p>
    <w:p w14:paraId="07EF2C98" w14:textId="77777777" w:rsidR="00917D18" w:rsidRDefault="00917D18" w:rsidP="00917D18">
      <w:pPr>
        <w:spacing w:after="120" w:line="240" w:lineRule="exact"/>
        <w:ind w:left="283" w:hanging="283"/>
        <w:jc w:val="both"/>
        <w:rPr>
          <w:sz w:val="34"/>
          <w:szCs w:val="34"/>
          <w:rtl/>
        </w:rPr>
      </w:pPr>
    </w:p>
    <w:p w14:paraId="7D8E73D8" w14:textId="77777777" w:rsidR="00917D18" w:rsidRPr="00917D18" w:rsidRDefault="00917D18" w:rsidP="00917D18">
      <w:pPr>
        <w:spacing w:before="120" w:after="120" w:line="240" w:lineRule="exact"/>
        <w:ind w:left="283" w:hanging="283"/>
        <w:jc w:val="both"/>
        <w:rPr>
          <w:rFonts w:ascii="FrankRuehl" w:hAnsi="FrankRuehl" w:cs="FrankRuehl"/>
          <w:rtl/>
        </w:rPr>
      </w:pPr>
    </w:p>
    <w:p w14:paraId="5CFF2140" w14:textId="77777777" w:rsidR="00917D18" w:rsidRPr="00917D18" w:rsidRDefault="00917D18" w:rsidP="00917D18">
      <w:pPr>
        <w:spacing w:before="120" w:after="120" w:line="240" w:lineRule="exact"/>
        <w:ind w:left="283" w:hanging="283"/>
        <w:jc w:val="both"/>
        <w:rPr>
          <w:rFonts w:ascii="FrankRuehl" w:hAnsi="FrankRuehl" w:cs="FrankRuehl"/>
          <w:rtl/>
        </w:rPr>
      </w:pPr>
    </w:p>
    <w:p w14:paraId="42AB70C9" w14:textId="77777777" w:rsidR="004F0BA5" w:rsidRDefault="004F0BA5" w:rsidP="004F0BA5">
      <w:pPr>
        <w:spacing w:after="120" w:line="240" w:lineRule="exact"/>
        <w:ind w:left="283" w:hanging="283"/>
        <w:jc w:val="both"/>
        <w:rPr>
          <w:sz w:val="34"/>
          <w:szCs w:val="34"/>
          <w:rtl/>
        </w:rPr>
      </w:pPr>
      <w:bookmarkStart w:id="3" w:name="LawTable"/>
      <w:bookmarkEnd w:id="3"/>
    </w:p>
    <w:p w14:paraId="4612B55F" w14:textId="77777777" w:rsidR="004F0BA5" w:rsidRPr="004F0BA5" w:rsidRDefault="004F0BA5" w:rsidP="004F0BA5">
      <w:pPr>
        <w:spacing w:before="120" w:after="120" w:line="240" w:lineRule="exact"/>
        <w:ind w:left="283" w:hanging="283"/>
        <w:jc w:val="both"/>
        <w:rPr>
          <w:rFonts w:ascii="FrankRuehl" w:hAnsi="FrankRuehl" w:cs="FrankRuehl"/>
          <w:rtl/>
        </w:rPr>
      </w:pPr>
    </w:p>
    <w:p w14:paraId="56C4DBFF" w14:textId="77777777" w:rsidR="004F0BA5" w:rsidRPr="004F0BA5" w:rsidRDefault="004F0BA5" w:rsidP="004F0BA5">
      <w:pPr>
        <w:spacing w:before="120" w:after="120" w:line="240" w:lineRule="exact"/>
        <w:ind w:left="283" w:hanging="283"/>
        <w:jc w:val="both"/>
        <w:rPr>
          <w:rFonts w:ascii="FrankRuehl" w:hAnsi="FrankRuehl" w:cs="FrankRuehl"/>
          <w:rtl/>
        </w:rPr>
      </w:pPr>
    </w:p>
    <w:p w14:paraId="5938A159" w14:textId="77777777" w:rsidR="004F0BA5" w:rsidRPr="004F0BA5" w:rsidRDefault="004F0BA5" w:rsidP="004F0BA5">
      <w:pPr>
        <w:spacing w:before="120" w:after="120" w:line="240" w:lineRule="exact"/>
        <w:ind w:left="283" w:hanging="283"/>
        <w:jc w:val="both"/>
        <w:rPr>
          <w:rFonts w:ascii="FrankRuehl" w:hAnsi="FrankRuehl" w:cs="FrankRuehl"/>
          <w:rtl/>
        </w:rPr>
      </w:pPr>
      <w:r w:rsidRPr="004F0BA5">
        <w:rPr>
          <w:rFonts w:ascii="FrankRuehl" w:hAnsi="FrankRuehl" w:cs="FrankRuehl"/>
          <w:rtl/>
        </w:rPr>
        <w:t xml:space="preserve">חקיקה שאוזכרה: </w:t>
      </w:r>
    </w:p>
    <w:p w14:paraId="6C92B9C2" w14:textId="77777777" w:rsidR="004F0BA5" w:rsidRPr="004F0BA5" w:rsidRDefault="004F0BA5" w:rsidP="004F0BA5">
      <w:pPr>
        <w:spacing w:before="120" w:after="120" w:line="240" w:lineRule="exact"/>
        <w:ind w:left="283" w:hanging="283"/>
        <w:jc w:val="both"/>
        <w:rPr>
          <w:rFonts w:ascii="FrankRuehl" w:hAnsi="FrankRuehl" w:cs="FrankRuehl"/>
          <w:rtl/>
        </w:rPr>
      </w:pPr>
      <w:hyperlink r:id="rId7" w:history="1">
        <w:r w:rsidRPr="004F0BA5">
          <w:rPr>
            <w:rFonts w:ascii="FrankRuehl" w:hAnsi="FrankRuehl" w:cs="FrankRuehl"/>
            <w:color w:val="0000FF"/>
            <w:rtl/>
          </w:rPr>
          <w:t>פקודת הסמים המסוכנים [נוסח חדש], תשל"ג-1973</w:t>
        </w:r>
      </w:hyperlink>
      <w:r w:rsidRPr="004F0BA5">
        <w:rPr>
          <w:rFonts w:ascii="FrankRuehl" w:hAnsi="FrankRuehl" w:cs="FrankRuehl"/>
          <w:rtl/>
        </w:rPr>
        <w:t xml:space="preserve">: סע'  </w:t>
      </w:r>
      <w:hyperlink r:id="rId8" w:history="1">
        <w:r w:rsidRPr="004F0BA5">
          <w:rPr>
            <w:rFonts w:ascii="FrankRuehl" w:hAnsi="FrankRuehl" w:cs="FrankRuehl"/>
            <w:color w:val="0000FF"/>
            <w:rtl/>
          </w:rPr>
          <w:t>13</w:t>
        </w:r>
      </w:hyperlink>
    </w:p>
    <w:p w14:paraId="53ED2CEE" w14:textId="77777777" w:rsidR="004F0BA5" w:rsidRPr="004F0BA5" w:rsidRDefault="004F0BA5" w:rsidP="004F0BA5">
      <w:pPr>
        <w:spacing w:after="120" w:line="240" w:lineRule="exact"/>
        <w:ind w:left="283" w:hanging="283"/>
        <w:jc w:val="both"/>
        <w:rPr>
          <w:sz w:val="34"/>
          <w:szCs w:val="34"/>
          <w:rtl/>
        </w:rPr>
      </w:pPr>
      <w:bookmarkStart w:id="4" w:name="LawTable_End"/>
      <w:bookmarkEnd w:id="4"/>
    </w:p>
    <w:p w14:paraId="4CE17E34" w14:textId="77777777" w:rsidR="00487587" w:rsidRPr="00270721" w:rsidRDefault="00487587" w:rsidP="00270721">
      <w:pPr>
        <w:spacing w:after="120" w:line="240" w:lineRule="exact"/>
        <w:ind w:left="283" w:hanging="283"/>
        <w:jc w:val="both"/>
        <w:rPr>
          <w:sz w:val="34"/>
          <w:szCs w:val="34"/>
          <w:rtl/>
        </w:rPr>
      </w:pPr>
    </w:p>
    <w:p w14:paraId="01B35F45" w14:textId="77777777" w:rsidR="00487587" w:rsidRPr="00487587" w:rsidRDefault="00487587" w:rsidP="00487587">
      <w:pPr>
        <w:spacing w:line="360" w:lineRule="auto"/>
        <w:ind w:left="862"/>
        <w:jc w:val="center"/>
        <w:rPr>
          <w:b/>
          <w:bCs/>
          <w:sz w:val="34"/>
          <w:szCs w:val="34"/>
          <w:u w:val="single"/>
          <w:rtl/>
        </w:rPr>
      </w:pPr>
      <w:bookmarkStart w:id="5" w:name="PsakDin"/>
      <w:r w:rsidRPr="00487587">
        <w:rPr>
          <w:b/>
          <w:bCs/>
          <w:sz w:val="34"/>
          <w:szCs w:val="34"/>
          <w:u w:val="single"/>
          <w:rtl/>
        </w:rPr>
        <w:t>גזר דין</w:t>
      </w:r>
    </w:p>
    <w:bookmarkEnd w:id="5"/>
    <w:p w14:paraId="595A8D64" w14:textId="77777777" w:rsidR="00C235A5" w:rsidRDefault="00C235A5" w:rsidP="00C235A5">
      <w:pPr>
        <w:spacing w:line="360" w:lineRule="auto"/>
        <w:ind w:left="862"/>
        <w:jc w:val="both"/>
        <w:rPr>
          <w:rtl/>
        </w:rPr>
      </w:pPr>
      <w:r>
        <w:rPr>
          <w:rFonts w:hint="cs"/>
          <w:u w:val="single"/>
          <w:rtl/>
        </w:rPr>
        <w:t>כללי</w:t>
      </w:r>
    </w:p>
    <w:p w14:paraId="01EF1F6F" w14:textId="77777777" w:rsidR="00C235A5" w:rsidRDefault="00C235A5" w:rsidP="00C235A5">
      <w:pPr>
        <w:spacing w:line="360" w:lineRule="auto"/>
        <w:ind w:left="862" w:hanging="550"/>
        <w:jc w:val="both"/>
        <w:rPr>
          <w:rtl/>
        </w:rPr>
      </w:pPr>
      <w:r>
        <w:rPr>
          <w:rFonts w:hint="cs"/>
          <w:rtl/>
        </w:rPr>
        <w:t xml:space="preserve"> </w:t>
      </w:r>
    </w:p>
    <w:p w14:paraId="4D95913B" w14:textId="77777777" w:rsidR="00C235A5" w:rsidRDefault="00C235A5" w:rsidP="00C235A5">
      <w:pPr>
        <w:pStyle w:val="a9"/>
        <w:numPr>
          <w:ilvl w:val="0"/>
          <w:numId w:val="1"/>
        </w:numPr>
        <w:tabs>
          <w:tab w:val="left" w:pos="255"/>
        </w:tabs>
        <w:spacing w:line="360" w:lineRule="auto"/>
        <w:ind w:left="862" w:hanging="550"/>
        <w:jc w:val="both"/>
        <w:rPr>
          <w:rtl/>
        </w:rPr>
      </w:pPr>
      <w:bookmarkStart w:id="6" w:name="ABSTRACT_START"/>
      <w:bookmarkEnd w:id="6"/>
      <w:r>
        <w:rPr>
          <w:rFonts w:hint="cs"/>
          <w:rtl/>
        </w:rPr>
        <w:t xml:space="preserve">ביום 8.7.2019 הודה הנאשם בעובדות כתב האישום המקורי והורשע בשתי עבירות של סחר בסם מסוכן, לפי </w:t>
      </w:r>
      <w:hyperlink r:id="rId9" w:history="1">
        <w:r w:rsidR="00E07AA1" w:rsidRPr="00E07AA1">
          <w:rPr>
            <w:rStyle w:val="Hyperlink"/>
            <w:rFonts w:hint="eastAsia"/>
            <w:rtl/>
          </w:rPr>
          <w:t>סעיף</w:t>
        </w:r>
        <w:r w:rsidR="00E07AA1" w:rsidRPr="00E07AA1">
          <w:rPr>
            <w:rStyle w:val="Hyperlink"/>
            <w:rtl/>
          </w:rPr>
          <w:t xml:space="preserve"> 13</w:t>
        </w:r>
      </w:hyperlink>
      <w:r>
        <w:rPr>
          <w:rFonts w:hint="cs"/>
          <w:rtl/>
        </w:rPr>
        <w:t xml:space="preserve"> לפקודת הסמים [נוסח חדש], תשל"ג-1973 (להלן - </w:t>
      </w:r>
      <w:r>
        <w:rPr>
          <w:rFonts w:hint="cs"/>
          <w:b/>
          <w:bCs/>
          <w:rtl/>
        </w:rPr>
        <w:t>פקודת הסמים</w:t>
      </w:r>
      <w:r>
        <w:rPr>
          <w:rFonts w:hint="cs"/>
          <w:rtl/>
        </w:rPr>
        <w:t xml:space="preserve">). עובר לשמיעת הטיעונים לעונש הופנה הנאשם לשרות המבחן, והוגשו בעניינו חמישה תסקירים. </w:t>
      </w:r>
    </w:p>
    <w:p w14:paraId="7DF16F35" w14:textId="77777777" w:rsidR="00C235A5" w:rsidRDefault="00C235A5" w:rsidP="00C235A5">
      <w:pPr>
        <w:spacing w:line="360" w:lineRule="auto"/>
        <w:ind w:left="862" w:hanging="550"/>
        <w:jc w:val="both"/>
        <w:rPr>
          <w:rtl/>
        </w:rPr>
      </w:pPr>
    </w:p>
    <w:p w14:paraId="32442EE1" w14:textId="77777777" w:rsidR="00C235A5" w:rsidRDefault="00C235A5" w:rsidP="00C235A5">
      <w:pPr>
        <w:pStyle w:val="a9"/>
        <w:numPr>
          <w:ilvl w:val="0"/>
          <w:numId w:val="1"/>
        </w:numPr>
        <w:spacing w:line="360" w:lineRule="auto"/>
        <w:ind w:left="862" w:hanging="550"/>
        <w:jc w:val="both"/>
      </w:pPr>
      <w:bookmarkStart w:id="7" w:name="ABSTRACT_END"/>
      <w:bookmarkEnd w:id="7"/>
      <w:r>
        <w:rPr>
          <w:rFonts w:hint="cs"/>
          <w:rtl/>
        </w:rPr>
        <w:lastRenderedPageBreak/>
        <w:t xml:space="preserve">כתב האישום מחזיק שני אישומים שעניינם מכירת סם מסוכן מסוג קוקאין לסוכן משטרתי. </w:t>
      </w:r>
      <w:r w:rsidRPr="00320EBA">
        <w:rPr>
          <w:rFonts w:hint="cs"/>
          <w:b/>
          <w:bCs/>
          <w:rtl/>
        </w:rPr>
        <w:t>על-פי עובדות האישום הראשון</w:t>
      </w:r>
      <w:r>
        <w:rPr>
          <w:rFonts w:hint="cs"/>
          <w:rtl/>
        </w:rPr>
        <w:t xml:space="preserve"> מכר הנאשם לסוכן המשטרתי קוקאין במשקל 39.3 גרם תמורת 17,200 ₪; </w:t>
      </w:r>
      <w:r w:rsidRPr="00320EBA">
        <w:rPr>
          <w:rFonts w:hint="cs"/>
          <w:b/>
          <w:bCs/>
          <w:rtl/>
        </w:rPr>
        <w:t>על-פי עובדות האישום השני</w:t>
      </w:r>
      <w:r>
        <w:rPr>
          <w:rFonts w:hint="cs"/>
          <w:rtl/>
        </w:rPr>
        <w:t xml:space="preserve"> מכר הנאשם לסוכן המשטרתי קוקאין במשקל 42.7 גרם תמורת 16,800 ₪. </w:t>
      </w:r>
    </w:p>
    <w:p w14:paraId="7CC7337E" w14:textId="77777777" w:rsidR="00C235A5" w:rsidRDefault="00C235A5" w:rsidP="00C235A5">
      <w:pPr>
        <w:pStyle w:val="a9"/>
        <w:spacing w:line="360" w:lineRule="auto"/>
        <w:ind w:left="862" w:hanging="550"/>
        <w:jc w:val="both"/>
        <w:rPr>
          <w:rtl/>
        </w:rPr>
      </w:pPr>
    </w:p>
    <w:p w14:paraId="010F6D1A" w14:textId="77777777" w:rsidR="00C235A5" w:rsidRPr="00323717" w:rsidRDefault="00C235A5" w:rsidP="00C235A5">
      <w:pPr>
        <w:pStyle w:val="a9"/>
        <w:spacing w:line="360" w:lineRule="auto"/>
        <w:ind w:left="862" w:hanging="142"/>
        <w:jc w:val="both"/>
        <w:rPr>
          <w:u w:val="single"/>
        </w:rPr>
      </w:pPr>
      <w:r w:rsidRPr="00323717">
        <w:rPr>
          <w:rFonts w:hint="cs"/>
          <w:u w:val="single"/>
          <w:rtl/>
        </w:rPr>
        <w:t>תסקירי שרות המבחן</w:t>
      </w:r>
    </w:p>
    <w:p w14:paraId="47D92987" w14:textId="77777777" w:rsidR="00C235A5" w:rsidRDefault="00C235A5" w:rsidP="00C235A5">
      <w:pPr>
        <w:spacing w:line="360" w:lineRule="auto"/>
        <w:ind w:left="862" w:hanging="550"/>
        <w:jc w:val="both"/>
        <w:rPr>
          <w:u w:val="single"/>
          <w:rtl/>
        </w:rPr>
      </w:pPr>
    </w:p>
    <w:p w14:paraId="711B0AE4" w14:textId="77777777" w:rsidR="00C235A5" w:rsidRDefault="00C235A5" w:rsidP="00C235A5">
      <w:pPr>
        <w:pStyle w:val="a9"/>
        <w:numPr>
          <w:ilvl w:val="0"/>
          <w:numId w:val="1"/>
        </w:numPr>
        <w:spacing w:line="360" w:lineRule="auto"/>
        <w:ind w:left="862" w:hanging="550"/>
        <w:jc w:val="both"/>
      </w:pPr>
      <w:r w:rsidRPr="00323717">
        <w:rPr>
          <w:rFonts w:hint="cs"/>
          <w:rtl/>
        </w:rPr>
        <w:t>תסקירי</w:t>
      </w:r>
      <w:r>
        <w:rPr>
          <w:rFonts w:hint="cs"/>
          <w:rtl/>
        </w:rPr>
        <w:t xml:space="preserve"> שרות המבחן מפרטים את נתוניו של הנאשם, בן 26, רווק, אשר עובר למעצרו התגורר ברמלה, ועבד בעבודות מזדמנות בתחום הבניה. לנאשם שישה אחים, כאשר לאביו שלוש נשים נוספות, מהן לו 12 ילדים. בני המשפחה מתגוררים בארבעה בתים נפרדים, והנאשם תיאר קשר קרוב שמנהל עם אחיו, המהווים גורמי תמיכה ומעורבים בחייו במידה זו או אחרת. שרות המבחן התרשם כי מדובר בנאשם אשר לצד תפקוד תקין במישורי חייו השונים ויחסים תקינים שניהל עם בני משפחתו, התרועע עם חברה שולית והיה מעורב בעבירות סמים (נתון שעולה גם מתיקים קודמים). </w:t>
      </w:r>
    </w:p>
    <w:p w14:paraId="357DB2E2" w14:textId="77777777" w:rsidR="00C235A5" w:rsidRDefault="00C235A5" w:rsidP="00C235A5">
      <w:pPr>
        <w:pStyle w:val="a9"/>
        <w:spacing w:line="360" w:lineRule="auto"/>
        <w:ind w:left="862" w:hanging="550"/>
        <w:jc w:val="both"/>
        <w:rPr>
          <w:rtl/>
        </w:rPr>
      </w:pPr>
    </w:p>
    <w:p w14:paraId="32444ADD" w14:textId="77777777" w:rsidR="00C235A5" w:rsidRDefault="00C235A5" w:rsidP="00C235A5">
      <w:pPr>
        <w:pStyle w:val="a9"/>
        <w:spacing w:line="360" w:lineRule="auto"/>
        <w:ind w:left="862"/>
        <w:jc w:val="both"/>
        <w:rPr>
          <w:rtl/>
        </w:rPr>
      </w:pPr>
      <w:r w:rsidRPr="00946CD9">
        <w:rPr>
          <w:rFonts w:hint="cs"/>
          <w:b/>
          <w:bCs/>
          <w:rtl/>
        </w:rPr>
        <w:t xml:space="preserve">מהתסקיר הראשון </w:t>
      </w:r>
      <w:r>
        <w:rPr>
          <w:rFonts w:hint="cs"/>
          <w:b/>
          <w:bCs/>
          <w:rtl/>
        </w:rPr>
        <w:t xml:space="preserve">מיום 27.10.2019, </w:t>
      </w:r>
      <w:r>
        <w:rPr>
          <w:rFonts w:hint="cs"/>
          <w:rtl/>
        </w:rPr>
        <w:t xml:space="preserve">עלה כי הנאשם שולב </w:t>
      </w:r>
      <w:r w:rsidR="00487587" w:rsidRPr="00270721">
        <w:rPr>
          <w:color w:val="000000"/>
          <w:rtl/>
        </w:rPr>
        <w:t>בקבוצת</w:t>
      </w:r>
      <w:r>
        <w:rPr>
          <w:rFonts w:hint="cs"/>
          <w:rtl/>
        </w:rPr>
        <w:t xml:space="preserve"> "עצורי בית" בשלהי חודש יולי 2019, אולם במהלך חודש אוגוסט התקשה להגיע </w:t>
      </w:r>
      <w:r w:rsidR="00487587" w:rsidRPr="00270721">
        <w:rPr>
          <w:color w:val="000000"/>
          <w:rtl/>
        </w:rPr>
        <w:t>בקביעות</w:t>
      </w:r>
      <w:r>
        <w:rPr>
          <w:rFonts w:hint="cs"/>
          <w:rtl/>
        </w:rPr>
        <w:t xml:space="preserve"> למפגשי הקבוצה, אולם בהמשך, ערך מאמצים להגיע בקביעות, תוך שצוין כי בנקודת הזמן הנוכחית, מדובר בשלב ראשוני של ההליך הטיפולי. </w:t>
      </w:r>
    </w:p>
    <w:p w14:paraId="00F8D40F" w14:textId="77777777" w:rsidR="00C235A5" w:rsidRDefault="00C235A5" w:rsidP="00C235A5">
      <w:pPr>
        <w:pStyle w:val="a9"/>
        <w:spacing w:line="360" w:lineRule="auto"/>
        <w:ind w:left="862" w:hanging="550"/>
        <w:jc w:val="both"/>
        <w:rPr>
          <w:rtl/>
        </w:rPr>
      </w:pPr>
    </w:p>
    <w:p w14:paraId="64EBF9C5" w14:textId="77777777" w:rsidR="00C235A5" w:rsidRDefault="00C235A5" w:rsidP="00C235A5">
      <w:pPr>
        <w:pStyle w:val="a9"/>
        <w:spacing w:line="360" w:lineRule="auto"/>
        <w:ind w:left="862"/>
        <w:jc w:val="both"/>
        <w:rPr>
          <w:rtl/>
        </w:rPr>
      </w:pPr>
      <w:r w:rsidRPr="00FD50B9">
        <w:rPr>
          <w:rFonts w:hint="cs"/>
          <w:b/>
          <w:bCs/>
          <w:rtl/>
        </w:rPr>
        <w:t>מהתסקיר השני מיום 24.2.</w:t>
      </w:r>
      <w:r>
        <w:rPr>
          <w:rFonts w:hint="cs"/>
          <w:b/>
          <w:bCs/>
          <w:rtl/>
        </w:rPr>
        <w:t>2020</w:t>
      </w:r>
      <w:r>
        <w:rPr>
          <w:rFonts w:hint="cs"/>
          <w:rtl/>
        </w:rPr>
        <w:t xml:space="preserve">, עלה כי הנאשם סיים את השתתפותו </w:t>
      </w:r>
      <w:r w:rsidR="00487587" w:rsidRPr="00270721">
        <w:rPr>
          <w:color w:val="000000"/>
          <w:rtl/>
        </w:rPr>
        <w:t>בקבוצה</w:t>
      </w:r>
      <w:r>
        <w:rPr>
          <w:rFonts w:hint="cs"/>
          <w:rtl/>
        </w:rPr>
        <w:t xml:space="preserve"> הטיפולית, אולם בלטו קשייו לשתף בפתיחות בתכנים אישיים, כאשר להערכת שרות המבחן מדובר </w:t>
      </w:r>
      <w:r w:rsidR="00487587" w:rsidRPr="00270721">
        <w:rPr>
          <w:color w:val="000000"/>
          <w:rtl/>
        </w:rPr>
        <w:t>בקושי</w:t>
      </w:r>
      <w:r>
        <w:rPr>
          <w:rFonts w:hint="cs"/>
          <w:rtl/>
        </w:rPr>
        <w:t xml:space="preserve"> הנובע מהתחשבנות כלפי גורמי הממסד. שרות המבחן המליץ לשלבו </w:t>
      </w:r>
      <w:r w:rsidR="00487587" w:rsidRPr="00270721">
        <w:rPr>
          <w:color w:val="000000"/>
          <w:rtl/>
        </w:rPr>
        <w:t>בקבוצה</w:t>
      </w:r>
      <w:r>
        <w:rPr>
          <w:rFonts w:hint="cs"/>
          <w:rtl/>
        </w:rPr>
        <w:t xml:space="preserve"> טיפולית נוספת החל מחודש מרץ 2020. </w:t>
      </w:r>
    </w:p>
    <w:p w14:paraId="4BD9EEDB" w14:textId="77777777" w:rsidR="00C235A5" w:rsidRDefault="00C235A5" w:rsidP="00C235A5">
      <w:pPr>
        <w:pStyle w:val="a9"/>
        <w:spacing w:line="360" w:lineRule="auto"/>
        <w:ind w:left="862" w:hanging="550"/>
        <w:jc w:val="both"/>
      </w:pPr>
    </w:p>
    <w:p w14:paraId="02AD2945" w14:textId="77777777" w:rsidR="00C235A5" w:rsidRDefault="00C235A5" w:rsidP="00C235A5">
      <w:pPr>
        <w:pStyle w:val="a9"/>
        <w:spacing w:line="360" w:lineRule="auto"/>
        <w:ind w:left="862"/>
        <w:jc w:val="both"/>
        <w:rPr>
          <w:rtl/>
        </w:rPr>
      </w:pPr>
      <w:r w:rsidRPr="00FD50B9">
        <w:rPr>
          <w:b/>
          <w:bCs/>
          <w:rtl/>
        </w:rPr>
        <w:t xml:space="preserve">מהתסקיר </w:t>
      </w:r>
      <w:r>
        <w:rPr>
          <w:b/>
          <w:bCs/>
          <w:rtl/>
        </w:rPr>
        <w:t xml:space="preserve">השלישי מיום </w:t>
      </w:r>
      <w:r>
        <w:rPr>
          <w:rFonts w:hint="cs"/>
          <w:b/>
          <w:bCs/>
          <w:rtl/>
        </w:rPr>
        <w:t>23.6.2020,</w:t>
      </w:r>
      <w:r>
        <w:rPr>
          <w:rtl/>
        </w:rPr>
        <w:t xml:space="preserve"> </w:t>
      </w:r>
      <w:r>
        <w:rPr>
          <w:rFonts w:hint="cs"/>
          <w:rtl/>
        </w:rPr>
        <w:t xml:space="preserve">עלה כי שרות המבחן פעל לצורך קידום השתלבותו של הנאשם בטיפול הקבוצתי, אולם בשלב משבר הקורונה התקיימו שני מפגשים בלבד, ונראה היה כי הנאשם מעונין להיתרם מההליך הטיפולי. עוד צוין כי במהלך התקופה נעשו עם הנאשם ניסיונות ליצור קשר, אולם ניסיונות אלה לא צלחו. בהינתן זאת, נמנע שרות המבחן מהמלצה טיפולית. </w:t>
      </w:r>
    </w:p>
    <w:p w14:paraId="4814EA26" w14:textId="77777777" w:rsidR="00C235A5" w:rsidRDefault="00C235A5" w:rsidP="00C235A5">
      <w:pPr>
        <w:pStyle w:val="a9"/>
        <w:spacing w:line="360" w:lineRule="auto"/>
        <w:ind w:left="862" w:hanging="550"/>
        <w:jc w:val="both"/>
        <w:rPr>
          <w:rtl/>
        </w:rPr>
      </w:pPr>
    </w:p>
    <w:p w14:paraId="6567827B" w14:textId="77777777" w:rsidR="00C235A5" w:rsidRDefault="00C235A5" w:rsidP="00C235A5">
      <w:pPr>
        <w:pStyle w:val="a9"/>
        <w:spacing w:line="360" w:lineRule="auto"/>
        <w:ind w:left="862"/>
        <w:jc w:val="both"/>
        <w:rPr>
          <w:rtl/>
        </w:rPr>
      </w:pPr>
      <w:r>
        <w:rPr>
          <w:rFonts w:hint="cs"/>
          <w:rtl/>
        </w:rPr>
        <w:t xml:space="preserve">בישיבת בית המשפט שהתקיימה ביום 6.7.2020, ציין ב"כ הנאשם כי הנאשם מעוניין להמשיך בהליך הטיפולי, ובהחלטתי מאותו היום, אשר לקחה בחשבון גם את העובדה שבשל משבר הקורונה לא ניתן היה לקדם את אותו הליך, איפשרתי את המהלך, והוריתי לשרות המבחן לערוך תסקיר משלים. </w:t>
      </w:r>
    </w:p>
    <w:p w14:paraId="4F058EE3" w14:textId="77777777" w:rsidR="00C235A5" w:rsidRDefault="00C235A5" w:rsidP="00C235A5">
      <w:pPr>
        <w:pStyle w:val="a9"/>
        <w:spacing w:line="360" w:lineRule="auto"/>
        <w:ind w:left="862" w:hanging="550"/>
        <w:jc w:val="both"/>
        <w:rPr>
          <w:rtl/>
        </w:rPr>
      </w:pPr>
    </w:p>
    <w:p w14:paraId="23476B04" w14:textId="77777777" w:rsidR="00C235A5" w:rsidRDefault="00C235A5" w:rsidP="00C235A5">
      <w:pPr>
        <w:pStyle w:val="a9"/>
        <w:spacing w:line="360" w:lineRule="auto"/>
        <w:ind w:left="862"/>
        <w:jc w:val="both"/>
        <w:rPr>
          <w:rtl/>
        </w:rPr>
      </w:pPr>
      <w:r w:rsidRPr="00687031">
        <w:rPr>
          <w:rFonts w:hint="cs"/>
          <w:b/>
          <w:bCs/>
          <w:rtl/>
        </w:rPr>
        <w:t>מהתסקיר הרביעי מיום 8.11.</w:t>
      </w:r>
      <w:r>
        <w:rPr>
          <w:rFonts w:hint="cs"/>
          <w:b/>
          <w:bCs/>
          <w:rtl/>
        </w:rPr>
        <w:t>2020</w:t>
      </w:r>
      <w:r>
        <w:rPr>
          <w:rFonts w:hint="cs"/>
          <w:rtl/>
        </w:rPr>
        <w:t xml:space="preserve">, עלה כי בשל משבר הקורונה לא ניתן היה לקדם את ההליך הטיפולי, אולם הנאשם הביע רצון לכך, כמו גם להשתלב בתכנית "אוניברסיטה בע"מ". הנאשם אף מסר בדיקות שתן שנמצאו נקיות. שרות המבחן סבר כי נוכח רצונו של הנאשם שלא הסתייע, גם ואולי בעיקר בשל משבר הקורונה, יש מקום לאפשר את קידום ההליך השיקומי, אגב דחיית הדיון. </w:t>
      </w:r>
    </w:p>
    <w:p w14:paraId="05E1360C" w14:textId="77777777" w:rsidR="00C235A5" w:rsidRDefault="00C235A5" w:rsidP="00C235A5">
      <w:pPr>
        <w:pStyle w:val="a9"/>
        <w:spacing w:line="360" w:lineRule="auto"/>
        <w:ind w:left="862" w:hanging="550"/>
        <w:jc w:val="both"/>
        <w:rPr>
          <w:rtl/>
        </w:rPr>
      </w:pPr>
    </w:p>
    <w:p w14:paraId="2BE329AD" w14:textId="77777777" w:rsidR="00C235A5" w:rsidRDefault="00C235A5" w:rsidP="00C235A5">
      <w:pPr>
        <w:pStyle w:val="a9"/>
        <w:spacing w:line="360" w:lineRule="auto"/>
        <w:ind w:left="862"/>
        <w:jc w:val="both"/>
        <w:rPr>
          <w:rtl/>
        </w:rPr>
      </w:pPr>
      <w:r w:rsidRPr="00956B57">
        <w:rPr>
          <w:rFonts w:hint="cs"/>
          <w:b/>
          <w:bCs/>
          <w:rtl/>
        </w:rPr>
        <w:lastRenderedPageBreak/>
        <w:t>מהתסקיר החמישי מיום 18.2.</w:t>
      </w:r>
      <w:r>
        <w:rPr>
          <w:rFonts w:hint="cs"/>
          <w:b/>
          <w:bCs/>
          <w:rtl/>
        </w:rPr>
        <w:t>2021</w:t>
      </w:r>
      <w:r>
        <w:rPr>
          <w:rFonts w:hint="cs"/>
          <w:rtl/>
        </w:rPr>
        <w:t xml:space="preserve">, עלה כי הנאשם השתלב </w:t>
      </w:r>
      <w:r w:rsidR="00487587" w:rsidRPr="00270721">
        <w:rPr>
          <w:color w:val="000000"/>
          <w:rtl/>
        </w:rPr>
        <w:t>בקבוצה</w:t>
      </w:r>
      <w:r>
        <w:rPr>
          <w:rFonts w:hint="cs"/>
          <w:rtl/>
        </w:rPr>
        <w:t xml:space="preserve"> טיפולית (עד למועד עריכת התסקיר התקיימו חמישה מפגשים) וכן השתלב בתכנית "אוניברסיטה בע"מ". שרות המבחן התרשם כי הנאשם משתף פעולה, מביע מוטיבציה לשינוי באורחות חייו ומגלה הבנה באשר לבעייתיות במעשיו. </w:t>
      </w:r>
    </w:p>
    <w:p w14:paraId="44C297FB" w14:textId="77777777" w:rsidR="00C235A5" w:rsidRDefault="00C235A5" w:rsidP="00C235A5">
      <w:pPr>
        <w:pStyle w:val="a9"/>
        <w:spacing w:line="360" w:lineRule="auto"/>
        <w:ind w:left="862" w:hanging="550"/>
        <w:jc w:val="both"/>
        <w:rPr>
          <w:rtl/>
        </w:rPr>
      </w:pPr>
    </w:p>
    <w:p w14:paraId="784D529E" w14:textId="77777777" w:rsidR="00C235A5" w:rsidRDefault="00C235A5" w:rsidP="00C235A5">
      <w:pPr>
        <w:pStyle w:val="a9"/>
        <w:spacing w:line="360" w:lineRule="auto"/>
        <w:ind w:left="862"/>
        <w:jc w:val="both"/>
        <w:rPr>
          <w:rtl/>
        </w:rPr>
      </w:pPr>
      <w:r>
        <w:rPr>
          <w:rFonts w:hint="cs"/>
          <w:rtl/>
        </w:rPr>
        <w:t xml:space="preserve">על יסוד הנתונים שפורטו, ובהינתן העובדה כי במהלך התקופה ניהל הנאשם אורח חיים נורמטיבי, המליץ שרות המבחן להעמידו בצו מבחן, ואף ציין כי ענישה בדרך של מאסר בפועל עלולה להביא לריגרסיה ולקטוע את ההליך השיקומי בו מצוי הנאשם כיום, ולפיכך, ההמלצה היא להסתפק במאסר בדרך של עבודות שירות. </w:t>
      </w:r>
    </w:p>
    <w:p w14:paraId="496780D1" w14:textId="77777777" w:rsidR="00C235A5" w:rsidRDefault="00C235A5" w:rsidP="00C235A5">
      <w:pPr>
        <w:pStyle w:val="a9"/>
        <w:spacing w:line="360" w:lineRule="auto"/>
        <w:ind w:left="862" w:hanging="550"/>
        <w:jc w:val="both"/>
        <w:rPr>
          <w:rtl/>
        </w:rPr>
      </w:pPr>
    </w:p>
    <w:p w14:paraId="22C5B0DD" w14:textId="77777777" w:rsidR="00C235A5" w:rsidRDefault="00C235A5" w:rsidP="00C235A5">
      <w:pPr>
        <w:pStyle w:val="a9"/>
        <w:spacing w:line="360" w:lineRule="auto"/>
        <w:ind w:left="862"/>
        <w:jc w:val="both"/>
        <w:rPr>
          <w:rtl/>
        </w:rPr>
      </w:pPr>
      <w:r>
        <w:rPr>
          <w:rFonts w:hint="cs"/>
          <w:u w:val="single"/>
          <w:rtl/>
        </w:rPr>
        <w:t>טיעוני הצדדים לעונש</w:t>
      </w:r>
    </w:p>
    <w:p w14:paraId="151EC715" w14:textId="77777777" w:rsidR="00C235A5" w:rsidRDefault="00C235A5" w:rsidP="00C235A5">
      <w:pPr>
        <w:pStyle w:val="a9"/>
        <w:spacing w:line="360" w:lineRule="auto"/>
        <w:ind w:left="862" w:hanging="550"/>
        <w:jc w:val="both"/>
        <w:rPr>
          <w:rtl/>
        </w:rPr>
      </w:pPr>
    </w:p>
    <w:p w14:paraId="58C83E54" w14:textId="77777777" w:rsidR="00C235A5" w:rsidRDefault="00C235A5" w:rsidP="00C235A5">
      <w:pPr>
        <w:spacing w:line="360" w:lineRule="auto"/>
        <w:ind w:left="862" w:hanging="550"/>
        <w:jc w:val="both"/>
        <w:rPr>
          <w:rtl/>
        </w:rPr>
      </w:pPr>
      <w:r>
        <w:rPr>
          <w:rFonts w:hint="cs"/>
          <w:rtl/>
        </w:rPr>
        <w:t>4.</w:t>
      </w:r>
      <w:r>
        <w:rPr>
          <w:rtl/>
        </w:rPr>
        <w:tab/>
      </w:r>
      <w:r>
        <w:rPr>
          <w:rFonts w:hint="cs"/>
          <w:rtl/>
        </w:rPr>
        <w:t xml:space="preserve">התובעת, עו"ד קארי קסה, עמדה בטיעוניה על חומרת מעשיו של הנאשם, על הערכים המוגנים שנפגעו, על כמויות הסם המשמעותיות שמכר הנאשם לסוכן בשתי העסקאות, ועל בסיס האמור לעיל, עתרה לקבוע מתחם </w:t>
      </w:r>
      <w:r w:rsidRPr="009A23CB">
        <w:rPr>
          <w:rFonts w:hint="cs"/>
          <w:b/>
          <w:bCs/>
          <w:rtl/>
        </w:rPr>
        <w:t xml:space="preserve">הנע בין 25 חודשי מאסר ל- </w:t>
      </w:r>
      <w:r>
        <w:rPr>
          <w:rFonts w:hint="cs"/>
          <w:b/>
          <w:bCs/>
          <w:rtl/>
        </w:rPr>
        <w:t xml:space="preserve">56 </w:t>
      </w:r>
      <w:r w:rsidRPr="009A23CB">
        <w:rPr>
          <w:rFonts w:hint="cs"/>
          <w:b/>
          <w:bCs/>
          <w:rtl/>
        </w:rPr>
        <w:t xml:space="preserve">חודשי מאסר </w:t>
      </w:r>
      <w:r>
        <w:rPr>
          <w:rFonts w:hint="cs"/>
          <w:rtl/>
        </w:rPr>
        <w:t xml:space="preserve">בגין כל אחת מהעסקאות. בהינתן העובדה כי התיק הנוכחי הוא חלק מפרשת סוכן, התייחסה התובעת לכלל גזרי הדין שניתנו בפרשה, ולהשלכתם על מתחם העונש ההולם. התובעת סברה כי אף שיש לברך על ההליך הטיפולי שעבר הנאשם, מדובר בהליך ראשוני בלבד, ובוודאי לא בהליך אשר ניתן לראות בו ככזה המצדיק סטייה ממתחם הענישה מטעמי שיקום, אלא לכל היותר כזה המצדיק חפיפה מסוימת בין המתחמים,  ואימוץ הרף התחתון של המתחם המשוקלל. התובעת אף עתרה להפעלת שני עונשי מאסר מותנים במצטבר לעונש המאסר שיוטל על הנאשם. </w:t>
      </w:r>
    </w:p>
    <w:p w14:paraId="150C0438" w14:textId="77777777" w:rsidR="00C235A5" w:rsidRDefault="00C235A5" w:rsidP="00C235A5">
      <w:pPr>
        <w:spacing w:line="360" w:lineRule="auto"/>
        <w:ind w:left="862" w:hanging="550"/>
        <w:jc w:val="both"/>
        <w:rPr>
          <w:b/>
          <w:bCs/>
          <w:rtl/>
        </w:rPr>
      </w:pPr>
      <w:r>
        <w:rPr>
          <w:rFonts w:hint="cs"/>
          <w:rtl/>
        </w:rPr>
        <w:t>5.</w:t>
      </w:r>
      <w:r>
        <w:rPr>
          <w:rFonts w:hint="cs"/>
          <w:rtl/>
        </w:rPr>
        <w:tab/>
        <w:t>הסנגור, עו"ד שאדי כבהא, התייחס לנתוניו של הנאשם, למוצאו, לסביבה בה גדל, וביקש לראות בנתונים אלה  כרלוונטיים לבחינת כברת הדרך השיקומית שעבר הנאשם, וכלשונו: "</w:t>
      </w:r>
      <w:r w:rsidRPr="0027283F">
        <w:rPr>
          <w:rFonts w:hint="cs"/>
          <w:b/>
          <w:bCs/>
          <w:rtl/>
        </w:rPr>
        <w:t>ואז הגיע הנאשם שלפנינו, נדים, ואומר שקל מאוד להגיע למקומות הרעים האלה במציאות של האנשים האלה. איני בא להגן, אך המדרון בעייתי מאוד. אז נדים גדל ברמלה, בשכונה לא פשוטה. אומר את מה שלא יפה להגיד, אבל הצבע שלו לא עשה לו טוב בחיים. לכל מקום שהלך אליו סבל פעמיים: היותו ערבי מרמלה, היותו שחור, החשוד המיידי, לא משנה מה קרה בחיים תמיד הוא החשוד המיידי, זאת נקודת המוצא שלו. להתחיל לעבוד כאדם רגיל היה לו קשה. ואז אנו רואים את העוינות ואת החיבוק דב של הסביבה העבריינית. את אלה שרצו שיהיה כמוהם, שישב, יצרוך סמים ויתדרדר. אלה היו חייו, בעברו החזקת סם לצריכה עצמית. קל להשיג לסוכן סמים כשאתה צורך סמים, ואתה מרוויח כמה גרושים. הזמינות קיימת, והנאשם היה בדיוק שם במעגל המוביל לאיפה שנמצאים אחרים, במדרון התלול הזה, ולא האמנתי שאצליח לומר מילה אחת טובה בעניינו. הנאשם אף נכשל ופתח תיק נוסף בשלהי השחרור שלו. ואז בית המשפט קרא את ההתפתחות. שיקום הוא לא רק לאלה שנמצאים בהוסטל כל היום, זה לא מתכון לשיקום, אלא שינוי מעמיק בתפיסה של אדם. בית המשפט גזר על חלילי 24 חודשי מאסר בגין שתי עסקאות סמים, והצלחנו להגיע לבית המשפט העליון וזה שונה בהסכמה. השיקום הוא לא רק לאלה שעוברים מלדפוק על היד בשביל קריז ועד שהופכים להיות נורמטיביים. השינוי הוא חשיבתי ומהותי</w:t>
      </w:r>
      <w:r>
        <w:rPr>
          <w:rFonts w:hint="cs"/>
          <w:rtl/>
        </w:rPr>
        <w:t>"</w:t>
      </w:r>
      <w:r>
        <w:rPr>
          <w:rFonts w:hint="cs"/>
          <w:b/>
          <w:bCs/>
          <w:rtl/>
        </w:rPr>
        <w:t>.</w:t>
      </w:r>
    </w:p>
    <w:p w14:paraId="090A9ACF" w14:textId="77777777" w:rsidR="00C235A5" w:rsidRDefault="00C235A5" w:rsidP="00C235A5">
      <w:pPr>
        <w:spacing w:line="360" w:lineRule="auto"/>
        <w:ind w:left="862" w:hanging="550"/>
        <w:jc w:val="both"/>
        <w:rPr>
          <w:b/>
          <w:bCs/>
          <w:rtl/>
        </w:rPr>
      </w:pPr>
    </w:p>
    <w:p w14:paraId="76E1AF18" w14:textId="77777777" w:rsidR="00C235A5" w:rsidRDefault="00C235A5" w:rsidP="00C235A5">
      <w:pPr>
        <w:spacing w:line="360" w:lineRule="auto"/>
        <w:ind w:left="862" w:hanging="550"/>
        <w:jc w:val="both"/>
        <w:rPr>
          <w:rtl/>
        </w:rPr>
      </w:pPr>
      <w:r w:rsidRPr="002351D8">
        <w:rPr>
          <w:rtl/>
        </w:rPr>
        <w:tab/>
      </w:r>
      <w:r w:rsidRPr="002351D8">
        <w:rPr>
          <w:rFonts w:hint="cs"/>
          <w:rtl/>
        </w:rPr>
        <w:t xml:space="preserve">עוד עמד הסנגור על התקופה הארוכה בה שהה הנאשם בתנאים מגבילים, על העובדה כי התארס לאחרונה, </w:t>
      </w:r>
      <w:r>
        <w:rPr>
          <w:rFonts w:hint="cs"/>
          <w:rtl/>
        </w:rPr>
        <w:t xml:space="preserve">ועל רצונו של הנאשם להמשיך בטיפול. </w:t>
      </w:r>
    </w:p>
    <w:p w14:paraId="4B0718E4" w14:textId="77777777" w:rsidR="00C235A5" w:rsidRDefault="00C235A5" w:rsidP="00C235A5">
      <w:pPr>
        <w:spacing w:line="360" w:lineRule="auto"/>
        <w:ind w:left="862" w:hanging="550"/>
        <w:jc w:val="both"/>
        <w:rPr>
          <w:rtl/>
        </w:rPr>
      </w:pPr>
    </w:p>
    <w:p w14:paraId="6A52AF54" w14:textId="77777777" w:rsidR="00C235A5" w:rsidRDefault="00C235A5" w:rsidP="00C235A5">
      <w:pPr>
        <w:spacing w:line="360" w:lineRule="auto"/>
        <w:ind w:left="862" w:hanging="550"/>
        <w:jc w:val="both"/>
        <w:rPr>
          <w:rtl/>
        </w:rPr>
      </w:pPr>
      <w:r>
        <w:rPr>
          <w:rtl/>
        </w:rPr>
        <w:tab/>
      </w:r>
      <w:r>
        <w:rPr>
          <w:rFonts w:hint="cs"/>
          <w:rtl/>
        </w:rPr>
        <w:t xml:space="preserve">על בסיס כלל הנתונים, סבר הסנגור כי יש מקום לסטייה מטעמי שיקום, באופן אשר ישקף גם את עמדת שרות המבחן. </w:t>
      </w:r>
    </w:p>
    <w:p w14:paraId="011D14D1" w14:textId="77777777" w:rsidR="00C235A5" w:rsidRDefault="00C235A5" w:rsidP="00C235A5">
      <w:pPr>
        <w:spacing w:line="360" w:lineRule="auto"/>
        <w:ind w:left="862" w:hanging="550"/>
        <w:jc w:val="both"/>
        <w:rPr>
          <w:rtl/>
        </w:rPr>
      </w:pPr>
    </w:p>
    <w:p w14:paraId="53B44D99" w14:textId="77777777" w:rsidR="00C235A5" w:rsidRDefault="00C235A5" w:rsidP="00C235A5">
      <w:pPr>
        <w:spacing w:line="360" w:lineRule="auto"/>
        <w:ind w:left="862" w:hanging="550"/>
        <w:jc w:val="both"/>
        <w:rPr>
          <w:rtl/>
        </w:rPr>
      </w:pPr>
      <w:r>
        <w:rPr>
          <w:rtl/>
        </w:rPr>
        <w:tab/>
      </w:r>
      <w:r>
        <w:rPr>
          <w:rFonts w:hint="cs"/>
          <w:rtl/>
        </w:rPr>
        <w:t xml:space="preserve">אימו של הנאשם תיארה את השינוי שעבר הנאשם, את חתונתו הקרובה, את רצונו ללמוד, והביעה תקווה כי הנאשם הפיק את לקחו. </w:t>
      </w:r>
    </w:p>
    <w:p w14:paraId="4711BED9" w14:textId="77777777" w:rsidR="00C235A5" w:rsidRDefault="00C235A5" w:rsidP="00C235A5">
      <w:pPr>
        <w:spacing w:line="360" w:lineRule="auto"/>
        <w:ind w:left="862" w:hanging="550"/>
        <w:jc w:val="both"/>
        <w:rPr>
          <w:rtl/>
        </w:rPr>
      </w:pPr>
    </w:p>
    <w:p w14:paraId="0ED36F17" w14:textId="77777777" w:rsidR="00C235A5" w:rsidRDefault="00C235A5" w:rsidP="00C235A5">
      <w:pPr>
        <w:spacing w:line="360" w:lineRule="auto"/>
        <w:ind w:left="862" w:hanging="550"/>
        <w:jc w:val="both"/>
        <w:rPr>
          <w:rtl/>
        </w:rPr>
      </w:pPr>
      <w:r>
        <w:rPr>
          <w:rtl/>
        </w:rPr>
        <w:tab/>
      </w:r>
      <w:r>
        <w:rPr>
          <w:rFonts w:hint="cs"/>
          <w:rtl/>
        </w:rPr>
        <w:t xml:space="preserve">הנאשם בדברו האחרון ביקש להמשיך בהליך השיקום, ותיאר את השינוי החשיבתי שערך. </w:t>
      </w:r>
    </w:p>
    <w:p w14:paraId="60597A2E" w14:textId="77777777" w:rsidR="00C235A5" w:rsidRDefault="00C235A5" w:rsidP="00C235A5">
      <w:pPr>
        <w:spacing w:line="360" w:lineRule="auto"/>
        <w:ind w:left="862" w:hanging="550"/>
        <w:jc w:val="both"/>
        <w:rPr>
          <w:rtl/>
        </w:rPr>
      </w:pPr>
    </w:p>
    <w:p w14:paraId="63B112B9" w14:textId="77777777" w:rsidR="00C235A5" w:rsidRDefault="00C235A5" w:rsidP="00C235A5">
      <w:pPr>
        <w:spacing w:line="360" w:lineRule="auto"/>
        <w:ind w:left="862" w:hanging="550"/>
        <w:jc w:val="both"/>
        <w:rPr>
          <w:rtl/>
        </w:rPr>
      </w:pPr>
      <w:r>
        <w:rPr>
          <w:rtl/>
        </w:rPr>
        <w:tab/>
      </w:r>
      <w:r>
        <w:rPr>
          <w:rFonts w:hint="cs"/>
          <w:u w:val="single"/>
          <w:rtl/>
        </w:rPr>
        <w:t>קביעת מתחם העונש ההולם</w:t>
      </w:r>
    </w:p>
    <w:p w14:paraId="1B281F26" w14:textId="77777777" w:rsidR="00C235A5" w:rsidRDefault="00C235A5" w:rsidP="00C235A5">
      <w:pPr>
        <w:spacing w:line="360" w:lineRule="auto"/>
        <w:ind w:left="862" w:hanging="550"/>
        <w:jc w:val="both"/>
        <w:rPr>
          <w:rtl/>
        </w:rPr>
      </w:pPr>
    </w:p>
    <w:p w14:paraId="6D3FA368" w14:textId="77777777" w:rsidR="00C235A5" w:rsidRDefault="00C235A5" w:rsidP="00C235A5">
      <w:pPr>
        <w:spacing w:line="360" w:lineRule="auto"/>
        <w:ind w:left="862" w:hanging="550"/>
        <w:jc w:val="both"/>
        <w:rPr>
          <w:rtl/>
        </w:rPr>
      </w:pPr>
      <w:r>
        <w:rPr>
          <w:rFonts w:hint="cs"/>
          <w:rtl/>
        </w:rPr>
        <w:t>6.</w:t>
      </w:r>
      <w:r>
        <w:rPr>
          <w:rFonts w:hint="cs"/>
          <w:rtl/>
        </w:rPr>
        <w:tab/>
        <w:t xml:space="preserve">דומה כי הכל נאמר אודות עבירות הסמים, וגם בענייננו אך ברור כי במעשיו של הנאשם טמונה חומרה רבה, הן בהינתן הערכים המוגנים שנפגעו, שהם הגנה על שלום הציבור ובריאותו, והן בהינתן מידת הפגיעה באותם ערכים המושפעת, בין היתר, גם מסוג הסם ומהכמויות המשמעותיות שמכר הנאשם לסוכן המשטרתי (39.3 גרם תמורת 17,200 ₪ ו- 42.7 גרם תמורת 16,800 ₪). יש אף ליתן את הדעת לעובדה כי הנאשם היה היחיד והדומיננטי בביצוע העסקאות, ואין כל אינדיקציה לפיה היו מעורבים בהן גורמים נוספים. </w:t>
      </w:r>
    </w:p>
    <w:p w14:paraId="3D6CCC3C" w14:textId="77777777" w:rsidR="00C235A5" w:rsidRDefault="00C235A5" w:rsidP="00C235A5">
      <w:pPr>
        <w:spacing w:line="360" w:lineRule="auto"/>
        <w:ind w:left="862" w:hanging="550"/>
        <w:jc w:val="both"/>
        <w:rPr>
          <w:rtl/>
        </w:rPr>
      </w:pPr>
    </w:p>
    <w:p w14:paraId="11E3F297" w14:textId="77777777" w:rsidR="00C235A5" w:rsidRDefault="00C235A5" w:rsidP="00C235A5">
      <w:pPr>
        <w:spacing w:line="360" w:lineRule="auto"/>
        <w:ind w:left="862" w:hanging="550"/>
        <w:jc w:val="both"/>
        <w:rPr>
          <w:rtl/>
        </w:rPr>
      </w:pPr>
      <w:r>
        <w:rPr>
          <w:rtl/>
        </w:rPr>
        <w:tab/>
      </w:r>
      <w:r>
        <w:rPr>
          <w:rFonts w:hint="cs"/>
          <w:rtl/>
        </w:rPr>
        <w:t xml:space="preserve">בהינתן העובדה כי ניתנו על ידי מספר גזרי דין בפרשה, ראיתי להתייחס בראש וראשונה לאותם גזרי הדין, ובהמשך, יפורטו פסקי דין נוספים המשקפים אירועים דומים. </w:t>
      </w:r>
    </w:p>
    <w:p w14:paraId="70DE47B2" w14:textId="77777777" w:rsidR="00C235A5" w:rsidRDefault="00C235A5" w:rsidP="00C235A5">
      <w:pPr>
        <w:spacing w:line="360" w:lineRule="auto"/>
        <w:ind w:left="862" w:hanging="550"/>
        <w:jc w:val="both"/>
        <w:rPr>
          <w:rtl/>
        </w:rPr>
      </w:pPr>
    </w:p>
    <w:p w14:paraId="1A716463" w14:textId="77777777" w:rsidR="00C235A5" w:rsidRDefault="00C235A5" w:rsidP="00C235A5">
      <w:pPr>
        <w:spacing w:line="360" w:lineRule="auto"/>
        <w:ind w:left="862" w:hanging="550"/>
        <w:jc w:val="both"/>
        <w:rPr>
          <w:b/>
          <w:bCs/>
          <w:rtl/>
        </w:rPr>
      </w:pPr>
      <w:r>
        <w:rPr>
          <w:rtl/>
        </w:rPr>
        <w:tab/>
      </w:r>
      <w:hyperlink r:id="rId10" w:history="1">
        <w:r w:rsidR="00487587" w:rsidRPr="00487587">
          <w:rPr>
            <w:color w:val="0000FF"/>
            <w:u w:val="single"/>
            <w:rtl/>
          </w:rPr>
          <w:t>ת"פ 27612-02-19</w:t>
        </w:r>
      </w:hyperlink>
      <w:r>
        <w:rPr>
          <w:rFonts w:hint="cs"/>
          <w:rtl/>
        </w:rPr>
        <w:t xml:space="preserve"> </w:t>
      </w:r>
      <w:r>
        <w:rPr>
          <w:rFonts w:hint="cs"/>
          <w:b/>
          <w:bCs/>
          <w:rtl/>
        </w:rPr>
        <w:t xml:space="preserve">מדינת ישראל נ' קאראנטינאג'י </w:t>
      </w:r>
      <w:r>
        <w:rPr>
          <w:rFonts w:hint="cs"/>
          <w:rtl/>
        </w:rPr>
        <w:t xml:space="preserve">(23.6.2019) - במקרה זה, שהוא חלק מאותה פרשת סוכן, דובר בשתי עסקאות למכירת קוקאין (30.9 גרם ו- 40.8 גרם) בעניינו של האישום הראשון נקבע מתחם </w:t>
      </w:r>
      <w:r>
        <w:rPr>
          <w:rFonts w:hint="cs"/>
          <w:b/>
          <w:bCs/>
          <w:rtl/>
        </w:rPr>
        <w:t>הנע בין 25 חודשי מאסר ל- 50 חודשי מאסר</w:t>
      </w:r>
      <w:r>
        <w:rPr>
          <w:rFonts w:hint="cs"/>
          <w:rtl/>
        </w:rPr>
        <w:t xml:space="preserve">, ובעניינו של האישום השני נקבע מתחם </w:t>
      </w:r>
      <w:r>
        <w:rPr>
          <w:rFonts w:hint="cs"/>
          <w:b/>
          <w:bCs/>
          <w:rtl/>
        </w:rPr>
        <w:t xml:space="preserve">הנע בין 30 חודשי מאסר ל- 60 חודשי מאסר. </w:t>
      </w:r>
      <w:r w:rsidRPr="008328ED">
        <w:rPr>
          <w:rFonts w:hint="cs"/>
          <w:rtl/>
        </w:rPr>
        <w:t>בסופו של יום, נגזרו על הנאשם</w:t>
      </w:r>
      <w:r>
        <w:rPr>
          <w:rFonts w:hint="cs"/>
          <w:b/>
          <w:bCs/>
          <w:rtl/>
        </w:rPr>
        <w:t xml:space="preserve"> 36 חודשי מאסר </w:t>
      </w:r>
      <w:r>
        <w:rPr>
          <w:rFonts w:hint="cs"/>
          <w:rtl/>
        </w:rPr>
        <w:t xml:space="preserve">לריצוי בפועל, אך בהינתן העובדה כי הנאשם ריצה עונש מאסר בתיק אחר, נקבע כי </w:t>
      </w:r>
      <w:r w:rsidRPr="008328ED">
        <w:rPr>
          <w:rFonts w:hint="cs"/>
          <w:b/>
          <w:bCs/>
          <w:rtl/>
        </w:rPr>
        <w:t>הרכיב המצטבר יעמוד על 30 חודשי מאסר</w:t>
      </w:r>
      <w:r w:rsidRPr="008328ED">
        <w:rPr>
          <w:rFonts w:hint="cs"/>
          <w:rtl/>
        </w:rPr>
        <w:t>.</w:t>
      </w:r>
      <w:r w:rsidRPr="008328ED">
        <w:rPr>
          <w:rFonts w:hint="cs"/>
          <w:b/>
          <w:bCs/>
          <w:rtl/>
        </w:rPr>
        <w:t xml:space="preserve"> </w:t>
      </w:r>
    </w:p>
    <w:p w14:paraId="0B24F306" w14:textId="77777777" w:rsidR="00C235A5" w:rsidRDefault="00C235A5" w:rsidP="00C235A5">
      <w:pPr>
        <w:spacing w:line="360" w:lineRule="auto"/>
        <w:ind w:left="862" w:hanging="550"/>
        <w:jc w:val="both"/>
        <w:rPr>
          <w:b/>
          <w:bCs/>
          <w:rtl/>
        </w:rPr>
      </w:pPr>
    </w:p>
    <w:p w14:paraId="238BE47B" w14:textId="77777777" w:rsidR="00C235A5" w:rsidRDefault="00C235A5" w:rsidP="00C235A5">
      <w:pPr>
        <w:spacing w:line="360" w:lineRule="auto"/>
        <w:ind w:left="862" w:hanging="550"/>
        <w:jc w:val="both"/>
        <w:rPr>
          <w:rtl/>
        </w:rPr>
      </w:pPr>
      <w:r w:rsidRPr="00AC2461">
        <w:rPr>
          <w:rtl/>
        </w:rPr>
        <w:tab/>
      </w:r>
      <w:hyperlink r:id="rId11" w:history="1">
        <w:r w:rsidR="00487587" w:rsidRPr="00487587">
          <w:rPr>
            <w:color w:val="0000FF"/>
            <w:u w:val="single"/>
            <w:rtl/>
          </w:rPr>
          <w:t>ת"פ 35274-02-19</w:t>
        </w:r>
      </w:hyperlink>
      <w:r>
        <w:rPr>
          <w:rFonts w:hint="cs"/>
          <w:rtl/>
        </w:rPr>
        <w:t xml:space="preserve"> </w:t>
      </w:r>
      <w:r>
        <w:rPr>
          <w:rFonts w:hint="cs"/>
          <w:b/>
          <w:bCs/>
          <w:rtl/>
        </w:rPr>
        <w:t>מדינת ישראל נ' נדף ואח'</w:t>
      </w:r>
      <w:r>
        <w:rPr>
          <w:rFonts w:hint="cs"/>
          <w:rtl/>
        </w:rPr>
        <w:t xml:space="preserve"> (10.2.2020) - במקרה זה, שהוא חלק מאותה פרשת סוכן, דובר בשתי עסקאות למכירת קוקאין שבוצעו אל מול אותו סוכן (35 גרם ו- 45 גרם). בעניינו של האישום הראשון נקבע מתחם </w:t>
      </w:r>
      <w:r>
        <w:rPr>
          <w:rFonts w:hint="cs"/>
          <w:b/>
          <w:bCs/>
          <w:rtl/>
        </w:rPr>
        <w:t>הנע בין 27 חודשי מאסר ל- 50 חודשי מאסר</w:t>
      </w:r>
      <w:r>
        <w:rPr>
          <w:rFonts w:hint="cs"/>
          <w:rtl/>
        </w:rPr>
        <w:t xml:space="preserve">, ובעניינו של האישום השני  נקבע מתחם </w:t>
      </w:r>
      <w:r>
        <w:rPr>
          <w:rFonts w:hint="cs"/>
          <w:b/>
          <w:bCs/>
          <w:rtl/>
        </w:rPr>
        <w:t>הנע בין 30 חודשי מאסר ל- 60 חודשי מאסר</w:t>
      </w:r>
      <w:r>
        <w:rPr>
          <w:rFonts w:hint="cs"/>
          <w:rtl/>
        </w:rPr>
        <w:t xml:space="preserve">. בסופו של יום, נגזרו על הנאשם </w:t>
      </w:r>
      <w:r>
        <w:rPr>
          <w:rFonts w:hint="cs"/>
          <w:b/>
          <w:bCs/>
          <w:rtl/>
        </w:rPr>
        <w:t xml:space="preserve">36 חודשי מאסר </w:t>
      </w:r>
      <w:r w:rsidRPr="00CF50C5">
        <w:rPr>
          <w:rFonts w:hint="cs"/>
          <w:rtl/>
        </w:rPr>
        <w:t xml:space="preserve">תוך הפעלת מאסר מותנה בן 9 חודשים בחופף ובמצטבר, </w:t>
      </w:r>
      <w:r>
        <w:rPr>
          <w:rFonts w:hint="cs"/>
          <w:b/>
          <w:bCs/>
          <w:rtl/>
        </w:rPr>
        <w:t>כך שהתקופה הכוללת הועמדה על 41 חודשי מאסר</w:t>
      </w:r>
      <w:r>
        <w:rPr>
          <w:rFonts w:hint="cs"/>
          <w:rtl/>
        </w:rPr>
        <w:t xml:space="preserve">. </w:t>
      </w:r>
    </w:p>
    <w:p w14:paraId="48C8F81B" w14:textId="77777777" w:rsidR="00C235A5" w:rsidRDefault="00C235A5" w:rsidP="00C235A5">
      <w:pPr>
        <w:spacing w:line="360" w:lineRule="auto"/>
        <w:ind w:left="862" w:hanging="550"/>
        <w:jc w:val="both"/>
        <w:rPr>
          <w:rtl/>
        </w:rPr>
      </w:pPr>
    </w:p>
    <w:p w14:paraId="60E31134" w14:textId="77777777" w:rsidR="00C235A5" w:rsidRDefault="00487587" w:rsidP="00C235A5">
      <w:pPr>
        <w:spacing w:line="360" w:lineRule="auto"/>
        <w:ind w:left="862"/>
        <w:jc w:val="both"/>
        <w:rPr>
          <w:rtl/>
        </w:rPr>
      </w:pPr>
      <w:hyperlink r:id="rId12" w:history="1">
        <w:r w:rsidRPr="00487587">
          <w:rPr>
            <w:color w:val="0000FF"/>
            <w:u w:val="single"/>
            <w:rtl/>
          </w:rPr>
          <w:t>ע"פ 8367/18</w:t>
        </w:r>
      </w:hyperlink>
      <w:r w:rsidR="00C235A5">
        <w:rPr>
          <w:rFonts w:hint="cs"/>
          <w:rtl/>
        </w:rPr>
        <w:t xml:space="preserve"> </w:t>
      </w:r>
      <w:r w:rsidR="00C235A5" w:rsidRPr="00CF50C5">
        <w:rPr>
          <w:rFonts w:hint="cs"/>
          <w:b/>
          <w:bCs/>
          <w:rtl/>
        </w:rPr>
        <w:t>פלוני (אבי נס) נ' מדינת ישראל</w:t>
      </w:r>
      <w:r w:rsidR="00C235A5" w:rsidRPr="00CF50C5">
        <w:rPr>
          <w:rFonts w:hint="cs"/>
          <w:rtl/>
        </w:rPr>
        <w:t xml:space="preserve"> </w:t>
      </w:r>
      <w:r w:rsidR="00C235A5">
        <w:rPr>
          <w:rFonts w:hint="cs"/>
          <w:rtl/>
        </w:rPr>
        <w:t xml:space="preserve">(12.3.2019) - שם הורשע הנאשם בשתי עבירות של סחר בסם מסוכן (קוקאין) במשקל 29.9 גרם ו- 50.4 גרם לסוכן משטרתי. במקרה זה, שהתברר בפניי בערכאה הראשונה, קבעתי </w:t>
      </w:r>
      <w:r w:rsidR="00C235A5" w:rsidRPr="00CF50C5">
        <w:rPr>
          <w:rFonts w:hint="cs"/>
          <w:b/>
          <w:bCs/>
          <w:rtl/>
        </w:rPr>
        <w:t>מתחם הנע בין 23 חודשי מאסר ל- 50 חודשי מאסר</w:t>
      </w:r>
      <w:r w:rsidR="00C235A5">
        <w:rPr>
          <w:rFonts w:hint="cs"/>
          <w:rtl/>
        </w:rPr>
        <w:t xml:space="preserve"> (באישום מכירת 29.9 גרם) </w:t>
      </w:r>
      <w:r w:rsidR="00C235A5" w:rsidRPr="00CF50C5">
        <w:rPr>
          <w:rFonts w:hint="cs"/>
          <w:b/>
          <w:bCs/>
          <w:rtl/>
        </w:rPr>
        <w:t>ומתחם הנע בין 27 חודשי מאסר ל- 54 חודשי מאסר</w:t>
      </w:r>
      <w:r w:rsidR="00C235A5">
        <w:rPr>
          <w:rFonts w:hint="cs"/>
          <w:rtl/>
        </w:rPr>
        <w:t xml:space="preserve"> (באישום מכירת 50.4 גרם). באשר למתחם ציינתי כי אלמלא עתירת התביעה, היה מקום לקבוע מתחם הנע בין 30 ל- 60 חודשי מאסר בנסיבות האישום השני. עונשו של הנאשם שהורשע בעבר בעבירות סמים ואף ריצה תקופות מאסר, </w:t>
      </w:r>
      <w:r w:rsidR="00C235A5" w:rsidRPr="00CF50C5">
        <w:rPr>
          <w:rFonts w:hint="cs"/>
          <w:b/>
          <w:bCs/>
          <w:rtl/>
        </w:rPr>
        <w:t>הועמד על ידי על 36 חודשי מאסר</w:t>
      </w:r>
      <w:r w:rsidR="00C235A5">
        <w:rPr>
          <w:rFonts w:hint="cs"/>
          <w:rtl/>
        </w:rPr>
        <w:t xml:space="preserve">. </w:t>
      </w:r>
      <w:r w:rsidR="00C235A5">
        <w:rPr>
          <w:rFonts w:hint="cs"/>
          <w:b/>
          <w:bCs/>
          <w:rtl/>
        </w:rPr>
        <w:t>בית המשפט העליון קיבל את ערעור הנאשם והעמיד את תקופת המאסר על 30 חודשים.</w:t>
      </w:r>
    </w:p>
    <w:p w14:paraId="0217D93A" w14:textId="77777777" w:rsidR="00C235A5" w:rsidRDefault="00C235A5" w:rsidP="00C235A5">
      <w:pPr>
        <w:spacing w:line="360" w:lineRule="auto"/>
        <w:ind w:left="862" w:hanging="550"/>
        <w:jc w:val="both"/>
        <w:rPr>
          <w:rtl/>
        </w:rPr>
      </w:pPr>
    </w:p>
    <w:p w14:paraId="67F537AC" w14:textId="77777777" w:rsidR="00C235A5" w:rsidRDefault="00487587" w:rsidP="00C235A5">
      <w:pPr>
        <w:spacing w:line="360" w:lineRule="auto"/>
        <w:ind w:left="862"/>
        <w:jc w:val="both"/>
        <w:rPr>
          <w:rtl/>
        </w:rPr>
      </w:pPr>
      <w:hyperlink r:id="rId13" w:history="1">
        <w:r w:rsidRPr="00487587">
          <w:rPr>
            <w:color w:val="0000FF"/>
            <w:u w:val="single"/>
            <w:rtl/>
          </w:rPr>
          <w:t>ת"פ 73635-01-18</w:t>
        </w:r>
      </w:hyperlink>
      <w:r w:rsidR="00C235A5">
        <w:rPr>
          <w:rFonts w:hint="cs"/>
          <w:rtl/>
        </w:rPr>
        <w:t xml:space="preserve"> </w:t>
      </w:r>
      <w:r w:rsidR="00C235A5">
        <w:rPr>
          <w:rFonts w:hint="cs"/>
          <w:b/>
          <w:bCs/>
          <w:rtl/>
        </w:rPr>
        <w:t xml:space="preserve">מדינת ישראל נ' אבאייב  </w:t>
      </w:r>
      <w:r w:rsidR="00C235A5">
        <w:rPr>
          <w:rFonts w:hint="cs"/>
          <w:rtl/>
        </w:rPr>
        <w:t xml:space="preserve">(13.9.2018) - שם הורשע הנאשם בשתי עבירות של סחר בסם בפרשה הנוכחית לזו בה הורשע הנאשם, ואף צירף שני תיקי סמים. בכל אחת מהעסקאות בהן הורשע הנאשם עמדה כמות הסם על 50 גרם, כאשר גם באותם מקרים אדם אחר הביא את הסמים לעסקה וקיבל את חלקו הארי של התשלום עבור הסמים. באותו מקרה, על יסוד כלל הנימוקים שפורטו בגזר הדין, נקבע על ידי מתחם </w:t>
      </w:r>
      <w:r w:rsidR="00C235A5" w:rsidRPr="00CF50C5">
        <w:rPr>
          <w:rFonts w:hint="cs"/>
          <w:b/>
          <w:bCs/>
          <w:rtl/>
        </w:rPr>
        <w:t>הנע בין 30 חודשי מאסר ל- 60 חודשי מאסר</w:t>
      </w:r>
      <w:r w:rsidR="00C235A5">
        <w:rPr>
          <w:rFonts w:hint="cs"/>
          <w:rtl/>
        </w:rPr>
        <w:t xml:space="preserve">. העונש שנגזר על הנאשם, שנתן ביטוי גם לתיקי הצירוף וגם לעברו הפלילי הלא מכביד של הנאשם, </w:t>
      </w:r>
      <w:r w:rsidR="00C235A5" w:rsidRPr="00CF50C5">
        <w:rPr>
          <w:rFonts w:hint="cs"/>
          <w:b/>
          <w:bCs/>
          <w:rtl/>
        </w:rPr>
        <w:t>עמד על 42 חודשי מאסר</w:t>
      </w:r>
      <w:r w:rsidR="00C235A5">
        <w:rPr>
          <w:rFonts w:hint="cs"/>
          <w:rtl/>
        </w:rPr>
        <w:t xml:space="preserve">. ערעור הנאשם נדחה על-ידי בית המשפט העליון </w:t>
      </w:r>
      <w:r w:rsidR="00C235A5">
        <w:rPr>
          <w:rFonts w:hint="cs"/>
          <w:b/>
          <w:bCs/>
          <w:rtl/>
        </w:rPr>
        <w:t>(</w:t>
      </w:r>
      <w:hyperlink r:id="rId14" w:history="1">
        <w:r w:rsidRPr="00487587">
          <w:rPr>
            <w:b/>
            <w:bCs/>
            <w:color w:val="0000FF"/>
            <w:u w:val="single"/>
            <w:rtl/>
          </w:rPr>
          <w:t>ע"פ 7617/18</w:t>
        </w:r>
      </w:hyperlink>
      <w:r w:rsidR="00C235A5">
        <w:rPr>
          <w:rFonts w:hint="cs"/>
          <w:b/>
          <w:bCs/>
          <w:rtl/>
        </w:rPr>
        <w:t xml:space="preserve"> מיום 6.3.2019). </w:t>
      </w:r>
    </w:p>
    <w:p w14:paraId="4565A4C4" w14:textId="77777777" w:rsidR="00C235A5" w:rsidRDefault="00C235A5" w:rsidP="00C235A5">
      <w:pPr>
        <w:spacing w:line="360" w:lineRule="auto"/>
        <w:ind w:left="862" w:hanging="550"/>
        <w:jc w:val="both"/>
        <w:rPr>
          <w:rtl/>
        </w:rPr>
      </w:pPr>
    </w:p>
    <w:p w14:paraId="676ED788" w14:textId="77777777" w:rsidR="00C235A5" w:rsidRDefault="00487587" w:rsidP="00C235A5">
      <w:pPr>
        <w:spacing w:line="360" w:lineRule="auto"/>
        <w:ind w:left="862"/>
        <w:jc w:val="both"/>
        <w:rPr>
          <w:rtl/>
        </w:rPr>
      </w:pPr>
      <w:hyperlink r:id="rId15" w:history="1">
        <w:r w:rsidRPr="00487587">
          <w:rPr>
            <w:color w:val="0000FF"/>
            <w:u w:val="single"/>
            <w:rtl/>
          </w:rPr>
          <w:t>ת"פ 27280-09-17</w:t>
        </w:r>
      </w:hyperlink>
      <w:r w:rsidR="00C235A5">
        <w:rPr>
          <w:rFonts w:hint="cs"/>
          <w:rtl/>
        </w:rPr>
        <w:t xml:space="preserve"> </w:t>
      </w:r>
      <w:r w:rsidR="00C235A5">
        <w:rPr>
          <w:rFonts w:hint="cs"/>
          <w:b/>
          <w:bCs/>
          <w:rtl/>
        </w:rPr>
        <w:t>מדינת ישראל נ' אבו קישק ואח'</w:t>
      </w:r>
      <w:r w:rsidR="00C235A5">
        <w:rPr>
          <w:rFonts w:hint="cs"/>
          <w:rtl/>
        </w:rPr>
        <w:t xml:space="preserve"> (20.3.2018) - שם הורשעו שני נאשמים בשתי עבירות של סחר בסם מסוכן, בכך שמכרו לסוכן בצוותא 25 גרם קוקאין ו- 30 גרם קוקאין. הסדר הטיעון שיקלל גם קשיים ראייתיים שהיו ביסוד ראיות התביעה, ובמסגרתו הוטל על כל אחד מהנאשמים </w:t>
      </w:r>
      <w:r w:rsidR="00C235A5" w:rsidRPr="00CF50C5">
        <w:rPr>
          <w:rFonts w:hint="cs"/>
          <w:b/>
          <w:bCs/>
          <w:rtl/>
        </w:rPr>
        <w:t>עונש של 32 חודשי מאסר</w:t>
      </w:r>
      <w:r w:rsidR="00C235A5">
        <w:rPr>
          <w:rFonts w:hint="cs"/>
          <w:rtl/>
        </w:rPr>
        <w:t xml:space="preserve"> (בעניינו של נאשם 1 הופעל גם מאסר מותנה, כך שהתוצאה העונשית הסופית </w:t>
      </w:r>
      <w:r w:rsidR="00C235A5" w:rsidRPr="00CF50C5">
        <w:rPr>
          <w:rFonts w:hint="cs"/>
          <w:b/>
          <w:bCs/>
          <w:rtl/>
        </w:rPr>
        <w:t>עמדה על 36 חודשים</w:t>
      </w:r>
      <w:r w:rsidR="00C235A5">
        <w:rPr>
          <w:rFonts w:hint="cs"/>
          <w:rtl/>
        </w:rPr>
        <w:t xml:space="preserve">). </w:t>
      </w:r>
    </w:p>
    <w:p w14:paraId="224F5E90" w14:textId="77777777" w:rsidR="00C235A5" w:rsidRDefault="00C235A5" w:rsidP="00C235A5">
      <w:pPr>
        <w:spacing w:line="360" w:lineRule="auto"/>
        <w:ind w:left="862" w:hanging="550"/>
        <w:jc w:val="both"/>
        <w:rPr>
          <w:rtl/>
        </w:rPr>
      </w:pPr>
    </w:p>
    <w:p w14:paraId="59EB9234" w14:textId="77777777" w:rsidR="00C235A5" w:rsidRDefault="00487587" w:rsidP="00C235A5">
      <w:pPr>
        <w:spacing w:line="360" w:lineRule="auto"/>
        <w:ind w:left="862"/>
        <w:jc w:val="both"/>
        <w:rPr>
          <w:rtl/>
        </w:rPr>
      </w:pPr>
      <w:hyperlink r:id="rId16" w:history="1">
        <w:r w:rsidRPr="00487587">
          <w:rPr>
            <w:color w:val="0000FF"/>
            <w:u w:val="single"/>
            <w:rtl/>
          </w:rPr>
          <w:t>ת"פ 27701-09-17</w:t>
        </w:r>
      </w:hyperlink>
      <w:r w:rsidR="00C235A5">
        <w:rPr>
          <w:rFonts w:hint="cs"/>
          <w:rtl/>
        </w:rPr>
        <w:t xml:space="preserve"> </w:t>
      </w:r>
      <w:r w:rsidR="00C235A5">
        <w:rPr>
          <w:rFonts w:hint="cs"/>
          <w:b/>
          <w:bCs/>
          <w:rtl/>
        </w:rPr>
        <w:t xml:space="preserve">מדינת ישראל נ' ג'אבר ואח' </w:t>
      </w:r>
      <w:r w:rsidR="00C235A5">
        <w:rPr>
          <w:rFonts w:hint="cs"/>
          <w:rtl/>
        </w:rPr>
        <w:t xml:space="preserve">(19.6.2018) - שם הורשעו שלושה נאשמים בביצוע עבירות סמים באופן של מכירת קוקאין במשקלים של 60 גרם ו- 40 גרם לסוכן משטרתי. הסדר הטיעון שגובש בעניינם של נאשמים 2 ו-3 שקלל גם את הודאתם ואת החיסכון בעדות הסוכן, ובמסגרתו הוטלו עליהם עונשי מאסר </w:t>
      </w:r>
      <w:r w:rsidR="00C235A5" w:rsidRPr="00C43853">
        <w:rPr>
          <w:rFonts w:hint="cs"/>
          <w:b/>
          <w:bCs/>
          <w:rtl/>
        </w:rPr>
        <w:t>של 38 חודשים</w:t>
      </w:r>
      <w:r w:rsidR="00C235A5">
        <w:rPr>
          <w:rFonts w:hint="cs"/>
          <w:rtl/>
        </w:rPr>
        <w:t xml:space="preserve">. על נאשם 1 </w:t>
      </w:r>
      <w:r w:rsidR="00C235A5" w:rsidRPr="00B93845">
        <w:rPr>
          <w:rFonts w:hint="cs"/>
          <w:b/>
          <w:bCs/>
          <w:rtl/>
        </w:rPr>
        <w:t>הוטלו 52 חודשי מאסר</w:t>
      </w:r>
      <w:r w:rsidR="00C235A5">
        <w:rPr>
          <w:rFonts w:hint="cs"/>
          <w:rtl/>
        </w:rPr>
        <w:t xml:space="preserve">, אולם אותו נאשם צירף תיק נוסף, בו הורשע בארבע עבירות נוספות של סחר בסם ובעבירות נוספות. </w:t>
      </w:r>
    </w:p>
    <w:p w14:paraId="3D54B134" w14:textId="77777777" w:rsidR="00C235A5" w:rsidRDefault="00C235A5" w:rsidP="00C235A5">
      <w:pPr>
        <w:spacing w:line="360" w:lineRule="auto"/>
        <w:ind w:left="862" w:hanging="550"/>
        <w:jc w:val="both"/>
        <w:rPr>
          <w:rtl/>
        </w:rPr>
      </w:pPr>
    </w:p>
    <w:p w14:paraId="751EE956" w14:textId="77777777" w:rsidR="00C235A5" w:rsidRDefault="00487587" w:rsidP="00C235A5">
      <w:pPr>
        <w:spacing w:line="360" w:lineRule="auto"/>
        <w:ind w:left="862"/>
        <w:jc w:val="both"/>
        <w:rPr>
          <w:rtl/>
        </w:rPr>
      </w:pPr>
      <w:hyperlink r:id="rId17" w:history="1">
        <w:r w:rsidRPr="00487587">
          <w:rPr>
            <w:color w:val="0000FF"/>
            <w:u w:val="single"/>
            <w:rtl/>
          </w:rPr>
          <w:t>ע"פ 3477/12</w:t>
        </w:r>
      </w:hyperlink>
      <w:r w:rsidR="00C235A5">
        <w:rPr>
          <w:rFonts w:hint="cs"/>
          <w:rtl/>
        </w:rPr>
        <w:t xml:space="preserve"> </w:t>
      </w:r>
      <w:r w:rsidR="00C235A5">
        <w:rPr>
          <w:rFonts w:hint="cs"/>
          <w:b/>
          <w:bCs/>
          <w:rtl/>
        </w:rPr>
        <w:t>מרזוק נ' מדינת ישראל</w:t>
      </w:r>
      <w:r w:rsidR="00C235A5">
        <w:rPr>
          <w:rFonts w:hint="cs"/>
          <w:rtl/>
        </w:rPr>
        <w:t xml:space="preserve"> (25.6.2012) - באותו מקרה דובר בנאשם אשר הורשע במעורבות בשלושה אישומים. באישום הראשון - הורשע בעבירת תיווך לסחר בסם מסוכן מסוג קוקאין במשקל 100 גרם; באישום השני - הורשע הנאשם בסחר בסם מסוכן מסוג קוקאין במשקל 28 גרם; באישום השלישי - הורשע הנאשם בסחר בסם מסוכן מסוג קוקאין במשקל 49 גרם. בית המשפט המחוזי התייחס לעברו הפלילי המכביד (שלא כלל הרשעות בעבירות סמים) </w:t>
      </w:r>
      <w:r w:rsidR="00C235A5" w:rsidRPr="00B93845">
        <w:rPr>
          <w:rFonts w:hint="cs"/>
          <w:b/>
          <w:bCs/>
          <w:rtl/>
        </w:rPr>
        <w:t>וגזר עליו 65 חודשי מאסר</w:t>
      </w:r>
      <w:r w:rsidR="00C235A5">
        <w:rPr>
          <w:rFonts w:hint="cs"/>
          <w:rtl/>
        </w:rPr>
        <w:t xml:space="preserve">. בית המשפט העליון דחה את הערעור. </w:t>
      </w:r>
    </w:p>
    <w:p w14:paraId="3DEA7317" w14:textId="77777777" w:rsidR="00C235A5" w:rsidRDefault="00C235A5" w:rsidP="00C235A5">
      <w:pPr>
        <w:spacing w:line="360" w:lineRule="auto"/>
        <w:ind w:left="862" w:hanging="550"/>
        <w:jc w:val="both"/>
        <w:rPr>
          <w:rtl/>
        </w:rPr>
      </w:pPr>
    </w:p>
    <w:p w14:paraId="664E1417" w14:textId="77777777" w:rsidR="00C235A5" w:rsidRDefault="00487587" w:rsidP="00C235A5">
      <w:pPr>
        <w:spacing w:line="360" w:lineRule="auto"/>
        <w:ind w:left="862"/>
        <w:jc w:val="both"/>
        <w:rPr>
          <w:rtl/>
        </w:rPr>
      </w:pPr>
      <w:hyperlink r:id="rId18" w:history="1">
        <w:r w:rsidRPr="00487587">
          <w:rPr>
            <w:color w:val="0000FF"/>
            <w:u w:val="single"/>
            <w:rtl/>
          </w:rPr>
          <w:t>ת"פ 975-05-15</w:t>
        </w:r>
      </w:hyperlink>
      <w:r w:rsidR="00C235A5">
        <w:rPr>
          <w:rFonts w:hint="cs"/>
          <w:rtl/>
        </w:rPr>
        <w:t xml:space="preserve"> </w:t>
      </w:r>
      <w:r w:rsidR="00C235A5">
        <w:rPr>
          <w:rFonts w:hint="cs"/>
          <w:b/>
          <w:bCs/>
          <w:rtl/>
        </w:rPr>
        <w:t xml:space="preserve">מדינת ישראל נ' אבו צאלוק ואח' </w:t>
      </w:r>
      <w:r w:rsidR="00C235A5">
        <w:rPr>
          <w:rFonts w:hint="cs"/>
          <w:rtl/>
        </w:rPr>
        <w:t xml:space="preserve">(3.2.2016) - שם הורשע נאשם 1 במכירת 51.05 גרם קוקאין לסוכן משטרתי, בנסיבות דומות לענייננו, שכן נאשם נוסף ואדם נוסף הגיעו למקום, וניתן לראותם כספקי הסם, הגם שנאשם 1 הוא זה שמסר את הסם לסוכן המשטרתי. בית המשפט המחוזי בחיפה קבע מתחם עונש הנע בין 3 ל- 5 שנות מאסר, והטיל על הנאשם, שהוא צעיר בן 21, שלחובתו הרשעה קודמת אחת בעבירת נשק בגינה ריצה 30 חודשי מאסר, עונש של 48 חודשי מאסר. </w:t>
      </w:r>
    </w:p>
    <w:p w14:paraId="5C65B548" w14:textId="77777777" w:rsidR="00C235A5" w:rsidRDefault="00C235A5" w:rsidP="00C235A5">
      <w:pPr>
        <w:spacing w:line="360" w:lineRule="auto"/>
        <w:ind w:left="862" w:hanging="550"/>
        <w:jc w:val="both"/>
        <w:rPr>
          <w:rtl/>
        </w:rPr>
      </w:pPr>
    </w:p>
    <w:p w14:paraId="44E87FD2" w14:textId="77777777" w:rsidR="00C235A5" w:rsidRDefault="00487587" w:rsidP="00C235A5">
      <w:pPr>
        <w:spacing w:line="360" w:lineRule="auto"/>
        <w:ind w:left="862"/>
        <w:jc w:val="both"/>
        <w:rPr>
          <w:rtl/>
        </w:rPr>
      </w:pPr>
      <w:hyperlink r:id="rId19" w:history="1">
        <w:r w:rsidRPr="00487587">
          <w:rPr>
            <w:color w:val="0000FF"/>
            <w:u w:val="single"/>
            <w:rtl/>
          </w:rPr>
          <w:t>ע"פ 1654/16</w:t>
        </w:r>
      </w:hyperlink>
      <w:r w:rsidR="00C235A5">
        <w:rPr>
          <w:rFonts w:hint="cs"/>
          <w:rtl/>
        </w:rPr>
        <w:t xml:space="preserve"> </w:t>
      </w:r>
      <w:r w:rsidR="00C235A5">
        <w:rPr>
          <w:rFonts w:hint="cs"/>
          <w:b/>
          <w:bCs/>
          <w:rtl/>
        </w:rPr>
        <w:t xml:space="preserve">גל שרר נ' מדינת ישראל </w:t>
      </w:r>
      <w:r w:rsidR="00C235A5">
        <w:rPr>
          <w:rFonts w:hint="cs"/>
          <w:rtl/>
        </w:rPr>
        <w:t xml:space="preserve">(27.2.2017) - שם נדון הנאשם לעונש של 54 חודשי מאסר, וזאת לאחר שהורשע בשני אישומים שעניינם עבירות סמים. האישום הראשון באותו מקרה כלל </w:t>
      </w:r>
      <w:r w:rsidR="00C235A5">
        <w:rPr>
          <w:rFonts w:hint="cs"/>
          <w:b/>
          <w:bCs/>
          <w:rtl/>
        </w:rPr>
        <w:t>שני אירועי מכירה לסוכן (16.6 גרם ו- 19.6 גרם קוקאין)</w:t>
      </w:r>
      <w:r w:rsidR="00C235A5">
        <w:rPr>
          <w:rFonts w:hint="cs"/>
          <w:rtl/>
        </w:rPr>
        <w:t xml:space="preserve"> כאשר בהקשר לאישום זה, נקבע בערכאה הדיונית </w:t>
      </w:r>
      <w:r w:rsidR="00C235A5">
        <w:rPr>
          <w:rFonts w:hint="cs"/>
          <w:b/>
          <w:bCs/>
          <w:rtl/>
        </w:rPr>
        <w:t>מתחם הנע בין 24 ל- 48 חודשי מאסר</w:t>
      </w:r>
      <w:r w:rsidR="00C235A5">
        <w:rPr>
          <w:rFonts w:hint="cs"/>
          <w:rtl/>
        </w:rPr>
        <w:t>. בית המשפט העליון קבע כי מדובר במתחם הולם, ואף דחה את הערעור בדבר הענישה הכוללת שהוטלה.</w:t>
      </w:r>
    </w:p>
    <w:p w14:paraId="267C6E03" w14:textId="77777777" w:rsidR="00C235A5" w:rsidRDefault="00C235A5" w:rsidP="00C235A5">
      <w:pPr>
        <w:spacing w:line="360" w:lineRule="auto"/>
        <w:ind w:left="862" w:hanging="550"/>
        <w:jc w:val="both"/>
        <w:rPr>
          <w:rtl/>
        </w:rPr>
      </w:pPr>
    </w:p>
    <w:p w14:paraId="0E9530F3" w14:textId="77777777" w:rsidR="00C235A5" w:rsidRDefault="00817A91" w:rsidP="00C235A5">
      <w:pPr>
        <w:spacing w:line="360" w:lineRule="auto"/>
        <w:ind w:left="862"/>
        <w:jc w:val="both"/>
        <w:rPr>
          <w:rtl/>
        </w:rPr>
      </w:pPr>
      <w:hyperlink r:id="rId20" w:history="1">
        <w:r w:rsidRPr="00817A91">
          <w:rPr>
            <w:color w:val="0000FF"/>
            <w:u w:val="single"/>
            <w:rtl/>
          </w:rPr>
          <w:t xml:space="preserve">ע"פ 792/14 </w:t>
        </w:r>
      </w:hyperlink>
      <w:r w:rsidR="00C235A5" w:rsidRPr="006D6859">
        <w:rPr>
          <w:rFonts w:hint="cs"/>
          <w:rtl/>
        </w:rPr>
        <w:t xml:space="preserve"> </w:t>
      </w:r>
      <w:r w:rsidR="00C235A5" w:rsidRPr="006D6859">
        <w:rPr>
          <w:rFonts w:hint="cs"/>
          <w:b/>
          <w:bCs/>
          <w:rtl/>
        </w:rPr>
        <w:t xml:space="preserve">אבו רגייג נ' מדינת ישראל </w:t>
      </w:r>
      <w:r w:rsidR="00C235A5" w:rsidRPr="006D6859">
        <w:rPr>
          <w:rFonts w:hint="cs"/>
          <w:rtl/>
        </w:rPr>
        <w:t xml:space="preserve">(21.7.2015) </w:t>
      </w:r>
      <w:r w:rsidR="00C235A5" w:rsidRPr="006D6859">
        <w:rPr>
          <w:rFonts w:hint="cs"/>
          <w:b/>
          <w:bCs/>
          <w:rtl/>
        </w:rPr>
        <w:t>-</w:t>
      </w:r>
      <w:r w:rsidR="00C235A5">
        <w:rPr>
          <w:rFonts w:hint="cs"/>
          <w:rtl/>
        </w:rPr>
        <w:t xml:space="preserve"> בית המשפט המחוזי דן בעניינו של נאשם שהורשע </w:t>
      </w:r>
      <w:r w:rsidR="00C235A5">
        <w:rPr>
          <w:rFonts w:hint="cs"/>
          <w:b/>
          <w:bCs/>
          <w:rtl/>
        </w:rPr>
        <w:t>בסחר ב-150 גרם קוקאין</w:t>
      </w:r>
      <w:r w:rsidR="00C235A5">
        <w:rPr>
          <w:rFonts w:hint="cs"/>
          <w:rtl/>
        </w:rPr>
        <w:t xml:space="preserve">, קבע מתחם הנע בין </w:t>
      </w:r>
      <w:r w:rsidR="00C235A5">
        <w:rPr>
          <w:rFonts w:hint="cs"/>
          <w:b/>
          <w:bCs/>
          <w:rtl/>
        </w:rPr>
        <w:t>30 חודשי מאסר ל-50 חודשי מאסר</w:t>
      </w:r>
      <w:r w:rsidR="00C235A5">
        <w:rPr>
          <w:rFonts w:hint="cs"/>
          <w:rtl/>
        </w:rPr>
        <w:t xml:space="preserve"> וגזר על הנאשם עונש של </w:t>
      </w:r>
      <w:r w:rsidR="00C235A5">
        <w:rPr>
          <w:rFonts w:hint="cs"/>
          <w:b/>
          <w:bCs/>
          <w:rtl/>
        </w:rPr>
        <w:t>32 חודשי מאסר</w:t>
      </w:r>
      <w:r w:rsidR="00C235A5">
        <w:rPr>
          <w:rFonts w:hint="cs"/>
          <w:rtl/>
        </w:rPr>
        <w:t xml:space="preserve">. בית המשפט העליון דחה את ערעור הנאשם תוך שעמד על החומרה העולה מסחר בכמות כה משמעותית של קוקאין, על מרכזיותו של הנאשם, ולאחר שקבע כי מתחם העונש שנקבע הוא מתחם הולם, כמו גם עונשו של הנאשם. </w:t>
      </w:r>
    </w:p>
    <w:p w14:paraId="0C83952D" w14:textId="77777777" w:rsidR="00C235A5" w:rsidRDefault="00C235A5" w:rsidP="00C235A5">
      <w:pPr>
        <w:spacing w:line="360" w:lineRule="auto"/>
        <w:ind w:left="862" w:hanging="550"/>
        <w:jc w:val="both"/>
        <w:rPr>
          <w:rtl/>
        </w:rPr>
      </w:pPr>
    </w:p>
    <w:p w14:paraId="2EFE89FC" w14:textId="77777777" w:rsidR="00C235A5" w:rsidRDefault="00487587" w:rsidP="00C235A5">
      <w:pPr>
        <w:spacing w:line="360" w:lineRule="auto"/>
        <w:ind w:left="862"/>
        <w:jc w:val="both"/>
        <w:rPr>
          <w:rtl/>
        </w:rPr>
      </w:pPr>
      <w:hyperlink r:id="rId21" w:history="1">
        <w:r w:rsidRPr="00487587">
          <w:rPr>
            <w:color w:val="0000FF"/>
            <w:u w:val="single"/>
            <w:rtl/>
          </w:rPr>
          <w:t>ע"פ 3117/12</w:t>
        </w:r>
      </w:hyperlink>
      <w:r w:rsidR="00C235A5">
        <w:rPr>
          <w:rFonts w:hint="cs"/>
          <w:rtl/>
        </w:rPr>
        <w:t xml:space="preserve"> </w:t>
      </w:r>
      <w:r w:rsidR="00C235A5">
        <w:rPr>
          <w:rFonts w:hint="cs"/>
          <w:b/>
          <w:bCs/>
          <w:rtl/>
        </w:rPr>
        <w:t>ארביב נ' מדינת ישראל</w:t>
      </w:r>
      <w:r w:rsidR="00C235A5">
        <w:rPr>
          <w:rFonts w:hint="cs"/>
          <w:rtl/>
        </w:rPr>
        <w:t xml:space="preserve"> (6.9.2012) - בית המשפט המחוזי דן בעניינו של נאשם שהורשע </w:t>
      </w:r>
      <w:r w:rsidR="00C235A5">
        <w:rPr>
          <w:rFonts w:hint="cs"/>
          <w:b/>
          <w:bCs/>
          <w:rtl/>
        </w:rPr>
        <w:t>בסחר ב-100 גרם קוקאין, וגזר עליו עונש של 36 חודשי מאסר</w:t>
      </w:r>
      <w:r w:rsidR="00C235A5">
        <w:rPr>
          <w:rFonts w:hint="cs"/>
          <w:rtl/>
        </w:rPr>
        <w:t xml:space="preserve">. בית המשפט העליון דחה את ערעור הנאשם. </w:t>
      </w:r>
    </w:p>
    <w:p w14:paraId="76004995" w14:textId="77777777" w:rsidR="00C235A5" w:rsidRDefault="00C235A5" w:rsidP="00C235A5">
      <w:pPr>
        <w:spacing w:line="360" w:lineRule="auto"/>
        <w:ind w:left="862" w:hanging="550"/>
        <w:jc w:val="both"/>
        <w:rPr>
          <w:rtl/>
        </w:rPr>
      </w:pPr>
    </w:p>
    <w:p w14:paraId="0413CC73" w14:textId="77777777" w:rsidR="00C235A5" w:rsidRDefault="00487587" w:rsidP="00C235A5">
      <w:pPr>
        <w:spacing w:line="360" w:lineRule="auto"/>
        <w:ind w:left="862"/>
        <w:jc w:val="both"/>
        <w:rPr>
          <w:b/>
          <w:bCs/>
          <w:rtl/>
        </w:rPr>
      </w:pPr>
      <w:hyperlink r:id="rId22" w:history="1">
        <w:r w:rsidRPr="00487587">
          <w:rPr>
            <w:color w:val="0000FF"/>
            <w:u w:val="single"/>
            <w:rtl/>
          </w:rPr>
          <w:t>ע"פ 1905/12</w:t>
        </w:r>
      </w:hyperlink>
      <w:r w:rsidR="00C235A5">
        <w:rPr>
          <w:rFonts w:hint="cs"/>
          <w:rtl/>
        </w:rPr>
        <w:t xml:space="preserve"> </w:t>
      </w:r>
      <w:r w:rsidR="00C235A5">
        <w:rPr>
          <w:rFonts w:hint="cs"/>
          <w:b/>
          <w:bCs/>
          <w:rtl/>
        </w:rPr>
        <w:t>דהן נ' מדינת ישראל</w:t>
      </w:r>
      <w:r w:rsidR="00C235A5">
        <w:rPr>
          <w:rFonts w:hint="cs"/>
          <w:rtl/>
        </w:rPr>
        <w:t xml:space="preserve"> (8.11.2012) - בית המשפט המחוזי גזר </w:t>
      </w:r>
      <w:r w:rsidR="00C235A5">
        <w:rPr>
          <w:rFonts w:hint="cs"/>
          <w:b/>
          <w:bCs/>
          <w:rtl/>
        </w:rPr>
        <w:t>44 חודשי מאסר</w:t>
      </w:r>
      <w:r w:rsidR="00C235A5">
        <w:rPr>
          <w:rFonts w:hint="cs"/>
          <w:rtl/>
        </w:rPr>
        <w:t xml:space="preserve"> על נאשם שהורשע בסיוע לסחר בסם מסוכן מסוג קוקאין במשקל 90 גרם לסוכן משטרתי ובמכירת 100 גרם קוקאין לאותו סוכן משטרתי. </w:t>
      </w:r>
    </w:p>
    <w:p w14:paraId="0696F9E0" w14:textId="77777777" w:rsidR="00C235A5" w:rsidRDefault="00C235A5" w:rsidP="00C235A5">
      <w:pPr>
        <w:spacing w:line="360" w:lineRule="auto"/>
        <w:ind w:left="862" w:hanging="550"/>
        <w:jc w:val="both"/>
        <w:rPr>
          <w:b/>
          <w:bCs/>
          <w:rtl/>
        </w:rPr>
      </w:pPr>
    </w:p>
    <w:p w14:paraId="68FCAC49" w14:textId="77777777" w:rsidR="00C235A5" w:rsidRDefault="00C235A5" w:rsidP="00C235A5">
      <w:pPr>
        <w:spacing w:line="360" w:lineRule="auto"/>
        <w:ind w:left="862"/>
        <w:jc w:val="both"/>
        <w:rPr>
          <w:rtl/>
        </w:rPr>
      </w:pPr>
      <w:r>
        <w:rPr>
          <w:rFonts w:hint="cs"/>
          <w:u w:val="single"/>
          <w:rtl/>
        </w:rPr>
        <w:t>קביעת המתחם -</w:t>
      </w:r>
      <w:r w:rsidRPr="00D26633">
        <w:rPr>
          <w:rFonts w:hint="cs"/>
          <w:u w:val="single"/>
          <w:rtl/>
        </w:rPr>
        <w:t xml:space="preserve"> סיכום</w:t>
      </w:r>
    </w:p>
    <w:p w14:paraId="406A6947" w14:textId="77777777" w:rsidR="00C235A5" w:rsidRDefault="00C235A5" w:rsidP="00C235A5">
      <w:pPr>
        <w:spacing w:line="360" w:lineRule="auto"/>
        <w:ind w:left="862" w:hanging="550"/>
        <w:jc w:val="both"/>
        <w:rPr>
          <w:rtl/>
        </w:rPr>
      </w:pPr>
    </w:p>
    <w:p w14:paraId="4D558CD4" w14:textId="77777777" w:rsidR="00C235A5" w:rsidRDefault="00C235A5" w:rsidP="00C235A5">
      <w:pPr>
        <w:spacing w:line="360" w:lineRule="auto"/>
        <w:ind w:left="862" w:hanging="550"/>
        <w:jc w:val="both"/>
        <w:rPr>
          <w:rtl/>
        </w:rPr>
      </w:pPr>
      <w:r>
        <w:rPr>
          <w:rFonts w:hint="cs"/>
          <w:rtl/>
        </w:rPr>
        <w:t>7.</w:t>
      </w:r>
      <w:r>
        <w:rPr>
          <w:rtl/>
        </w:rPr>
        <w:tab/>
      </w:r>
      <w:r>
        <w:rPr>
          <w:rFonts w:hint="cs"/>
          <w:rtl/>
        </w:rPr>
        <w:t xml:space="preserve">לאחר שסקרתי את הנתונים השונים ושקללתי אותם במסגרת מתחם העונש ההולם, נראה כי המתחם לו עתרה התביעה הוא מתחם מאוזן המתיישב עם רף הענישה הכללי ועם המתחמים והעונשים שנקבעו בפרשה הנוכחית, ומכאן שראיתי לאמצו. </w:t>
      </w:r>
    </w:p>
    <w:p w14:paraId="66087828" w14:textId="77777777" w:rsidR="00C235A5" w:rsidRDefault="00C235A5" w:rsidP="00C235A5">
      <w:pPr>
        <w:spacing w:line="360" w:lineRule="auto"/>
        <w:ind w:left="862" w:hanging="550"/>
        <w:jc w:val="both"/>
        <w:rPr>
          <w:rtl/>
        </w:rPr>
      </w:pPr>
    </w:p>
    <w:p w14:paraId="6DF679E2" w14:textId="77777777" w:rsidR="00C235A5" w:rsidRPr="00C9006E" w:rsidRDefault="00C235A5" w:rsidP="00C235A5">
      <w:pPr>
        <w:spacing w:line="360" w:lineRule="auto"/>
        <w:ind w:left="862"/>
        <w:jc w:val="both"/>
        <w:rPr>
          <w:rtl/>
        </w:rPr>
      </w:pPr>
      <w:r>
        <w:rPr>
          <w:rFonts w:hint="cs"/>
          <w:rtl/>
        </w:rPr>
        <w:t xml:space="preserve">לאור האמור, ראיתי לקבוע מתחם עונש </w:t>
      </w:r>
      <w:r>
        <w:rPr>
          <w:rFonts w:hint="cs"/>
          <w:b/>
          <w:bCs/>
          <w:rtl/>
        </w:rPr>
        <w:t xml:space="preserve">הנע בין 25 חודשי מאסר ל- </w:t>
      </w:r>
      <w:r w:rsidRPr="00C354DA">
        <w:rPr>
          <w:rFonts w:hint="cs"/>
          <w:b/>
          <w:bCs/>
          <w:rtl/>
        </w:rPr>
        <w:t>56</w:t>
      </w:r>
      <w:r>
        <w:rPr>
          <w:rFonts w:hint="cs"/>
          <w:b/>
          <w:bCs/>
          <w:rtl/>
        </w:rPr>
        <w:t xml:space="preserve"> חודשי מאסר </w:t>
      </w:r>
      <w:r>
        <w:rPr>
          <w:rFonts w:hint="cs"/>
          <w:rtl/>
        </w:rPr>
        <w:t xml:space="preserve">בגין כל אחת מהעסקאות. </w:t>
      </w:r>
    </w:p>
    <w:p w14:paraId="23AECDC3" w14:textId="77777777" w:rsidR="00C235A5" w:rsidRDefault="00C235A5" w:rsidP="00C235A5">
      <w:pPr>
        <w:spacing w:line="360" w:lineRule="auto"/>
        <w:ind w:left="862" w:hanging="550"/>
        <w:jc w:val="both"/>
        <w:rPr>
          <w:b/>
          <w:bCs/>
          <w:rtl/>
        </w:rPr>
      </w:pPr>
    </w:p>
    <w:p w14:paraId="041872A8" w14:textId="77777777" w:rsidR="00C235A5" w:rsidRPr="00D26633" w:rsidRDefault="00C235A5" w:rsidP="00C235A5">
      <w:pPr>
        <w:spacing w:line="360" w:lineRule="auto"/>
        <w:ind w:left="862"/>
        <w:jc w:val="both"/>
        <w:rPr>
          <w:u w:val="single"/>
          <w:rtl/>
        </w:rPr>
      </w:pPr>
      <w:r w:rsidRPr="00D26633">
        <w:rPr>
          <w:rFonts w:hint="cs"/>
          <w:u w:val="single"/>
          <w:rtl/>
        </w:rPr>
        <w:t xml:space="preserve">קביעת העונש המתאים </w:t>
      </w:r>
    </w:p>
    <w:p w14:paraId="38F34F14" w14:textId="77777777" w:rsidR="00C235A5" w:rsidRDefault="00C235A5" w:rsidP="00C235A5">
      <w:pPr>
        <w:spacing w:line="360" w:lineRule="auto"/>
        <w:ind w:left="862" w:hanging="550"/>
        <w:jc w:val="both"/>
        <w:rPr>
          <w:rtl/>
        </w:rPr>
      </w:pPr>
    </w:p>
    <w:p w14:paraId="692D8702" w14:textId="77777777" w:rsidR="00C235A5" w:rsidRDefault="00C235A5" w:rsidP="00C235A5">
      <w:pPr>
        <w:tabs>
          <w:tab w:val="left" w:pos="255"/>
        </w:tabs>
        <w:spacing w:line="360" w:lineRule="auto"/>
        <w:ind w:left="862" w:hanging="550"/>
        <w:jc w:val="both"/>
        <w:rPr>
          <w:rtl/>
        </w:rPr>
      </w:pPr>
      <w:r>
        <w:rPr>
          <w:rFonts w:hint="cs"/>
          <w:rtl/>
        </w:rPr>
        <w:t>8.</w:t>
      </w:r>
      <w:r>
        <w:rPr>
          <w:rtl/>
        </w:rPr>
        <w:tab/>
      </w:r>
      <w:r>
        <w:rPr>
          <w:rFonts w:hint="cs"/>
          <w:rtl/>
        </w:rPr>
        <w:t xml:space="preserve">בבואי לבחון את העונש המתאים לנאשם, נתתי משקל משמעותי להודאתו בכתב האישום, מבלי שזה תוקן או מבלי שגובשה הסכמה עונשית כלשהי. הודאת הנאשם הובילה לחיסכון בזמן ציבורי, ולחיסכון בעדותו של הסוכן המשטרתי, על כל המשתמע מכך, ומכאן משקלה המשמעותי. </w:t>
      </w:r>
    </w:p>
    <w:p w14:paraId="12A14247" w14:textId="77777777" w:rsidR="00C235A5" w:rsidRDefault="00C235A5" w:rsidP="00C235A5">
      <w:pPr>
        <w:tabs>
          <w:tab w:val="left" w:pos="255"/>
        </w:tabs>
        <w:spacing w:line="360" w:lineRule="auto"/>
        <w:ind w:left="862" w:hanging="550"/>
        <w:jc w:val="both"/>
        <w:rPr>
          <w:rtl/>
        </w:rPr>
      </w:pPr>
    </w:p>
    <w:p w14:paraId="4F785C82" w14:textId="77777777" w:rsidR="00C235A5" w:rsidRDefault="00C235A5" w:rsidP="00C235A5">
      <w:pPr>
        <w:tabs>
          <w:tab w:val="left" w:pos="255"/>
        </w:tabs>
        <w:spacing w:line="360" w:lineRule="auto"/>
        <w:ind w:left="862" w:hanging="550"/>
        <w:jc w:val="both"/>
        <w:rPr>
          <w:rtl/>
        </w:rPr>
      </w:pPr>
      <w:r>
        <w:rPr>
          <w:rtl/>
        </w:rPr>
        <w:tab/>
      </w:r>
      <w:r>
        <w:rPr>
          <w:rFonts w:hint="cs"/>
          <w:rtl/>
        </w:rPr>
        <w:t xml:space="preserve">לנאשם שתי הרשעות קודמות בעבירות של החזקת סם לצריכה עצמית, וכן שני מאסרים מותנים בני שלושה חודשים כל אחד. ככלל, קיומו של עבר פלילי בעבירות רלוונטיות מהווה גורם המצדיק קביעת עונש מתאים שאינו נושק לרף התחתון של המתחם, אלא שבמקרה דנן, מדובר בעבירות של החזקת סם לצריכה עצמית, ומכאן שלא ראיתי בהן ככאלה המצדיקות החמרה. </w:t>
      </w:r>
    </w:p>
    <w:p w14:paraId="5781C257" w14:textId="77777777" w:rsidR="00C235A5" w:rsidRDefault="00C235A5" w:rsidP="00C235A5">
      <w:pPr>
        <w:tabs>
          <w:tab w:val="left" w:pos="255"/>
        </w:tabs>
        <w:spacing w:line="360" w:lineRule="auto"/>
        <w:ind w:left="862" w:hanging="550"/>
        <w:jc w:val="both"/>
        <w:rPr>
          <w:rtl/>
        </w:rPr>
      </w:pPr>
    </w:p>
    <w:p w14:paraId="280958A7" w14:textId="77777777" w:rsidR="00C235A5" w:rsidRDefault="00C235A5" w:rsidP="00C235A5">
      <w:pPr>
        <w:tabs>
          <w:tab w:val="left" w:pos="255"/>
        </w:tabs>
        <w:spacing w:line="360" w:lineRule="auto"/>
        <w:ind w:left="862" w:hanging="550"/>
        <w:jc w:val="both"/>
        <w:rPr>
          <w:rtl/>
        </w:rPr>
      </w:pPr>
      <w:r>
        <w:rPr>
          <w:rtl/>
        </w:rPr>
        <w:tab/>
      </w:r>
      <w:r>
        <w:rPr>
          <w:rFonts w:hint="cs"/>
          <w:rtl/>
        </w:rPr>
        <w:t xml:space="preserve">נתתי דעתי לתקופה הממושכת בה היה נתון הנאשם בתנאים מגבילים, גם אם אלה הוקלו מעת לעת. </w:t>
      </w:r>
    </w:p>
    <w:p w14:paraId="099AB85E" w14:textId="77777777" w:rsidR="00C235A5" w:rsidRDefault="00C235A5" w:rsidP="00C235A5">
      <w:pPr>
        <w:tabs>
          <w:tab w:val="left" w:pos="255"/>
        </w:tabs>
        <w:spacing w:line="360" w:lineRule="auto"/>
        <w:ind w:left="862" w:hanging="550"/>
        <w:jc w:val="both"/>
        <w:rPr>
          <w:rtl/>
        </w:rPr>
      </w:pPr>
    </w:p>
    <w:p w14:paraId="0F9F9C62" w14:textId="77777777" w:rsidR="00C235A5" w:rsidRDefault="00C235A5" w:rsidP="00C235A5">
      <w:pPr>
        <w:tabs>
          <w:tab w:val="left" w:pos="255"/>
        </w:tabs>
        <w:spacing w:line="360" w:lineRule="auto"/>
        <w:ind w:left="862" w:hanging="550"/>
        <w:jc w:val="both"/>
        <w:rPr>
          <w:rtl/>
        </w:rPr>
      </w:pPr>
      <w:r>
        <w:rPr>
          <w:rtl/>
        </w:rPr>
        <w:tab/>
      </w:r>
      <w:r>
        <w:rPr>
          <w:rFonts w:hint="cs"/>
          <w:rtl/>
        </w:rPr>
        <w:t xml:space="preserve">באשר להליך השיקומי שעבר הנאשם - אין חולק כי מדובר בנאשם אשר היה </w:t>
      </w:r>
      <w:r w:rsidR="00487587" w:rsidRPr="00270721">
        <w:rPr>
          <w:color w:val="000000"/>
          <w:rtl/>
        </w:rPr>
        <w:t>בקשר</w:t>
      </w:r>
      <w:r>
        <w:rPr>
          <w:rFonts w:hint="cs"/>
          <w:rtl/>
        </w:rPr>
        <w:t xml:space="preserve"> עם שרות המבחן, השתלב בהליך טיפולי ואף התקדם בו כברת דרך מסוימת. יש אף ליתן את הדעת לעובדה כי מאז שחרורו של הנאשם ממעצר שמר על ניקיון מסמים, התארס, ובעיקר לא הסתבך בעבירות כלשהן. השילוב שבין הקשר הטיפולי עם שרות המבחן כעולה מהתסקירים לבין שמירה על אורח חיים נורמטיבי, הוא שילוב המצדיק התחשבות משמעותית. יחד עם זאת, ושעה שמדובר בעבירות חמורות של סחר בסמים בכמויות משמעותיות, סבורני כי אין מדובר בהליך שיקומי אינטנסיבי ועמוק דיו על-מנת להצדיק סטייה ממתחם העונש ההולם. משקלו המשמעותי של ההליך השיקומי יבוא אפוא לידי ביטוי </w:t>
      </w:r>
      <w:r w:rsidRPr="006D6859">
        <w:rPr>
          <w:rFonts w:hint="cs"/>
          <w:b/>
          <w:bCs/>
          <w:rtl/>
        </w:rPr>
        <w:t>בארבעה היבטים המשליכים על העונש הכולל</w:t>
      </w:r>
      <w:r>
        <w:rPr>
          <w:rFonts w:hint="cs"/>
          <w:rtl/>
        </w:rPr>
        <w:t xml:space="preserve">: </w:t>
      </w:r>
      <w:r>
        <w:rPr>
          <w:rFonts w:hint="cs"/>
          <w:b/>
          <w:bCs/>
          <w:rtl/>
        </w:rPr>
        <w:t>הראשון</w:t>
      </w:r>
      <w:r>
        <w:rPr>
          <w:rFonts w:hint="cs"/>
          <w:rtl/>
        </w:rPr>
        <w:t xml:space="preserve"> </w:t>
      </w:r>
      <w:r>
        <w:rPr>
          <w:rtl/>
        </w:rPr>
        <w:t>–</w:t>
      </w:r>
      <w:r>
        <w:rPr>
          <w:rFonts w:hint="cs"/>
          <w:rtl/>
        </w:rPr>
        <w:t xml:space="preserve"> חפיפה בין מתחמי הענישה השונים באופן שנטען בהגינות על-ידי התובעת; </w:t>
      </w:r>
      <w:r>
        <w:rPr>
          <w:rFonts w:hint="cs"/>
          <w:b/>
          <w:bCs/>
          <w:rtl/>
        </w:rPr>
        <w:t>השני</w:t>
      </w:r>
      <w:r>
        <w:rPr>
          <w:rFonts w:hint="cs"/>
          <w:rtl/>
        </w:rPr>
        <w:t xml:space="preserve"> - חפיפה בין שני המאסרים המותנים; </w:t>
      </w:r>
      <w:r>
        <w:rPr>
          <w:rFonts w:hint="cs"/>
          <w:b/>
          <w:bCs/>
          <w:rtl/>
        </w:rPr>
        <w:t>השלישי</w:t>
      </w:r>
      <w:r>
        <w:rPr>
          <w:rFonts w:hint="cs"/>
          <w:rtl/>
        </w:rPr>
        <w:t xml:space="preserve"> </w:t>
      </w:r>
      <w:r>
        <w:rPr>
          <w:rtl/>
        </w:rPr>
        <w:t>–</w:t>
      </w:r>
      <w:r>
        <w:rPr>
          <w:rFonts w:hint="cs"/>
          <w:rtl/>
        </w:rPr>
        <w:t xml:space="preserve"> חפיפה בין העונשים המותנים לעונש שיוטל על הנאשם בתיק העיקרי; </w:t>
      </w:r>
      <w:r w:rsidRPr="00DA4368">
        <w:rPr>
          <w:rFonts w:hint="cs"/>
          <w:b/>
          <w:bCs/>
          <w:rtl/>
        </w:rPr>
        <w:t>הרביעי</w:t>
      </w:r>
      <w:r>
        <w:rPr>
          <w:rFonts w:hint="cs"/>
          <w:rtl/>
        </w:rPr>
        <w:t xml:space="preserve"> </w:t>
      </w:r>
      <w:r>
        <w:rPr>
          <w:rtl/>
        </w:rPr>
        <w:t>–</w:t>
      </w:r>
      <w:r>
        <w:rPr>
          <w:rFonts w:hint="cs"/>
          <w:rtl/>
        </w:rPr>
        <w:t xml:space="preserve"> אימוץ הרף התחתון של המתחם המאוחד. דומני כי ארבעת רכיבים אלה מבטאים באופן מאוזן את משקלו של ההליך השיקומי.</w:t>
      </w:r>
    </w:p>
    <w:p w14:paraId="793F11D9" w14:textId="77777777" w:rsidR="00C235A5" w:rsidRDefault="00C235A5" w:rsidP="00C235A5">
      <w:pPr>
        <w:tabs>
          <w:tab w:val="left" w:pos="255"/>
        </w:tabs>
        <w:spacing w:line="360" w:lineRule="auto"/>
        <w:ind w:left="862" w:hanging="550"/>
        <w:jc w:val="both"/>
        <w:rPr>
          <w:rtl/>
        </w:rPr>
      </w:pPr>
    </w:p>
    <w:p w14:paraId="039C9F28" w14:textId="77777777" w:rsidR="00C235A5" w:rsidRDefault="00C235A5" w:rsidP="00C235A5">
      <w:pPr>
        <w:tabs>
          <w:tab w:val="left" w:pos="255"/>
        </w:tabs>
        <w:spacing w:line="360" w:lineRule="auto"/>
        <w:jc w:val="both"/>
        <w:rPr>
          <w:rtl/>
        </w:rPr>
      </w:pPr>
      <w:r>
        <w:rPr>
          <w:rFonts w:hint="cs"/>
          <w:rtl/>
        </w:rPr>
        <w:t>9.</w:t>
      </w:r>
      <w:r>
        <w:rPr>
          <w:rFonts w:hint="cs"/>
          <w:rtl/>
        </w:rPr>
        <w:tab/>
        <w:t>לאור האמור לעיל, ראיתי לגזור על הנאשם את העונשים הבאים:</w:t>
      </w:r>
    </w:p>
    <w:p w14:paraId="2A92759C" w14:textId="77777777" w:rsidR="00C235A5" w:rsidRDefault="00C235A5" w:rsidP="00C235A5">
      <w:pPr>
        <w:spacing w:line="360" w:lineRule="auto"/>
        <w:ind w:left="862" w:hanging="550"/>
        <w:jc w:val="both"/>
        <w:rPr>
          <w:rtl/>
        </w:rPr>
      </w:pPr>
    </w:p>
    <w:p w14:paraId="4FB69E5D" w14:textId="77777777" w:rsidR="00C235A5" w:rsidRPr="009A61F5" w:rsidRDefault="00C235A5" w:rsidP="00C235A5">
      <w:pPr>
        <w:pStyle w:val="a9"/>
        <w:numPr>
          <w:ilvl w:val="0"/>
          <w:numId w:val="2"/>
        </w:numPr>
        <w:spacing w:line="360" w:lineRule="auto"/>
        <w:ind w:left="862" w:hanging="550"/>
        <w:jc w:val="both"/>
        <w:rPr>
          <w:rFonts w:ascii="Arial" w:hAnsi="Arial"/>
          <w:rtl/>
        </w:rPr>
      </w:pPr>
      <w:r w:rsidRPr="009A61F5">
        <w:rPr>
          <w:rFonts w:ascii="Arial" w:hAnsi="Arial" w:hint="cs"/>
          <w:rtl/>
        </w:rPr>
        <w:t xml:space="preserve">25 חודשי מאסר לריצוי בפועל. </w:t>
      </w:r>
      <w:r w:rsidRPr="009A61F5">
        <w:rPr>
          <w:rFonts w:ascii="Arial" w:hAnsi="Arial" w:hint="cs"/>
          <w:rtl/>
        </w:rPr>
        <w:tab/>
      </w:r>
    </w:p>
    <w:p w14:paraId="2BE63492" w14:textId="77777777" w:rsidR="00C235A5" w:rsidRPr="009A61F5" w:rsidRDefault="00C235A5" w:rsidP="00C235A5">
      <w:pPr>
        <w:pStyle w:val="a9"/>
        <w:spacing w:line="360" w:lineRule="auto"/>
        <w:ind w:left="1270" w:hanging="550"/>
        <w:jc w:val="both"/>
        <w:rPr>
          <w:rFonts w:ascii="Arial" w:hAnsi="Arial"/>
          <w:rtl/>
        </w:rPr>
      </w:pPr>
    </w:p>
    <w:p w14:paraId="397B9643" w14:textId="77777777" w:rsidR="00C235A5" w:rsidRDefault="00C235A5" w:rsidP="00C235A5">
      <w:pPr>
        <w:spacing w:line="360" w:lineRule="auto"/>
        <w:ind w:left="862" w:hanging="550"/>
        <w:jc w:val="both"/>
        <w:rPr>
          <w:rFonts w:ascii="Arial" w:hAnsi="Arial"/>
          <w:rtl/>
        </w:rPr>
      </w:pPr>
      <w:r>
        <w:rPr>
          <w:rFonts w:ascii="Arial" w:hAnsi="Arial" w:hint="cs"/>
          <w:rtl/>
        </w:rPr>
        <w:t>ב.</w:t>
      </w:r>
      <w:r>
        <w:rPr>
          <w:rFonts w:ascii="Arial" w:hAnsi="Arial" w:hint="cs"/>
          <w:rtl/>
        </w:rPr>
        <w:tab/>
        <w:t xml:space="preserve"> אני מפעיל את המאסר המותנה בן 3 החודשים שהוטל על הנאשם ב</w:t>
      </w:r>
      <w:hyperlink r:id="rId23" w:history="1">
        <w:r w:rsidR="00487587" w:rsidRPr="00487587">
          <w:rPr>
            <w:rFonts w:ascii="Arial" w:hAnsi="Arial"/>
            <w:color w:val="0000FF"/>
            <w:u w:val="single"/>
            <w:rtl/>
          </w:rPr>
          <w:t>ת"פ 30764-05-17</w:t>
        </w:r>
      </w:hyperlink>
      <w:r>
        <w:rPr>
          <w:rFonts w:ascii="Arial" w:hAnsi="Arial" w:hint="cs"/>
          <w:rtl/>
        </w:rPr>
        <w:t>.</w:t>
      </w:r>
    </w:p>
    <w:p w14:paraId="55405E48" w14:textId="77777777" w:rsidR="00C235A5" w:rsidRDefault="00C235A5" w:rsidP="00C235A5">
      <w:pPr>
        <w:spacing w:line="360" w:lineRule="auto"/>
        <w:ind w:left="862" w:hanging="550"/>
        <w:jc w:val="both"/>
        <w:rPr>
          <w:rFonts w:ascii="Arial" w:hAnsi="Arial"/>
          <w:rtl/>
        </w:rPr>
      </w:pPr>
    </w:p>
    <w:p w14:paraId="216DD71C" w14:textId="77777777" w:rsidR="00C235A5" w:rsidRDefault="00C235A5" w:rsidP="00C235A5">
      <w:pPr>
        <w:spacing w:line="360" w:lineRule="auto"/>
        <w:ind w:left="862" w:hanging="550"/>
        <w:jc w:val="both"/>
        <w:rPr>
          <w:rFonts w:ascii="Arial" w:hAnsi="Arial"/>
        </w:rPr>
      </w:pPr>
      <w:r>
        <w:rPr>
          <w:rFonts w:ascii="Arial" w:hAnsi="Arial" w:hint="cs"/>
          <w:rtl/>
        </w:rPr>
        <w:t>ג.</w:t>
      </w:r>
      <w:r>
        <w:rPr>
          <w:rFonts w:ascii="Arial" w:hAnsi="Arial" w:hint="cs"/>
          <w:rtl/>
        </w:rPr>
        <w:tab/>
        <w:t xml:space="preserve"> אני מפעיל את המאסר המותנה בן 3 החודשים שהוטל על הנאשם ב</w:t>
      </w:r>
      <w:hyperlink r:id="rId24" w:history="1">
        <w:r w:rsidR="00487587" w:rsidRPr="00487587">
          <w:rPr>
            <w:rFonts w:ascii="Arial" w:hAnsi="Arial"/>
            <w:color w:val="0000FF"/>
            <w:u w:val="single"/>
            <w:rtl/>
          </w:rPr>
          <w:t>ת"פ 11941-11-15</w:t>
        </w:r>
      </w:hyperlink>
      <w:r>
        <w:rPr>
          <w:rFonts w:ascii="Arial" w:hAnsi="Arial" w:hint="cs"/>
          <w:rtl/>
        </w:rPr>
        <w:t>.</w:t>
      </w:r>
    </w:p>
    <w:p w14:paraId="0DE216AE" w14:textId="77777777" w:rsidR="00C235A5" w:rsidRPr="001E5C26" w:rsidRDefault="00C235A5" w:rsidP="00C235A5">
      <w:pPr>
        <w:spacing w:line="360" w:lineRule="auto"/>
        <w:ind w:left="862" w:hanging="550"/>
        <w:jc w:val="both"/>
        <w:rPr>
          <w:rFonts w:ascii="Arial" w:hAnsi="Arial"/>
        </w:rPr>
      </w:pPr>
    </w:p>
    <w:p w14:paraId="358CCBF5" w14:textId="77777777" w:rsidR="00C235A5" w:rsidRDefault="00C235A5" w:rsidP="00C235A5">
      <w:pPr>
        <w:spacing w:line="360" w:lineRule="auto"/>
        <w:ind w:left="862" w:hanging="550"/>
        <w:jc w:val="both"/>
        <w:rPr>
          <w:rFonts w:ascii="Arial" w:hAnsi="Arial"/>
          <w:rtl/>
        </w:rPr>
      </w:pPr>
      <w:r>
        <w:rPr>
          <w:rFonts w:ascii="Arial" w:hAnsi="Arial" w:hint="cs"/>
          <w:rtl/>
        </w:rPr>
        <w:t>ד.</w:t>
      </w:r>
      <w:r>
        <w:rPr>
          <w:rFonts w:ascii="Arial" w:hAnsi="Arial" w:hint="cs"/>
          <w:rtl/>
        </w:rPr>
        <w:tab/>
        <w:t xml:space="preserve">המאסרים המותנים שהופעלו בסעיפים "ב" ו- "ג" יופעלו בחופף האחד לשני, ובחופף לעונש המאסר שהוטל בסעיף "א", כך </w:t>
      </w:r>
      <w:r>
        <w:rPr>
          <w:rFonts w:ascii="Arial" w:hAnsi="Arial" w:hint="cs"/>
          <w:b/>
          <w:bCs/>
          <w:rtl/>
        </w:rPr>
        <w:t xml:space="preserve">שסך הכל ירצה הנאשם 25 חודשי מאסר </w:t>
      </w:r>
      <w:r>
        <w:rPr>
          <w:rFonts w:ascii="Arial" w:hAnsi="Arial" w:hint="cs"/>
          <w:rtl/>
        </w:rPr>
        <w:t>(בניכוי תקופת מעצרו שבין יום 5.2.2019 ועד יום 13.6.2019).</w:t>
      </w:r>
    </w:p>
    <w:p w14:paraId="75793910" w14:textId="77777777" w:rsidR="00C235A5" w:rsidRDefault="00C235A5" w:rsidP="00C235A5">
      <w:pPr>
        <w:spacing w:line="360" w:lineRule="auto"/>
        <w:ind w:left="862" w:hanging="550"/>
        <w:jc w:val="both"/>
        <w:rPr>
          <w:rFonts w:ascii="Arial" w:hAnsi="Arial"/>
          <w:b/>
          <w:bCs/>
          <w:rtl/>
        </w:rPr>
      </w:pPr>
    </w:p>
    <w:p w14:paraId="468F0A75" w14:textId="77777777" w:rsidR="00C235A5" w:rsidRPr="0074509D" w:rsidRDefault="00C235A5" w:rsidP="00C235A5">
      <w:pPr>
        <w:spacing w:line="360" w:lineRule="auto"/>
        <w:ind w:left="862" w:hanging="550"/>
        <w:jc w:val="both"/>
        <w:rPr>
          <w:rFonts w:ascii="Arial" w:hAnsi="Arial"/>
          <w:b/>
          <w:bCs/>
          <w:rtl/>
        </w:rPr>
      </w:pPr>
      <w:r w:rsidRPr="0074509D">
        <w:rPr>
          <w:rFonts w:ascii="Arial" w:hAnsi="Arial"/>
          <w:b/>
          <w:bCs/>
          <w:rtl/>
        </w:rPr>
        <w:tab/>
      </w:r>
      <w:r w:rsidRPr="0074509D">
        <w:rPr>
          <w:rFonts w:ascii="Arial" w:hAnsi="Arial" w:hint="cs"/>
          <w:b/>
          <w:bCs/>
          <w:rtl/>
        </w:rPr>
        <w:t xml:space="preserve">הנאשם יתייצב ביום 30.5.2021 בשעה 08:00 בבוקר במתקן ניצן או במתקן אחר עליו יורה שב"ס בהליך המיון המוקדם ככל שייערך כזה. </w:t>
      </w:r>
    </w:p>
    <w:p w14:paraId="7890F6DA" w14:textId="77777777" w:rsidR="00C235A5" w:rsidRPr="001E5C26" w:rsidRDefault="00C235A5" w:rsidP="00C235A5">
      <w:pPr>
        <w:spacing w:line="360" w:lineRule="auto"/>
        <w:ind w:left="862" w:hanging="550"/>
        <w:jc w:val="both"/>
        <w:rPr>
          <w:rFonts w:ascii="Arial" w:hAnsi="Arial"/>
          <w:b/>
          <w:bCs/>
          <w:rtl/>
        </w:rPr>
      </w:pPr>
    </w:p>
    <w:p w14:paraId="6C5B0CEB" w14:textId="77777777" w:rsidR="00C235A5" w:rsidRDefault="00C235A5" w:rsidP="00C235A5">
      <w:pPr>
        <w:spacing w:line="360" w:lineRule="auto"/>
        <w:ind w:left="862" w:hanging="550"/>
        <w:jc w:val="both"/>
        <w:rPr>
          <w:rFonts w:ascii="Arial" w:hAnsi="Arial"/>
          <w:rtl/>
        </w:rPr>
      </w:pPr>
      <w:r>
        <w:rPr>
          <w:rFonts w:ascii="Arial" w:hAnsi="Arial" w:hint="cs"/>
          <w:rtl/>
        </w:rPr>
        <w:t>ה.</w:t>
      </w:r>
      <w:r>
        <w:rPr>
          <w:rFonts w:ascii="Arial" w:hAnsi="Arial" w:hint="cs"/>
          <w:rtl/>
        </w:rPr>
        <w:tab/>
        <w:t xml:space="preserve">6 חודשי מאסר, אולם הנאשם לא יישא עונש זה אלא אם יעבור תוך שלוש שנים מיום שחרורו עבירה על פקודת הסמים מסוג פשע. </w:t>
      </w:r>
    </w:p>
    <w:p w14:paraId="7C0B79CB" w14:textId="77777777" w:rsidR="00C235A5" w:rsidRDefault="00C235A5" w:rsidP="00C235A5">
      <w:pPr>
        <w:spacing w:line="360" w:lineRule="auto"/>
        <w:ind w:left="862" w:hanging="550"/>
        <w:jc w:val="both"/>
        <w:rPr>
          <w:rFonts w:ascii="Arial" w:hAnsi="Arial"/>
          <w:rtl/>
        </w:rPr>
      </w:pPr>
    </w:p>
    <w:p w14:paraId="5F4C6CA3" w14:textId="77777777" w:rsidR="00C235A5" w:rsidRDefault="00C235A5" w:rsidP="00C235A5">
      <w:pPr>
        <w:spacing w:line="360" w:lineRule="auto"/>
        <w:ind w:left="862" w:hanging="550"/>
        <w:jc w:val="both"/>
        <w:rPr>
          <w:rFonts w:ascii="Arial" w:hAnsi="Arial"/>
          <w:rtl/>
        </w:rPr>
      </w:pPr>
      <w:r>
        <w:rPr>
          <w:rFonts w:ascii="Arial" w:hAnsi="Arial" w:hint="cs"/>
          <w:rtl/>
        </w:rPr>
        <w:t>ו.</w:t>
      </w:r>
      <w:r>
        <w:rPr>
          <w:rFonts w:ascii="Arial" w:hAnsi="Arial" w:hint="cs"/>
          <w:rtl/>
        </w:rPr>
        <w:tab/>
        <w:t xml:space="preserve">2 חודשי מאסר, אולם הנאשם לא יישא עונש זה אלא אם יעבור תוך שלוש שנים מיום שחרורו עבירה על פקודת הסמים מסוג עוון. </w:t>
      </w:r>
    </w:p>
    <w:p w14:paraId="11F087DA" w14:textId="77777777" w:rsidR="00C235A5" w:rsidRDefault="00C235A5" w:rsidP="00C235A5">
      <w:pPr>
        <w:spacing w:line="360" w:lineRule="auto"/>
        <w:ind w:left="862" w:hanging="550"/>
        <w:jc w:val="both"/>
        <w:rPr>
          <w:rFonts w:ascii="Arial" w:hAnsi="Arial"/>
          <w:rtl/>
        </w:rPr>
      </w:pPr>
    </w:p>
    <w:p w14:paraId="5398797B" w14:textId="77777777" w:rsidR="00C235A5" w:rsidRDefault="00C235A5" w:rsidP="00C235A5">
      <w:pPr>
        <w:spacing w:line="360" w:lineRule="auto"/>
        <w:ind w:left="862" w:hanging="550"/>
        <w:jc w:val="both"/>
        <w:rPr>
          <w:rFonts w:ascii="Arial" w:hAnsi="Arial"/>
          <w:rtl/>
        </w:rPr>
      </w:pPr>
      <w:r>
        <w:rPr>
          <w:rFonts w:ascii="Arial" w:hAnsi="Arial" w:hint="cs"/>
          <w:rtl/>
        </w:rPr>
        <w:t>ז.</w:t>
      </w:r>
      <w:r>
        <w:rPr>
          <w:rFonts w:ascii="Arial" w:hAnsi="Arial" w:hint="cs"/>
          <w:rtl/>
        </w:rPr>
        <w:tab/>
        <w:t xml:space="preserve">קנס בסך 34,000 ₪ (סכום העסקאות) אשר ישולם ב- 17 תשלומים חודשיים שווים החל מיום 1.1.2022 ועד לסיום התשלומים או 90 ימי מאסר תמורתו. </w:t>
      </w:r>
    </w:p>
    <w:p w14:paraId="1B7941DF" w14:textId="77777777" w:rsidR="00C235A5" w:rsidRDefault="00C235A5" w:rsidP="00C235A5">
      <w:pPr>
        <w:ind w:left="862" w:hanging="550"/>
        <w:jc w:val="both"/>
        <w:rPr>
          <w:rFonts w:ascii="Arial" w:hAnsi="Arial"/>
          <w:rtl/>
        </w:rPr>
      </w:pPr>
    </w:p>
    <w:p w14:paraId="15E0C7DB" w14:textId="77777777" w:rsidR="00C235A5" w:rsidRDefault="00C235A5" w:rsidP="00C235A5">
      <w:pPr>
        <w:spacing w:line="360" w:lineRule="auto"/>
        <w:ind w:left="862" w:hanging="550"/>
        <w:jc w:val="both"/>
        <w:rPr>
          <w:rFonts w:ascii="Arial" w:hAnsi="Arial"/>
          <w:rtl/>
        </w:rPr>
      </w:pPr>
      <w:r>
        <w:rPr>
          <w:rFonts w:ascii="Arial" w:hAnsi="Arial" w:hint="cs"/>
          <w:rtl/>
        </w:rPr>
        <w:t>ניתן צו כללי למוצגים לשיקול דעת קצין משטרה ו/או התביעה.</w:t>
      </w:r>
    </w:p>
    <w:p w14:paraId="6B5FC6BE" w14:textId="77777777" w:rsidR="00C235A5" w:rsidRDefault="00C235A5" w:rsidP="00C235A5">
      <w:pPr>
        <w:ind w:left="862" w:hanging="550"/>
        <w:jc w:val="both"/>
        <w:rPr>
          <w:rFonts w:ascii="Arial" w:hAnsi="Arial"/>
          <w:rtl/>
        </w:rPr>
      </w:pPr>
    </w:p>
    <w:p w14:paraId="54584AFA" w14:textId="77777777" w:rsidR="00C235A5" w:rsidRDefault="00C235A5" w:rsidP="00C235A5">
      <w:pPr>
        <w:spacing w:line="360" w:lineRule="auto"/>
        <w:ind w:left="862" w:hanging="550"/>
        <w:jc w:val="both"/>
        <w:rPr>
          <w:rFonts w:ascii="Arial" w:hAnsi="Arial"/>
          <w:rtl/>
        </w:rPr>
      </w:pPr>
      <w:r>
        <w:rPr>
          <w:rFonts w:ascii="Arial" w:hAnsi="Arial" w:hint="cs"/>
          <w:rtl/>
        </w:rPr>
        <w:t xml:space="preserve">זכות ערעור כחוק. </w:t>
      </w:r>
    </w:p>
    <w:p w14:paraId="5A413EA6" w14:textId="77777777" w:rsidR="00C235A5" w:rsidRDefault="00C235A5" w:rsidP="00C235A5">
      <w:pPr>
        <w:spacing w:line="360" w:lineRule="auto"/>
        <w:ind w:left="862" w:hanging="550"/>
        <w:jc w:val="both"/>
        <w:rPr>
          <w:rFonts w:ascii="Arial" w:hAnsi="Arial"/>
          <w:rtl/>
        </w:rPr>
      </w:pPr>
    </w:p>
    <w:p w14:paraId="140D3A61" w14:textId="77777777" w:rsidR="00C235A5" w:rsidRPr="008776C4" w:rsidRDefault="00487587" w:rsidP="00C235A5">
      <w:pPr>
        <w:spacing w:line="360" w:lineRule="auto"/>
        <w:ind w:left="862" w:hanging="550"/>
        <w:jc w:val="both"/>
        <w:rPr>
          <w:rFonts w:ascii="Arial" w:hAnsi="Arial" w:hint="cs"/>
          <w:b/>
          <w:bCs/>
        </w:rPr>
      </w:pPr>
      <w:bookmarkStart w:id="8" w:name="Nitan"/>
      <w:r>
        <w:rPr>
          <w:rFonts w:ascii="Arial" w:hAnsi="Arial"/>
          <w:b/>
          <w:bCs/>
          <w:rtl/>
        </w:rPr>
        <w:t xml:space="preserve">ניתן היום, א' אייר תשפ"א, 13  אפריל 2021, במעמד הצדדים. </w:t>
      </w:r>
      <w:bookmarkEnd w:id="8"/>
      <w:r w:rsidR="00817A91">
        <w:rPr>
          <w:rFonts w:ascii="Arial" w:hAnsi="Arial" w:hint="cs"/>
          <w:b/>
          <w:bCs/>
          <w:rtl/>
        </w:rPr>
        <w:t xml:space="preserve"> </w:t>
      </w:r>
    </w:p>
    <w:p w14:paraId="5A854712" w14:textId="77777777" w:rsidR="00C235A5" w:rsidRDefault="00C235A5" w:rsidP="00C235A5">
      <w:pPr>
        <w:rPr>
          <w:rtl/>
        </w:rPr>
      </w:pPr>
    </w:p>
    <w:p w14:paraId="46046158" w14:textId="77777777" w:rsidR="00C235A5" w:rsidRPr="00487587" w:rsidRDefault="00487587" w:rsidP="00C235A5">
      <w:pPr>
        <w:spacing w:line="360" w:lineRule="auto"/>
        <w:ind w:left="862" w:hanging="550"/>
        <w:jc w:val="both"/>
        <w:rPr>
          <w:color w:val="FFFFFF"/>
          <w:sz w:val="2"/>
          <w:szCs w:val="2"/>
          <w:rtl/>
        </w:rPr>
      </w:pPr>
      <w:r w:rsidRPr="0048758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235A5" w14:paraId="64B3C87E" w14:textId="77777777" w:rsidTr="00C235A5">
        <w:trPr>
          <w:trHeight w:val="316"/>
          <w:jc w:val="right"/>
        </w:trPr>
        <w:tc>
          <w:tcPr>
            <w:tcW w:w="3936" w:type="dxa"/>
            <w:tcBorders>
              <w:top w:val="nil"/>
              <w:left w:val="nil"/>
              <w:bottom w:val="single" w:sz="4" w:space="0" w:color="auto"/>
              <w:right w:val="nil"/>
            </w:tcBorders>
            <w:shd w:val="clear" w:color="auto" w:fill="auto"/>
            <w:vAlign w:val="bottom"/>
          </w:tcPr>
          <w:p w14:paraId="311744B6" w14:textId="77777777" w:rsidR="00C235A5" w:rsidRPr="00487587" w:rsidRDefault="00487587" w:rsidP="00C235A5">
            <w:pPr>
              <w:jc w:val="center"/>
              <w:rPr>
                <w:color w:val="FFFFFF"/>
                <w:sz w:val="2"/>
                <w:szCs w:val="2"/>
                <w:rtl/>
              </w:rPr>
            </w:pPr>
            <w:r w:rsidRPr="00487587">
              <w:rPr>
                <w:color w:val="FFFFFF"/>
                <w:sz w:val="2"/>
                <w:szCs w:val="2"/>
                <w:rtl/>
              </w:rPr>
              <w:t>54678313</w:t>
            </w:r>
          </w:p>
        </w:tc>
      </w:tr>
      <w:tr w:rsidR="00C235A5" w14:paraId="019AD85E" w14:textId="77777777" w:rsidTr="00C235A5">
        <w:trPr>
          <w:trHeight w:val="361"/>
          <w:jc w:val="right"/>
        </w:trPr>
        <w:tc>
          <w:tcPr>
            <w:tcW w:w="3936" w:type="dxa"/>
            <w:tcBorders>
              <w:top w:val="single" w:sz="4" w:space="0" w:color="auto"/>
              <w:left w:val="nil"/>
              <w:bottom w:val="nil"/>
              <w:right w:val="nil"/>
            </w:tcBorders>
            <w:shd w:val="clear" w:color="auto" w:fill="auto"/>
          </w:tcPr>
          <w:p w14:paraId="601F6376" w14:textId="77777777" w:rsidR="00C235A5" w:rsidRPr="00C235A5" w:rsidRDefault="00C235A5" w:rsidP="00C235A5">
            <w:pPr>
              <w:jc w:val="center"/>
              <w:rPr>
                <w:b/>
                <w:bCs/>
                <w:rtl/>
              </w:rPr>
            </w:pPr>
            <w:r w:rsidRPr="00C235A5">
              <w:rPr>
                <w:rFonts w:hint="cs"/>
                <w:b/>
                <w:bCs/>
                <w:rtl/>
              </w:rPr>
              <w:t>בני שגיא, שופט</w:t>
            </w:r>
          </w:p>
          <w:p w14:paraId="2F378FF8" w14:textId="77777777" w:rsidR="00C235A5" w:rsidRPr="00C235A5" w:rsidRDefault="00C235A5" w:rsidP="00C235A5">
            <w:pPr>
              <w:jc w:val="center"/>
              <w:rPr>
                <w:b/>
                <w:bCs/>
                <w:rtl/>
              </w:rPr>
            </w:pPr>
            <w:r w:rsidRPr="00C235A5">
              <w:rPr>
                <w:rFonts w:hint="cs"/>
                <w:b/>
                <w:bCs/>
                <w:rtl/>
              </w:rPr>
              <w:t>סגן נשיא</w:t>
            </w:r>
          </w:p>
        </w:tc>
      </w:tr>
    </w:tbl>
    <w:p w14:paraId="2C6B3543" w14:textId="77777777" w:rsidR="00487587" w:rsidRDefault="00487587" w:rsidP="00487587">
      <w:pPr>
        <w:rPr>
          <w:rtl/>
        </w:rPr>
      </w:pPr>
    </w:p>
    <w:p w14:paraId="27E71E23" w14:textId="77777777" w:rsidR="00487587" w:rsidRDefault="00487587" w:rsidP="0048758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87BFF0A" w14:textId="77777777" w:rsidR="00E07AA1" w:rsidRPr="00E07AA1" w:rsidRDefault="00E07AA1" w:rsidP="00E07AA1">
      <w:pPr>
        <w:keepNext/>
        <w:rPr>
          <w:rFonts w:ascii="David" w:hAnsi="David"/>
          <w:color w:val="000000"/>
          <w:sz w:val="22"/>
          <w:szCs w:val="22"/>
          <w:rtl/>
        </w:rPr>
      </w:pPr>
    </w:p>
    <w:p w14:paraId="77F40E6A" w14:textId="77777777" w:rsidR="00E07AA1" w:rsidRPr="00E07AA1" w:rsidRDefault="00E07AA1" w:rsidP="00E07AA1">
      <w:pPr>
        <w:keepNext/>
        <w:rPr>
          <w:rFonts w:ascii="David" w:hAnsi="David"/>
          <w:color w:val="000000"/>
          <w:sz w:val="22"/>
          <w:szCs w:val="22"/>
          <w:rtl/>
        </w:rPr>
      </w:pPr>
      <w:r w:rsidRPr="00E07AA1">
        <w:rPr>
          <w:rFonts w:ascii="David" w:hAnsi="David"/>
          <w:color w:val="000000"/>
          <w:sz w:val="22"/>
          <w:szCs w:val="22"/>
          <w:rtl/>
        </w:rPr>
        <w:t>בני שגיא 54678313-/</w:t>
      </w:r>
    </w:p>
    <w:p w14:paraId="68D9F0B1" w14:textId="77777777" w:rsidR="00487587" w:rsidRPr="00487587" w:rsidRDefault="00E07AA1" w:rsidP="00E07AA1">
      <w:pPr>
        <w:rPr>
          <w:color w:val="0000FF"/>
          <w:u w:val="single"/>
        </w:rPr>
      </w:pPr>
      <w:r w:rsidRPr="00E07AA1">
        <w:rPr>
          <w:color w:val="000000"/>
          <w:u w:val="single"/>
          <w:rtl/>
        </w:rPr>
        <w:t>נוסח מסמך זה כפוף לשינויי ניסוח ועריכה</w:t>
      </w:r>
    </w:p>
    <w:sectPr w:rsidR="00487587" w:rsidRPr="00487587" w:rsidSect="00E07AA1">
      <w:headerReference w:type="even" r:id="rId26"/>
      <w:headerReference w:type="default" r:id="rId27"/>
      <w:footerReference w:type="even" r:id="rId28"/>
      <w:footerReference w:type="default" r:id="rId29"/>
      <w:pgSz w:w="11907" w:h="16840" w:code="9"/>
      <w:pgMar w:top="1701" w:right="1077" w:bottom="1440" w:left="1077"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1E17E" w14:textId="77777777" w:rsidR="00036675" w:rsidRDefault="00036675" w:rsidP="00BE32C4">
      <w:r>
        <w:separator/>
      </w:r>
    </w:p>
  </w:endnote>
  <w:endnote w:type="continuationSeparator" w:id="0">
    <w:p w14:paraId="1B6BBDFC" w14:textId="77777777" w:rsidR="00036675" w:rsidRDefault="00036675" w:rsidP="00BE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1E7FE" w14:textId="77777777" w:rsidR="007C7E48" w:rsidRDefault="007C7E48" w:rsidP="00E07A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7DDF3B" w14:textId="77777777" w:rsidR="007C7E48" w:rsidRPr="00E07AA1" w:rsidRDefault="007C7E48" w:rsidP="00E07AA1">
    <w:pPr>
      <w:pStyle w:val="a5"/>
      <w:pBdr>
        <w:top w:val="single" w:sz="4" w:space="1" w:color="auto"/>
        <w:between w:val="single" w:sz="4" w:space="0" w:color="auto"/>
      </w:pBdr>
      <w:spacing w:after="60"/>
      <w:jc w:val="center"/>
      <w:rPr>
        <w:rFonts w:ascii="FrankRuehl" w:hAnsi="FrankRuehl" w:cs="FrankRuehl"/>
        <w:color w:val="000000"/>
      </w:rPr>
    </w:pPr>
    <w:r w:rsidRPr="00E07A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E0A0" w14:textId="77777777" w:rsidR="007C7E48" w:rsidRDefault="007C7E48" w:rsidP="00E07A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2039">
      <w:rPr>
        <w:rFonts w:ascii="FrankRuehl" w:hAnsi="FrankRuehl" w:cs="FrankRuehl"/>
        <w:noProof/>
        <w:rtl/>
      </w:rPr>
      <w:t>1</w:t>
    </w:r>
    <w:r>
      <w:rPr>
        <w:rFonts w:ascii="FrankRuehl" w:hAnsi="FrankRuehl" w:cs="FrankRuehl"/>
        <w:rtl/>
      </w:rPr>
      <w:fldChar w:fldCharType="end"/>
    </w:r>
  </w:p>
  <w:p w14:paraId="0BD32C7A" w14:textId="77777777" w:rsidR="007C7E48" w:rsidRPr="00E07AA1" w:rsidRDefault="007C7E48" w:rsidP="00E07AA1">
    <w:pPr>
      <w:pStyle w:val="a5"/>
      <w:pBdr>
        <w:top w:val="single" w:sz="4" w:space="1" w:color="auto"/>
        <w:between w:val="single" w:sz="4" w:space="0" w:color="auto"/>
      </w:pBdr>
      <w:spacing w:after="60"/>
      <w:jc w:val="center"/>
      <w:rPr>
        <w:rFonts w:ascii="FrankRuehl" w:hAnsi="FrankRuehl" w:cs="FrankRuehl"/>
        <w:color w:val="000000"/>
      </w:rPr>
    </w:pPr>
    <w:r w:rsidRPr="00E07AA1">
      <w:rPr>
        <w:rFonts w:ascii="FrankRuehl" w:hAnsi="FrankRuehl" w:cs="FrankRuehl"/>
        <w:color w:val="000000"/>
      </w:rPr>
      <w:pict w14:anchorId="30ABE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2EF79" w14:textId="77777777" w:rsidR="00036675" w:rsidRDefault="00036675" w:rsidP="00BE32C4">
      <w:r>
        <w:separator/>
      </w:r>
    </w:p>
  </w:footnote>
  <w:footnote w:type="continuationSeparator" w:id="0">
    <w:p w14:paraId="29DF90CE" w14:textId="77777777" w:rsidR="00036675" w:rsidRDefault="00036675" w:rsidP="00BE3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251A" w14:textId="77777777" w:rsidR="007C7E48" w:rsidRPr="00E07AA1" w:rsidRDefault="007C7E48" w:rsidP="00E07A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30408-02-19</w:t>
    </w:r>
    <w:r>
      <w:rPr>
        <w:rFonts w:ascii="David" w:hAnsi="David"/>
        <w:color w:val="000000"/>
        <w:sz w:val="22"/>
        <w:szCs w:val="22"/>
        <w:rtl/>
      </w:rPr>
      <w:tab/>
      <w:t xml:space="preserve"> מדינת ישראל נ' נדים אלסאנע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1F91E" w14:textId="77777777" w:rsidR="007C7E48" w:rsidRPr="00E07AA1" w:rsidRDefault="007C7E48" w:rsidP="00E07A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30408-02-19</w:t>
    </w:r>
    <w:r>
      <w:rPr>
        <w:rFonts w:ascii="David" w:hAnsi="David"/>
        <w:color w:val="000000"/>
        <w:sz w:val="22"/>
        <w:szCs w:val="22"/>
        <w:rtl/>
      </w:rPr>
      <w:tab/>
      <w:t xml:space="preserve"> מדינת ישראל נ' נדים אלסאנע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415AC"/>
    <w:multiLevelType w:val="hybridMultilevel"/>
    <w:tmpl w:val="DF380C66"/>
    <w:lvl w:ilvl="0" w:tplc="D53017B6">
      <w:start w:val="1"/>
      <w:numFmt w:val="decimal"/>
      <w:lvlText w:val="%1."/>
      <w:lvlJc w:val="left"/>
      <w:pPr>
        <w:ind w:left="248" w:hanging="435"/>
      </w:pPr>
      <w:rPr>
        <w:rFonts w:hint="default"/>
      </w:r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1" w15:restartNumberingAfterBreak="0">
    <w:nsid w:val="5A4B3119"/>
    <w:multiLevelType w:val="hybridMultilevel"/>
    <w:tmpl w:val="B6DEE314"/>
    <w:lvl w:ilvl="0" w:tplc="9020B964">
      <w:start w:val="1"/>
      <w:numFmt w:val="hebrew1"/>
      <w:lvlText w:val="%1."/>
      <w:lvlJc w:val="left"/>
      <w:pPr>
        <w:ind w:left="195" w:hanging="915"/>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794980026">
    <w:abstractNumId w:val="0"/>
  </w:num>
  <w:num w:numId="2" w16cid:durableId="880823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35A5"/>
    <w:rsid w:val="00036290"/>
    <w:rsid w:val="00036675"/>
    <w:rsid w:val="001B5A3B"/>
    <w:rsid w:val="001E6D31"/>
    <w:rsid w:val="00270721"/>
    <w:rsid w:val="00274B37"/>
    <w:rsid w:val="00317A5A"/>
    <w:rsid w:val="003C52D2"/>
    <w:rsid w:val="00482039"/>
    <w:rsid w:val="00487587"/>
    <w:rsid w:val="004F0BA5"/>
    <w:rsid w:val="00636E48"/>
    <w:rsid w:val="006A4C9D"/>
    <w:rsid w:val="007C7E48"/>
    <w:rsid w:val="00817A91"/>
    <w:rsid w:val="00866AE2"/>
    <w:rsid w:val="00917D18"/>
    <w:rsid w:val="00AF465F"/>
    <w:rsid w:val="00BE32C4"/>
    <w:rsid w:val="00C235A5"/>
    <w:rsid w:val="00D8206A"/>
    <w:rsid w:val="00DF3420"/>
    <w:rsid w:val="00E07AA1"/>
    <w:rsid w:val="00E538D7"/>
    <w:rsid w:val="00F1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FC5208"/>
  <w15:chartTrackingRefBased/>
  <w15:docId w15:val="{39767A15-95A4-4768-BF98-688289BA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35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35A5"/>
    <w:pPr>
      <w:tabs>
        <w:tab w:val="center" w:pos="4153"/>
        <w:tab w:val="right" w:pos="8306"/>
      </w:tabs>
    </w:pPr>
  </w:style>
  <w:style w:type="character" w:customStyle="1" w:styleId="a4">
    <w:name w:val="כותרת עליונה תו"/>
    <w:link w:val="a3"/>
    <w:rsid w:val="00C235A5"/>
    <w:rPr>
      <w:rFonts w:ascii="Times New Roman" w:eastAsia="Times New Roman" w:hAnsi="Times New Roman" w:cs="David"/>
      <w:sz w:val="24"/>
      <w:szCs w:val="24"/>
    </w:rPr>
  </w:style>
  <w:style w:type="paragraph" w:styleId="a5">
    <w:name w:val="footer"/>
    <w:basedOn w:val="a"/>
    <w:link w:val="a6"/>
    <w:rsid w:val="00C235A5"/>
    <w:pPr>
      <w:tabs>
        <w:tab w:val="center" w:pos="4153"/>
        <w:tab w:val="right" w:pos="8306"/>
      </w:tabs>
    </w:pPr>
  </w:style>
  <w:style w:type="character" w:customStyle="1" w:styleId="a6">
    <w:name w:val="כותרת תחתונה תו"/>
    <w:link w:val="a5"/>
    <w:rsid w:val="00C235A5"/>
    <w:rPr>
      <w:rFonts w:ascii="Times New Roman" w:eastAsia="Times New Roman" w:hAnsi="Times New Roman" w:cs="David"/>
      <w:sz w:val="24"/>
      <w:szCs w:val="24"/>
    </w:rPr>
  </w:style>
  <w:style w:type="table" w:styleId="a7">
    <w:name w:val="Table Grid"/>
    <w:basedOn w:val="a1"/>
    <w:rsid w:val="00C235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35A5"/>
  </w:style>
  <w:style w:type="paragraph" w:styleId="a9">
    <w:name w:val="List Paragraph"/>
    <w:basedOn w:val="a"/>
    <w:qFormat/>
    <w:rsid w:val="00C235A5"/>
    <w:pPr>
      <w:ind w:left="720"/>
      <w:contextualSpacing/>
    </w:pPr>
  </w:style>
  <w:style w:type="character" w:styleId="Hyperlink">
    <w:name w:val="Hyperlink"/>
    <w:rsid w:val="00487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3597004" TargetMode="External"/><Relationship Id="rId18" Type="http://schemas.openxmlformats.org/officeDocument/2006/relationships/hyperlink" Target="http://www.nevo.co.il/case/2024038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5583030" TargetMode="External"/><Relationship Id="rId7" Type="http://schemas.openxmlformats.org/officeDocument/2006/relationships/hyperlink" Target="http://www.nevo.co.il/law/4216" TargetMode="External"/><Relationship Id="rId12" Type="http://schemas.openxmlformats.org/officeDocument/2006/relationships/hyperlink" Target="http://www.nevo.co.il/case/25179718" TargetMode="External"/><Relationship Id="rId17" Type="http://schemas.openxmlformats.org/officeDocument/2006/relationships/hyperlink" Target="http://www.nevo.co.il/case/5583619"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2977631" TargetMode="External"/><Relationship Id="rId20" Type="http://schemas.openxmlformats.org/officeDocument/2006/relationships/hyperlink" Target="http://www.nevo.co.il/case/2024589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447493" TargetMode="External"/><Relationship Id="rId24" Type="http://schemas.openxmlformats.org/officeDocument/2006/relationships/hyperlink" Target="http://www.nevo.co.il/case/20704171" TargetMode="External"/><Relationship Id="rId5" Type="http://schemas.openxmlformats.org/officeDocument/2006/relationships/footnotes" Target="footnotes.xml"/><Relationship Id="rId15" Type="http://schemas.openxmlformats.org/officeDocument/2006/relationships/hyperlink" Target="http://www.nevo.co.il/case/22977208" TargetMode="External"/><Relationship Id="rId23" Type="http://schemas.openxmlformats.org/officeDocument/2006/relationships/hyperlink" Target="http://www.nevo.co.il/case/22617028" TargetMode="External"/><Relationship Id="rId28" Type="http://schemas.openxmlformats.org/officeDocument/2006/relationships/footer" Target="footer1.xml"/><Relationship Id="rId10" Type="http://schemas.openxmlformats.org/officeDocument/2006/relationships/hyperlink" Target="http://www.nevo.co.il/case/25439387" TargetMode="External"/><Relationship Id="rId19" Type="http://schemas.openxmlformats.org/officeDocument/2006/relationships/hyperlink" Target="http://www.nevo.co.il/case/2101513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25090750" TargetMode="External"/><Relationship Id="rId22" Type="http://schemas.openxmlformats.org/officeDocument/2006/relationships/hyperlink" Target="http://www.nevo.co.il/case/5578372"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2585</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15481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3539061</vt:i4>
      </vt:variant>
      <vt:variant>
        <vt:i4>51</vt:i4>
      </vt:variant>
      <vt:variant>
        <vt:i4>0</vt:i4>
      </vt:variant>
      <vt:variant>
        <vt:i4>5</vt:i4>
      </vt:variant>
      <vt:variant>
        <vt:lpwstr>http://www.nevo.co.il/case/20704171</vt:lpwstr>
      </vt:variant>
      <vt:variant>
        <vt:lpwstr/>
      </vt:variant>
      <vt:variant>
        <vt:i4>3211383</vt:i4>
      </vt:variant>
      <vt:variant>
        <vt:i4>48</vt:i4>
      </vt:variant>
      <vt:variant>
        <vt:i4>0</vt:i4>
      </vt:variant>
      <vt:variant>
        <vt:i4>5</vt:i4>
      </vt:variant>
      <vt:variant>
        <vt:lpwstr>http://www.nevo.co.il/case/22617028</vt:lpwstr>
      </vt:variant>
      <vt:variant>
        <vt:lpwstr/>
      </vt:variant>
      <vt:variant>
        <vt:i4>3342462</vt:i4>
      </vt:variant>
      <vt:variant>
        <vt:i4>45</vt:i4>
      </vt:variant>
      <vt:variant>
        <vt:i4>0</vt:i4>
      </vt:variant>
      <vt:variant>
        <vt:i4>5</vt:i4>
      </vt:variant>
      <vt:variant>
        <vt:lpwstr>http://www.nevo.co.il/case/5578372</vt:lpwstr>
      </vt:variant>
      <vt:variant>
        <vt:lpwstr/>
      </vt:variant>
      <vt:variant>
        <vt:i4>3997809</vt:i4>
      </vt:variant>
      <vt:variant>
        <vt:i4>42</vt:i4>
      </vt:variant>
      <vt:variant>
        <vt:i4>0</vt:i4>
      </vt:variant>
      <vt:variant>
        <vt:i4>5</vt:i4>
      </vt:variant>
      <vt:variant>
        <vt:lpwstr>http://www.nevo.co.il/case/5583030</vt:lpwstr>
      </vt:variant>
      <vt:variant>
        <vt:lpwstr/>
      </vt:variant>
      <vt:variant>
        <vt:i4>3932280</vt:i4>
      </vt:variant>
      <vt:variant>
        <vt:i4>39</vt:i4>
      </vt:variant>
      <vt:variant>
        <vt:i4>0</vt:i4>
      </vt:variant>
      <vt:variant>
        <vt:i4>5</vt:i4>
      </vt:variant>
      <vt:variant>
        <vt:lpwstr>http://www.nevo.co.il/case/20245898</vt:lpwstr>
      </vt:variant>
      <vt:variant>
        <vt:lpwstr/>
      </vt:variant>
      <vt:variant>
        <vt:i4>3407989</vt:i4>
      </vt:variant>
      <vt:variant>
        <vt:i4>36</vt:i4>
      </vt:variant>
      <vt:variant>
        <vt:i4>0</vt:i4>
      </vt:variant>
      <vt:variant>
        <vt:i4>5</vt:i4>
      </vt:variant>
      <vt:variant>
        <vt:lpwstr>http://www.nevo.co.il/case/21015131</vt:lpwstr>
      </vt:variant>
      <vt:variant>
        <vt:lpwstr/>
      </vt:variant>
      <vt:variant>
        <vt:i4>3670131</vt:i4>
      </vt:variant>
      <vt:variant>
        <vt:i4>33</vt:i4>
      </vt:variant>
      <vt:variant>
        <vt:i4>0</vt:i4>
      </vt:variant>
      <vt:variant>
        <vt:i4>5</vt:i4>
      </vt:variant>
      <vt:variant>
        <vt:lpwstr>http://www.nevo.co.il/case/20240382</vt:lpwstr>
      </vt:variant>
      <vt:variant>
        <vt:lpwstr/>
      </vt:variant>
      <vt:variant>
        <vt:i4>3276915</vt:i4>
      </vt:variant>
      <vt:variant>
        <vt:i4>30</vt:i4>
      </vt:variant>
      <vt:variant>
        <vt:i4>0</vt:i4>
      </vt:variant>
      <vt:variant>
        <vt:i4>5</vt:i4>
      </vt:variant>
      <vt:variant>
        <vt:lpwstr>http://www.nevo.co.il/case/5583619</vt:lpwstr>
      </vt:variant>
      <vt:variant>
        <vt:lpwstr/>
      </vt:variant>
      <vt:variant>
        <vt:i4>4128887</vt:i4>
      </vt:variant>
      <vt:variant>
        <vt:i4>27</vt:i4>
      </vt:variant>
      <vt:variant>
        <vt:i4>0</vt:i4>
      </vt:variant>
      <vt:variant>
        <vt:i4>5</vt:i4>
      </vt:variant>
      <vt:variant>
        <vt:lpwstr>http://www.nevo.co.il/case/22977631</vt:lpwstr>
      </vt:variant>
      <vt:variant>
        <vt:lpwstr/>
      </vt:variant>
      <vt:variant>
        <vt:i4>3932275</vt:i4>
      </vt:variant>
      <vt:variant>
        <vt:i4>24</vt:i4>
      </vt:variant>
      <vt:variant>
        <vt:i4>0</vt:i4>
      </vt:variant>
      <vt:variant>
        <vt:i4>5</vt:i4>
      </vt:variant>
      <vt:variant>
        <vt:lpwstr>http://www.nevo.co.il/case/22977208</vt:lpwstr>
      </vt:variant>
      <vt:variant>
        <vt:lpwstr/>
      </vt:variant>
      <vt:variant>
        <vt:i4>3604607</vt:i4>
      </vt:variant>
      <vt:variant>
        <vt:i4>21</vt:i4>
      </vt:variant>
      <vt:variant>
        <vt:i4>0</vt:i4>
      </vt:variant>
      <vt:variant>
        <vt:i4>5</vt:i4>
      </vt:variant>
      <vt:variant>
        <vt:lpwstr>http://www.nevo.co.il/case/25090750</vt:lpwstr>
      </vt:variant>
      <vt:variant>
        <vt:lpwstr/>
      </vt:variant>
      <vt:variant>
        <vt:i4>3145854</vt:i4>
      </vt:variant>
      <vt:variant>
        <vt:i4>18</vt:i4>
      </vt:variant>
      <vt:variant>
        <vt:i4>0</vt:i4>
      </vt:variant>
      <vt:variant>
        <vt:i4>5</vt:i4>
      </vt:variant>
      <vt:variant>
        <vt:lpwstr>http://www.nevo.co.il/case/23597004</vt:lpwstr>
      </vt:variant>
      <vt:variant>
        <vt:lpwstr/>
      </vt:variant>
      <vt:variant>
        <vt:i4>3866737</vt:i4>
      </vt:variant>
      <vt:variant>
        <vt:i4>15</vt:i4>
      </vt:variant>
      <vt:variant>
        <vt:i4>0</vt:i4>
      </vt:variant>
      <vt:variant>
        <vt:i4>5</vt:i4>
      </vt:variant>
      <vt:variant>
        <vt:lpwstr>http://www.nevo.co.il/case/25179718</vt:lpwstr>
      </vt:variant>
      <vt:variant>
        <vt:lpwstr/>
      </vt:variant>
      <vt:variant>
        <vt:i4>3670129</vt:i4>
      </vt:variant>
      <vt:variant>
        <vt:i4>12</vt:i4>
      </vt:variant>
      <vt:variant>
        <vt:i4>0</vt:i4>
      </vt:variant>
      <vt:variant>
        <vt:i4>5</vt:i4>
      </vt:variant>
      <vt:variant>
        <vt:lpwstr>http://www.nevo.co.il/case/25447493</vt:lpwstr>
      </vt:variant>
      <vt:variant>
        <vt:lpwstr/>
      </vt:variant>
      <vt:variant>
        <vt:i4>3604593</vt:i4>
      </vt:variant>
      <vt:variant>
        <vt:i4>9</vt:i4>
      </vt:variant>
      <vt:variant>
        <vt:i4>0</vt:i4>
      </vt:variant>
      <vt:variant>
        <vt:i4>5</vt:i4>
      </vt:variant>
      <vt:variant>
        <vt:lpwstr>http://www.nevo.co.il/case/25439387</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30408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נדים אלסאנע</vt:lpwstr>
  </property>
  <property fmtid="{D5CDD505-2E9C-101B-9397-08002B2CF9AE}" pid="10" name="LAWYER">
    <vt:lpwstr>קארי קסה;שאדי כבהא</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20210413</vt:lpwstr>
  </property>
  <property fmtid="{D5CDD505-2E9C-101B-9397-08002B2CF9AE}" pid="14" name="TYPE_N_DATE">
    <vt:lpwstr>39020210413</vt:lpwstr>
  </property>
  <property fmtid="{D5CDD505-2E9C-101B-9397-08002B2CF9AE}" pid="15" name="WORDNUMPAGES">
    <vt:lpwstr>8</vt:lpwstr>
  </property>
  <property fmtid="{D5CDD505-2E9C-101B-9397-08002B2CF9AE}" pid="16" name="TYPE_ABS_DATE">
    <vt:lpwstr>390020210413</vt:lpwstr>
  </property>
  <property fmtid="{D5CDD505-2E9C-101B-9397-08002B2CF9AE}" pid="17" name="ISABSTRACT">
    <vt:lpwstr>Y</vt:lpwstr>
  </property>
  <property fmtid="{D5CDD505-2E9C-101B-9397-08002B2CF9AE}" pid="18" name="CASESLISTTMP1">
    <vt:lpwstr>25439387;25447493;25179718;23597004;25090750;22977208;22977631;5583619;20240382;21015131;20245898;5583030;5578372;22617028;20704171</vt:lpwstr>
  </property>
  <property fmtid="{D5CDD505-2E9C-101B-9397-08002B2CF9AE}" pid="19" name="LAWLISTTMP1">
    <vt:lpwstr>4216/013</vt:lpwstr>
  </property>
</Properties>
</file>