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8E79DF" w:rsidRPr="00AE0C02" w14:paraId="1E067ECC" w14:textId="77777777" w:rsidTr="00C40887">
        <w:trPr>
          <w:trHeight w:hRule="exact" w:val="418"/>
          <w:jc w:val="center"/>
        </w:trPr>
        <w:tc>
          <w:tcPr>
            <w:tcW w:w="8505" w:type="dxa"/>
          </w:tcPr>
          <w:p w14:paraId="5679E9AD" w14:textId="77777777" w:rsidR="008E79DF" w:rsidRPr="00AE0C02" w:rsidRDefault="008E79DF" w:rsidP="00C40887">
            <w:pPr>
              <w:pStyle w:val="a3"/>
              <w:jc w:val="center"/>
              <w:rPr>
                <w:rFonts w:ascii="Tahoma" w:hAnsi="Tahoma"/>
                <w:color w:val="000080"/>
                <w:sz w:val="32"/>
                <w:szCs w:val="32"/>
                <w:rtl/>
              </w:rPr>
            </w:pPr>
            <w:bookmarkStart w:id="0" w:name="LastJudge"/>
            <w:r w:rsidRPr="00AE0C02">
              <w:rPr>
                <w:rFonts w:ascii="Tahoma" w:hAnsi="Tahoma"/>
                <w:b/>
                <w:bCs/>
                <w:color w:val="000080"/>
                <w:sz w:val="32"/>
                <w:szCs w:val="32"/>
                <w:rtl/>
              </w:rPr>
              <w:t>בית המשפט המחוזי בתל אביב - יפו</w:t>
            </w:r>
          </w:p>
        </w:tc>
      </w:tr>
      <w:tr w:rsidR="008E79DF" w:rsidRPr="00AE0C02" w14:paraId="3B82B9BE" w14:textId="77777777" w:rsidTr="00C40887">
        <w:trPr>
          <w:trHeight w:val="337"/>
          <w:jc w:val="center"/>
        </w:trPr>
        <w:tc>
          <w:tcPr>
            <w:tcW w:w="8505" w:type="dxa"/>
          </w:tcPr>
          <w:p w14:paraId="7A3B0FA1" w14:textId="77777777" w:rsidR="008E79DF" w:rsidRPr="00AE0C02" w:rsidRDefault="008E79DF" w:rsidP="00C40887">
            <w:pPr>
              <w:rPr>
                <w:b/>
                <w:bCs/>
                <w:rtl/>
              </w:rPr>
            </w:pPr>
            <w:r w:rsidRPr="00AE0C02">
              <w:rPr>
                <w:b/>
                <w:bCs/>
                <w:rtl/>
              </w:rPr>
              <w:t>ת"פ</w:t>
            </w:r>
            <w:r w:rsidRPr="00AE0C02">
              <w:rPr>
                <w:rFonts w:hint="cs"/>
                <w:b/>
                <w:bCs/>
                <w:rtl/>
              </w:rPr>
              <w:t xml:space="preserve"> </w:t>
            </w:r>
            <w:r w:rsidRPr="00AE0C02">
              <w:rPr>
                <w:b/>
                <w:bCs/>
                <w:rtl/>
              </w:rPr>
              <w:t>30538-02-19</w:t>
            </w:r>
            <w:r w:rsidRPr="00AE0C02">
              <w:rPr>
                <w:rFonts w:hint="cs"/>
                <w:b/>
                <w:bCs/>
                <w:rtl/>
              </w:rPr>
              <w:t xml:space="preserve"> </w:t>
            </w:r>
            <w:r w:rsidRPr="00AE0C02">
              <w:rPr>
                <w:b/>
                <w:bCs/>
                <w:rtl/>
              </w:rPr>
              <w:t>מדינת ישראל נ' איזגילוב ולקוביץ</w:t>
            </w:r>
            <w:r w:rsidRPr="00AE0C02">
              <w:rPr>
                <w:rFonts w:hint="cs"/>
                <w:b/>
                <w:bCs/>
                <w:rtl/>
              </w:rPr>
              <w:t xml:space="preserve">                                          5 נובמבר 2019</w:t>
            </w:r>
          </w:p>
          <w:p w14:paraId="46D3842E" w14:textId="77777777" w:rsidR="008E79DF" w:rsidRPr="00AE0C02" w:rsidRDefault="008E79DF" w:rsidP="00C40887">
            <w:pPr>
              <w:pStyle w:val="a3"/>
              <w:jc w:val="right"/>
              <w:rPr>
                <w:rFonts w:cs="FrankRuehl"/>
                <w:b/>
                <w:bCs/>
                <w:rtl/>
              </w:rPr>
            </w:pPr>
          </w:p>
        </w:tc>
      </w:tr>
    </w:tbl>
    <w:p w14:paraId="211C907B" w14:textId="77777777" w:rsidR="008E79DF" w:rsidRPr="00AE0C02" w:rsidRDefault="008E79DF" w:rsidP="008E79DF">
      <w:pPr>
        <w:pStyle w:val="a3"/>
        <w:rPr>
          <w:rtl/>
        </w:rPr>
      </w:pPr>
      <w:r w:rsidRPr="00AE0C02">
        <w:rPr>
          <w:rFonts w:hint="cs"/>
          <w:rtl/>
        </w:rPr>
        <w:t xml:space="preserve"> </w:t>
      </w:r>
    </w:p>
    <w:p w14:paraId="5FDF8C15" w14:textId="77777777" w:rsidR="008E79DF" w:rsidRPr="00AE0C02" w:rsidRDefault="008E79DF" w:rsidP="008E79DF">
      <w:pPr>
        <w:rPr>
          <w:rtl/>
        </w:rPr>
      </w:pPr>
    </w:p>
    <w:p w14:paraId="1E0DF3D2" w14:textId="77777777" w:rsidR="008E79DF" w:rsidRPr="00AE0C02" w:rsidRDefault="008E79DF" w:rsidP="008E79DF">
      <w:pPr>
        <w:rPr>
          <w:rtl/>
        </w:rPr>
      </w:pPr>
    </w:p>
    <w:tbl>
      <w:tblPr>
        <w:bidiVisual/>
        <w:tblW w:w="8077" w:type="dxa"/>
        <w:tblInd w:w="697" w:type="dxa"/>
        <w:tblLook w:val="01E0" w:firstRow="1" w:lastRow="1" w:firstColumn="1" w:lastColumn="1" w:noHBand="0" w:noVBand="0"/>
      </w:tblPr>
      <w:tblGrid>
        <w:gridCol w:w="2155"/>
        <w:gridCol w:w="5866"/>
        <w:gridCol w:w="56"/>
      </w:tblGrid>
      <w:tr w:rsidR="008E79DF" w:rsidRPr="00AE0C02" w14:paraId="3FA9E48F" w14:textId="77777777" w:rsidTr="008E79DF">
        <w:trPr>
          <w:gridAfter w:val="1"/>
          <w:wAfter w:w="56" w:type="dxa"/>
        </w:trPr>
        <w:tc>
          <w:tcPr>
            <w:tcW w:w="8021" w:type="dxa"/>
            <w:gridSpan w:val="2"/>
            <w:shd w:val="clear" w:color="auto" w:fill="auto"/>
          </w:tcPr>
          <w:p w14:paraId="184F923D" w14:textId="77777777" w:rsidR="008E79DF" w:rsidRPr="00AE0C02" w:rsidRDefault="008E79DF" w:rsidP="008E79DF">
            <w:pPr>
              <w:spacing w:line="360" w:lineRule="auto"/>
              <w:rPr>
                <w:b/>
                <w:bCs/>
                <w:rtl/>
              </w:rPr>
            </w:pPr>
            <w:r w:rsidRPr="00AE0C02">
              <w:rPr>
                <w:rFonts w:hint="cs"/>
                <w:b/>
                <w:bCs/>
                <w:rtl/>
              </w:rPr>
              <w:t>לפני כבוד השופט בני שגיא</w:t>
            </w:r>
            <w:r w:rsidRPr="00AE0C02">
              <w:rPr>
                <w:rStyle w:val="TimesNewRomanTimesNewRoman"/>
                <w:rtl/>
              </w:rPr>
              <w:t xml:space="preserve"> </w:t>
            </w:r>
          </w:p>
        </w:tc>
      </w:tr>
      <w:tr w:rsidR="008E79DF" w:rsidRPr="00AE0C02" w14:paraId="4896C730" w14:textId="77777777" w:rsidTr="008E79DF">
        <w:trPr>
          <w:cantSplit/>
          <w:trHeight w:val="724"/>
        </w:trPr>
        <w:tc>
          <w:tcPr>
            <w:tcW w:w="2155" w:type="dxa"/>
            <w:shd w:val="clear" w:color="auto" w:fill="auto"/>
          </w:tcPr>
          <w:p w14:paraId="73B216D7" w14:textId="77777777" w:rsidR="008E79DF" w:rsidRPr="00AE0C02" w:rsidRDefault="008E79DF" w:rsidP="008E79DF">
            <w:pPr>
              <w:spacing w:line="360" w:lineRule="auto"/>
              <w:ind w:left="26"/>
              <w:jc w:val="right"/>
              <w:rPr>
                <w:b/>
                <w:bCs/>
                <w:rtl/>
              </w:rPr>
            </w:pPr>
            <w:bookmarkStart w:id="1" w:name="FirstAppellant"/>
            <w:bookmarkStart w:id="2" w:name="FirstLawyer"/>
          </w:p>
          <w:p w14:paraId="12232E98" w14:textId="77777777" w:rsidR="008E79DF" w:rsidRPr="00AE0C02" w:rsidRDefault="008E79DF" w:rsidP="008E79DF">
            <w:pPr>
              <w:spacing w:line="360" w:lineRule="auto"/>
              <w:ind w:left="26"/>
              <w:rPr>
                <w:b/>
                <w:bCs/>
                <w:rtl/>
              </w:rPr>
            </w:pPr>
            <w:r w:rsidRPr="00AE0C02">
              <w:rPr>
                <w:rFonts w:hint="cs"/>
                <w:b/>
                <w:bCs/>
                <w:rtl/>
              </w:rPr>
              <w:t>המאשימה</w:t>
            </w:r>
          </w:p>
        </w:tc>
        <w:tc>
          <w:tcPr>
            <w:tcW w:w="5922" w:type="dxa"/>
            <w:gridSpan w:val="2"/>
            <w:shd w:val="clear" w:color="auto" w:fill="auto"/>
          </w:tcPr>
          <w:p w14:paraId="6ABF33B0" w14:textId="77777777" w:rsidR="008E79DF" w:rsidRPr="00AE0C02" w:rsidRDefault="008E79DF" w:rsidP="008E79DF">
            <w:pPr>
              <w:spacing w:line="360" w:lineRule="auto"/>
              <w:jc w:val="right"/>
              <w:rPr>
                <w:rtl/>
              </w:rPr>
            </w:pPr>
          </w:p>
          <w:p w14:paraId="442EE92A" w14:textId="77777777" w:rsidR="008E79DF" w:rsidRPr="00AE0C02" w:rsidRDefault="008E79DF" w:rsidP="008E79DF">
            <w:pPr>
              <w:spacing w:line="360" w:lineRule="auto"/>
              <w:rPr>
                <w:rtl/>
              </w:rPr>
            </w:pPr>
            <w:r w:rsidRPr="00AE0C02">
              <w:rPr>
                <w:rFonts w:hint="cs"/>
                <w:b/>
                <w:bCs/>
                <w:rtl/>
              </w:rPr>
              <w:t>מדינת ישראל</w:t>
            </w:r>
          </w:p>
          <w:p w14:paraId="56B3BE42" w14:textId="77777777" w:rsidR="008E79DF" w:rsidRPr="00AE0C02" w:rsidRDefault="008E79DF" w:rsidP="008E79DF">
            <w:pPr>
              <w:spacing w:line="360" w:lineRule="auto"/>
            </w:pPr>
            <w:r w:rsidRPr="00AE0C02">
              <w:rPr>
                <w:rFonts w:hint="cs"/>
                <w:rtl/>
              </w:rPr>
              <w:t>על-ידי ב"כ עו"ד דליה וייסברג</w:t>
            </w:r>
          </w:p>
        </w:tc>
      </w:tr>
      <w:bookmarkEnd w:id="1"/>
      <w:bookmarkEnd w:id="2"/>
      <w:tr w:rsidR="008E79DF" w:rsidRPr="00AE0C02" w14:paraId="31191EEF" w14:textId="77777777" w:rsidTr="008E79DF">
        <w:tc>
          <w:tcPr>
            <w:tcW w:w="8077" w:type="dxa"/>
            <w:gridSpan w:val="3"/>
            <w:shd w:val="clear" w:color="auto" w:fill="auto"/>
            <w:vAlign w:val="center"/>
          </w:tcPr>
          <w:p w14:paraId="5B6454C7" w14:textId="77777777" w:rsidR="008E79DF" w:rsidRPr="00AE0C02" w:rsidRDefault="008E79DF" w:rsidP="008E79DF">
            <w:pPr>
              <w:jc w:val="center"/>
              <w:rPr>
                <w:rFonts w:ascii="Arial" w:hAnsi="Arial"/>
                <w:b/>
                <w:bCs/>
                <w:rtl/>
              </w:rPr>
            </w:pPr>
          </w:p>
          <w:p w14:paraId="3315360D" w14:textId="77777777" w:rsidR="008E79DF" w:rsidRPr="00AE0C02" w:rsidRDefault="008E79DF" w:rsidP="008E79DF">
            <w:pPr>
              <w:jc w:val="center"/>
              <w:rPr>
                <w:rFonts w:ascii="Arial" w:hAnsi="Arial"/>
                <w:b/>
                <w:bCs/>
                <w:rtl/>
              </w:rPr>
            </w:pPr>
            <w:r w:rsidRPr="00AE0C02">
              <w:rPr>
                <w:rFonts w:ascii="Arial" w:hAnsi="Arial" w:hint="cs"/>
                <w:b/>
                <w:bCs/>
                <w:rtl/>
              </w:rPr>
              <w:t>נגד</w:t>
            </w:r>
          </w:p>
          <w:p w14:paraId="4FC76FCE" w14:textId="77777777" w:rsidR="008E79DF" w:rsidRPr="00AE0C02" w:rsidRDefault="008E79DF" w:rsidP="008E79DF">
            <w:pPr>
              <w:jc w:val="right"/>
              <w:rPr>
                <w:rFonts w:ascii="Arial" w:hAnsi="Arial"/>
                <w:b/>
                <w:bCs/>
                <w:rtl/>
              </w:rPr>
            </w:pPr>
          </w:p>
        </w:tc>
      </w:tr>
      <w:tr w:rsidR="008E79DF" w:rsidRPr="00AE0C02" w14:paraId="7511A7C4" w14:textId="77777777" w:rsidTr="008E79DF">
        <w:tc>
          <w:tcPr>
            <w:tcW w:w="2155" w:type="dxa"/>
            <w:shd w:val="clear" w:color="auto" w:fill="auto"/>
          </w:tcPr>
          <w:p w14:paraId="2BC47C49" w14:textId="77777777" w:rsidR="008E79DF" w:rsidRPr="00AE0C02" w:rsidRDefault="008E79DF" w:rsidP="008E79DF">
            <w:pPr>
              <w:spacing w:line="360" w:lineRule="auto"/>
              <w:ind w:left="26"/>
              <w:rPr>
                <w:b/>
                <w:bCs/>
                <w:rtl/>
              </w:rPr>
            </w:pPr>
            <w:r w:rsidRPr="00AE0C02">
              <w:rPr>
                <w:rFonts w:hint="cs"/>
                <w:b/>
                <w:bCs/>
                <w:rtl/>
              </w:rPr>
              <w:t>הנאשם</w:t>
            </w:r>
          </w:p>
        </w:tc>
        <w:tc>
          <w:tcPr>
            <w:tcW w:w="5922" w:type="dxa"/>
            <w:gridSpan w:val="2"/>
            <w:shd w:val="clear" w:color="auto" w:fill="auto"/>
          </w:tcPr>
          <w:p w14:paraId="2BE0BE9C" w14:textId="77777777" w:rsidR="008E79DF" w:rsidRPr="00AE0C02" w:rsidRDefault="008E79DF" w:rsidP="008E79DF">
            <w:pPr>
              <w:spacing w:line="360" w:lineRule="auto"/>
              <w:rPr>
                <w:rtl/>
              </w:rPr>
            </w:pPr>
            <w:r w:rsidRPr="00AE0C02">
              <w:rPr>
                <w:rFonts w:hint="cs"/>
                <w:b/>
                <w:bCs/>
                <w:rtl/>
              </w:rPr>
              <w:t>אלון צבי איזגילוב ולקוביץ</w:t>
            </w:r>
            <w:r w:rsidRPr="00AE0C02">
              <w:rPr>
                <w:rFonts w:hint="cs"/>
                <w:rtl/>
              </w:rPr>
              <w:t xml:space="preserve"> </w:t>
            </w:r>
            <w:r w:rsidRPr="00AE0C02">
              <w:rPr>
                <w:rFonts w:hint="cs"/>
                <w:b/>
                <w:bCs/>
                <w:rtl/>
              </w:rPr>
              <w:t xml:space="preserve">ת.ז.  </w:t>
            </w:r>
            <w:r w:rsidR="00AE0C02">
              <w:rPr>
                <w:b/>
                <w:bCs/>
              </w:rPr>
              <w:t>xxxxxxxxxx</w:t>
            </w:r>
          </w:p>
          <w:p w14:paraId="67FD2217" w14:textId="77777777" w:rsidR="008E79DF" w:rsidRPr="00AE0C02" w:rsidRDefault="008E79DF" w:rsidP="008E79DF">
            <w:pPr>
              <w:spacing w:line="360" w:lineRule="auto"/>
              <w:rPr>
                <w:rtl/>
              </w:rPr>
            </w:pPr>
            <w:r w:rsidRPr="00AE0C02">
              <w:rPr>
                <w:rFonts w:hint="cs"/>
                <w:rtl/>
              </w:rPr>
              <w:t>על-ידי ב"כ עו"ד יוסי סקה</w:t>
            </w:r>
          </w:p>
        </w:tc>
      </w:tr>
    </w:tbl>
    <w:p w14:paraId="415DFB1F" w14:textId="77777777" w:rsidR="008E79DF" w:rsidRPr="00AE0C02" w:rsidRDefault="008E79DF" w:rsidP="008E79DF">
      <w:pPr>
        <w:rPr>
          <w:rtl/>
        </w:rPr>
      </w:pPr>
    </w:p>
    <w:p w14:paraId="4D77A3E9" w14:textId="77777777" w:rsidR="008E79DF" w:rsidRPr="00AE0C02" w:rsidRDefault="008E79DF" w:rsidP="008E79DF">
      <w:pPr>
        <w:rPr>
          <w:sz w:val="2"/>
          <w:szCs w:val="2"/>
          <w:rtl/>
        </w:rPr>
      </w:pPr>
    </w:p>
    <w:p w14:paraId="01D7FEB6" w14:textId="77777777" w:rsidR="00DB3936" w:rsidRDefault="00DB3936" w:rsidP="008E79DF">
      <w:pPr>
        <w:rPr>
          <w:rtl/>
        </w:rPr>
      </w:pPr>
      <w:bookmarkStart w:id="3" w:name="LawTable"/>
      <w:bookmarkEnd w:id="3"/>
    </w:p>
    <w:p w14:paraId="56533028" w14:textId="77777777" w:rsidR="00DB3936" w:rsidRPr="00DB3936" w:rsidRDefault="00DB3936" w:rsidP="00DB3936">
      <w:pPr>
        <w:spacing w:after="120" w:line="240" w:lineRule="exact"/>
        <w:ind w:left="283" w:hanging="283"/>
        <w:jc w:val="both"/>
        <w:rPr>
          <w:rFonts w:ascii="FrankRuehl" w:hAnsi="FrankRuehl" w:cs="FrankRuehl"/>
          <w:rtl/>
        </w:rPr>
      </w:pPr>
    </w:p>
    <w:p w14:paraId="506B5689" w14:textId="77777777" w:rsidR="00DB3936" w:rsidRPr="00DB3936" w:rsidRDefault="00DB3936" w:rsidP="00DB3936">
      <w:pPr>
        <w:spacing w:after="120" w:line="240" w:lineRule="exact"/>
        <w:ind w:left="283" w:hanging="283"/>
        <w:jc w:val="both"/>
        <w:rPr>
          <w:rFonts w:ascii="FrankRuehl" w:hAnsi="FrankRuehl" w:cs="FrankRuehl"/>
          <w:rtl/>
        </w:rPr>
      </w:pPr>
      <w:r w:rsidRPr="00DB3936">
        <w:rPr>
          <w:rFonts w:ascii="FrankRuehl" w:hAnsi="FrankRuehl" w:cs="FrankRuehl"/>
          <w:rtl/>
        </w:rPr>
        <w:t xml:space="preserve">חקיקה שאוזכרה: </w:t>
      </w:r>
    </w:p>
    <w:p w14:paraId="40E394BF" w14:textId="77777777" w:rsidR="00DB3936" w:rsidRPr="00DB3936" w:rsidRDefault="00DB3936" w:rsidP="00DB3936">
      <w:pPr>
        <w:spacing w:after="120" w:line="240" w:lineRule="exact"/>
        <w:ind w:left="283" w:hanging="283"/>
        <w:jc w:val="both"/>
        <w:rPr>
          <w:rFonts w:ascii="FrankRuehl" w:hAnsi="FrankRuehl" w:cs="FrankRuehl"/>
          <w:rtl/>
        </w:rPr>
      </w:pPr>
      <w:hyperlink r:id="rId6" w:history="1">
        <w:r w:rsidRPr="00DB3936">
          <w:rPr>
            <w:rFonts w:ascii="FrankRuehl" w:hAnsi="FrankRuehl" w:cs="FrankRuehl"/>
            <w:color w:val="0000FF"/>
            <w:u w:val="single"/>
            <w:rtl/>
          </w:rPr>
          <w:t>פקודת הסמים המסוכנים [נוסח חדש], תשל"ג-1973</w:t>
        </w:r>
      </w:hyperlink>
      <w:r w:rsidRPr="00DB3936">
        <w:rPr>
          <w:rFonts w:ascii="FrankRuehl" w:hAnsi="FrankRuehl" w:cs="FrankRuehl"/>
          <w:rtl/>
        </w:rPr>
        <w:t xml:space="preserve">: סע'  </w:t>
      </w:r>
      <w:hyperlink r:id="rId7" w:history="1">
        <w:r w:rsidRPr="00DB3936">
          <w:rPr>
            <w:rFonts w:ascii="FrankRuehl" w:hAnsi="FrankRuehl" w:cs="FrankRuehl"/>
            <w:color w:val="0000FF"/>
            <w:u w:val="single"/>
            <w:rtl/>
          </w:rPr>
          <w:t>13</w:t>
        </w:r>
      </w:hyperlink>
    </w:p>
    <w:p w14:paraId="75CE2818" w14:textId="77777777" w:rsidR="00DB3936" w:rsidRPr="00DB3936" w:rsidRDefault="00DB3936" w:rsidP="00DB3936">
      <w:pPr>
        <w:spacing w:after="120" w:line="240" w:lineRule="exact"/>
        <w:ind w:left="283" w:hanging="283"/>
        <w:jc w:val="both"/>
        <w:rPr>
          <w:rFonts w:ascii="FrankRuehl" w:hAnsi="FrankRuehl" w:cs="FrankRuehl"/>
          <w:rtl/>
        </w:rPr>
      </w:pPr>
    </w:p>
    <w:p w14:paraId="00E51037" w14:textId="77777777" w:rsidR="00AE0C02" w:rsidRPr="00AE0C02" w:rsidRDefault="00AE0C02" w:rsidP="008E79DF">
      <w:pPr>
        <w:rPr>
          <w:rtl/>
        </w:rPr>
      </w:pPr>
      <w:bookmarkStart w:id="4" w:name="LawTable_End"/>
      <w:bookmarkEnd w:id="4"/>
    </w:p>
    <w:p w14:paraId="6EABCC3E" w14:textId="77777777" w:rsidR="00AE0C02" w:rsidRPr="00AE0C02" w:rsidRDefault="00AE0C02" w:rsidP="008E79DF">
      <w:pPr>
        <w:rPr>
          <w:rtl/>
        </w:rPr>
      </w:pPr>
    </w:p>
    <w:p w14:paraId="4FC7648E" w14:textId="77777777" w:rsidR="008E79DF" w:rsidRPr="00AE0C02" w:rsidRDefault="008E79DF" w:rsidP="008E79DF"/>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E79DF" w14:paraId="07582A85" w14:textId="77777777" w:rsidTr="008E79DF">
        <w:trPr>
          <w:trHeight w:val="355"/>
        </w:trPr>
        <w:tc>
          <w:tcPr>
            <w:tcW w:w="8820" w:type="dxa"/>
            <w:tcBorders>
              <w:top w:val="nil"/>
              <w:left w:val="nil"/>
              <w:bottom w:val="nil"/>
              <w:right w:val="nil"/>
            </w:tcBorders>
            <w:shd w:val="clear" w:color="auto" w:fill="auto"/>
          </w:tcPr>
          <w:p w14:paraId="2F696E88" w14:textId="77777777" w:rsidR="00AE0C02" w:rsidRPr="00AE0C02" w:rsidRDefault="00AE0C02" w:rsidP="00AE0C02">
            <w:pPr>
              <w:jc w:val="center"/>
              <w:rPr>
                <w:rFonts w:ascii="Arial" w:hAnsi="Arial"/>
                <w:b/>
                <w:bCs/>
                <w:sz w:val="28"/>
                <w:szCs w:val="28"/>
                <w:u w:val="single"/>
                <w:rtl/>
              </w:rPr>
            </w:pPr>
            <w:bookmarkStart w:id="5" w:name="PsakDin" w:colFirst="0" w:colLast="0"/>
            <w:bookmarkEnd w:id="0"/>
            <w:r w:rsidRPr="00AE0C02">
              <w:rPr>
                <w:rFonts w:ascii="Arial" w:hAnsi="Arial"/>
                <w:b/>
                <w:bCs/>
                <w:sz w:val="28"/>
                <w:szCs w:val="28"/>
                <w:u w:val="single"/>
                <w:rtl/>
              </w:rPr>
              <w:t>גזר דין</w:t>
            </w:r>
          </w:p>
          <w:p w14:paraId="7AC2342A" w14:textId="77777777" w:rsidR="008E79DF" w:rsidRPr="00AE0C02" w:rsidRDefault="008E79DF" w:rsidP="00AE0C02">
            <w:pPr>
              <w:jc w:val="center"/>
              <w:rPr>
                <w:rFonts w:ascii="Arial" w:hAnsi="Arial"/>
                <w:bCs/>
                <w:sz w:val="28"/>
                <w:szCs w:val="28"/>
                <w:u w:val="single"/>
                <w:rtl/>
              </w:rPr>
            </w:pPr>
          </w:p>
        </w:tc>
      </w:tr>
      <w:bookmarkEnd w:id="5"/>
    </w:tbl>
    <w:p w14:paraId="5C63DC26" w14:textId="77777777" w:rsidR="008E79DF" w:rsidRPr="00B05847" w:rsidRDefault="008E79DF" w:rsidP="008E79DF">
      <w:pPr>
        <w:rPr>
          <w:rFonts w:ascii="Arial" w:hAnsi="Arial"/>
          <w:rtl/>
        </w:rPr>
      </w:pPr>
    </w:p>
    <w:p w14:paraId="7E01819B" w14:textId="77777777" w:rsidR="008E79DF" w:rsidRDefault="008E79DF" w:rsidP="008E79DF">
      <w:pPr>
        <w:spacing w:line="360" w:lineRule="auto"/>
        <w:rPr>
          <w:rFonts w:ascii="Arial" w:hAnsi="Arial"/>
          <w:rtl/>
        </w:rPr>
      </w:pPr>
    </w:p>
    <w:p w14:paraId="1AD6156A" w14:textId="77777777" w:rsidR="008E79DF" w:rsidRDefault="008E79DF" w:rsidP="008E79DF">
      <w:pPr>
        <w:jc w:val="both"/>
        <w:rPr>
          <w:rFonts w:ascii="David" w:hAnsi="David"/>
          <w:u w:val="single"/>
          <w:rtl/>
        </w:rPr>
      </w:pPr>
      <w:r>
        <w:rPr>
          <w:rFonts w:ascii="David" w:hAnsi="David"/>
          <w:rtl/>
        </w:rPr>
        <w:tab/>
      </w:r>
      <w:r>
        <w:rPr>
          <w:rFonts w:ascii="David" w:hAnsi="David"/>
          <w:u w:val="single"/>
          <w:rtl/>
        </w:rPr>
        <w:t>כללי</w:t>
      </w:r>
    </w:p>
    <w:p w14:paraId="220051F6" w14:textId="77777777" w:rsidR="008E79DF" w:rsidRDefault="008E79DF" w:rsidP="008E79DF">
      <w:pPr>
        <w:jc w:val="both"/>
        <w:rPr>
          <w:rFonts w:ascii="David" w:hAnsi="David"/>
        </w:rPr>
      </w:pPr>
    </w:p>
    <w:p w14:paraId="015504AA" w14:textId="77777777" w:rsidR="008E79DF" w:rsidRDefault="008E79DF" w:rsidP="008E79DF">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בשתי עבירות של סחר בסם מסוכן לפי </w:t>
      </w:r>
      <w:hyperlink r:id="rId8" w:history="1">
        <w:r w:rsidR="00DB3936" w:rsidRPr="00DB3936">
          <w:rPr>
            <w:rFonts w:ascii="David" w:hAnsi="David"/>
            <w:color w:val="0000FF"/>
            <w:u w:val="single"/>
            <w:rtl/>
          </w:rPr>
          <w:t>סעיף 13</w:t>
        </w:r>
      </w:hyperlink>
      <w:r>
        <w:rPr>
          <w:rFonts w:ascii="David" w:hAnsi="David"/>
          <w:rtl/>
        </w:rPr>
        <w:t xml:space="preserve"> ל</w:t>
      </w:r>
      <w:hyperlink r:id="rId9" w:history="1">
        <w:r w:rsidR="00AE0C02" w:rsidRPr="00AE0C02">
          <w:rPr>
            <w:rFonts w:ascii="David" w:hAnsi="David"/>
            <w:color w:val="0000FF"/>
            <w:u w:val="single"/>
            <w:rtl/>
          </w:rPr>
          <w:t>פקודת  הסמים המסוכנים</w:t>
        </w:r>
      </w:hyperlink>
      <w:r>
        <w:rPr>
          <w:rFonts w:ascii="David" w:hAnsi="David"/>
          <w:rtl/>
        </w:rPr>
        <w:t>.</w:t>
      </w:r>
    </w:p>
    <w:p w14:paraId="35A0AD5F" w14:textId="77777777" w:rsidR="008E79DF" w:rsidRDefault="008E79DF" w:rsidP="008E79DF">
      <w:pPr>
        <w:spacing w:line="360" w:lineRule="auto"/>
        <w:ind w:left="720" w:hanging="720"/>
        <w:jc w:val="both"/>
        <w:rPr>
          <w:rFonts w:ascii="David" w:hAnsi="David"/>
          <w:rtl/>
        </w:rPr>
      </w:pPr>
    </w:p>
    <w:p w14:paraId="7027F784" w14:textId="77777777" w:rsidR="008E79DF" w:rsidRDefault="008E79DF" w:rsidP="008E79DF">
      <w:pPr>
        <w:spacing w:line="360" w:lineRule="auto"/>
        <w:ind w:left="720" w:hanging="720"/>
        <w:jc w:val="both"/>
        <w:rPr>
          <w:rFonts w:ascii="David" w:hAnsi="David"/>
          <w:rtl/>
        </w:rPr>
      </w:pPr>
      <w:r>
        <w:rPr>
          <w:rFonts w:ascii="David" w:hAnsi="David"/>
          <w:rtl/>
        </w:rPr>
        <w:tab/>
        <w:t>הסדר הטיעון שגובש בין הצדדים כלל את תיקון כתב האישום, אך ללא כלל הסכמה לעניין העונש, ובהקשר זה טען כל צד על-פי מיטב שיקול דעתו.</w:t>
      </w:r>
    </w:p>
    <w:p w14:paraId="484F7EBC" w14:textId="77777777" w:rsidR="008E79DF" w:rsidRDefault="008E79DF" w:rsidP="008E79DF">
      <w:pPr>
        <w:spacing w:line="360" w:lineRule="auto"/>
        <w:ind w:left="720" w:hanging="720"/>
        <w:jc w:val="both"/>
        <w:rPr>
          <w:rFonts w:ascii="David" w:hAnsi="David"/>
          <w:rtl/>
        </w:rPr>
      </w:pPr>
    </w:p>
    <w:p w14:paraId="2CBDCED6" w14:textId="77777777" w:rsidR="008E79DF" w:rsidRDefault="008E79DF" w:rsidP="008E79DF">
      <w:pPr>
        <w:spacing w:line="360" w:lineRule="auto"/>
        <w:jc w:val="both"/>
        <w:rPr>
          <w:rFonts w:ascii="David" w:hAnsi="David"/>
          <w:u w:val="single"/>
          <w:rtl/>
        </w:rPr>
      </w:pPr>
      <w:bookmarkStart w:id="7" w:name="ABSTRACT_END"/>
      <w:bookmarkEnd w:id="7"/>
      <w:r>
        <w:rPr>
          <w:rFonts w:ascii="David" w:hAnsi="David"/>
          <w:rtl/>
        </w:rPr>
        <w:tab/>
      </w:r>
      <w:r>
        <w:rPr>
          <w:rFonts w:ascii="David" w:hAnsi="David"/>
          <w:u w:val="single"/>
          <w:rtl/>
        </w:rPr>
        <w:t>עובדות כתב האישום</w:t>
      </w:r>
    </w:p>
    <w:p w14:paraId="08B4A7BC" w14:textId="77777777" w:rsidR="008E79DF" w:rsidRDefault="008E79DF" w:rsidP="008E79DF">
      <w:pPr>
        <w:spacing w:line="360" w:lineRule="auto"/>
        <w:jc w:val="both"/>
        <w:rPr>
          <w:rFonts w:ascii="David" w:hAnsi="David"/>
          <w:rtl/>
        </w:rPr>
      </w:pPr>
    </w:p>
    <w:p w14:paraId="15938F6C" w14:textId="77777777" w:rsidR="008E79DF" w:rsidRDefault="008E79DF" w:rsidP="008E79DF">
      <w:pPr>
        <w:spacing w:line="360" w:lineRule="auto"/>
        <w:ind w:left="720" w:hanging="720"/>
        <w:jc w:val="both"/>
        <w:rPr>
          <w:rFonts w:ascii="David" w:hAnsi="David"/>
          <w:rtl/>
        </w:rPr>
      </w:pPr>
      <w:r>
        <w:rPr>
          <w:rFonts w:ascii="David" w:hAnsi="David" w:hint="cs"/>
          <w:rtl/>
        </w:rPr>
        <w:t>2.</w:t>
      </w:r>
      <w:r>
        <w:rPr>
          <w:rFonts w:ascii="David" w:hAnsi="David"/>
          <w:rtl/>
        </w:rPr>
        <w:tab/>
        <w:t>עניינו של כתב האישום בשתי עסקאות סמים שבוצעו אל מול סוכן משטרתי</w:t>
      </w:r>
      <w:r>
        <w:rPr>
          <w:rFonts w:ascii="David" w:hAnsi="David" w:hint="cs"/>
          <w:rtl/>
        </w:rPr>
        <w:t>.</w:t>
      </w:r>
    </w:p>
    <w:p w14:paraId="58F1D795" w14:textId="77777777" w:rsidR="008E79DF" w:rsidRDefault="008E79DF" w:rsidP="008E79DF">
      <w:pPr>
        <w:spacing w:line="360" w:lineRule="auto"/>
        <w:ind w:left="720" w:hanging="720"/>
        <w:jc w:val="both"/>
        <w:rPr>
          <w:rFonts w:ascii="David" w:hAnsi="David"/>
          <w:rtl/>
        </w:rPr>
      </w:pPr>
    </w:p>
    <w:p w14:paraId="50E8558E" w14:textId="77777777" w:rsidR="008E79DF" w:rsidRDefault="008E79DF" w:rsidP="008E79DF">
      <w:pPr>
        <w:spacing w:line="360" w:lineRule="auto"/>
        <w:ind w:left="720" w:hanging="720"/>
        <w:jc w:val="both"/>
        <w:rPr>
          <w:rFonts w:ascii="David" w:hAnsi="David"/>
          <w:rtl/>
        </w:rPr>
      </w:pPr>
      <w:r w:rsidRPr="00BA6CAF">
        <w:rPr>
          <w:rFonts w:ascii="David" w:hAnsi="David"/>
          <w:b/>
          <w:bCs/>
          <w:rtl/>
        </w:rPr>
        <w:tab/>
      </w:r>
      <w:r>
        <w:rPr>
          <w:rFonts w:ascii="David" w:hAnsi="David" w:hint="cs"/>
          <w:b/>
          <w:bCs/>
          <w:rtl/>
        </w:rPr>
        <w:t>עניינה של העסקה הראשונה המתוארת</w:t>
      </w:r>
      <w:r w:rsidRPr="00BA6CAF">
        <w:rPr>
          <w:rFonts w:ascii="David" w:hAnsi="David" w:hint="cs"/>
          <w:b/>
          <w:bCs/>
          <w:rtl/>
        </w:rPr>
        <w:t xml:space="preserve"> באישום הראשון</w:t>
      </w:r>
      <w:r>
        <w:rPr>
          <w:rFonts w:ascii="David" w:hAnsi="David" w:hint="cs"/>
          <w:rtl/>
        </w:rPr>
        <w:t xml:space="preserve"> במכירת 300 טבליות </w:t>
      </w:r>
      <w:r>
        <w:rPr>
          <w:rFonts w:ascii="David" w:hAnsi="David" w:hint="cs"/>
        </w:rPr>
        <w:t>MDMA</w:t>
      </w:r>
      <w:r>
        <w:rPr>
          <w:rFonts w:ascii="David" w:hAnsi="David" w:hint="cs"/>
          <w:rtl/>
        </w:rPr>
        <w:t xml:space="preserve"> לסוכן משטרתי תמורת 7,000 ש"ח, שבוצעה ביום 19.11.18. לציין כי קדמו למכירת הסם תיאומים שונים בין הסוכן לנאשם עד להשלמת העסקה. </w:t>
      </w:r>
    </w:p>
    <w:p w14:paraId="7C270E09" w14:textId="77777777" w:rsidR="008E79DF" w:rsidRDefault="008E79DF" w:rsidP="008E79DF">
      <w:pPr>
        <w:spacing w:line="360" w:lineRule="auto"/>
        <w:ind w:left="720" w:hanging="720"/>
        <w:jc w:val="both"/>
        <w:rPr>
          <w:rFonts w:ascii="David" w:hAnsi="David"/>
          <w:rtl/>
        </w:rPr>
      </w:pPr>
      <w:r>
        <w:rPr>
          <w:rFonts w:ascii="David" w:hAnsi="David"/>
          <w:rtl/>
        </w:rPr>
        <w:lastRenderedPageBreak/>
        <w:br/>
      </w:r>
      <w:r>
        <w:rPr>
          <w:rFonts w:ascii="David" w:hAnsi="David" w:hint="cs"/>
          <w:b/>
          <w:bCs/>
          <w:rtl/>
        </w:rPr>
        <w:t>עניינה של העסקה השנייה המתוארת</w:t>
      </w:r>
      <w:r w:rsidRPr="00BA6CAF">
        <w:rPr>
          <w:rFonts w:ascii="David" w:hAnsi="David" w:hint="cs"/>
          <w:b/>
          <w:bCs/>
          <w:rtl/>
        </w:rPr>
        <w:t xml:space="preserve"> באישום השני</w:t>
      </w:r>
      <w:r>
        <w:rPr>
          <w:rFonts w:ascii="David" w:hAnsi="David" w:hint="cs"/>
          <w:rtl/>
        </w:rPr>
        <w:t xml:space="preserve"> במכירת 900 טבליות </w:t>
      </w:r>
      <w:r>
        <w:rPr>
          <w:rFonts w:ascii="David" w:hAnsi="David" w:hint="cs"/>
        </w:rPr>
        <w:t>MDMA</w:t>
      </w:r>
      <w:r>
        <w:rPr>
          <w:rFonts w:ascii="David" w:hAnsi="David" w:hint="cs"/>
          <w:rtl/>
        </w:rPr>
        <w:t xml:space="preserve"> לסוכן משטרתי תמורת 19,000 ש"ח, שבוצעה ביום 6.12.18. גם עובר לעסקה זו, התנהלו בין הסוכן לנאשם מספר שיחות ותיאומים שונים עד להשלמת העסקה. </w:t>
      </w:r>
    </w:p>
    <w:p w14:paraId="01526D3A" w14:textId="77777777" w:rsidR="008E79DF" w:rsidRDefault="008E79DF" w:rsidP="008E79DF">
      <w:pPr>
        <w:ind w:left="720" w:hanging="720"/>
        <w:jc w:val="both"/>
        <w:rPr>
          <w:rFonts w:ascii="David" w:hAnsi="David"/>
          <w:rtl/>
        </w:rPr>
      </w:pPr>
    </w:p>
    <w:p w14:paraId="52350A95" w14:textId="77777777" w:rsidR="008E79DF" w:rsidRPr="0081292C" w:rsidRDefault="008E79DF" w:rsidP="008E79DF">
      <w:pPr>
        <w:spacing w:line="360" w:lineRule="auto"/>
        <w:ind w:left="720" w:hanging="720"/>
        <w:jc w:val="both"/>
        <w:rPr>
          <w:rFonts w:ascii="David" w:hAnsi="David"/>
          <w:rtl/>
        </w:rPr>
      </w:pPr>
      <w:r>
        <w:rPr>
          <w:rFonts w:ascii="David" w:hAnsi="David"/>
          <w:rtl/>
        </w:rPr>
        <w:tab/>
      </w:r>
      <w:r>
        <w:rPr>
          <w:rFonts w:ascii="David" w:hAnsi="David" w:hint="cs"/>
          <w:rtl/>
        </w:rPr>
        <w:t xml:space="preserve">הנאשם הורשע אפוא בשתי עבירות של סחר בסם מסוכן. </w:t>
      </w:r>
    </w:p>
    <w:p w14:paraId="57E3DF07" w14:textId="77777777" w:rsidR="008E79DF" w:rsidRDefault="008E79DF" w:rsidP="008E79DF">
      <w:pPr>
        <w:spacing w:line="360" w:lineRule="auto"/>
        <w:ind w:left="720" w:hanging="720"/>
        <w:jc w:val="both"/>
        <w:rPr>
          <w:rFonts w:ascii="David" w:hAnsi="David"/>
          <w:rtl/>
        </w:rPr>
      </w:pPr>
      <w:r>
        <w:rPr>
          <w:rFonts w:ascii="David" w:hAnsi="David"/>
          <w:b/>
          <w:bCs/>
          <w:rtl/>
        </w:rPr>
        <w:tab/>
      </w:r>
    </w:p>
    <w:p w14:paraId="5BF0003C" w14:textId="77777777" w:rsidR="008E79DF" w:rsidRDefault="008E79DF" w:rsidP="008E79DF">
      <w:pPr>
        <w:bidi w:val="0"/>
        <w:rPr>
          <w:rFonts w:ascii="David" w:hAnsi="David"/>
          <w:rtl/>
        </w:rPr>
      </w:pPr>
    </w:p>
    <w:p w14:paraId="2145DED5" w14:textId="77777777" w:rsidR="008E79DF" w:rsidRDefault="008E79DF" w:rsidP="008E79DF">
      <w:pPr>
        <w:spacing w:line="360" w:lineRule="auto"/>
        <w:jc w:val="both"/>
        <w:rPr>
          <w:rFonts w:ascii="David" w:hAnsi="David"/>
          <w:u w:val="single"/>
          <w:rtl/>
        </w:rPr>
      </w:pPr>
      <w:r>
        <w:rPr>
          <w:rFonts w:ascii="David" w:hAnsi="David"/>
          <w:rtl/>
        </w:rPr>
        <w:tab/>
      </w:r>
      <w:r>
        <w:rPr>
          <w:rFonts w:ascii="David" w:hAnsi="David"/>
          <w:u w:val="single"/>
          <w:rtl/>
        </w:rPr>
        <w:t>תסקיר שירות המבחן</w:t>
      </w:r>
    </w:p>
    <w:p w14:paraId="10824D7A" w14:textId="77777777" w:rsidR="008E79DF" w:rsidRDefault="008E79DF" w:rsidP="008E79DF">
      <w:pPr>
        <w:spacing w:line="360" w:lineRule="auto"/>
        <w:jc w:val="both"/>
        <w:rPr>
          <w:rFonts w:ascii="David" w:hAnsi="David"/>
          <w:u w:val="single"/>
          <w:rtl/>
        </w:rPr>
      </w:pPr>
    </w:p>
    <w:p w14:paraId="71E2E85B" w14:textId="77777777" w:rsidR="008E79DF" w:rsidRDefault="008E79DF" w:rsidP="008E79DF">
      <w:pPr>
        <w:spacing w:line="360" w:lineRule="auto"/>
        <w:ind w:left="720" w:hanging="720"/>
        <w:jc w:val="both"/>
        <w:rPr>
          <w:rFonts w:ascii="David" w:hAnsi="David"/>
          <w:rtl/>
        </w:rPr>
      </w:pPr>
      <w:r>
        <w:rPr>
          <w:rFonts w:ascii="David" w:hAnsi="David"/>
          <w:rtl/>
        </w:rPr>
        <w:t xml:space="preserve">3. </w:t>
      </w:r>
      <w:r>
        <w:rPr>
          <w:rFonts w:ascii="David" w:hAnsi="David"/>
          <w:rtl/>
        </w:rPr>
        <w:tab/>
        <w:t>הנאשם, בן 29,</w:t>
      </w:r>
      <w:r w:rsidR="00AE0C02">
        <w:rPr>
          <w:rFonts w:ascii="David" w:hAnsi="David"/>
          <w:rtl/>
        </w:rPr>
        <w:t xml:space="preserve"> </w:t>
      </w:r>
      <w:r>
        <w:rPr>
          <w:rFonts w:ascii="David" w:hAnsi="David"/>
          <w:rtl/>
        </w:rPr>
        <w:t xml:space="preserve"> </w:t>
      </w:r>
      <w:r>
        <w:rPr>
          <w:rFonts w:ascii="David" w:hAnsi="David" w:hint="cs"/>
          <w:rtl/>
        </w:rPr>
        <w:t xml:space="preserve">התייתם מאביו כשהיה בן 9, ושולב בפנימייה כבר בגיל 7, במעורבות גורמי הרווחה. בגיל 13 הועבר מהפנימייה על רקע קשיים משמעותיים, חזר לגור עם אימו והשתלב בבית ספר לנוער במצבי סיכון. הנאשם </w:t>
      </w:r>
      <w:r>
        <w:rPr>
          <w:rFonts w:ascii="David" w:hAnsi="David"/>
          <w:rtl/>
        </w:rPr>
        <w:t>סיים 7 שנות לימוד</w:t>
      </w:r>
      <w:r>
        <w:rPr>
          <w:rFonts w:ascii="David" w:hAnsi="David" w:hint="cs"/>
          <w:rtl/>
        </w:rPr>
        <w:t xml:space="preserve"> בלבד</w:t>
      </w:r>
      <w:r>
        <w:rPr>
          <w:rFonts w:ascii="David" w:hAnsi="David"/>
          <w:rtl/>
        </w:rPr>
        <w:t>,</w:t>
      </w:r>
      <w:r>
        <w:rPr>
          <w:rFonts w:ascii="David" w:hAnsi="David" w:hint="cs"/>
          <w:rtl/>
        </w:rPr>
        <w:t xml:space="preserve"> ריצה שני מאסרים בפועל כקטין, לא גויס לצבא, ובגיל 18 עזב את הבית, ואינו בקשר עם אימו, המתמודדת עם קשיים נפשיים משך שנים רבות. הנאשם </w:t>
      </w:r>
      <w:r>
        <w:rPr>
          <w:rFonts w:ascii="David" w:hAnsi="David"/>
          <w:rtl/>
        </w:rPr>
        <w:t xml:space="preserve">עבר בין מסגרות שונות לחסרי דיור ועבד באופן בלתי רציף בעבודות שונות, כשטרם מעצרו עבד כמוביל בקו חלוקה של מוצרים שונים. </w:t>
      </w:r>
    </w:p>
    <w:p w14:paraId="28F8DD40" w14:textId="77777777" w:rsidR="008E79DF" w:rsidRDefault="008E79DF" w:rsidP="008E79DF">
      <w:pPr>
        <w:spacing w:line="360" w:lineRule="auto"/>
        <w:ind w:left="720" w:hanging="720"/>
        <w:jc w:val="both"/>
        <w:rPr>
          <w:rFonts w:ascii="David" w:hAnsi="David"/>
          <w:rtl/>
        </w:rPr>
      </w:pPr>
    </w:p>
    <w:p w14:paraId="6E4CB331" w14:textId="77777777" w:rsidR="008E79DF" w:rsidRDefault="008E79DF" w:rsidP="008E79DF">
      <w:pPr>
        <w:spacing w:line="360" w:lineRule="auto"/>
        <w:ind w:left="720" w:hanging="720"/>
        <w:jc w:val="both"/>
        <w:rPr>
          <w:rFonts w:ascii="David" w:hAnsi="David"/>
          <w:rtl/>
        </w:rPr>
      </w:pPr>
      <w:r>
        <w:rPr>
          <w:rFonts w:ascii="David" w:hAnsi="David"/>
          <w:rtl/>
        </w:rPr>
        <w:tab/>
        <w:t xml:space="preserve">הנאשם תיאר כי בתקופה שקדמה לבצוע העבירות, חידש קשר עם אדם שהכיר מהפנימייה והחל לצרוך עמו סם מסוג קוקאין. על רקע זה הפסיק עבודתו ותפקודו התדרדר, שקע בחובות וכן נזקק לכסף כדי לממן את צריכת הסם. על רקע חובותיו של הנאשם לגורמים שוליים, התקשה להתמודד עם לחצים כלכליים וחיפש מקור רווח מהיר. הנאשם החל להשתמש בסמים בנערותו ובתקופה שקדמה למעצרו הנוכחי העמיק השימוש בסם. הנאשם משתמש בקנאביס על רקע מצב רפואי וכאבי ראש כרוניים מהם סובל. בנוסף, הנאשם נוטל כדורים פסיכיאטריים נוגדי דכאון וחרדה מזה שנים רבות. במסגרת המעצר שולב בפרויקט הכנה לטיפול גמילה למשך 4 חודשים ואז עזב כי התקשה להשתתף בשיח הקבוצתי, כשלהבנתו אינו מכור לסמים. הנאשם הביע בפני שירות המבחן את רצונו לשוב ולהשתלב במסגרת טיפול פרטנית והדגיש כי הקשר עם גורמי הטיפול ברש"א </w:t>
      </w:r>
      <w:r>
        <w:rPr>
          <w:rFonts w:ascii="David" w:hAnsi="David" w:hint="cs"/>
          <w:rtl/>
        </w:rPr>
        <w:t>מהווה קשר חיובי,</w:t>
      </w:r>
      <w:r>
        <w:rPr>
          <w:rFonts w:ascii="David" w:hAnsi="David"/>
          <w:rtl/>
        </w:rPr>
        <w:t xml:space="preserve"> תומך ומיטיב עבורו. </w:t>
      </w:r>
    </w:p>
    <w:p w14:paraId="0F8361EE" w14:textId="77777777" w:rsidR="008E79DF" w:rsidRDefault="008E79DF" w:rsidP="008E79DF">
      <w:pPr>
        <w:spacing w:line="360" w:lineRule="auto"/>
        <w:ind w:left="720" w:hanging="720"/>
        <w:jc w:val="both"/>
        <w:rPr>
          <w:rFonts w:ascii="David" w:hAnsi="David"/>
          <w:rtl/>
        </w:rPr>
      </w:pPr>
    </w:p>
    <w:p w14:paraId="3E509624" w14:textId="77777777" w:rsidR="008E79DF" w:rsidRDefault="008E79DF" w:rsidP="008E79DF">
      <w:pPr>
        <w:spacing w:line="360" w:lineRule="auto"/>
        <w:ind w:left="720" w:hanging="720"/>
        <w:jc w:val="both"/>
        <w:rPr>
          <w:rFonts w:ascii="David" w:hAnsi="David"/>
          <w:rtl/>
        </w:rPr>
      </w:pPr>
      <w:r>
        <w:rPr>
          <w:rFonts w:ascii="David" w:hAnsi="David"/>
          <w:rtl/>
        </w:rPr>
        <w:tab/>
        <w:t xml:space="preserve">שירות המבחן התרשם </w:t>
      </w:r>
      <w:r>
        <w:rPr>
          <w:rFonts w:ascii="David" w:hAnsi="David" w:hint="cs"/>
          <w:rtl/>
        </w:rPr>
        <w:t>מאדם</w:t>
      </w:r>
      <w:r>
        <w:rPr>
          <w:rFonts w:ascii="David" w:hAnsi="David"/>
          <w:rtl/>
        </w:rPr>
        <w:t xml:space="preserve"> שגדל ברקע משפחתי מורכב, מאופיין בחסכים ומשקעים רגשיים הפוגעים ביכולתו </w:t>
      </w:r>
      <w:r>
        <w:rPr>
          <w:rFonts w:ascii="David" w:hAnsi="David" w:hint="cs"/>
          <w:rtl/>
        </w:rPr>
        <w:t>לנהל אורח חיים יציב, ולתפקד באופן</w:t>
      </w:r>
      <w:r>
        <w:rPr>
          <w:rFonts w:ascii="David" w:hAnsi="David"/>
          <w:rtl/>
        </w:rPr>
        <w:t xml:space="preserve"> תקין לאורך זמן</w:t>
      </w:r>
      <w:r>
        <w:rPr>
          <w:rFonts w:ascii="David" w:hAnsi="David" w:hint="cs"/>
          <w:rtl/>
        </w:rPr>
        <w:t>, וזאת בהעדר מערכות תמיכה כלשהן. לצד זאת, צוין כי הנאשם</w:t>
      </w:r>
      <w:r>
        <w:rPr>
          <w:rFonts w:ascii="David" w:hAnsi="David"/>
          <w:rtl/>
        </w:rPr>
        <w:t xml:space="preserve"> הצליח להימנע ממעורבות נוספת עם החוק משך כ- 10 שנים.</w:t>
      </w:r>
    </w:p>
    <w:p w14:paraId="349CC323" w14:textId="77777777" w:rsidR="008E79DF" w:rsidRDefault="008E79DF" w:rsidP="008E79DF">
      <w:pPr>
        <w:spacing w:line="360" w:lineRule="auto"/>
        <w:ind w:left="720" w:hanging="720"/>
        <w:jc w:val="both"/>
        <w:rPr>
          <w:rFonts w:ascii="David" w:hAnsi="David"/>
          <w:rtl/>
        </w:rPr>
      </w:pPr>
    </w:p>
    <w:p w14:paraId="7CF6EA4E" w14:textId="77777777" w:rsidR="008E79DF" w:rsidRDefault="008E79DF" w:rsidP="008E79DF">
      <w:pPr>
        <w:spacing w:line="360" w:lineRule="auto"/>
        <w:ind w:left="720" w:hanging="720"/>
        <w:jc w:val="both"/>
        <w:rPr>
          <w:rFonts w:ascii="David" w:hAnsi="David"/>
          <w:rtl/>
        </w:rPr>
      </w:pPr>
      <w:r>
        <w:rPr>
          <w:rFonts w:ascii="David" w:hAnsi="David"/>
          <w:rtl/>
        </w:rPr>
        <w:tab/>
        <w:t xml:space="preserve">ממידע שהתקבל מגורמי הטיפול ברש"א עולה כי הנאשם מוכר להם על רקע קשיים סוציאליים משנת 2006, אז שוחרר לראשונה ממאסרו כקטין. עבר תהליך שיקומי במרכז "אבן דרך" ובהמשך בהוסטל לנוער וצעירים, ושמר עמם על קשר תמיכתי, עד לאחרונה. גורמי הטיפול התרשמו כי הנאשם חווה נזקקות טיפולית </w:t>
      </w:r>
      <w:r>
        <w:rPr>
          <w:rFonts w:ascii="David" w:hAnsi="David" w:hint="cs"/>
          <w:rtl/>
        </w:rPr>
        <w:t>מ</w:t>
      </w:r>
      <w:r>
        <w:rPr>
          <w:rFonts w:ascii="David" w:hAnsi="David"/>
          <w:rtl/>
        </w:rPr>
        <w:t>תמשכת ולפיכך נהג לראות בהם גורם תמיכתי ושמר עמם על קשר ממושך, יחד עם זאת הנאשם מתקשה לחוש אמון ולשתף באופן מלא במצבו, כש</w:t>
      </w:r>
      <w:r>
        <w:rPr>
          <w:rFonts w:ascii="David" w:hAnsi="David" w:hint="cs"/>
          <w:rtl/>
        </w:rPr>
        <w:t>ל</w:t>
      </w:r>
      <w:r>
        <w:rPr>
          <w:rFonts w:ascii="David" w:hAnsi="David"/>
          <w:rtl/>
        </w:rPr>
        <w:t>רוב פונה אליהם בעתות קושי ומשבר (הדברים עולים גם מהמכתב מיום 25.5.17 מהעובדת הסוציאלית ברש"</w:t>
      </w:r>
      <w:r>
        <w:rPr>
          <w:rFonts w:ascii="David" w:hAnsi="David" w:hint="cs"/>
          <w:rtl/>
        </w:rPr>
        <w:t>א)</w:t>
      </w:r>
      <w:r>
        <w:rPr>
          <w:rFonts w:ascii="David" w:hAnsi="David"/>
          <w:rtl/>
        </w:rPr>
        <w:t xml:space="preserve">. </w:t>
      </w:r>
    </w:p>
    <w:p w14:paraId="2787B550" w14:textId="77777777" w:rsidR="008E79DF" w:rsidRDefault="008E79DF" w:rsidP="008E79DF">
      <w:pPr>
        <w:spacing w:line="360" w:lineRule="auto"/>
        <w:ind w:left="720" w:hanging="720"/>
        <w:jc w:val="both"/>
        <w:rPr>
          <w:rFonts w:ascii="David" w:hAnsi="David"/>
          <w:rtl/>
        </w:rPr>
      </w:pPr>
    </w:p>
    <w:p w14:paraId="1C438506" w14:textId="77777777" w:rsidR="008E79DF" w:rsidRDefault="008E79DF" w:rsidP="008E79DF">
      <w:pPr>
        <w:spacing w:line="360" w:lineRule="auto"/>
        <w:ind w:left="720" w:hanging="720"/>
        <w:jc w:val="both"/>
        <w:rPr>
          <w:rFonts w:ascii="David" w:hAnsi="David"/>
          <w:rtl/>
        </w:rPr>
      </w:pPr>
      <w:r>
        <w:rPr>
          <w:rFonts w:ascii="David" w:hAnsi="David"/>
          <w:rtl/>
        </w:rPr>
        <w:lastRenderedPageBreak/>
        <w:tab/>
        <w:t xml:space="preserve">שירות המבחן התרשם ממודעות הנאשם לקשייו ולדפוסיו השוליים, </w:t>
      </w:r>
      <w:r>
        <w:rPr>
          <w:rFonts w:ascii="David" w:hAnsi="David" w:hint="cs"/>
          <w:rtl/>
        </w:rPr>
        <w:t>והעריך כי הנאשם</w:t>
      </w:r>
      <w:r>
        <w:rPr>
          <w:rFonts w:ascii="David" w:hAnsi="David"/>
          <w:rtl/>
        </w:rPr>
        <w:t xml:space="preserve"> מכיר בהסלמה בבחירותיו, ובסיכון בו נתון בהעדר טיפול. הנאשם </w:t>
      </w:r>
      <w:r>
        <w:rPr>
          <w:rFonts w:ascii="David" w:hAnsi="David" w:hint="cs"/>
          <w:rtl/>
        </w:rPr>
        <w:t>ביטא</w:t>
      </w:r>
      <w:r>
        <w:rPr>
          <w:rFonts w:ascii="David" w:hAnsi="David"/>
          <w:rtl/>
        </w:rPr>
        <w:t xml:space="preserve"> מוטיבציה לטיפול וליווי פרטני שלהערכת שירות המבחן כנה</w:t>
      </w:r>
      <w:r>
        <w:rPr>
          <w:rFonts w:ascii="David" w:hAnsi="David" w:hint="cs"/>
          <w:rtl/>
        </w:rPr>
        <w:t xml:space="preserve">, אך נוכח הסיכון להישנות העבירות, המליץ שרות המבחן על ענישה </w:t>
      </w:r>
      <w:r>
        <w:rPr>
          <w:rFonts w:ascii="David" w:hAnsi="David"/>
          <w:rtl/>
        </w:rPr>
        <w:t>בעלת גבולות ברורים במסגרתה תתאפשר גיבוש תכנית שיקומית משמעותית עבורו.</w:t>
      </w:r>
    </w:p>
    <w:p w14:paraId="6552EB2E" w14:textId="77777777" w:rsidR="008E79DF" w:rsidRDefault="008E79DF" w:rsidP="008E79DF">
      <w:pPr>
        <w:spacing w:line="360" w:lineRule="auto"/>
        <w:ind w:left="720" w:hanging="720"/>
        <w:jc w:val="both"/>
        <w:rPr>
          <w:rFonts w:ascii="David" w:hAnsi="David"/>
          <w:rtl/>
        </w:rPr>
      </w:pPr>
    </w:p>
    <w:p w14:paraId="39151FCC" w14:textId="77777777" w:rsidR="008E79DF" w:rsidRDefault="008E79DF" w:rsidP="008E79DF">
      <w:pPr>
        <w:spacing w:line="360" w:lineRule="auto"/>
        <w:ind w:left="720" w:hanging="720"/>
        <w:jc w:val="both"/>
        <w:rPr>
          <w:rFonts w:ascii="David" w:hAnsi="David"/>
          <w:rtl/>
        </w:rPr>
      </w:pPr>
    </w:p>
    <w:p w14:paraId="7A71B803" w14:textId="77777777" w:rsidR="008E79DF" w:rsidRDefault="008E79DF" w:rsidP="008E79DF">
      <w:pPr>
        <w:spacing w:line="360" w:lineRule="auto"/>
        <w:ind w:left="720" w:hanging="720"/>
        <w:jc w:val="both"/>
        <w:rPr>
          <w:rFonts w:ascii="David" w:hAnsi="David"/>
          <w:rtl/>
        </w:rPr>
      </w:pPr>
    </w:p>
    <w:p w14:paraId="77AD424C" w14:textId="77777777" w:rsidR="008E79DF" w:rsidRDefault="008E79DF" w:rsidP="008E79DF">
      <w:pPr>
        <w:spacing w:line="360" w:lineRule="auto"/>
        <w:jc w:val="both"/>
        <w:rPr>
          <w:rFonts w:ascii="David" w:hAnsi="David"/>
          <w:u w:val="single"/>
          <w:rtl/>
        </w:rPr>
      </w:pPr>
      <w:r>
        <w:rPr>
          <w:rFonts w:ascii="David" w:hAnsi="David"/>
          <w:rtl/>
        </w:rPr>
        <w:tab/>
      </w:r>
      <w:r>
        <w:rPr>
          <w:rFonts w:ascii="David" w:hAnsi="David"/>
          <w:u w:val="single"/>
          <w:rtl/>
        </w:rPr>
        <w:t>טיעוני הצדדים לעונש</w:t>
      </w:r>
    </w:p>
    <w:p w14:paraId="4CD55D83" w14:textId="77777777" w:rsidR="008E79DF" w:rsidRDefault="008E79DF" w:rsidP="008E79DF">
      <w:pPr>
        <w:spacing w:line="360" w:lineRule="auto"/>
        <w:jc w:val="both"/>
        <w:rPr>
          <w:rFonts w:ascii="David" w:hAnsi="David"/>
          <w:rtl/>
        </w:rPr>
      </w:pPr>
    </w:p>
    <w:p w14:paraId="307146D4" w14:textId="77777777" w:rsidR="008E79DF" w:rsidRDefault="008E79DF" w:rsidP="008E79DF">
      <w:pPr>
        <w:spacing w:line="360" w:lineRule="auto"/>
        <w:ind w:left="720" w:hanging="720"/>
        <w:jc w:val="both"/>
        <w:rPr>
          <w:rFonts w:ascii="David" w:hAnsi="David"/>
          <w:rtl/>
        </w:rPr>
      </w:pPr>
      <w:r>
        <w:rPr>
          <w:rFonts w:ascii="David" w:hAnsi="David"/>
          <w:rtl/>
        </w:rPr>
        <w:t xml:space="preserve">4. </w:t>
      </w:r>
      <w:r>
        <w:rPr>
          <w:rFonts w:ascii="David" w:hAnsi="David"/>
          <w:rtl/>
        </w:rPr>
        <w:tab/>
        <w:t>התובעת</w:t>
      </w:r>
      <w:r>
        <w:rPr>
          <w:rFonts w:ascii="David" w:hAnsi="David" w:hint="cs"/>
          <w:rtl/>
        </w:rPr>
        <w:t xml:space="preserve">, עו"ד דליה וייסברג, </w:t>
      </w:r>
      <w:r>
        <w:rPr>
          <w:rFonts w:ascii="David" w:hAnsi="David"/>
          <w:rtl/>
        </w:rPr>
        <w:t>עמדה על חומרת המעשים, על הנזק הנגרם לציבור כתוצאה מהחזקת והפצת סמים קשים, ועל הפגיעה בערכים המוגנים.</w:t>
      </w:r>
      <w:r>
        <w:rPr>
          <w:rFonts w:ascii="David" w:hAnsi="David" w:hint="cs"/>
          <w:rtl/>
        </w:rPr>
        <w:t xml:space="preserve"> התובעת התייחסה לנתוניו המורכבים של הנאשם, לעברו הפלילי (הכולל</w:t>
      </w:r>
      <w:r>
        <w:rPr>
          <w:rFonts w:ascii="David" w:hAnsi="David"/>
          <w:rtl/>
        </w:rPr>
        <w:t xml:space="preserve"> שתי הרשעות קודמות מבית משפט לנוער – שהתיישנו</w:t>
      </w:r>
      <w:r>
        <w:rPr>
          <w:rFonts w:ascii="David" w:hAnsi="David" w:hint="cs"/>
          <w:rtl/>
        </w:rPr>
        <w:t xml:space="preserve">), אך הסבירה כי נוכח כמויות הסם המשמעותיות בהן עסקינן, ודומיננטיות הנאשם, כי אין מנוס אלא מהטלת עונש מאסר משמעותי לנאשם שישקף את עוצמת הפגיעה בערכים המוגנים, וייתן ביטוי לעקרון ההלימה. התובעת עמדה על הנתונים השונים העולים מכתב האישום (לרבות כמות הכדורים שנמכרה בכל אישום), על גזרי דין שונים שניתנו במקרים של סחר והחזקה בטבליות </w:t>
      </w:r>
      <w:r>
        <w:rPr>
          <w:rFonts w:ascii="David" w:hAnsi="David" w:hint="cs"/>
        </w:rPr>
        <w:t>MDMA</w:t>
      </w:r>
      <w:r>
        <w:rPr>
          <w:rFonts w:ascii="David" w:hAnsi="David" w:hint="cs"/>
          <w:rtl/>
        </w:rPr>
        <w:t xml:space="preserve">, וסברה כי על בסיס כלל הנתונים, יש מקום לקבוע מתחם הנע בין 18 חודשי מאסר ל- 40 חודשי מאסר (באישום הראשון) ומתחם הנע בין 50 חודשי מאסר ל- 85 חודשי מאסר (באישום השני). </w:t>
      </w:r>
    </w:p>
    <w:p w14:paraId="04B6FD80" w14:textId="77777777" w:rsidR="008E79DF" w:rsidRDefault="008E79DF" w:rsidP="008E79DF">
      <w:pPr>
        <w:spacing w:line="360" w:lineRule="auto"/>
        <w:ind w:left="720" w:hanging="720"/>
        <w:jc w:val="both"/>
        <w:rPr>
          <w:rFonts w:ascii="David" w:hAnsi="David"/>
          <w:rtl/>
        </w:rPr>
      </w:pPr>
    </w:p>
    <w:p w14:paraId="7B27B9BD" w14:textId="77777777" w:rsidR="008E79DF" w:rsidRDefault="008E79DF" w:rsidP="008E79DF">
      <w:pPr>
        <w:spacing w:line="360" w:lineRule="auto"/>
        <w:ind w:left="720" w:hanging="720"/>
        <w:jc w:val="both"/>
        <w:rPr>
          <w:rFonts w:ascii="David" w:hAnsi="David"/>
          <w:rtl/>
        </w:rPr>
      </w:pPr>
      <w:r>
        <w:rPr>
          <w:rFonts w:ascii="David" w:hAnsi="David"/>
          <w:rtl/>
        </w:rPr>
        <w:tab/>
      </w:r>
      <w:r>
        <w:rPr>
          <w:rFonts w:ascii="David" w:hAnsi="David" w:hint="cs"/>
          <w:rtl/>
        </w:rPr>
        <w:t xml:space="preserve">בהינתן נתוניו המורכבים של הנאשם, הודייתו והעולה מתסקיר שרות המבחן, סברה התביעה כי ניתן לחפוף את שני המתחמים כמעט באופן מלא, ולהטיל על הנאשם עונש המשקף את תחתית המתחם המשותף, דהיינו כזה שלא יפחת מ- 50 חודשי מאסר. </w:t>
      </w:r>
    </w:p>
    <w:p w14:paraId="3E0D883D" w14:textId="77777777" w:rsidR="008E79DF" w:rsidRDefault="008E79DF" w:rsidP="008E79DF">
      <w:pPr>
        <w:spacing w:line="360" w:lineRule="auto"/>
        <w:ind w:left="720" w:hanging="720"/>
        <w:jc w:val="both"/>
        <w:rPr>
          <w:rFonts w:ascii="David" w:hAnsi="David"/>
          <w:rtl/>
        </w:rPr>
      </w:pPr>
    </w:p>
    <w:p w14:paraId="28305A50" w14:textId="77777777" w:rsidR="008E79DF" w:rsidRDefault="008E79DF" w:rsidP="008E79DF">
      <w:pPr>
        <w:spacing w:line="360" w:lineRule="auto"/>
        <w:ind w:left="720" w:hanging="720"/>
        <w:jc w:val="both"/>
        <w:rPr>
          <w:rFonts w:ascii="David" w:hAnsi="David"/>
          <w:rtl/>
        </w:rPr>
      </w:pPr>
      <w:r>
        <w:rPr>
          <w:rFonts w:ascii="David" w:hAnsi="David" w:hint="cs"/>
          <w:rtl/>
        </w:rPr>
        <w:t>5.</w:t>
      </w:r>
      <w:r>
        <w:rPr>
          <w:rFonts w:ascii="David" w:hAnsi="David" w:hint="cs"/>
          <w:rtl/>
        </w:rPr>
        <w:tab/>
      </w:r>
      <w:r>
        <w:rPr>
          <w:rFonts w:ascii="David" w:hAnsi="David"/>
          <w:rtl/>
        </w:rPr>
        <w:t>הסנגור</w:t>
      </w:r>
      <w:r>
        <w:rPr>
          <w:rFonts w:ascii="David" w:hAnsi="David" w:hint="cs"/>
          <w:rtl/>
        </w:rPr>
        <w:t>, עו"ד יוסי סקה,</w:t>
      </w:r>
      <w:r>
        <w:rPr>
          <w:rFonts w:ascii="David" w:hAnsi="David"/>
          <w:rtl/>
        </w:rPr>
        <w:t xml:space="preserve"> הפנה </w:t>
      </w:r>
      <w:r>
        <w:rPr>
          <w:rFonts w:ascii="David" w:hAnsi="David" w:hint="cs"/>
          <w:rtl/>
        </w:rPr>
        <w:t>לנתוניו המורכבים של הנאשם, כפי שאלה עלו בת</w:t>
      </w:r>
      <w:r>
        <w:rPr>
          <w:rFonts w:ascii="David" w:hAnsi="David"/>
          <w:rtl/>
        </w:rPr>
        <w:t xml:space="preserve">סקיר שירות המבחן, </w:t>
      </w:r>
      <w:r>
        <w:rPr>
          <w:rFonts w:ascii="David" w:hAnsi="David" w:hint="cs"/>
          <w:rtl/>
        </w:rPr>
        <w:t>ל</w:t>
      </w:r>
      <w:r>
        <w:rPr>
          <w:rFonts w:ascii="David" w:hAnsi="David"/>
          <w:rtl/>
        </w:rPr>
        <w:t>מוטיבציה</w:t>
      </w:r>
      <w:r>
        <w:rPr>
          <w:rFonts w:ascii="David" w:hAnsi="David" w:hint="cs"/>
          <w:rtl/>
        </w:rPr>
        <w:t xml:space="preserve"> שהביע הנאשם</w:t>
      </w:r>
      <w:r>
        <w:rPr>
          <w:rFonts w:ascii="David" w:hAnsi="David"/>
          <w:rtl/>
        </w:rPr>
        <w:t xml:space="preserve"> לטיפול, ו</w:t>
      </w:r>
      <w:r>
        <w:rPr>
          <w:rFonts w:ascii="David" w:hAnsi="David" w:hint="cs"/>
          <w:rtl/>
        </w:rPr>
        <w:t>הוסבר כי עסקינן ב</w:t>
      </w:r>
      <w:r>
        <w:rPr>
          <w:rFonts w:ascii="David" w:hAnsi="David"/>
          <w:rtl/>
        </w:rPr>
        <w:t xml:space="preserve">נאשם </w:t>
      </w:r>
      <w:r>
        <w:rPr>
          <w:rFonts w:ascii="David" w:hAnsi="David" w:hint="cs"/>
          <w:rtl/>
        </w:rPr>
        <w:t>, אשר לאורך השנים עשה כל שניתן על-מנת "</w:t>
      </w:r>
      <w:r>
        <w:rPr>
          <w:rFonts w:ascii="David" w:hAnsi="David"/>
          <w:rtl/>
        </w:rPr>
        <w:t xml:space="preserve">להרים </w:t>
      </w:r>
      <w:r>
        <w:rPr>
          <w:rFonts w:ascii="David" w:hAnsi="David" w:hint="cs"/>
          <w:rtl/>
        </w:rPr>
        <w:t>את ראשו</w:t>
      </w:r>
      <w:r>
        <w:rPr>
          <w:rFonts w:ascii="David" w:hAnsi="David"/>
          <w:rtl/>
        </w:rPr>
        <w:t xml:space="preserve"> מעל המים</w:t>
      </w:r>
      <w:r>
        <w:rPr>
          <w:rFonts w:ascii="David" w:hAnsi="David" w:hint="cs"/>
          <w:rtl/>
        </w:rPr>
        <w:t xml:space="preserve">" ואף הצליח לעשות כן, חרף נסיבות חיים מורכבות ביותר. עוד הפנה הסנגור לגניזת התיק נגד אדם נוסף, שהיווה את "החוליה המקשרת" בינו לבין הסוכן, בתחילת הקשר שנוצר. נטען כי נוכח העובדה כי מדובר בנאשם שהיה דר-רחוב, והתגורר מעת לעת בהוסטלים, לא ניתן לראותו כבעל יכולת כלכלית להחזקת סם בכמות כה ניכרת, וברור, מהגיונם של דברים, כי גורם משמעותי ממנו הוא זה שיש לראותו כ"בעלים" של הסם. </w:t>
      </w:r>
    </w:p>
    <w:p w14:paraId="620573D8" w14:textId="77777777" w:rsidR="008E79DF" w:rsidRDefault="008E79DF" w:rsidP="008E79DF">
      <w:pPr>
        <w:spacing w:line="360" w:lineRule="auto"/>
        <w:ind w:left="720" w:hanging="720"/>
        <w:jc w:val="both"/>
        <w:rPr>
          <w:rFonts w:ascii="David" w:hAnsi="David"/>
          <w:rtl/>
        </w:rPr>
      </w:pPr>
    </w:p>
    <w:p w14:paraId="063A1BEF" w14:textId="77777777" w:rsidR="008E79DF" w:rsidRDefault="008E79DF" w:rsidP="008E79DF">
      <w:pPr>
        <w:spacing w:line="360" w:lineRule="auto"/>
        <w:ind w:left="720" w:hanging="720"/>
        <w:jc w:val="both"/>
        <w:rPr>
          <w:rFonts w:ascii="David" w:hAnsi="David"/>
          <w:rtl/>
        </w:rPr>
      </w:pPr>
      <w:r>
        <w:rPr>
          <w:rFonts w:ascii="David" w:hAnsi="David"/>
          <w:rtl/>
        </w:rPr>
        <w:tab/>
      </w:r>
      <w:r>
        <w:rPr>
          <w:rFonts w:ascii="David" w:hAnsi="David" w:hint="cs"/>
          <w:rtl/>
        </w:rPr>
        <w:t xml:space="preserve">לשיטת הסנגור, ועל בסיס פסיקה שהוצגה, נטען כי מתחם העונש ההולם לשני האירועים, צריך לנוע בין 15 חודשי מאסר ל- 40 חודשי מאסר, ויש למקם את הנאשם ברף התחתון של המתחם. </w:t>
      </w:r>
    </w:p>
    <w:p w14:paraId="7E4E59F7" w14:textId="77777777" w:rsidR="008E79DF" w:rsidRDefault="008E79DF" w:rsidP="008E79DF">
      <w:pPr>
        <w:spacing w:line="360" w:lineRule="auto"/>
        <w:ind w:left="720" w:hanging="720"/>
        <w:jc w:val="both"/>
        <w:rPr>
          <w:rFonts w:ascii="David" w:hAnsi="David"/>
          <w:rtl/>
        </w:rPr>
      </w:pPr>
    </w:p>
    <w:p w14:paraId="1EDE5723" w14:textId="77777777" w:rsidR="008E79DF" w:rsidRDefault="008E79DF" w:rsidP="008E79DF">
      <w:pPr>
        <w:spacing w:line="360" w:lineRule="auto"/>
        <w:ind w:left="720" w:hanging="720"/>
        <w:jc w:val="both"/>
        <w:rPr>
          <w:rFonts w:ascii="David" w:hAnsi="David"/>
          <w:rtl/>
        </w:rPr>
      </w:pPr>
      <w:r>
        <w:rPr>
          <w:rFonts w:ascii="David" w:hAnsi="David"/>
          <w:rtl/>
        </w:rPr>
        <w:t xml:space="preserve"> </w:t>
      </w:r>
      <w:r>
        <w:rPr>
          <w:rFonts w:ascii="David" w:hAnsi="David" w:hint="cs"/>
          <w:rtl/>
        </w:rPr>
        <w:t>6.</w:t>
      </w:r>
      <w:r>
        <w:rPr>
          <w:rFonts w:ascii="David" w:hAnsi="David"/>
          <w:rtl/>
        </w:rPr>
        <w:tab/>
        <w:t>הנאשם בדברו האחרון, הביע חרטה על מעשיו,</w:t>
      </w:r>
      <w:r>
        <w:rPr>
          <w:rFonts w:ascii="David" w:hAnsi="David" w:hint="cs"/>
          <w:rtl/>
        </w:rPr>
        <w:t xml:space="preserve"> ציין כי הוא מבין את חומרתם, ואין בכוונתו לשוב למעגל הפשע.  </w:t>
      </w:r>
    </w:p>
    <w:p w14:paraId="52C19DAD" w14:textId="77777777" w:rsidR="008E79DF" w:rsidRDefault="008E79DF" w:rsidP="008E79DF">
      <w:pPr>
        <w:bidi w:val="0"/>
        <w:rPr>
          <w:rFonts w:ascii="David" w:hAnsi="David"/>
          <w:rtl/>
        </w:rPr>
      </w:pPr>
      <w:r>
        <w:rPr>
          <w:rFonts w:ascii="David" w:hAnsi="David"/>
          <w:rtl/>
        </w:rPr>
        <w:br w:type="page"/>
      </w:r>
    </w:p>
    <w:p w14:paraId="68CAC605" w14:textId="77777777" w:rsidR="008E79DF" w:rsidRDefault="008E79DF" w:rsidP="008E79DF">
      <w:pPr>
        <w:spacing w:line="360" w:lineRule="auto"/>
        <w:jc w:val="both"/>
        <w:rPr>
          <w:rFonts w:ascii="David" w:hAnsi="David"/>
          <w:u w:val="single"/>
          <w:rtl/>
        </w:rPr>
      </w:pPr>
      <w:r>
        <w:rPr>
          <w:rFonts w:ascii="David" w:hAnsi="David"/>
          <w:rtl/>
        </w:rPr>
        <w:tab/>
      </w:r>
      <w:r>
        <w:rPr>
          <w:rFonts w:ascii="David" w:hAnsi="David" w:hint="cs"/>
          <w:u w:val="single"/>
          <w:rtl/>
        </w:rPr>
        <w:t>ד</w:t>
      </w:r>
      <w:r>
        <w:rPr>
          <w:rFonts w:ascii="David" w:hAnsi="David"/>
          <w:u w:val="single"/>
          <w:rtl/>
        </w:rPr>
        <w:t>יון והכרעה</w:t>
      </w:r>
    </w:p>
    <w:p w14:paraId="461B954B" w14:textId="77777777" w:rsidR="008E79DF" w:rsidRDefault="008E79DF" w:rsidP="008E79DF">
      <w:pPr>
        <w:spacing w:line="360" w:lineRule="auto"/>
        <w:jc w:val="both"/>
        <w:rPr>
          <w:rFonts w:ascii="David" w:hAnsi="David"/>
          <w:u w:val="single"/>
          <w:rtl/>
        </w:rPr>
      </w:pPr>
    </w:p>
    <w:p w14:paraId="2B3B322B" w14:textId="77777777" w:rsidR="008E79DF" w:rsidRDefault="008E79DF" w:rsidP="008E79DF">
      <w:pPr>
        <w:spacing w:line="360" w:lineRule="auto"/>
        <w:jc w:val="both"/>
        <w:rPr>
          <w:rFonts w:ascii="David" w:hAnsi="David"/>
          <w:u w:val="single"/>
          <w:rtl/>
        </w:rPr>
      </w:pPr>
      <w:r>
        <w:rPr>
          <w:rFonts w:ascii="David" w:hAnsi="David"/>
          <w:rtl/>
        </w:rPr>
        <w:tab/>
      </w:r>
      <w:r>
        <w:rPr>
          <w:rFonts w:ascii="David" w:hAnsi="David"/>
          <w:u w:val="single"/>
          <w:rtl/>
        </w:rPr>
        <w:t>מתחם העונש ההולם</w:t>
      </w:r>
    </w:p>
    <w:p w14:paraId="19005FE2" w14:textId="77777777" w:rsidR="008E79DF" w:rsidRDefault="008E79DF" w:rsidP="008E79DF">
      <w:pPr>
        <w:spacing w:line="360" w:lineRule="auto"/>
        <w:jc w:val="both"/>
        <w:rPr>
          <w:rFonts w:ascii="David" w:hAnsi="David"/>
          <w:u w:val="single"/>
          <w:rtl/>
        </w:rPr>
      </w:pPr>
    </w:p>
    <w:p w14:paraId="3E6B26C9" w14:textId="77777777" w:rsidR="008E79DF" w:rsidRDefault="008E79DF" w:rsidP="008E79DF">
      <w:pPr>
        <w:spacing w:line="360" w:lineRule="auto"/>
        <w:ind w:left="720" w:hanging="720"/>
        <w:jc w:val="both"/>
        <w:rPr>
          <w:rFonts w:ascii="David" w:hAnsi="David"/>
          <w:rtl/>
        </w:rPr>
      </w:pPr>
      <w:r>
        <w:rPr>
          <w:rFonts w:ascii="David" w:hAnsi="David" w:hint="cs"/>
          <w:rtl/>
        </w:rPr>
        <w:t>7.</w:t>
      </w:r>
      <w:r>
        <w:rPr>
          <w:rFonts w:ascii="David" w:hAnsi="David"/>
          <w:rtl/>
        </w:rPr>
        <w:tab/>
        <w:t xml:space="preserve">עבירות הסמים אותן ביצע הנאשם, פוגעות פגיעה קשה בשלום הציבור, בבריאותו, ובאותם ערכים נלווים הקשורים בטבורם לעבירות הסמים. המציאות מלמדת כי שימוש בסמים איננו רק עניינו של המשתמש, ולעיתים רבות הופך המשתמש לנטל על החברה, ופועל בתחומי עבריינות נוספים על מנת לממן את צריכת הסם. ציינתי כי קיימת פגיעה משמעותית בערכים המוגנים, וברור כי יש חשיבות לנזק הפוטנציאלי הגלום במעשיו של הנאשם, ולא רק הנזק שהתממש בפועל. </w:t>
      </w:r>
    </w:p>
    <w:p w14:paraId="2FBBC403" w14:textId="77777777" w:rsidR="008E79DF" w:rsidRDefault="008E79DF" w:rsidP="008E79DF">
      <w:pPr>
        <w:spacing w:line="360" w:lineRule="auto"/>
        <w:ind w:left="720" w:hanging="720"/>
        <w:jc w:val="both"/>
        <w:rPr>
          <w:rFonts w:ascii="David" w:hAnsi="David"/>
          <w:rtl/>
        </w:rPr>
      </w:pPr>
    </w:p>
    <w:p w14:paraId="515B7C82" w14:textId="77777777" w:rsidR="008E79DF" w:rsidRDefault="008E79DF" w:rsidP="008E79DF">
      <w:pPr>
        <w:spacing w:line="360" w:lineRule="auto"/>
        <w:ind w:left="720" w:hanging="720"/>
        <w:jc w:val="both"/>
        <w:rPr>
          <w:rFonts w:ascii="David" w:hAnsi="David"/>
          <w:rtl/>
        </w:rPr>
      </w:pPr>
      <w:r>
        <w:rPr>
          <w:rFonts w:ascii="David" w:hAnsi="David"/>
          <w:rtl/>
        </w:rPr>
        <w:tab/>
        <w:t xml:space="preserve">בית המשפט העליון עמד פעמים רבות על חומרתן היתרה של עבירות הסמים, ועל ההשלכות הקשות שיש לשימוש בסם על גופו ועל נפשו של המשתמש [ראו, למשל, </w:t>
      </w:r>
      <w:hyperlink r:id="rId10" w:history="1">
        <w:r w:rsidR="00AE0C02" w:rsidRPr="00AE0C02">
          <w:rPr>
            <w:rFonts w:ascii="David" w:hAnsi="David"/>
            <w:color w:val="0000FF"/>
            <w:u w:val="single"/>
            <w:rtl/>
          </w:rPr>
          <w:t>ע"פ 6029/03 מדינת ישראל נ' שמאי, פ"ד נח</w:t>
        </w:r>
      </w:hyperlink>
      <w:r>
        <w:rPr>
          <w:rFonts w:ascii="David" w:hAnsi="David"/>
          <w:rtl/>
        </w:rPr>
        <w:t>(2) 734 (2004), שם נקבע כי הענישה אמורה "לשקף את הצורך הדוחק להביא להדברת הנגע"].</w:t>
      </w:r>
    </w:p>
    <w:p w14:paraId="3DC463C3" w14:textId="77777777" w:rsidR="008E79DF" w:rsidRDefault="008E79DF" w:rsidP="008E79DF">
      <w:pPr>
        <w:spacing w:line="360" w:lineRule="auto"/>
        <w:jc w:val="both"/>
        <w:rPr>
          <w:rFonts w:ascii="David" w:hAnsi="David"/>
          <w:rtl/>
        </w:rPr>
      </w:pPr>
    </w:p>
    <w:p w14:paraId="32341631" w14:textId="77777777" w:rsidR="008E79DF" w:rsidRDefault="008E79DF" w:rsidP="008E79DF">
      <w:pPr>
        <w:spacing w:line="360" w:lineRule="auto"/>
        <w:ind w:left="720" w:hanging="720"/>
        <w:jc w:val="both"/>
        <w:rPr>
          <w:rFonts w:ascii="David" w:hAnsi="David"/>
          <w:rtl/>
        </w:rPr>
      </w:pPr>
      <w:r>
        <w:rPr>
          <w:rFonts w:ascii="David" w:hAnsi="David"/>
          <w:rtl/>
        </w:rPr>
        <w:tab/>
        <w:t xml:space="preserve">במסגרת </w:t>
      </w:r>
      <w:hyperlink r:id="rId11" w:history="1">
        <w:r w:rsidR="00AE0C02" w:rsidRPr="00AE0C02">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w:t>
      </w:r>
      <w:r>
        <w:rPr>
          <w:rFonts w:ascii="David" w:hAnsi="David" w:hint="cs"/>
          <w:rtl/>
        </w:rPr>
        <w:t>2</w:t>
      </w:r>
      <w:r>
        <w:rPr>
          <w:rFonts w:ascii="David" w:hAnsi="David"/>
          <w:rtl/>
        </w:rPr>
        <w:t>.</w:t>
      </w:r>
      <w:r>
        <w:rPr>
          <w:rFonts w:ascii="David" w:hAnsi="David" w:hint="cs"/>
          <w:rtl/>
        </w:rPr>
        <w:t>2016(</w:t>
      </w:r>
      <w:r>
        <w:rPr>
          <w:rFonts w:ascii="David" w:hAnsi="David"/>
          <w:rtl/>
        </w:rPr>
        <w:t>) עמד בית המשפט העליון על החומרה</w:t>
      </w:r>
      <w:r>
        <w:rPr>
          <w:rFonts w:ascii="David" w:hAnsi="David" w:hint="cs"/>
          <w:rtl/>
        </w:rPr>
        <w:t xml:space="preserve"> </w:t>
      </w:r>
      <w:r>
        <w:rPr>
          <w:rFonts w:ascii="David" w:hAnsi="David"/>
          <w:rtl/>
        </w:rPr>
        <w:t>הטמונה בעבירות הסמים.</w:t>
      </w:r>
    </w:p>
    <w:p w14:paraId="1344344A" w14:textId="77777777" w:rsidR="008E79DF" w:rsidRDefault="008E79DF" w:rsidP="008E79DF">
      <w:pPr>
        <w:spacing w:line="360" w:lineRule="auto"/>
        <w:ind w:left="720" w:hanging="720"/>
        <w:jc w:val="both"/>
        <w:rPr>
          <w:rFonts w:ascii="David" w:hAnsi="David"/>
          <w:rtl/>
        </w:rPr>
      </w:pPr>
    </w:p>
    <w:p w14:paraId="3A96B03B" w14:textId="77777777" w:rsidR="008E79DF" w:rsidRDefault="008E79DF" w:rsidP="008E79DF">
      <w:pPr>
        <w:spacing w:line="360" w:lineRule="auto"/>
        <w:jc w:val="both"/>
        <w:rPr>
          <w:rFonts w:ascii="David" w:hAnsi="David"/>
          <w:rtl/>
        </w:rPr>
      </w:pPr>
      <w:r>
        <w:rPr>
          <w:rFonts w:ascii="David" w:hAnsi="David"/>
          <w:rtl/>
        </w:rPr>
        <w:tab/>
        <w:t>וכך נקבע:</w:t>
      </w:r>
    </w:p>
    <w:p w14:paraId="41F3ADDC" w14:textId="77777777" w:rsidR="008E79DF" w:rsidRDefault="008E79DF" w:rsidP="008E79DF">
      <w:pPr>
        <w:spacing w:line="360" w:lineRule="auto"/>
        <w:jc w:val="both"/>
        <w:rPr>
          <w:rFonts w:cs="Times New Roman"/>
          <w:rtl/>
        </w:rPr>
      </w:pPr>
    </w:p>
    <w:p w14:paraId="3C61B660" w14:textId="77777777" w:rsidR="008E79DF" w:rsidRDefault="008E79DF" w:rsidP="008E79DF">
      <w:pPr>
        <w:spacing w:line="360" w:lineRule="auto"/>
        <w:ind w:left="720" w:hanging="720"/>
        <w:jc w:val="both"/>
        <w:rPr>
          <w:rFonts w:ascii="David" w:hAnsi="David"/>
          <w:rtl/>
        </w:rPr>
      </w:pPr>
      <w:r>
        <w:rPr>
          <w:rFonts w:ascii="David" w:hAnsi="David"/>
          <w:color w:val="000000"/>
          <w:rtl/>
        </w:rPr>
        <w:tab/>
        <w:t>"</w:t>
      </w:r>
      <w:r>
        <w:rPr>
          <w:rFonts w:ascii="David" w:hAnsi="David"/>
          <w:b/>
          <w:bCs/>
          <w:rtl/>
        </w:rPr>
        <w:t xml:space="preserve">בית משפט זה עמד לא אחת על החומרה הרבה הטמונה בעבירות סחר והפצה של סמים, לא כל שכן סמים מסוכנים המוגדרים 'קשים' (ראו למשל: </w:t>
      </w:r>
      <w:hyperlink r:id="rId12" w:history="1">
        <w:r w:rsidR="00AE0C02" w:rsidRPr="00AE0C02">
          <w:rPr>
            <w:rFonts w:ascii="David" w:hAnsi="David"/>
            <w:b/>
            <w:bCs/>
            <w:color w:val="0000FF"/>
            <w:u w:val="single"/>
            <w:rtl/>
          </w:rPr>
          <w:t>ע"פ 6747/11</w:t>
        </w:r>
      </w:hyperlink>
      <w:r>
        <w:rPr>
          <w:rFonts w:ascii="David" w:hAnsi="David"/>
          <w:b/>
          <w:bCs/>
          <w:rtl/>
        </w:rPr>
        <w:t xml:space="preserve"> מדינת ישראל נ' אבו רקיק (3.1.2013)), ועל הצורך להיאבק בהן באמצעות ענישה משמעותית ומרתיעה (</w:t>
      </w:r>
      <w:hyperlink r:id="rId13" w:history="1">
        <w:r w:rsidR="00AE0C02" w:rsidRPr="00AE0C02">
          <w:rPr>
            <w:rFonts w:ascii="David" w:hAnsi="David"/>
            <w:b/>
            <w:bCs/>
            <w:color w:val="0000FF"/>
            <w:u w:val="single"/>
            <w:rtl/>
          </w:rPr>
          <w:t>ע"פ 9482/09</w:t>
        </w:r>
      </w:hyperlink>
      <w:r>
        <w:rPr>
          <w:rFonts w:ascii="David" w:hAnsi="David"/>
          <w:b/>
          <w:bCs/>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Pr>
          <w:rFonts w:ascii="David" w:hAnsi="David"/>
          <w:rtl/>
        </w:rPr>
        <w:t>"</w:t>
      </w:r>
      <w:r>
        <w:rPr>
          <w:rFonts w:ascii="David" w:hAnsi="David" w:hint="cs"/>
          <w:rtl/>
        </w:rPr>
        <w:t>.</w:t>
      </w:r>
    </w:p>
    <w:p w14:paraId="0B9E5878" w14:textId="77777777" w:rsidR="008E79DF" w:rsidRDefault="008E79DF" w:rsidP="008E79DF">
      <w:pPr>
        <w:spacing w:line="360" w:lineRule="auto"/>
        <w:ind w:left="720" w:hanging="720"/>
        <w:jc w:val="both"/>
        <w:rPr>
          <w:rFonts w:ascii="David" w:hAnsi="David"/>
          <w:rtl/>
        </w:rPr>
      </w:pPr>
    </w:p>
    <w:p w14:paraId="54B4B408" w14:textId="77777777" w:rsidR="008E79DF" w:rsidRDefault="008E79DF" w:rsidP="008E79DF">
      <w:pPr>
        <w:spacing w:line="360" w:lineRule="auto"/>
        <w:ind w:left="720" w:hanging="720"/>
        <w:jc w:val="both"/>
        <w:rPr>
          <w:rFonts w:ascii="David" w:hAnsi="David"/>
          <w:rtl/>
        </w:rPr>
      </w:pPr>
      <w:r>
        <w:rPr>
          <w:rFonts w:ascii="David" w:hAnsi="David"/>
          <w:rtl/>
        </w:rPr>
        <w:tab/>
        <w:t>יחד עם זאת, בעת בחינת הנזק שהתממש בפועל, יש לזכור כי הסמים המסוכנים נמכרו לסוכן משטרתי, וכך לא מצאו את דרכם לידי ציבור המשתמשים.</w:t>
      </w:r>
    </w:p>
    <w:p w14:paraId="336B78D7" w14:textId="77777777" w:rsidR="008E79DF" w:rsidRDefault="008E79DF" w:rsidP="008E79DF">
      <w:pPr>
        <w:spacing w:line="360" w:lineRule="auto"/>
        <w:ind w:left="720" w:hanging="720"/>
        <w:jc w:val="both"/>
        <w:rPr>
          <w:rFonts w:ascii="David" w:hAnsi="David"/>
          <w:rtl/>
        </w:rPr>
      </w:pPr>
      <w:r>
        <w:rPr>
          <w:rFonts w:ascii="David" w:hAnsi="David"/>
          <w:rtl/>
        </w:rPr>
        <w:t xml:space="preserve"> </w:t>
      </w:r>
    </w:p>
    <w:p w14:paraId="3D079318" w14:textId="77777777" w:rsidR="008E79DF" w:rsidRDefault="008E79DF" w:rsidP="008E79DF">
      <w:pPr>
        <w:spacing w:line="360" w:lineRule="auto"/>
        <w:ind w:left="720" w:hanging="720"/>
        <w:jc w:val="both"/>
        <w:rPr>
          <w:rFonts w:ascii="David" w:hAnsi="David"/>
          <w:rtl/>
        </w:rPr>
      </w:pPr>
      <w:r>
        <w:rPr>
          <w:rFonts w:ascii="David" w:hAnsi="David" w:hint="cs"/>
          <w:rtl/>
        </w:rPr>
        <w:t>8</w:t>
      </w:r>
      <w:r>
        <w:rPr>
          <w:rFonts w:ascii="David" w:hAnsi="David"/>
          <w:rtl/>
        </w:rPr>
        <w:t xml:space="preserve">. </w:t>
      </w:r>
      <w:r>
        <w:rPr>
          <w:rFonts w:ascii="David" w:hAnsi="David"/>
          <w:rtl/>
        </w:rPr>
        <w:tab/>
        <w:t>מעבר לפגיעה בערכים המוגנים, בקביעת המתחם אקח בחשבון גם את הנתונים הבאים:</w:t>
      </w:r>
    </w:p>
    <w:p w14:paraId="66A2C207" w14:textId="77777777" w:rsidR="008E79DF" w:rsidRDefault="008E79DF" w:rsidP="008E79DF">
      <w:pPr>
        <w:spacing w:line="360" w:lineRule="auto"/>
        <w:ind w:left="720" w:hanging="720"/>
        <w:jc w:val="both"/>
        <w:rPr>
          <w:rFonts w:ascii="David" w:hAnsi="David"/>
        </w:rPr>
      </w:pPr>
    </w:p>
    <w:p w14:paraId="0CFA7D3C" w14:textId="77777777" w:rsidR="008E79DF" w:rsidRDefault="008E79DF" w:rsidP="008E79DF">
      <w:pPr>
        <w:spacing w:line="360" w:lineRule="auto"/>
        <w:ind w:left="720" w:hanging="720"/>
        <w:jc w:val="both"/>
        <w:rPr>
          <w:rFonts w:ascii="David" w:hAnsi="David"/>
          <w:rtl/>
        </w:rPr>
      </w:pPr>
      <w:r>
        <w:rPr>
          <w:rFonts w:ascii="David" w:hAnsi="David"/>
          <w:rtl/>
        </w:rPr>
        <w:t xml:space="preserve">(א) </w:t>
      </w:r>
      <w:r>
        <w:rPr>
          <w:rFonts w:ascii="David" w:hAnsi="David"/>
          <w:rtl/>
        </w:rPr>
        <w:tab/>
      </w:r>
      <w:r>
        <w:rPr>
          <w:rFonts w:ascii="David" w:hAnsi="David"/>
          <w:b/>
          <w:bCs/>
          <w:rtl/>
        </w:rPr>
        <w:t>סוג הסם ודרכי השפעתו על המשתמשים</w:t>
      </w:r>
      <w:r>
        <w:rPr>
          <w:rFonts w:ascii="David" w:hAnsi="David"/>
          <w:rtl/>
        </w:rPr>
        <w:t xml:space="preserve"> – בעניינו מכר הנאשם סם מסוג </w:t>
      </w:r>
      <w:r>
        <w:t>MDMA</w:t>
      </w:r>
      <w:r>
        <w:rPr>
          <w:rFonts w:ascii="David" w:hAnsi="David"/>
          <w:rtl/>
        </w:rPr>
        <w:t xml:space="preserve"> בכמות משמעותית ביותר, אשר הפצתו טומנת בחובה סכנות קשות ביותר הן לציבור המשתמשים והן לציבור הרחב.</w:t>
      </w:r>
    </w:p>
    <w:p w14:paraId="00A30F7D" w14:textId="77777777" w:rsidR="008E79DF" w:rsidRDefault="008E79DF" w:rsidP="008E79DF">
      <w:pPr>
        <w:spacing w:line="360" w:lineRule="auto"/>
        <w:ind w:left="720" w:hanging="720"/>
        <w:jc w:val="both"/>
        <w:rPr>
          <w:rFonts w:ascii="David" w:hAnsi="David"/>
          <w:rtl/>
        </w:rPr>
      </w:pPr>
    </w:p>
    <w:p w14:paraId="0A95D3BA" w14:textId="77777777" w:rsidR="008E79DF" w:rsidRDefault="008E79DF" w:rsidP="008E79DF">
      <w:pPr>
        <w:spacing w:line="360" w:lineRule="auto"/>
        <w:ind w:left="720" w:hanging="720"/>
        <w:jc w:val="both"/>
        <w:rPr>
          <w:rFonts w:ascii="David" w:hAnsi="David"/>
          <w:rtl/>
        </w:rPr>
      </w:pPr>
    </w:p>
    <w:p w14:paraId="30E84B95" w14:textId="77777777" w:rsidR="008E79DF" w:rsidRDefault="008E79DF" w:rsidP="008E79DF">
      <w:pPr>
        <w:spacing w:line="360" w:lineRule="auto"/>
        <w:ind w:left="720" w:hanging="720"/>
        <w:jc w:val="both"/>
        <w:rPr>
          <w:rFonts w:ascii="David" w:hAnsi="David"/>
          <w:rtl/>
        </w:rPr>
      </w:pPr>
    </w:p>
    <w:p w14:paraId="5AA85D45" w14:textId="77777777" w:rsidR="008E79DF" w:rsidRDefault="008E79DF" w:rsidP="008E79DF">
      <w:pPr>
        <w:spacing w:line="360" w:lineRule="auto"/>
        <w:ind w:left="720" w:hanging="720"/>
        <w:jc w:val="both"/>
        <w:rPr>
          <w:rFonts w:ascii="David" w:hAnsi="David"/>
          <w:rtl/>
        </w:rPr>
      </w:pPr>
    </w:p>
    <w:p w14:paraId="080F02DD" w14:textId="77777777" w:rsidR="008E79DF" w:rsidRDefault="008E79DF" w:rsidP="008E79DF">
      <w:pPr>
        <w:spacing w:line="360" w:lineRule="auto"/>
        <w:ind w:left="720" w:hanging="720"/>
        <w:jc w:val="both"/>
        <w:rPr>
          <w:rFonts w:ascii="David" w:hAnsi="David"/>
          <w:rtl/>
        </w:rPr>
      </w:pPr>
    </w:p>
    <w:p w14:paraId="42ED8B89" w14:textId="77777777" w:rsidR="008E79DF" w:rsidRDefault="008E79DF" w:rsidP="008E79DF">
      <w:pPr>
        <w:spacing w:line="360" w:lineRule="auto"/>
        <w:ind w:left="720" w:hanging="720"/>
        <w:jc w:val="both"/>
        <w:rPr>
          <w:rFonts w:ascii="David" w:hAnsi="David"/>
          <w:rtl/>
        </w:rPr>
      </w:pPr>
      <w:r>
        <w:rPr>
          <w:rFonts w:ascii="David" w:hAnsi="David"/>
          <w:rtl/>
        </w:rPr>
        <w:tab/>
        <w:t xml:space="preserve">לעניין הסכנות הכרוכות בהפצת סם מסוכן </w:t>
      </w:r>
      <w:r>
        <w:rPr>
          <w:rFonts w:ascii="David" w:hAnsi="David" w:hint="cs"/>
          <w:rtl/>
        </w:rPr>
        <w:t>-</w:t>
      </w:r>
      <w:r>
        <w:rPr>
          <w:rFonts w:ascii="David" w:hAnsi="David"/>
          <w:rtl/>
        </w:rPr>
        <w:t xml:space="preserve"> ראו </w:t>
      </w:r>
      <w:hyperlink r:id="rId14" w:history="1">
        <w:r w:rsidR="00AE0C02" w:rsidRPr="00AE0C02">
          <w:rPr>
            <w:rFonts w:ascii="David" w:hAnsi="David"/>
            <w:color w:val="0000FF"/>
            <w:u w:val="single"/>
            <w:rtl/>
          </w:rPr>
          <w:t>ע"פ 4484/05</w:t>
        </w:r>
      </w:hyperlink>
      <w:r>
        <w:rPr>
          <w:rFonts w:ascii="David" w:hAnsi="David"/>
          <w:rtl/>
        </w:rPr>
        <w:t xml:space="preserve"> </w:t>
      </w:r>
      <w:r>
        <w:rPr>
          <w:rFonts w:ascii="David" w:hAnsi="David"/>
          <w:b/>
          <w:bCs/>
          <w:rtl/>
        </w:rPr>
        <w:t>שגב נ' מדינת ישראל</w:t>
      </w:r>
      <w:r>
        <w:rPr>
          <w:rFonts w:ascii="David" w:hAnsi="David"/>
          <w:rtl/>
        </w:rPr>
        <w:t xml:space="preserve"> (8.8.2006):</w:t>
      </w:r>
    </w:p>
    <w:p w14:paraId="2E0EE9E7" w14:textId="77777777" w:rsidR="008E79DF" w:rsidRDefault="008E79DF" w:rsidP="008E79DF">
      <w:pPr>
        <w:spacing w:line="360" w:lineRule="auto"/>
        <w:ind w:left="720" w:hanging="720"/>
        <w:jc w:val="both"/>
        <w:rPr>
          <w:rFonts w:ascii="David" w:hAnsi="David"/>
          <w:rtl/>
        </w:rPr>
      </w:pPr>
    </w:p>
    <w:p w14:paraId="0D300250" w14:textId="77777777" w:rsidR="008E79DF" w:rsidRDefault="008E79DF" w:rsidP="008E79DF">
      <w:pPr>
        <w:spacing w:line="360" w:lineRule="auto"/>
        <w:ind w:left="720" w:hanging="720"/>
        <w:jc w:val="both"/>
        <w:rPr>
          <w:rFonts w:ascii="David" w:hAnsi="David"/>
          <w:b/>
          <w:bCs/>
          <w:rtl/>
        </w:rPr>
      </w:pPr>
      <w:r>
        <w:rPr>
          <w:rFonts w:ascii="David" w:hAnsi="David"/>
          <w:b/>
          <w:bCs/>
          <w:rtl/>
        </w:rPr>
        <w:tab/>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05D55DCE" w14:textId="77777777" w:rsidR="008E79DF" w:rsidRDefault="008E79DF" w:rsidP="008E79DF">
      <w:pPr>
        <w:spacing w:line="360" w:lineRule="auto"/>
        <w:ind w:left="720" w:hanging="720"/>
        <w:jc w:val="both"/>
        <w:rPr>
          <w:rFonts w:ascii="David" w:hAnsi="David"/>
          <w:b/>
          <w:bCs/>
          <w:rtl/>
        </w:rPr>
      </w:pPr>
    </w:p>
    <w:p w14:paraId="657C57CA" w14:textId="77777777" w:rsidR="008E79DF" w:rsidRDefault="008E79DF" w:rsidP="008E79DF">
      <w:pPr>
        <w:spacing w:line="360" w:lineRule="auto"/>
        <w:ind w:left="720" w:hanging="720"/>
        <w:jc w:val="both"/>
        <w:rPr>
          <w:rFonts w:ascii="David" w:hAnsi="David"/>
          <w:rtl/>
        </w:rPr>
      </w:pPr>
      <w:r>
        <w:rPr>
          <w:rFonts w:ascii="David" w:hAnsi="David"/>
          <w:rtl/>
        </w:rPr>
        <w:t xml:space="preserve">(ב) </w:t>
      </w:r>
      <w:r>
        <w:rPr>
          <w:rFonts w:ascii="David" w:hAnsi="David"/>
          <w:rtl/>
        </w:rPr>
        <w:tab/>
      </w:r>
      <w:r>
        <w:rPr>
          <w:rFonts w:ascii="David" w:hAnsi="David"/>
          <w:b/>
          <w:bCs/>
          <w:rtl/>
        </w:rPr>
        <w:t>כמות הסם</w:t>
      </w:r>
      <w:r>
        <w:rPr>
          <w:rFonts w:ascii="David" w:hAnsi="David"/>
          <w:rtl/>
        </w:rPr>
        <w:t xml:space="preserve"> – אין ספק כי מדובר בסם בכמות משמעותית (300 טבליות </w:t>
      </w:r>
      <w:r>
        <w:t>MDMA</w:t>
      </w:r>
      <w:r>
        <w:rPr>
          <w:rFonts w:ascii="David" w:hAnsi="David"/>
          <w:rtl/>
        </w:rPr>
        <w:t xml:space="preserve"> באישום הראשון ו – 900 טבליות </w:t>
      </w:r>
      <w:r>
        <w:t>MDMA</w:t>
      </w:r>
      <w:r>
        <w:rPr>
          <w:rFonts w:ascii="David" w:hAnsi="David"/>
          <w:rtl/>
        </w:rPr>
        <w:t xml:space="preserve"> באישום השני). כמות הסם ה</w:t>
      </w:r>
      <w:r>
        <w:rPr>
          <w:rFonts w:ascii="David" w:hAnsi="David" w:hint="cs"/>
          <w:rtl/>
        </w:rPr>
        <w:t>י</w:t>
      </w:r>
      <w:r>
        <w:rPr>
          <w:rFonts w:ascii="David" w:hAnsi="David"/>
          <w:rtl/>
        </w:rPr>
        <w:t>א בעל</w:t>
      </w:r>
      <w:r>
        <w:rPr>
          <w:rFonts w:ascii="David" w:hAnsi="David" w:hint="cs"/>
          <w:rtl/>
        </w:rPr>
        <w:t>ת</w:t>
      </w:r>
      <w:r>
        <w:rPr>
          <w:rFonts w:ascii="David" w:hAnsi="David"/>
          <w:rtl/>
        </w:rPr>
        <w:t xml:space="preserve"> משמעות של ממש בקביעת מתחם העונש ההולם</w:t>
      </w:r>
      <w:r>
        <w:rPr>
          <w:rFonts w:ascii="David" w:hAnsi="David" w:hint="cs"/>
          <w:rtl/>
        </w:rPr>
        <w:t>, ויש לראותה כנתון העומד ביסוד ההבחנה בין המתחם שייקבע בעניינו של האישום הראשון לבין זה שייקבע בעניינו של האישום השני. ברור כי אין מדובר ב"הכפלת מתחם מתמטית", אך יש הכרח לתת משקל, במסגרת קביעת המתחם, לכמות הסם שנמכרה בכל אחת מהעסקאות.</w:t>
      </w:r>
    </w:p>
    <w:p w14:paraId="6E40C3CF" w14:textId="77777777" w:rsidR="008E79DF" w:rsidRDefault="008E79DF" w:rsidP="008E79DF">
      <w:pPr>
        <w:spacing w:line="360" w:lineRule="auto"/>
        <w:ind w:left="720" w:hanging="720"/>
        <w:jc w:val="both"/>
        <w:rPr>
          <w:rFonts w:ascii="David" w:hAnsi="David"/>
          <w:rtl/>
        </w:rPr>
      </w:pPr>
    </w:p>
    <w:p w14:paraId="45A4DDD3" w14:textId="77777777" w:rsidR="008E79DF" w:rsidRDefault="008E79DF" w:rsidP="008E79DF">
      <w:pPr>
        <w:spacing w:line="360" w:lineRule="auto"/>
        <w:ind w:left="720" w:hanging="720"/>
        <w:jc w:val="both"/>
        <w:rPr>
          <w:rFonts w:ascii="David" w:hAnsi="David"/>
          <w:rtl/>
        </w:rPr>
      </w:pPr>
      <w:r>
        <w:rPr>
          <w:rFonts w:ascii="David" w:hAnsi="David" w:hint="cs"/>
          <w:rtl/>
        </w:rPr>
        <w:t>9</w:t>
      </w:r>
      <w:r>
        <w:rPr>
          <w:rFonts w:ascii="David" w:hAnsi="David"/>
          <w:rtl/>
        </w:rPr>
        <w:t xml:space="preserve">. </w:t>
      </w:r>
      <w:r>
        <w:rPr>
          <w:rFonts w:ascii="David" w:hAnsi="David"/>
          <w:rtl/>
        </w:rPr>
        <w:tab/>
        <w:t>באשר לפסיקה הנוהגת, מצאתי להתייחס לפסקי הדין הבאים:</w:t>
      </w:r>
    </w:p>
    <w:p w14:paraId="60DECAC8" w14:textId="77777777" w:rsidR="008E79DF" w:rsidRDefault="008E79DF" w:rsidP="008E79DF">
      <w:pPr>
        <w:spacing w:line="360" w:lineRule="auto"/>
        <w:jc w:val="both"/>
        <w:rPr>
          <w:rFonts w:ascii="David" w:hAnsi="David"/>
          <w:rtl/>
        </w:rPr>
      </w:pPr>
    </w:p>
    <w:p w14:paraId="5E164068" w14:textId="77777777" w:rsidR="008E79DF" w:rsidRPr="002806D0" w:rsidRDefault="008E79DF" w:rsidP="008E79DF">
      <w:pPr>
        <w:spacing w:line="360" w:lineRule="auto"/>
        <w:ind w:left="720" w:hanging="720"/>
        <w:jc w:val="both"/>
        <w:rPr>
          <w:rFonts w:ascii="David" w:hAnsi="David"/>
          <w:b/>
          <w:bCs/>
          <w:rtl/>
        </w:rPr>
      </w:pPr>
      <w:r>
        <w:rPr>
          <w:rFonts w:ascii="David" w:hAnsi="David"/>
          <w:rtl/>
        </w:rPr>
        <w:tab/>
      </w:r>
      <w:hyperlink r:id="rId15" w:history="1">
        <w:r w:rsidR="00AE0C02" w:rsidRPr="00AE0C02">
          <w:rPr>
            <w:rFonts w:ascii="David" w:hAnsi="David"/>
            <w:color w:val="0000FF"/>
            <w:u w:val="single"/>
            <w:rtl/>
          </w:rPr>
          <w:t>ע"פ 8598/12</w:t>
        </w:r>
      </w:hyperlink>
      <w:r>
        <w:rPr>
          <w:rFonts w:ascii="David" w:hAnsi="David" w:hint="cs"/>
          <w:rtl/>
        </w:rPr>
        <w:t xml:space="preserve"> </w:t>
      </w:r>
      <w:r>
        <w:rPr>
          <w:rFonts w:ascii="David" w:hAnsi="David" w:hint="cs"/>
          <w:b/>
          <w:bCs/>
          <w:rtl/>
        </w:rPr>
        <w:t xml:space="preserve">ביאטרה נ' מדינת ישראל </w:t>
      </w:r>
      <w:r>
        <w:rPr>
          <w:rFonts w:ascii="David" w:hAnsi="David" w:hint="cs"/>
          <w:rtl/>
        </w:rPr>
        <w:t xml:space="preserve">(28.1.2013) שם הורשע הנאשם במעורבות בעסקה, במסגרתה נמכרו 350 כדורי </w:t>
      </w:r>
      <w:r>
        <w:rPr>
          <w:rFonts w:ascii="David" w:hAnsi="David" w:hint="cs"/>
        </w:rPr>
        <w:t>MDMA</w:t>
      </w:r>
      <w:r>
        <w:rPr>
          <w:rFonts w:ascii="David" w:hAnsi="David" w:hint="cs"/>
          <w:rtl/>
        </w:rPr>
        <w:t xml:space="preserve"> לסוכן משטרתי תמורת 12,000 ש"ח. בית המשפט המחוזי קבע מתחם </w:t>
      </w:r>
      <w:r w:rsidRPr="002806D0">
        <w:rPr>
          <w:rFonts w:ascii="David" w:hAnsi="David" w:hint="cs"/>
          <w:b/>
          <w:bCs/>
          <w:rtl/>
        </w:rPr>
        <w:t>עונש הנע בין 12 חודשים ל- 48 חודשים</w:t>
      </w:r>
      <w:r>
        <w:rPr>
          <w:rFonts w:ascii="David" w:hAnsi="David" w:hint="cs"/>
          <w:rtl/>
        </w:rPr>
        <w:t>, וגזר על הנאשם 30 חודשי מאסר בפועל. בית המשפט העליון, על בסיס כלל אחידות הענישה ביחס לנאשמים אחרים באותה פרשה, העמיד את העונש על</w:t>
      </w:r>
      <w:r w:rsidRPr="002806D0">
        <w:rPr>
          <w:rFonts w:ascii="David" w:hAnsi="David" w:hint="cs"/>
          <w:b/>
          <w:bCs/>
          <w:rtl/>
        </w:rPr>
        <w:t xml:space="preserve"> 24 חודשים. </w:t>
      </w:r>
    </w:p>
    <w:p w14:paraId="16B1C940" w14:textId="77777777" w:rsidR="008E79DF" w:rsidRDefault="008E79DF" w:rsidP="008E79DF">
      <w:pPr>
        <w:spacing w:line="360" w:lineRule="auto"/>
        <w:ind w:left="720" w:hanging="720"/>
        <w:jc w:val="both"/>
        <w:rPr>
          <w:rFonts w:ascii="David" w:hAnsi="David"/>
          <w:rtl/>
        </w:rPr>
      </w:pPr>
    </w:p>
    <w:p w14:paraId="3D824C34" w14:textId="77777777" w:rsidR="008E79DF" w:rsidRPr="0027315E" w:rsidRDefault="008E79DF" w:rsidP="008E79DF">
      <w:pPr>
        <w:spacing w:line="360" w:lineRule="auto"/>
        <w:ind w:left="720" w:hanging="720"/>
        <w:jc w:val="both"/>
        <w:rPr>
          <w:rFonts w:ascii="David" w:hAnsi="David"/>
          <w:rtl/>
        </w:rPr>
      </w:pPr>
      <w:r>
        <w:rPr>
          <w:rFonts w:ascii="David" w:hAnsi="David"/>
          <w:rtl/>
        </w:rPr>
        <w:tab/>
      </w:r>
      <w:hyperlink r:id="rId16" w:history="1">
        <w:r w:rsidR="00AE0C02" w:rsidRPr="00AE0C02">
          <w:rPr>
            <w:rFonts w:ascii="David" w:hAnsi="David"/>
            <w:color w:val="0000FF"/>
            <w:u w:val="single"/>
            <w:rtl/>
          </w:rPr>
          <w:t>ת"פ 1108-05-15</w:t>
        </w:r>
      </w:hyperlink>
      <w:r>
        <w:rPr>
          <w:rFonts w:ascii="David" w:hAnsi="David" w:hint="cs"/>
          <w:rtl/>
        </w:rPr>
        <w:t xml:space="preserve"> (מחוזי חיפה) </w:t>
      </w:r>
      <w:r>
        <w:rPr>
          <w:rFonts w:ascii="David" w:hAnsi="David" w:hint="cs"/>
          <w:b/>
          <w:bCs/>
          <w:rtl/>
        </w:rPr>
        <w:t>מדינת ישראל נ' בן-יאיר</w:t>
      </w:r>
      <w:r>
        <w:rPr>
          <w:rFonts w:ascii="David" w:hAnsi="David" w:hint="cs"/>
          <w:rtl/>
        </w:rPr>
        <w:t xml:space="preserve"> (8.12.2015) שם הורשע הנאשם במעורבות בשתי עסקאות מכירת סם מסוג </w:t>
      </w:r>
      <w:r>
        <w:rPr>
          <w:rFonts w:ascii="David" w:hAnsi="David" w:hint="cs"/>
        </w:rPr>
        <w:t>MDMA</w:t>
      </w:r>
      <w:r>
        <w:rPr>
          <w:rFonts w:ascii="David" w:hAnsi="David" w:hint="cs"/>
          <w:rtl/>
        </w:rPr>
        <w:t xml:space="preserve"> לסוכן משטרתי. בכל אחת מהעסקאות נמכרו 292 כדורים תמורת 9,000 ש"ח. בית המשפט קבע מתחם עונש </w:t>
      </w:r>
      <w:r w:rsidRPr="002F1A90">
        <w:rPr>
          <w:rFonts w:ascii="David" w:hAnsi="David" w:hint="cs"/>
          <w:b/>
          <w:bCs/>
          <w:rtl/>
        </w:rPr>
        <w:t xml:space="preserve">הנע בין 18 חודשים ל- </w:t>
      </w:r>
      <w:r>
        <w:rPr>
          <w:rFonts w:ascii="David" w:hAnsi="David" w:hint="cs"/>
          <w:b/>
          <w:bCs/>
          <w:rtl/>
        </w:rPr>
        <w:t>40 חודשים</w:t>
      </w:r>
      <w:r>
        <w:rPr>
          <w:rFonts w:ascii="David" w:hAnsi="David" w:hint="cs"/>
          <w:rtl/>
        </w:rPr>
        <w:t xml:space="preserve"> </w:t>
      </w:r>
      <w:r w:rsidRPr="001E240C">
        <w:rPr>
          <w:rFonts w:ascii="David" w:hAnsi="David" w:hint="cs"/>
          <w:b/>
          <w:bCs/>
          <w:rtl/>
        </w:rPr>
        <w:t>לכל אחד מהאישומים</w:t>
      </w:r>
      <w:r>
        <w:rPr>
          <w:rFonts w:ascii="David" w:hAnsi="David" w:hint="cs"/>
          <w:b/>
          <w:bCs/>
          <w:rtl/>
        </w:rPr>
        <w:t>,</w:t>
      </w:r>
      <w:r>
        <w:rPr>
          <w:rFonts w:ascii="David" w:hAnsi="David" w:hint="cs"/>
          <w:rtl/>
        </w:rPr>
        <w:t xml:space="preserve"> וגזר על הנאשם עונש של 36 חודשי מאסר (תוך הפעלת מאסר מותנה בן 12 חודשים, חציו בחופף וחציו במצטבר). </w:t>
      </w:r>
    </w:p>
    <w:p w14:paraId="4AB24A52" w14:textId="77777777" w:rsidR="008E79DF" w:rsidRDefault="008E79DF" w:rsidP="008E79DF">
      <w:pPr>
        <w:spacing w:line="360" w:lineRule="auto"/>
        <w:ind w:left="720" w:hanging="720"/>
        <w:jc w:val="both"/>
        <w:rPr>
          <w:rFonts w:ascii="David" w:hAnsi="David"/>
          <w:color w:val="000000"/>
          <w:rtl/>
        </w:rPr>
      </w:pPr>
    </w:p>
    <w:p w14:paraId="34DA070D" w14:textId="77777777" w:rsidR="008E79DF" w:rsidRDefault="008E79DF" w:rsidP="008E79DF">
      <w:pPr>
        <w:spacing w:line="360" w:lineRule="auto"/>
        <w:ind w:left="720" w:hanging="720"/>
        <w:jc w:val="both"/>
        <w:rPr>
          <w:rFonts w:ascii="David" w:hAnsi="David"/>
          <w:color w:val="000000"/>
          <w:rtl/>
        </w:rPr>
      </w:pPr>
      <w:r>
        <w:rPr>
          <w:rFonts w:ascii="David" w:hAnsi="David"/>
          <w:color w:val="000000"/>
          <w:rtl/>
        </w:rPr>
        <w:tab/>
      </w:r>
      <w:hyperlink r:id="rId17" w:history="1">
        <w:r w:rsidR="00AE0C02" w:rsidRPr="00AE0C02">
          <w:rPr>
            <w:rFonts w:ascii="David" w:hAnsi="David"/>
            <w:color w:val="0000FF"/>
            <w:u w:val="single"/>
            <w:rtl/>
          </w:rPr>
          <w:t>ת"פ 50059-04-15</w:t>
        </w:r>
      </w:hyperlink>
      <w:r>
        <w:rPr>
          <w:rFonts w:ascii="David" w:hAnsi="David" w:hint="cs"/>
          <w:color w:val="000000"/>
          <w:rtl/>
        </w:rPr>
        <w:t xml:space="preserve"> (מחוזי חיפה) </w:t>
      </w:r>
      <w:r>
        <w:rPr>
          <w:rFonts w:ascii="David" w:hAnsi="David" w:hint="cs"/>
          <w:b/>
          <w:bCs/>
          <w:color w:val="000000"/>
          <w:rtl/>
        </w:rPr>
        <w:t>מדינת ישראל נ' מאור לב</w:t>
      </w:r>
      <w:r>
        <w:rPr>
          <w:rFonts w:ascii="David" w:hAnsi="David" w:hint="cs"/>
          <w:color w:val="000000"/>
          <w:rtl/>
        </w:rPr>
        <w:t xml:space="preserve"> (22.2.2016) שם הורשעו הנאשמים במכירת 495 כדורי </w:t>
      </w:r>
      <w:r>
        <w:rPr>
          <w:rFonts w:ascii="David" w:hAnsi="David" w:hint="cs"/>
          <w:color w:val="000000"/>
        </w:rPr>
        <w:t>MDMA</w:t>
      </w:r>
      <w:r>
        <w:rPr>
          <w:rFonts w:ascii="David" w:hAnsi="David" w:hint="cs"/>
          <w:color w:val="000000"/>
          <w:rtl/>
        </w:rPr>
        <w:t xml:space="preserve"> לסוכן משטרתי תמורת 15,000 ש"ח. בית המשפט קבע מתחם עונש הולם </w:t>
      </w:r>
      <w:r w:rsidRPr="00517AE8">
        <w:rPr>
          <w:rFonts w:ascii="David" w:hAnsi="David" w:hint="cs"/>
          <w:b/>
          <w:bCs/>
          <w:color w:val="000000"/>
          <w:rtl/>
        </w:rPr>
        <w:t>הנע בין 18 ל- 40 חודשי מאסר</w:t>
      </w:r>
      <w:r>
        <w:rPr>
          <w:rFonts w:ascii="David" w:hAnsi="David" w:hint="cs"/>
          <w:color w:val="000000"/>
          <w:rtl/>
        </w:rPr>
        <w:t xml:space="preserve">, וגזר על אחד הנאשמים 30 חודשי מאסר, ואילו על הנאשם השני גזר 40 חודשי מאסר תוך שהפעיל 10 חודשי מאסר על-תנאי במצטבר. </w:t>
      </w:r>
    </w:p>
    <w:p w14:paraId="2B4D60B4" w14:textId="77777777" w:rsidR="008E79DF" w:rsidRDefault="008E79DF" w:rsidP="008E79DF">
      <w:pPr>
        <w:spacing w:line="360" w:lineRule="auto"/>
        <w:ind w:left="720" w:hanging="720"/>
        <w:jc w:val="both"/>
        <w:rPr>
          <w:rFonts w:ascii="David" w:hAnsi="David"/>
          <w:color w:val="000000"/>
          <w:rtl/>
        </w:rPr>
      </w:pPr>
    </w:p>
    <w:p w14:paraId="5283B135" w14:textId="77777777" w:rsidR="008E79DF" w:rsidRDefault="008E79DF" w:rsidP="008E79DF">
      <w:pPr>
        <w:spacing w:line="360" w:lineRule="auto"/>
        <w:ind w:left="720" w:hanging="720"/>
        <w:jc w:val="both"/>
        <w:rPr>
          <w:rFonts w:ascii="David" w:hAnsi="David"/>
          <w:b/>
          <w:bCs/>
          <w:color w:val="000000"/>
          <w:rtl/>
        </w:rPr>
      </w:pPr>
      <w:r>
        <w:rPr>
          <w:rFonts w:ascii="David" w:hAnsi="David"/>
          <w:color w:val="000000"/>
          <w:rtl/>
        </w:rPr>
        <w:tab/>
      </w:r>
      <w:hyperlink r:id="rId18" w:history="1">
        <w:r w:rsidR="00AE0C02" w:rsidRPr="00AE0C02">
          <w:rPr>
            <w:rFonts w:ascii="David" w:hAnsi="David"/>
            <w:color w:val="0000FF"/>
            <w:u w:val="single"/>
            <w:rtl/>
          </w:rPr>
          <w:t>ע"פ 8915/18</w:t>
        </w:r>
      </w:hyperlink>
      <w:r>
        <w:rPr>
          <w:rFonts w:ascii="David" w:hAnsi="David" w:hint="cs"/>
          <w:color w:val="000000"/>
          <w:rtl/>
        </w:rPr>
        <w:t xml:space="preserve"> </w:t>
      </w:r>
      <w:r>
        <w:rPr>
          <w:rFonts w:ascii="David" w:hAnsi="David" w:hint="cs"/>
          <w:b/>
          <w:bCs/>
          <w:color w:val="000000"/>
          <w:rtl/>
        </w:rPr>
        <w:t xml:space="preserve">מועזיז נ' מדינת ישראל </w:t>
      </w:r>
      <w:r>
        <w:rPr>
          <w:rFonts w:ascii="David" w:hAnsi="David" w:hint="cs"/>
          <w:color w:val="000000"/>
          <w:rtl/>
        </w:rPr>
        <w:t xml:space="preserve">(24.9.2019) שם הורשע הנאשם בהחזקת 8,333 כדורי </w:t>
      </w:r>
      <w:r>
        <w:rPr>
          <w:rFonts w:ascii="David" w:hAnsi="David" w:hint="cs"/>
          <w:color w:val="000000"/>
        </w:rPr>
        <w:t>MDMA</w:t>
      </w:r>
      <w:r>
        <w:rPr>
          <w:rFonts w:ascii="David" w:hAnsi="David" w:hint="cs"/>
          <w:color w:val="000000"/>
          <w:rtl/>
        </w:rPr>
        <w:t xml:space="preserve"> שהובאו מגרמניה על-ידי אחרים. הנאשם, שהיה נהג מונית, נשלח על-ידי אחד האחרים לאסוף את הסמים מחנות המשמשת כנקודת איסוף של דואר ישראל, וכך עשה הנאשם,  ובהמשך אף מסר את הסמים לאדם אחר. בית המשפט המחוזי גזר על הנאשם עונש של</w:t>
      </w:r>
      <w:r w:rsidRPr="0040674D">
        <w:rPr>
          <w:rFonts w:ascii="David" w:hAnsi="David" w:hint="cs"/>
          <w:color w:val="000000"/>
          <w:rtl/>
        </w:rPr>
        <w:t xml:space="preserve"> 15 חודשי מאסר, אולם בית המשפט העליון העמיד את </w:t>
      </w:r>
      <w:r>
        <w:rPr>
          <w:rFonts w:ascii="David" w:hAnsi="David" w:hint="cs"/>
          <w:color w:val="000000"/>
          <w:rtl/>
        </w:rPr>
        <w:t xml:space="preserve">העונש </w:t>
      </w:r>
      <w:r w:rsidRPr="0040674D">
        <w:rPr>
          <w:rFonts w:ascii="David" w:hAnsi="David" w:hint="cs"/>
          <w:b/>
          <w:bCs/>
          <w:color w:val="000000"/>
          <w:rtl/>
        </w:rPr>
        <w:t xml:space="preserve">על 10 חודשי מאסר. </w:t>
      </w:r>
    </w:p>
    <w:p w14:paraId="21321399" w14:textId="77777777" w:rsidR="008E79DF" w:rsidRDefault="008E79DF" w:rsidP="008E79DF">
      <w:pPr>
        <w:spacing w:line="360" w:lineRule="auto"/>
        <w:ind w:left="720" w:hanging="720"/>
        <w:jc w:val="both"/>
        <w:rPr>
          <w:rFonts w:ascii="David" w:hAnsi="David"/>
          <w:b/>
          <w:bCs/>
          <w:color w:val="000000"/>
          <w:rtl/>
        </w:rPr>
      </w:pPr>
    </w:p>
    <w:p w14:paraId="1926AA27" w14:textId="77777777" w:rsidR="008E79DF" w:rsidRDefault="008E79DF" w:rsidP="008E79DF">
      <w:pPr>
        <w:spacing w:line="360" w:lineRule="auto"/>
        <w:ind w:left="720" w:hanging="720"/>
        <w:jc w:val="both"/>
        <w:rPr>
          <w:rFonts w:ascii="David" w:hAnsi="David"/>
          <w:color w:val="000000"/>
          <w:rtl/>
        </w:rPr>
      </w:pPr>
      <w:r w:rsidRPr="005D64A7">
        <w:rPr>
          <w:rFonts w:ascii="David" w:hAnsi="David"/>
          <w:color w:val="000000"/>
          <w:rtl/>
        </w:rPr>
        <w:tab/>
      </w:r>
      <w:hyperlink r:id="rId19" w:history="1">
        <w:r w:rsidR="00AE0C02" w:rsidRPr="00AE0C02">
          <w:rPr>
            <w:rFonts w:ascii="David" w:hAnsi="David"/>
            <w:color w:val="0000FF"/>
            <w:u w:val="single"/>
            <w:rtl/>
          </w:rPr>
          <w:t>ת"פ 52882-04-15</w:t>
        </w:r>
      </w:hyperlink>
      <w:r>
        <w:rPr>
          <w:rFonts w:ascii="David" w:hAnsi="David" w:hint="cs"/>
          <w:color w:val="000000"/>
          <w:rtl/>
        </w:rPr>
        <w:t xml:space="preserve"> (מחוזי חיפה) </w:t>
      </w:r>
      <w:r>
        <w:rPr>
          <w:rFonts w:ascii="David" w:hAnsi="David" w:hint="cs"/>
          <w:b/>
          <w:bCs/>
          <w:color w:val="000000"/>
          <w:rtl/>
        </w:rPr>
        <w:t>מדינת ישראל נ' חורי</w:t>
      </w:r>
      <w:r>
        <w:rPr>
          <w:rFonts w:ascii="David" w:hAnsi="David" w:hint="cs"/>
          <w:color w:val="000000"/>
          <w:rtl/>
        </w:rPr>
        <w:t xml:space="preserve"> (27.6.2016) שם הורשע הנאשם במכירת 100 כדורי </w:t>
      </w:r>
      <w:r>
        <w:rPr>
          <w:rFonts w:ascii="David" w:hAnsi="David" w:hint="cs"/>
          <w:color w:val="000000"/>
        </w:rPr>
        <w:t>MDMA</w:t>
      </w:r>
      <w:r>
        <w:rPr>
          <w:rFonts w:ascii="David" w:hAnsi="David" w:hint="cs"/>
          <w:color w:val="000000"/>
          <w:rtl/>
        </w:rPr>
        <w:t xml:space="preserve"> לסוכן משטרתי (במקרה הראשון), ובמכירת 497 כדורי </w:t>
      </w:r>
      <w:r>
        <w:rPr>
          <w:rFonts w:ascii="David" w:hAnsi="David" w:hint="cs"/>
          <w:color w:val="000000"/>
        </w:rPr>
        <w:t>MDMA</w:t>
      </w:r>
      <w:r>
        <w:rPr>
          <w:rFonts w:ascii="David" w:hAnsi="David" w:hint="cs"/>
          <w:color w:val="000000"/>
          <w:rtl/>
        </w:rPr>
        <w:t xml:space="preserve"> לאותו סוכן (במקרה השני). בית המשפט קבע מתחם כולל לשני האישומים </w:t>
      </w:r>
      <w:r w:rsidRPr="002E0079">
        <w:rPr>
          <w:rFonts w:ascii="David" w:hAnsi="David" w:hint="cs"/>
          <w:b/>
          <w:bCs/>
          <w:color w:val="000000"/>
          <w:rtl/>
        </w:rPr>
        <w:t>הנע בין 30 חודשי מאסר ל- 70 חודשי מאסר</w:t>
      </w:r>
      <w:r>
        <w:rPr>
          <w:rFonts w:ascii="David" w:hAnsi="David" w:hint="cs"/>
          <w:b/>
          <w:bCs/>
          <w:color w:val="000000"/>
          <w:rtl/>
        </w:rPr>
        <w:t xml:space="preserve">, </w:t>
      </w:r>
      <w:r w:rsidRPr="007C432C">
        <w:rPr>
          <w:rFonts w:ascii="David" w:hAnsi="David" w:hint="cs"/>
          <w:color w:val="000000"/>
          <w:rtl/>
        </w:rPr>
        <w:t xml:space="preserve">וזאת תוך התחשבות בעקרון אחידות הענישה בפרשה, שאם לא כן, היה מקום לקבוע מתחם ענישה הנע בין </w:t>
      </w:r>
      <w:r>
        <w:rPr>
          <w:rFonts w:ascii="David" w:hAnsi="David" w:hint="cs"/>
          <w:color w:val="000000"/>
          <w:rtl/>
        </w:rPr>
        <w:t xml:space="preserve">40 חודשי מאסר ל- 84 חודשי מאסר. </w:t>
      </w:r>
    </w:p>
    <w:p w14:paraId="7B5A5E46" w14:textId="77777777" w:rsidR="008E79DF" w:rsidRDefault="008E79DF" w:rsidP="008E79DF">
      <w:pPr>
        <w:spacing w:line="360" w:lineRule="auto"/>
        <w:ind w:left="720" w:hanging="720"/>
        <w:jc w:val="both"/>
        <w:rPr>
          <w:rFonts w:ascii="David" w:hAnsi="David"/>
          <w:color w:val="000000"/>
          <w:rtl/>
        </w:rPr>
      </w:pPr>
      <w:r>
        <w:rPr>
          <w:rFonts w:ascii="David" w:hAnsi="David"/>
          <w:color w:val="000000"/>
          <w:rtl/>
        </w:rPr>
        <w:t xml:space="preserve"> </w:t>
      </w:r>
    </w:p>
    <w:p w14:paraId="54DFA7E7" w14:textId="77777777" w:rsidR="008E79DF" w:rsidRPr="001E4082" w:rsidRDefault="008E79DF" w:rsidP="008E79DF">
      <w:pPr>
        <w:shd w:val="clear" w:color="auto" w:fill="FFFFFF"/>
        <w:spacing w:line="360" w:lineRule="auto"/>
        <w:jc w:val="both"/>
        <w:rPr>
          <w:rFonts w:ascii="David" w:hAnsi="David"/>
          <w:color w:val="000000"/>
          <w:u w:val="single"/>
          <w:rtl/>
        </w:rPr>
      </w:pPr>
      <w:r>
        <w:rPr>
          <w:rFonts w:ascii="David" w:hAnsi="David" w:hint="cs"/>
          <w:color w:val="000000"/>
          <w:rtl/>
        </w:rPr>
        <w:tab/>
      </w:r>
      <w:r w:rsidRPr="001E4082">
        <w:rPr>
          <w:rFonts w:ascii="David" w:hAnsi="David"/>
          <w:color w:val="000000"/>
          <w:u w:val="single"/>
          <w:rtl/>
        </w:rPr>
        <w:t>קביעת מתחם העונש ההולם – סיכום</w:t>
      </w:r>
    </w:p>
    <w:p w14:paraId="23392827" w14:textId="77777777" w:rsidR="008E79DF" w:rsidRPr="001E4082" w:rsidRDefault="008E79DF" w:rsidP="008E79DF">
      <w:pPr>
        <w:shd w:val="clear" w:color="auto" w:fill="FFFFFF"/>
        <w:spacing w:line="360" w:lineRule="auto"/>
        <w:jc w:val="both"/>
        <w:rPr>
          <w:rFonts w:ascii="David" w:hAnsi="David"/>
          <w:color w:val="000000"/>
          <w:rtl/>
        </w:rPr>
      </w:pPr>
    </w:p>
    <w:p w14:paraId="62C634D6" w14:textId="77777777" w:rsidR="008E79DF" w:rsidRPr="001E4082" w:rsidRDefault="008E79DF" w:rsidP="008E79DF">
      <w:pPr>
        <w:shd w:val="clear" w:color="auto" w:fill="FFFFFF"/>
        <w:spacing w:line="360" w:lineRule="auto"/>
        <w:jc w:val="both"/>
        <w:rPr>
          <w:rFonts w:ascii="David" w:hAnsi="David"/>
          <w:color w:val="000000"/>
          <w:rtl/>
        </w:rPr>
      </w:pPr>
      <w:r>
        <w:rPr>
          <w:rFonts w:ascii="David" w:hAnsi="David" w:hint="cs"/>
          <w:color w:val="000000"/>
          <w:rtl/>
        </w:rPr>
        <w:t>10</w:t>
      </w:r>
      <w:r w:rsidRPr="001E4082">
        <w:rPr>
          <w:rFonts w:ascii="David" w:hAnsi="David"/>
          <w:color w:val="000000"/>
          <w:rtl/>
        </w:rPr>
        <w:t xml:space="preserve">. </w:t>
      </w:r>
      <w:r>
        <w:rPr>
          <w:rFonts w:ascii="David" w:hAnsi="David"/>
          <w:color w:val="000000"/>
          <w:rtl/>
        </w:rPr>
        <w:tab/>
      </w:r>
      <w:r w:rsidRPr="001E4082">
        <w:rPr>
          <w:rFonts w:ascii="David" w:hAnsi="David"/>
          <w:color w:val="000000"/>
          <w:rtl/>
        </w:rPr>
        <w:t>על יסוד האמור לעיל, ראיתי לקבוע את מתחמי הענישה באופן הבא:</w:t>
      </w:r>
    </w:p>
    <w:p w14:paraId="68E5D952" w14:textId="77777777" w:rsidR="008E79DF" w:rsidRPr="001E4082" w:rsidRDefault="008E79DF" w:rsidP="008E79DF">
      <w:pPr>
        <w:shd w:val="clear" w:color="auto" w:fill="FFFFFF"/>
        <w:spacing w:line="360" w:lineRule="auto"/>
        <w:jc w:val="both"/>
        <w:rPr>
          <w:rFonts w:ascii="David" w:hAnsi="David"/>
          <w:color w:val="000000"/>
          <w:rtl/>
        </w:rPr>
      </w:pPr>
    </w:p>
    <w:p w14:paraId="54CF07FD" w14:textId="77777777" w:rsidR="008E79DF" w:rsidRPr="001E4082" w:rsidRDefault="008E79DF" w:rsidP="008E79DF">
      <w:pPr>
        <w:shd w:val="clear" w:color="auto" w:fill="FFFFFF"/>
        <w:spacing w:line="360" w:lineRule="auto"/>
        <w:jc w:val="both"/>
        <w:rPr>
          <w:rFonts w:ascii="David" w:hAnsi="David"/>
          <w:color w:val="000000"/>
          <w:rtl/>
        </w:rPr>
      </w:pPr>
      <w:r w:rsidRPr="001A6C4D">
        <w:rPr>
          <w:rFonts w:ascii="David" w:hAnsi="David"/>
          <w:b/>
          <w:bCs/>
          <w:color w:val="000000"/>
          <w:rtl/>
        </w:rPr>
        <w:tab/>
        <w:t>ב</w:t>
      </w:r>
      <w:r w:rsidRPr="001A6C4D">
        <w:rPr>
          <w:rFonts w:ascii="David" w:hAnsi="David" w:hint="cs"/>
          <w:b/>
          <w:bCs/>
          <w:color w:val="000000"/>
          <w:rtl/>
        </w:rPr>
        <w:t>עניינו של</w:t>
      </w:r>
      <w:r w:rsidRPr="001A6C4D">
        <w:rPr>
          <w:rFonts w:ascii="David" w:hAnsi="David"/>
          <w:b/>
          <w:bCs/>
          <w:color w:val="000000"/>
          <w:rtl/>
        </w:rPr>
        <w:t xml:space="preserve"> האישום הראשון</w:t>
      </w:r>
      <w:r w:rsidR="00AE0C02">
        <w:rPr>
          <w:rFonts w:ascii="David" w:hAnsi="David"/>
          <w:b/>
          <w:bCs/>
          <w:color w:val="000000"/>
          <w:rtl/>
        </w:rPr>
        <w:t xml:space="preserve"> </w:t>
      </w:r>
      <w:r w:rsidRPr="001E4082">
        <w:rPr>
          <w:rFonts w:ascii="David" w:hAnsi="David"/>
          <w:color w:val="000000"/>
          <w:rtl/>
        </w:rPr>
        <w:t xml:space="preserve"> - ינוע המתחם בין 18 </w:t>
      </w:r>
      <w:r>
        <w:rPr>
          <w:rFonts w:ascii="David" w:hAnsi="David" w:hint="cs"/>
          <w:color w:val="000000"/>
          <w:rtl/>
        </w:rPr>
        <w:t xml:space="preserve">חודשי מאסר </w:t>
      </w:r>
      <w:r w:rsidRPr="001E4082">
        <w:rPr>
          <w:rFonts w:ascii="David" w:hAnsi="David"/>
          <w:color w:val="000000"/>
          <w:rtl/>
        </w:rPr>
        <w:t xml:space="preserve">ל- </w:t>
      </w:r>
      <w:r>
        <w:rPr>
          <w:rFonts w:ascii="David" w:hAnsi="David" w:hint="cs"/>
          <w:color w:val="000000"/>
          <w:rtl/>
        </w:rPr>
        <w:t>38</w:t>
      </w:r>
      <w:r w:rsidRPr="001E4082">
        <w:rPr>
          <w:rFonts w:ascii="David" w:hAnsi="David"/>
          <w:color w:val="000000"/>
          <w:rtl/>
        </w:rPr>
        <w:t xml:space="preserve"> חודשי מאסר.</w:t>
      </w:r>
    </w:p>
    <w:p w14:paraId="25724FA6" w14:textId="77777777" w:rsidR="008E79DF" w:rsidRPr="001E4082" w:rsidRDefault="008E79DF" w:rsidP="008E79DF">
      <w:pPr>
        <w:shd w:val="clear" w:color="auto" w:fill="FFFFFF"/>
        <w:spacing w:line="360" w:lineRule="auto"/>
        <w:jc w:val="both"/>
        <w:rPr>
          <w:rFonts w:ascii="David" w:hAnsi="David"/>
          <w:color w:val="000000"/>
          <w:rtl/>
        </w:rPr>
      </w:pPr>
    </w:p>
    <w:p w14:paraId="2D666BDF" w14:textId="77777777" w:rsidR="008E79DF" w:rsidRPr="001E4082" w:rsidRDefault="008E79DF" w:rsidP="008E79DF">
      <w:pPr>
        <w:shd w:val="clear" w:color="auto" w:fill="FFFFFF"/>
        <w:spacing w:line="360" w:lineRule="auto"/>
        <w:jc w:val="both"/>
        <w:rPr>
          <w:rFonts w:ascii="David" w:hAnsi="David"/>
          <w:color w:val="000000"/>
          <w:rtl/>
        </w:rPr>
      </w:pPr>
      <w:r w:rsidRPr="001A6C4D">
        <w:rPr>
          <w:rFonts w:ascii="David" w:hAnsi="David"/>
          <w:b/>
          <w:bCs/>
          <w:color w:val="000000"/>
          <w:rtl/>
        </w:rPr>
        <w:tab/>
        <w:t>ב</w:t>
      </w:r>
      <w:r w:rsidRPr="001A6C4D">
        <w:rPr>
          <w:rFonts w:ascii="David" w:hAnsi="David" w:hint="cs"/>
          <w:b/>
          <w:bCs/>
          <w:color w:val="000000"/>
          <w:rtl/>
        </w:rPr>
        <w:t>עניינו של</w:t>
      </w:r>
      <w:r w:rsidRPr="001A6C4D">
        <w:rPr>
          <w:rFonts w:ascii="David" w:hAnsi="David"/>
          <w:b/>
          <w:bCs/>
          <w:color w:val="000000"/>
          <w:rtl/>
        </w:rPr>
        <w:t xml:space="preserve"> האישום השני </w:t>
      </w:r>
      <w:r w:rsidRPr="001E4082">
        <w:rPr>
          <w:rFonts w:ascii="David" w:hAnsi="David"/>
          <w:color w:val="000000"/>
          <w:rtl/>
        </w:rPr>
        <w:t xml:space="preserve">– ינוע המתחם בין </w:t>
      </w:r>
      <w:r>
        <w:rPr>
          <w:rFonts w:ascii="David" w:hAnsi="David" w:hint="cs"/>
          <w:color w:val="000000"/>
          <w:rtl/>
        </w:rPr>
        <w:t xml:space="preserve">34 חודשי מאסר ל- 54 חודשי מאסר.  </w:t>
      </w:r>
    </w:p>
    <w:p w14:paraId="4D451850" w14:textId="77777777" w:rsidR="008E79DF" w:rsidRDefault="008E79DF" w:rsidP="008E79DF">
      <w:pPr>
        <w:shd w:val="clear" w:color="auto" w:fill="FFFFFF"/>
        <w:spacing w:line="360" w:lineRule="auto"/>
        <w:jc w:val="both"/>
        <w:rPr>
          <w:rFonts w:ascii="David" w:hAnsi="David"/>
          <w:color w:val="000000"/>
          <w:spacing w:val="10"/>
          <w:shd w:val="clear" w:color="auto" w:fill="FFFFFF"/>
          <w:rtl/>
        </w:rPr>
      </w:pPr>
    </w:p>
    <w:p w14:paraId="6EC287C8" w14:textId="77777777" w:rsidR="008E79DF" w:rsidRDefault="008E79DF" w:rsidP="008E79DF">
      <w:pPr>
        <w:spacing w:line="360" w:lineRule="auto"/>
        <w:jc w:val="both"/>
        <w:rPr>
          <w:rFonts w:ascii="David" w:hAnsi="David"/>
          <w:color w:val="000000"/>
          <w:u w:val="single"/>
          <w:rtl/>
        </w:rPr>
      </w:pPr>
      <w:r>
        <w:rPr>
          <w:rFonts w:ascii="David" w:hAnsi="David"/>
          <w:color w:val="000000"/>
          <w:rtl/>
        </w:rPr>
        <w:tab/>
      </w:r>
      <w:r>
        <w:rPr>
          <w:rFonts w:ascii="David" w:hAnsi="David"/>
          <w:color w:val="000000"/>
          <w:u w:val="single"/>
          <w:rtl/>
        </w:rPr>
        <w:t>קביעת העונש המתאים</w:t>
      </w:r>
    </w:p>
    <w:p w14:paraId="37DFF1E0" w14:textId="77777777" w:rsidR="008E79DF" w:rsidRDefault="008E79DF" w:rsidP="008E79DF">
      <w:pPr>
        <w:spacing w:line="360" w:lineRule="auto"/>
        <w:jc w:val="both"/>
        <w:rPr>
          <w:rFonts w:ascii="David" w:hAnsi="David"/>
          <w:color w:val="000000"/>
          <w:u w:val="single"/>
          <w:rtl/>
        </w:rPr>
      </w:pPr>
    </w:p>
    <w:p w14:paraId="254EFFB5" w14:textId="77777777" w:rsidR="008E79DF" w:rsidRDefault="008E79DF" w:rsidP="008E79DF">
      <w:pPr>
        <w:spacing w:line="360" w:lineRule="auto"/>
        <w:ind w:left="720" w:hanging="720"/>
        <w:jc w:val="both"/>
        <w:rPr>
          <w:rFonts w:ascii="David" w:hAnsi="David"/>
          <w:color w:val="000000"/>
          <w:rtl/>
        </w:rPr>
      </w:pPr>
      <w:r>
        <w:rPr>
          <w:rFonts w:ascii="David" w:hAnsi="David"/>
          <w:color w:val="000000"/>
          <w:rtl/>
        </w:rPr>
        <w:tab/>
      </w:r>
      <w:r>
        <w:rPr>
          <w:rFonts w:ascii="David" w:hAnsi="David" w:hint="cs"/>
          <w:color w:val="000000"/>
          <w:rtl/>
        </w:rPr>
        <w:t>בפתח חלק זה, אציין כי גם לשיטת התביעה, ונוכח הודאת הנאשם ומכלול נתוניו המורכבים, יש מקום לגזור את עונשו של הנאשם תוך חפיפה כמעט מלאה של מתחמי הענישה. מדובר בעתירה הגונה, המשקפת את מכלול הנתונים.</w:t>
      </w:r>
    </w:p>
    <w:p w14:paraId="62B49AB8" w14:textId="77777777" w:rsidR="008E79DF" w:rsidRDefault="008E79DF" w:rsidP="008E79DF">
      <w:pPr>
        <w:spacing w:line="360" w:lineRule="auto"/>
        <w:ind w:left="720" w:hanging="720"/>
        <w:jc w:val="both"/>
        <w:rPr>
          <w:rFonts w:ascii="David" w:hAnsi="David"/>
          <w:color w:val="000000"/>
          <w:rtl/>
        </w:rPr>
      </w:pPr>
    </w:p>
    <w:p w14:paraId="45A06820" w14:textId="77777777" w:rsidR="008E79DF" w:rsidRDefault="008E79DF" w:rsidP="008E79DF">
      <w:pPr>
        <w:spacing w:line="360" w:lineRule="auto"/>
        <w:ind w:left="720" w:hanging="720"/>
        <w:jc w:val="both"/>
        <w:rPr>
          <w:rFonts w:ascii="David" w:hAnsi="David"/>
          <w:color w:val="000000"/>
          <w:rtl/>
        </w:rPr>
      </w:pPr>
      <w:r>
        <w:rPr>
          <w:rFonts w:ascii="David" w:hAnsi="David" w:hint="cs"/>
          <w:color w:val="000000"/>
          <w:rtl/>
        </w:rPr>
        <w:t>11.</w:t>
      </w:r>
      <w:r>
        <w:rPr>
          <w:rFonts w:ascii="David" w:hAnsi="David"/>
          <w:color w:val="000000"/>
          <w:rtl/>
        </w:rPr>
        <w:tab/>
      </w:r>
      <w:r>
        <w:rPr>
          <w:rFonts w:ascii="David" w:hAnsi="David" w:hint="cs"/>
          <w:color w:val="000000"/>
          <w:rtl/>
        </w:rPr>
        <w:t xml:space="preserve">השיקולים הרלוונטיים לקביעת העונש המתאים הם כדלקמן: </w:t>
      </w:r>
    </w:p>
    <w:p w14:paraId="35C760F4" w14:textId="77777777" w:rsidR="008E79DF" w:rsidRDefault="008E79DF" w:rsidP="008E79DF">
      <w:pPr>
        <w:spacing w:line="360" w:lineRule="auto"/>
        <w:jc w:val="both"/>
        <w:rPr>
          <w:rFonts w:ascii="David" w:hAnsi="David"/>
          <w:color w:val="000000"/>
          <w:u w:val="single"/>
          <w:rtl/>
        </w:rPr>
      </w:pPr>
    </w:p>
    <w:p w14:paraId="3CDF3580" w14:textId="77777777" w:rsidR="008E79DF" w:rsidRDefault="008E79DF" w:rsidP="008E79DF">
      <w:pPr>
        <w:spacing w:line="360" w:lineRule="auto"/>
        <w:ind w:left="720" w:hanging="720"/>
        <w:jc w:val="both"/>
        <w:rPr>
          <w:rFonts w:ascii="David" w:hAnsi="David"/>
          <w:rtl/>
        </w:rPr>
      </w:pPr>
      <w:r>
        <w:rPr>
          <w:rFonts w:ascii="David" w:hAnsi="David"/>
          <w:b/>
          <w:bCs/>
          <w:rtl/>
        </w:rPr>
        <w:tab/>
        <w:t>הודאה וקבלת אחריות</w:t>
      </w:r>
      <w:r>
        <w:rPr>
          <w:rFonts w:ascii="David" w:hAnsi="David"/>
          <w:rtl/>
        </w:rPr>
        <w:t xml:space="preserve"> – הנאשם הודה</w:t>
      </w:r>
      <w:r w:rsidR="00AE0C02">
        <w:rPr>
          <w:rFonts w:ascii="David" w:hAnsi="David"/>
          <w:rtl/>
        </w:rPr>
        <w:t xml:space="preserve"> </w:t>
      </w:r>
      <w:r>
        <w:rPr>
          <w:rFonts w:ascii="David" w:hAnsi="David"/>
          <w:rtl/>
        </w:rPr>
        <w:t xml:space="preserve"> בפתח ההליך המשפטי, ומבלי שגיבש עם התביעה הסדר כלשהו לעניין העונש. מעבר לחסכון בזמן ציבורי הכרוך בכך, יש בהודאתו של הנאשם כדי ללמד על לקיחת אחריות אמיתית, אשר בעטיה זכאי הנאשם להקלה משמעותית בעונשו. </w:t>
      </w:r>
    </w:p>
    <w:p w14:paraId="5A144691" w14:textId="77777777" w:rsidR="008E79DF" w:rsidRDefault="008E79DF" w:rsidP="008E79DF">
      <w:pPr>
        <w:spacing w:line="360" w:lineRule="auto"/>
        <w:ind w:left="720" w:hanging="720"/>
        <w:jc w:val="both"/>
        <w:rPr>
          <w:rFonts w:cs="Times New Roman"/>
          <w:rtl/>
        </w:rPr>
      </w:pPr>
    </w:p>
    <w:p w14:paraId="56E40510" w14:textId="77777777" w:rsidR="008E79DF" w:rsidRDefault="008E79DF" w:rsidP="008E79DF">
      <w:pPr>
        <w:spacing w:line="360" w:lineRule="auto"/>
        <w:ind w:left="720" w:hanging="720"/>
        <w:jc w:val="both"/>
        <w:rPr>
          <w:rFonts w:ascii="David" w:hAnsi="David"/>
          <w:rtl/>
        </w:rPr>
      </w:pPr>
      <w:r>
        <w:rPr>
          <w:rFonts w:ascii="David" w:hAnsi="David"/>
          <w:b/>
          <w:bCs/>
          <w:rtl/>
        </w:rPr>
        <w:tab/>
        <w:t>עבר פלילי</w:t>
      </w:r>
      <w:r>
        <w:rPr>
          <w:rFonts w:ascii="David" w:hAnsi="David"/>
          <w:rtl/>
        </w:rPr>
        <w:t xml:space="preserve"> – לחובתו של הנאשם </w:t>
      </w:r>
      <w:r>
        <w:rPr>
          <w:rFonts w:ascii="David" w:hAnsi="David" w:hint="cs"/>
          <w:rtl/>
        </w:rPr>
        <w:t xml:space="preserve">שני </w:t>
      </w:r>
      <w:r>
        <w:rPr>
          <w:rFonts w:ascii="David" w:hAnsi="David"/>
          <w:rtl/>
        </w:rPr>
        <w:t xml:space="preserve">רישומים פליליים </w:t>
      </w:r>
      <w:r>
        <w:rPr>
          <w:rFonts w:ascii="David" w:hAnsi="David" w:hint="cs"/>
          <w:rtl/>
        </w:rPr>
        <w:t xml:space="preserve">בעבירות רכוש והחזקת סכין </w:t>
      </w:r>
      <w:r>
        <w:rPr>
          <w:rFonts w:ascii="David" w:hAnsi="David"/>
          <w:rtl/>
        </w:rPr>
        <w:t xml:space="preserve">מבית </w:t>
      </w:r>
      <w:r>
        <w:rPr>
          <w:rFonts w:ascii="David" w:hAnsi="David" w:hint="cs"/>
          <w:rtl/>
        </w:rPr>
        <w:t>ה</w:t>
      </w:r>
      <w:r>
        <w:rPr>
          <w:rFonts w:ascii="David" w:hAnsi="David"/>
          <w:rtl/>
        </w:rPr>
        <w:t>משפט לנוער</w:t>
      </w:r>
      <w:r>
        <w:rPr>
          <w:rFonts w:ascii="David" w:hAnsi="David" w:hint="cs"/>
          <w:rtl/>
        </w:rPr>
        <w:t>. על רקע נתוניו המורכבים כפי שעלו בתסקיר שרות המבחן, ברור כי לא ניתן לראות ברישומים אלה ככאלה המצדיקים החמרה בענישה.</w:t>
      </w:r>
    </w:p>
    <w:p w14:paraId="04A30F3B" w14:textId="77777777" w:rsidR="008E79DF" w:rsidRDefault="008E79DF" w:rsidP="008E79DF">
      <w:pPr>
        <w:spacing w:line="360" w:lineRule="auto"/>
        <w:ind w:left="720" w:hanging="720"/>
        <w:jc w:val="both"/>
        <w:rPr>
          <w:rFonts w:ascii="David" w:hAnsi="David"/>
        </w:rPr>
      </w:pPr>
    </w:p>
    <w:p w14:paraId="7E8C0ACB" w14:textId="77777777" w:rsidR="008E79DF" w:rsidRDefault="008E79DF" w:rsidP="008E79DF">
      <w:pPr>
        <w:spacing w:line="360" w:lineRule="auto"/>
        <w:ind w:left="720" w:hanging="720"/>
        <w:jc w:val="both"/>
        <w:rPr>
          <w:rFonts w:ascii="David" w:hAnsi="David"/>
          <w:color w:val="000000"/>
          <w:rtl/>
        </w:rPr>
      </w:pPr>
      <w:r>
        <w:rPr>
          <w:rFonts w:ascii="David" w:hAnsi="David"/>
          <w:b/>
          <w:bCs/>
          <w:rtl/>
        </w:rPr>
        <w:tab/>
        <w:t xml:space="preserve">נתונים האישיים של הנאשם – </w:t>
      </w:r>
      <w:r>
        <w:rPr>
          <w:rFonts w:ascii="David" w:hAnsi="David"/>
          <w:color w:val="000000"/>
          <w:rtl/>
        </w:rPr>
        <w:t xml:space="preserve">נתתי דעתי לנתוניו האישיים </w:t>
      </w:r>
      <w:r>
        <w:rPr>
          <w:rFonts w:ascii="David" w:hAnsi="David" w:hint="cs"/>
          <w:color w:val="000000"/>
          <w:rtl/>
        </w:rPr>
        <w:t xml:space="preserve">המורכבים </w:t>
      </w:r>
      <w:r>
        <w:rPr>
          <w:rFonts w:ascii="David" w:hAnsi="David"/>
          <w:color w:val="000000"/>
          <w:rtl/>
        </w:rPr>
        <w:t>של הנאשם</w:t>
      </w:r>
      <w:r>
        <w:rPr>
          <w:rFonts w:ascii="David" w:hAnsi="David" w:hint="cs"/>
          <w:color w:val="000000"/>
          <w:rtl/>
        </w:rPr>
        <w:t xml:space="preserve"> כפי שאלה עולים מהתסקיר</w:t>
      </w:r>
      <w:r>
        <w:rPr>
          <w:rFonts w:ascii="David" w:hAnsi="David"/>
          <w:color w:val="000000"/>
          <w:rtl/>
        </w:rPr>
        <w:t>,</w:t>
      </w:r>
      <w:r>
        <w:rPr>
          <w:rFonts w:ascii="David" w:hAnsi="David" w:hint="cs"/>
          <w:color w:val="000000"/>
          <w:rtl/>
        </w:rPr>
        <w:t xml:space="preserve"> ונראה כי אלה מצדיקים התחשבות בענישה. </w:t>
      </w:r>
    </w:p>
    <w:p w14:paraId="5D870F12" w14:textId="77777777" w:rsidR="008E79DF" w:rsidRDefault="008E79DF" w:rsidP="008E79DF">
      <w:pPr>
        <w:bidi w:val="0"/>
        <w:rPr>
          <w:rFonts w:ascii="David" w:hAnsi="David"/>
          <w:color w:val="000000"/>
          <w:rtl/>
        </w:rPr>
      </w:pPr>
      <w:r>
        <w:rPr>
          <w:rFonts w:ascii="David" w:hAnsi="David"/>
          <w:color w:val="000000"/>
          <w:rtl/>
        </w:rPr>
        <w:br w:type="page"/>
      </w:r>
    </w:p>
    <w:p w14:paraId="215A1329" w14:textId="77777777" w:rsidR="008E79DF" w:rsidRDefault="008E79DF" w:rsidP="008E79DF">
      <w:pPr>
        <w:spacing w:line="360" w:lineRule="auto"/>
        <w:jc w:val="both"/>
        <w:rPr>
          <w:rFonts w:ascii="David" w:hAnsi="David"/>
          <w:color w:val="000000"/>
          <w:u w:val="single"/>
          <w:rtl/>
        </w:rPr>
      </w:pPr>
      <w:r>
        <w:rPr>
          <w:rFonts w:ascii="David" w:hAnsi="David"/>
          <w:color w:val="000000"/>
          <w:rtl/>
        </w:rPr>
        <w:tab/>
      </w:r>
      <w:r>
        <w:rPr>
          <w:rFonts w:ascii="David" w:hAnsi="David"/>
          <w:color w:val="000000"/>
          <w:u w:val="single"/>
          <w:rtl/>
        </w:rPr>
        <w:t>סיכום</w:t>
      </w:r>
    </w:p>
    <w:p w14:paraId="179DDBC5" w14:textId="77777777" w:rsidR="008E79DF" w:rsidRDefault="008E79DF" w:rsidP="008E79DF">
      <w:pPr>
        <w:spacing w:line="360" w:lineRule="auto"/>
        <w:jc w:val="both"/>
        <w:rPr>
          <w:rFonts w:ascii="David" w:hAnsi="David"/>
          <w:color w:val="000000"/>
          <w:u w:val="single"/>
          <w:rtl/>
        </w:rPr>
      </w:pPr>
    </w:p>
    <w:p w14:paraId="1E04E02C" w14:textId="77777777" w:rsidR="008E79DF" w:rsidRDefault="008E79DF" w:rsidP="008E79DF">
      <w:pPr>
        <w:spacing w:line="360" w:lineRule="auto"/>
        <w:ind w:left="720" w:hanging="720"/>
        <w:jc w:val="both"/>
        <w:rPr>
          <w:rFonts w:ascii="David" w:hAnsi="David"/>
          <w:color w:val="000000"/>
          <w:rtl/>
        </w:rPr>
      </w:pPr>
      <w:r>
        <w:rPr>
          <w:rFonts w:ascii="David" w:hAnsi="David" w:hint="cs"/>
          <w:color w:val="000000"/>
          <w:rtl/>
        </w:rPr>
        <w:t>12.</w:t>
      </w:r>
      <w:r>
        <w:rPr>
          <w:rFonts w:ascii="David" w:hAnsi="David"/>
          <w:color w:val="000000"/>
          <w:rtl/>
        </w:rPr>
        <w:tab/>
        <w:t>לאחר שבחנתי את כל הנתונים, ראיתי להטיל על הנאשם עונש כולל הנותן ביט</w:t>
      </w:r>
      <w:r>
        <w:rPr>
          <w:rFonts w:ascii="David" w:hAnsi="David" w:hint="cs"/>
          <w:color w:val="000000"/>
          <w:rtl/>
        </w:rPr>
        <w:t>ו</w:t>
      </w:r>
      <w:r>
        <w:rPr>
          <w:rFonts w:ascii="David" w:hAnsi="David"/>
          <w:color w:val="000000"/>
          <w:rtl/>
        </w:rPr>
        <w:t>י למתחמי הענישה</w:t>
      </w:r>
      <w:r>
        <w:rPr>
          <w:rFonts w:ascii="David" w:hAnsi="David" w:hint="cs"/>
          <w:color w:val="000000"/>
          <w:rtl/>
        </w:rPr>
        <w:t xml:space="preserve">, ומשקף חפיפה כמעט מלאה ביניהם, וזאת כדלקמן: </w:t>
      </w:r>
    </w:p>
    <w:p w14:paraId="3C18B607" w14:textId="77777777" w:rsidR="008E79DF" w:rsidRDefault="008E79DF" w:rsidP="008E79DF">
      <w:pPr>
        <w:spacing w:line="360" w:lineRule="auto"/>
        <w:ind w:left="720" w:hanging="720"/>
        <w:jc w:val="both"/>
        <w:rPr>
          <w:rFonts w:ascii="David" w:hAnsi="David"/>
          <w:color w:val="000000"/>
          <w:rtl/>
        </w:rPr>
      </w:pPr>
    </w:p>
    <w:p w14:paraId="1B0BED4F" w14:textId="77777777" w:rsidR="008E79DF" w:rsidRDefault="008E79DF" w:rsidP="008E79DF">
      <w:pPr>
        <w:spacing w:line="360" w:lineRule="auto"/>
        <w:jc w:val="both"/>
        <w:rPr>
          <w:rFonts w:ascii="David" w:hAnsi="David"/>
          <w:color w:val="000000"/>
          <w:rtl/>
        </w:rPr>
      </w:pPr>
      <w:r>
        <w:rPr>
          <w:rFonts w:ascii="David" w:hAnsi="David"/>
          <w:color w:val="000000"/>
          <w:rtl/>
        </w:rPr>
        <w:t>א.</w:t>
      </w:r>
      <w:r>
        <w:rPr>
          <w:rFonts w:ascii="David" w:hAnsi="David"/>
          <w:color w:val="000000"/>
          <w:rtl/>
        </w:rPr>
        <w:tab/>
        <w:t>38 חודשי מאסר בפועל החל מיום מעצרו</w:t>
      </w:r>
      <w:r>
        <w:rPr>
          <w:rFonts w:ascii="David" w:hAnsi="David" w:hint="cs"/>
          <w:color w:val="000000"/>
          <w:rtl/>
        </w:rPr>
        <w:t xml:space="preserve"> - </w:t>
      </w:r>
      <w:r>
        <w:rPr>
          <w:rFonts w:ascii="David" w:hAnsi="David"/>
          <w:color w:val="000000"/>
          <w:rtl/>
        </w:rPr>
        <w:t>5.2.19.</w:t>
      </w:r>
    </w:p>
    <w:p w14:paraId="339B9D1B" w14:textId="77777777" w:rsidR="008E79DF" w:rsidRDefault="008E79DF" w:rsidP="008E79DF">
      <w:pPr>
        <w:spacing w:line="360" w:lineRule="auto"/>
        <w:jc w:val="both"/>
        <w:rPr>
          <w:rFonts w:ascii="David" w:hAnsi="David"/>
          <w:color w:val="000000"/>
          <w:rtl/>
        </w:rPr>
      </w:pPr>
    </w:p>
    <w:p w14:paraId="73E6F17E" w14:textId="77777777" w:rsidR="008E79DF" w:rsidRDefault="008E79DF" w:rsidP="008E79DF">
      <w:pPr>
        <w:spacing w:line="360" w:lineRule="auto"/>
        <w:ind w:left="720" w:hanging="720"/>
        <w:jc w:val="both"/>
        <w:rPr>
          <w:rFonts w:ascii="David" w:hAnsi="David"/>
          <w:color w:val="000000"/>
          <w:rtl/>
        </w:rPr>
      </w:pPr>
      <w:r>
        <w:rPr>
          <w:rFonts w:ascii="David" w:hAnsi="David"/>
          <w:color w:val="000000"/>
          <w:rtl/>
        </w:rPr>
        <w:t>ב.</w:t>
      </w:r>
      <w:r>
        <w:rPr>
          <w:rFonts w:ascii="David" w:hAnsi="David"/>
          <w:color w:val="000000"/>
          <w:rtl/>
        </w:rPr>
        <w:tab/>
        <w:t>6 חודשי מאסר, אולם הנאשם לא יישא עונש זה אלא אם יעבור תוך שלוש שנים מיום שחרורו</w:t>
      </w:r>
      <w:r w:rsidR="00AE0C02">
        <w:rPr>
          <w:rFonts w:ascii="David" w:hAnsi="David"/>
          <w:color w:val="000000"/>
          <w:rtl/>
        </w:rPr>
        <w:t xml:space="preserve"> </w:t>
      </w:r>
      <w:r>
        <w:rPr>
          <w:rFonts w:ascii="David" w:hAnsi="David"/>
          <w:color w:val="000000"/>
          <w:rtl/>
        </w:rPr>
        <w:t xml:space="preserve"> עבירת סמים מסוג פשע.</w:t>
      </w:r>
    </w:p>
    <w:p w14:paraId="7DCB630F" w14:textId="77777777" w:rsidR="008E79DF" w:rsidRDefault="008E79DF" w:rsidP="008E79DF">
      <w:pPr>
        <w:spacing w:line="360" w:lineRule="auto"/>
        <w:ind w:left="720" w:hanging="720"/>
        <w:jc w:val="both"/>
        <w:rPr>
          <w:rFonts w:ascii="David" w:hAnsi="David"/>
          <w:color w:val="000000"/>
          <w:rtl/>
        </w:rPr>
      </w:pPr>
    </w:p>
    <w:p w14:paraId="7EA4330D" w14:textId="77777777" w:rsidR="008E79DF" w:rsidRDefault="008E79DF" w:rsidP="008E79DF">
      <w:pPr>
        <w:spacing w:line="360" w:lineRule="auto"/>
        <w:ind w:left="720" w:hanging="720"/>
        <w:jc w:val="both"/>
        <w:rPr>
          <w:rFonts w:ascii="David" w:hAnsi="David"/>
          <w:color w:val="000000"/>
          <w:rtl/>
        </w:rPr>
      </w:pPr>
      <w:r>
        <w:rPr>
          <w:rFonts w:ascii="David" w:hAnsi="David"/>
          <w:color w:val="000000"/>
          <w:rtl/>
        </w:rPr>
        <w:t>ג.</w:t>
      </w:r>
      <w:r>
        <w:rPr>
          <w:rFonts w:ascii="David" w:hAnsi="David"/>
          <w:color w:val="000000"/>
          <w:rtl/>
        </w:rPr>
        <w:tab/>
      </w:r>
      <w:r>
        <w:rPr>
          <w:rFonts w:ascii="David" w:hAnsi="David"/>
          <w:rtl/>
        </w:rPr>
        <w:t xml:space="preserve">3 חודשי מאסר, אולם הנאשם לא יישא עונש זה </w:t>
      </w:r>
      <w:r>
        <w:rPr>
          <w:rFonts w:ascii="David" w:hAnsi="David"/>
          <w:color w:val="000000"/>
          <w:rtl/>
        </w:rPr>
        <w:t>אלא אם יעבור תוך שלוש שנים מיום שחרורו עבירת סמים מסוג עוון.</w:t>
      </w:r>
    </w:p>
    <w:p w14:paraId="7C477C9E" w14:textId="77777777" w:rsidR="008E79DF" w:rsidRDefault="008E79DF" w:rsidP="008E79DF">
      <w:pPr>
        <w:spacing w:line="360" w:lineRule="auto"/>
        <w:ind w:left="720" w:hanging="720"/>
        <w:jc w:val="both"/>
        <w:rPr>
          <w:rFonts w:ascii="David" w:hAnsi="David"/>
          <w:color w:val="000000"/>
          <w:rtl/>
        </w:rPr>
      </w:pPr>
    </w:p>
    <w:p w14:paraId="5D84C630" w14:textId="77777777" w:rsidR="008E79DF" w:rsidRDefault="008E79DF" w:rsidP="008E79DF">
      <w:pPr>
        <w:spacing w:line="360" w:lineRule="auto"/>
        <w:jc w:val="both"/>
        <w:rPr>
          <w:rFonts w:ascii="David" w:hAnsi="David"/>
          <w:color w:val="000000"/>
          <w:rtl/>
        </w:rPr>
      </w:pPr>
      <w:r>
        <w:rPr>
          <w:rFonts w:ascii="David" w:hAnsi="David"/>
          <w:color w:val="000000"/>
          <w:rtl/>
        </w:rPr>
        <w:t xml:space="preserve">ד. </w:t>
      </w:r>
      <w:r>
        <w:rPr>
          <w:rFonts w:ascii="David" w:hAnsi="David"/>
          <w:color w:val="000000"/>
          <w:rtl/>
        </w:rPr>
        <w:tab/>
        <w:t>קנס בסך</w:t>
      </w:r>
      <w:r>
        <w:rPr>
          <w:rFonts w:ascii="David" w:hAnsi="David" w:hint="cs"/>
          <w:color w:val="000000"/>
          <w:rtl/>
        </w:rPr>
        <w:t xml:space="preserve"> 26,000 ש"ח המשקף את סכומי הכסף שקיבל הנאשם מהסוכן המשטרתי. </w:t>
      </w:r>
    </w:p>
    <w:p w14:paraId="49B404F7" w14:textId="77777777" w:rsidR="008E79DF" w:rsidRDefault="008E79DF" w:rsidP="008E79DF">
      <w:pPr>
        <w:spacing w:line="360" w:lineRule="auto"/>
        <w:ind w:left="720" w:hanging="720"/>
        <w:jc w:val="both"/>
        <w:rPr>
          <w:rFonts w:ascii="David" w:hAnsi="David"/>
          <w:color w:val="000000"/>
          <w:rtl/>
        </w:rPr>
      </w:pPr>
      <w:r>
        <w:rPr>
          <w:rFonts w:ascii="David" w:hAnsi="David"/>
          <w:color w:val="000000"/>
          <w:rtl/>
        </w:rPr>
        <w:tab/>
      </w:r>
      <w:r>
        <w:rPr>
          <w:rFonts w:ascii="David" w:hAnsi="David" w:hint="cs"/>
          <w:color w:val="000000"/>
          <w:rtl/>
        </w:rPr>
        <w:t xml:space="preserve">הקנס ישולם ב- 20 תשלומים חודשיים שווים החל מיום 1.10.20 ועד לסיום התשלומים או 90 ימי מאסר תמורתו. </w:t>
      </w:r>
    </w:p>
    <w:p w14:paraId="1A2F564B" w14:textId="77777777" w:rsidR="008E79DF" w:rsidRDefault="008E79DF" w:rsidP="008E79DF">
      <w:pPr>
        <w:spacing w:line="360" w:lineRule="auto"/>
        <w:ind w:left="720" w:hanging="720"/>
        <w:jc w:val="both"/>
        <w:rPr>
          <w:rFonts w:ascii="David" w:hAnsi="David"/>
          <w:color w:val="000000"/>
          <w:rtl/>
        </w:rPr>
      </w:pPr>
    </w:p>
    <w:p w14:paraId="250E3791" w14:textId="77777777" w:rsidR="008E79DF" w:rsidRDefault="008E79DF" w:rsidP="008E79DF">
      <w:pPr>
        <w:spacing w:line="360" w:lineRule="auto"/>
        <w:ind w:left="720" w:hanging="720"/>
        <w:jc w:val="both"/>
        <w:rPr>
          <w:rFonts w:ascii="David" w:hAnsi="David"/>
          <w:color w:val="000000"/>
          <w:rtl/>
        </w:rPr>
      </w:pPr>
      <w:r>
        <w:rPr>
          <w:rFonts w:ascii="David" w:hAnsi="David" w:hint="cs"/>
          <w:color w:val="000000"/>
          <w:rtl/>
        </w:rPr>
        <w:t>ה.</w:t>
      </w:r>
      <w:r>
        <w:rPr>
          <w:rFonts w:ascii="David" w:hAnsi="David" w:hint="cs"/>
          <w:color w:val="000000"/>
          <w:rtl/>
        </w:rPr>
        <w:tab/>
        <w:t xml:space="preserve">נוכח נתוניו של הנאשם והערכת שרות המבחן, כמו גם שיתוף הפעולה הפורה עם גורמי הטיפול ברש"א, טוב יעשה שב"ס אם יבחן שילובו של הנאשם בהליך טיפולי מתאים בין כתלי בית המאסר. </w:t>
      </w:r>
    </w:p>
    <w:p w14:paraId="2D76719F" w14:textId="77777777" w:rsidR="008E79DF" w:rsidRDefault="008E79DF" w:rsidP="008E79DF">
      <w:pPr>
        <w:spacing w:line="360" w:lineRule="auto"/>
        <w:jc w:val="both"/>
        <w:rPr>
          <w:rFonts w:ascii="David" w:hAnsi="David"/>
          <w:color w:val="000000"/>
          <w:rtl/>
        </w:rPr>
      </w:pPr>
    </w:p>
    <w:p w14:paraId="33F1A03A" w14:textId="77777777" w:rsidR="008E79DF" w:rsidRDefault="008E79DF" w:rsidP="008E79DF">
      <w:pPr>
        <w:spacing w:line="360" w:lineRule="auto"/>
        <w:jc w:val="both"/>
        <w:rPr>
          <w:rFonts w:ascii="David" w:hAnsi="David"/>
          <w:color w:val="000000"/>
          <w:rtl/>
        </w:rPr>
      </w:pPr>
      <w:r>
        <w:rPr>
          <w:rFonts w:ascii="David" w:hAnsi="David"/>
          <w:color w:val="000000"/>
          <w:rtl/>
        </w:rPr>
        <w:t>ניתן צו כללי למוצגים לשיקול דעת קצין משטרה ו/או התביעה.</w:t>
      </w:r>
    </w:p>
    <w:p w14:paraId="579CA524" w14:textId="77777777" w:rsidR="008E79DF" w:rsidRDefault="008E79DF" w:rsidP="008E79DF">
      <w:pPr>
        <w:spacing w:line="360" w:lineRule="auto"/>
        <w:jc w:val="both"/>
        <w:rPr>
          <w:rFonts w:ascii="David" w:hAnsi="David"/>
          <w:color w:val="000000"/>
          <w:rtl/>
        </w:rPr>
      </w:pPr>
    </w:p>
    <w:p w14:paraId="2F782847" w14:textId="77777777" w:rsidR="008E79DF" w:rsidRDefault="008E79DF" w:rsidP="008E79DF">
      <w:pPr>
        <w:spacing w:line="360" w:lineRule="auto"/>
        <w:jc w:val="both"/>
        <w:rPr>
          <w:rFonts w:ascii="David" w:hAnsi="David"/>
          <w:color w:val="000000"/>
          <w:rtl/>
        </w:rPr>
      </w:pPr>
      <w:r>
        <w:rPr>
          <w:rFonts w:ascii="David" w:hAnsi="David"/>
          <w:color w:val="000000"/>
          <w:rtl/>
        </w:rPr>
        <w:t>זכות ערעור כחוק.</w:t>
      </w:r>
    </w:p>
    <w:p w14:paraId="2FADE93C" w14:textId="77777777" w:rsidR="008E79DF" w:rsidRPr="00AE0C02" w:rsidRDefault="00AE0C02" w:rsidP="008E79DF">
      <w:pPr>
        <w:rPr>
          <w:color w:val="FFFFFF"/>
          <w:sz w:val="2"/>
          <w:szCs w:val="2"/>
          <w:rtl/>
        </w:rPr>
      </w:pPr>
      <w:r w:rsidRPr="00AE0C02">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E79DF" w:rsidRPr="00E34C45" w14:paraId="13852AEB" w14:textId="77777777" w:rsidTr="008E79DF">
        <w:trPr>
          <w:trHeight w:val="316"/>
          <w:jc w:val="right"/>
        </w:trPr>
        <w:tc>
          <w:tcPr>
            <w:tcW w:w="3936" w:type="dxa"/>
            <w:tcBorders>
              <w:top w:val="nil"/>
              <w:left w:val="nil"/>
              <w:right w:val="nil"/>
            </w:tcBorders>
            <w:shd w:val="clear" w:color="auto" w:fill="auto"/>
            <w:vAlign w:val="bottom"/>
          </w:tcPr>
          <w:p w14:paraId="3DD97A8A" w14:textId="77777777" w:rsidR="008E79DF" w:rsidRPr="008E79DF" w:rsidRDefault="00AE0C02" w:rsidP="00AE0C02">
            <w:pPr>
              <w:jc w:val="center"/>
              <w:rPr>
                <w:rFonts w:ascii="Arial (W1)" w:hAnsi="Arial (W1)"/>
                <w:rtl/>
              </w:rPr>
            </w:pPr>
            <w:bookmarkStart w:id="8" w:name="Nitan"/>
            <w:r w:rsidRPr="00AE0C02">
              <w:rPr>
                <w:rFonts w:ascii="Arial" w:hAnsi="Arial"/>
                <w:b/>
                <w:bCs/>
                <w:color w:val="FFFFFF"/>
                <w:sz w:val="2"/>
                <w:szCs w:val="2"/>
                <w:rtl/>
              </w:rPr>
              <w:t>54678313</w:t>
            </w:r>
            <w:r>
              <w:rPr>
                <w:rFonts w:ascii="Arial" w:hAnsi="Arial"/>
                <w:b/>
                <w:bCs/>
                <w:rtl/>
              </w:rPr>
              <w:t xml:space="preserve">ניתן היום,  ז' חשוון תש"פ, 05 נובמבר 2019, במעמד הצדדים. </w:t>
            </w:r>
            <w:bookmarkEnd w:id="8"/>
          </w:p>
          <w:p w14:paraId="5B3ECE82" w14:textId="77777777" w:rsidR="008E79DF" w:rsidRPr="008E79DF" w:rsidRDefault="008E79DF" w:rsidP="008E79DF">
            <w:pPr>
              <w:jc w:val="center"/>
              <w:rPr>
                <w:rFonts w:ascii="Arial (W1)" w:hAnsi="Arial (W1)"/>
              </w:rPr>
            </w:pPr>
          </w:p>
        </w:tc>
      </w:tr>
      <w:tr w:rsidR="008E79DF" w:rsidRPr="00E34C45" w14:paraId="14511671" w14:textId="77777777" w:rsidTr="008E79DF">
        <w:trPr>
          <w:trHeight w:val="361"/>
          <w:jc w:val="right"/>
        </w:trPr>
        <w:tc>
          <w:tcPr>
            <w:tcW w:w="3936" w:type="dxa"/>
            <w:tcBorders>
              <w:left w:val="nil"/>
              <w:bottom w:val="nil"/>
              <w:right w:val="nil"/>
            </w:tcBorders>
            <w:shd w:val="clear" w:color="auto" w:fill="auto"/>
          </w:tcPr>
          <w:p w14:paraId="76CC3D1A" w14:textId="77777777" w:rsidR="008E79DF" w:rsidRPr="008E79DF" w:rsidRDefault="008E79DF" w:rsidP="008E79DF">
            <w:pPr>
              <w:jc w:val="center"/>
              <w:rPr>
                <w:rFonts w:ascii="Arial (W1)" w:hAnsi="Arial (W1)"/>
                <w:b/>
                <w:bCs/>
                <w:rtl/>
              </w:rPr>
            </w:pPr>
            <w:r w:rsidRPr="008E79DF">
              <w:rPr>
                <w:rFonts w:ascii="Arial (W1)" w:hAnsi="Arial (W1)" w:hint="eastAsia"/>
                <w:b/>
                <w:bCs/>
                <w:rtl/>
              </w:rPr>
              <w:t>בני</w:t>
            </w:r>
            <w:r w:rsidRPr="008E79DF">
              <w:rPr>
                <w:rFonts w:ascii="Arial (W1)" w:hAnsi="Arial (W1)"/>
                <w:b/>
                <w:bCs/>
                <w:rtl/>
              </w:rPr>
              <w:t xml:space="preserve"> </w:t>
            </w:r>
            <w:r w:rsidRPr="008E79DF">
              <w:rPr>
                <w:rFonts w:ascii="Arial (W1)" w:hAnsi="Arial (W1)" w:hint="eastAsia"/>
                <w:b/>
                <w:bCs/>
                <w:rtl/>
              </w:rPr>
              <w:t>שגיא</w:t>
            </w:r>
            <w:r w:rsidRPr="008E79DF">
              <w:rPr>
                <w:rFonts w:ascii="Arial (W1)" w:hAnsi="Arial (W1)"/>
                <w:b/>
                <w:bCs/>
                <w:rtl/>
              </w:rPr>
              <w:t xml:space="preserve">, </w:t>
            </w:r>
            <w:r w:rsidRPr="008E79DF">
              <w:rPr>
                <w:rFonts w:ascii="Arial (W1)" w:hAnsi="Arial (W1)" w:hint="eastAsia"/>
                <w:b/>
                <w:bCs/>
                <w:rtl/>
              </w:rPr>
              <w:t>שופט</w:t>
            </w:r>
          </w:p>
        </w:tc>
      </w:tr>
    </w:tbl>
    <w:p w14:paraId="05D6BA9B" w14:textId="77777777" w:rsidR="008E79DF" w:rsidRPr="00250B83" w:rsidRDefault="008E79DF" w:rsidP="008E79DF">
      <w:pPr>
        <w:spacing w:line="360" w:lineRule="auto"/>
        <w:jc w:val="both"/>
        <w:rPr>
          <w:rFonts w:ascii="Arial" w:hAnsi="Arial"/>
        </w:rPr>
      </w:pPr>
    </w:p>
    <w:p w14:paraId="19C17FB6" w14:textId="77777777" w:rsidR="00590FEC" w:rsidRPr="00AE0C02" w:rsidRDefault="00590FEC" w:rsidP="00AE0C02">
      <w:pPr>
        <w:keepNext/>
        <w:rPr>
          <w:rFonts w:ascii="David" w:hAnsi="David"/>
          <w:color w:val="000000"/>
          <w:sz w:val="22"/>
          <w:szCs w:val="22"/>
          <w:rtl/>
        </w:rPr>
      </w:pPr>
    </w:p>
    <w:p w14:paraId="2F4D33D2" w14:textId="77777777" w:rsidR="00AE0C02" w:rsidRPr="00AE0C02" w:rsidRDefault="00AE0C02" w:rsidP="00AE0C02">
      <w:pPr>
        <w:keepNext/>
        <w:rPr>
          <w:rFonts w:ascii="David" w:hAnsi="David"/>
          <w:color w:val="000000"/>
          <w:sz w:val="22"/>
          <w:szCs w:val="22"/>
          <w:rtl/>
        </w:rPr>
      </w:pPr>
      <w:r w:rsidRPr="00AE0C02">
        <w:rPr>
          <w:rFonts w:ascii="David" w:hAnsi="David"/>
          <w:color w:val="000000"/>
          <w:sz w:val="22"/>
          <w:szCs w:val="22"/>
          <w:rtl/>
        </w:rPr>
        <w:t>בני שגיא 54678313</w:t>
      </w:r>
    </w:p>
    <w:p w14:paraId="3FC9DCCD" w14:textId="77777777" w:rsidR="00AE0C02" w:rsidRDefault="00AE0C02" w:rsidP="00AE0C02">
      <w:r w:rsidRPr="00AE0C02">
        <w:rPr>
          <w:color w:val="000000"/>
          <w:rtl/>
        </w:rPr>
        <w:t>נוסח מסמך זה כפוף לשינויי ניסוח ועריכה</w:t>
      </w:r>
    </w:p>
    <w:p w14:paraId="3E287253" w14:textId="77777777" w:rsidR="00AE0C02" w:rsidRDefault="00AE0C02" w:rsidP="00AE0C02">
      <w:pPr>
        <w:rPr>
          <w:rtl/>
        </w:rPr>
      </w:pPr>
    </w:p>
    <w:p w14:paraId="30B6A96E" w14:textId="77777777" w:rsidR="00AE0C02" w:rsidRDefault="00AE0C02" w:rsidP="00AE0C02">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A8E9B2E" w14:textId="77777777" w:rsidR="00AE0C02" w:rsidRPr="00AE0C02" w:rsidRDefault="00AE0C02" w:rsidP="00AE0C02">
      <w:pPr>
        <w:jc w:val="center"/>
        <w:rPr>
          <w:color w:val="0000FF"/>
          <w:u w:val="single"/>
        </w:rPr>
      </w:pPr>
    </w:p>
    <w:sectPr w:rsidR="00AE0C02" w:rsidRPr="00AE0C02" w:rsidSect="00AE0C02">
      <w:headerReference w:type="even" r:id="rId21"/>
      <w:headerReference w:type="default" r:id="rId22"/>
      <w:footerReference w:type="even" r:id="rId23"/>
      <w:footerReference w:type="default" r:id="rId24"/>
      <w:pgSz w:w="11907" w:h="16840" w:code="9"/>
      <w:pgMar w:top="1701" w:right="1077" w:bottom="1440" w:left="1077"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CF2F" w14:textId="77777777" w:rsidR="009F5065" w:rsidRDefault="009F5065" w:rsidP="008731DE">
      <w:r>
        <w:separator/>
      </w:r>
    </w:p>
  </w:endnote>
  <w:endnote w:type="continuationSeparator" w:id="0">
    <w:p w14:paraId="499762D0" w14:textId="77777777" w:rsidR="009F5065" w:rsidRDefault="009F5065" w:rsidP="00873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A990" w14:textId="77777777" w:rsidR="00AE0C02" w:rsidRDefault="00AE0C02" w:rsidP="00AE0C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80A1D9" w14:textId="77777777" w:rsidR="00C40887" w:rsidRPr="00AE0C02" w:rsidRDefault="00AE0C02" w:rsidP="00AE0C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AF571" w14:textId="77777777" w:rsidR="00AE0C02" w:rsidRDefault="00AE0C02" w:rsidP="00AE0C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55BB">
      <w:rPr>
        <w:rFonts w:ascii="FrankRuehl" w:hAnsi="FrankRuehl" w:cs="FrankRuehl"/>
        <w:noProof/>
        <w:rtl/>
      </w:rPr>
      <w:t>1</w:t>
    </w:r>
    <w:r>
      <w:rPr>
        <w:rFonts w:ascii="FrankRuehl" w:hAnsi="FrankRuehl" w:cs="FrankRuehl"/>
        <w:rtl/>
      </w:rPr>
      <w:fldChar w:fldCharType="end"/>
    </w:r>
  </w:p>
  <w:p w14:paraId="1BA6ADF2" w14:textId="77777777" w:rsidR="00C40887" w:rsidRPr="00AE0C02" w:rsidRDefault="00AE0C02" w:rsidP="00AE0C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6E47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F02F8" w14:textId="77777777" w:rsidR="009F5065" w:rsidRDefault="009F5065" w:rsidP="008731DE">
      <w:r>
        <w:separator/>
      </w:r>
    </w:p>
  </w:footnote>
  <w:footnote w:type="continuationSeparator" w:id="0">
    <w:p w14:paraId="1703254B" w14:textId="77777777" w:rsidR="009F5065" w:rsidRDefault="009F5065" w:rsidP="00873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BC0CB" w14:textId="77777777" w:rsidR="00AE0C02" w:rsidRPr="00AE0C02" w:rsidRDefault="00AE0C02" w:rsidP="00AE0C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30538-02-19</w:t>
    </w:r>
    <w:r>
      <w:rPr>
        <w:rFonts w:ascii="David" w:hAnsi="David"/>
        <w:color w:val="000000"/>
        <w:sz w:val="22"/>
        <w:szCs w:val="22"/>
        <w:rtl/>
      </w:rPr>
      <w:tab/>
      <w:t xml:space="preserve"> מדינת ישראל נ' אלון צבי איזגילוב ולקוביץ </w:t>
    </w:r>
    <w:r>
      <w:rPr>
        <w:rFonts w:ascii="David" w:hAnsi="David"/>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FDBDF" w14:textId="77777777" w:rsidR="00AE0C02" w:rsidRPr="00AE0C02" w:rsidRDefault="00AE0C02" w:rsidP="00AE0C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30538-02-19</w:t>
    </w:r>
    <w:r>
      <w:rPr>
        <w:rFonts w:ascii="David" w:hAnsi="David"/>
        <w:color w:val="000000"/>
        <w:sz w:val="22"/>
        <w:szCs w:val="22"/>
        <w:rtl/>
      </w:rPr>
      <w:tab/>
      <w:t xml:space="preserve"> מדינת ישראל נ' אלון צבי איזגילוב ולקוביץ </w:t>
    </w:r>
    <w:r>
      <w:rPr>
        <w:rFonts w:ascii="David" w:hAnsi="David"/>
        <w:color w:val="000000"/>
        <w:sz w:val="22"/>
        <w:szCs w:val="22"/>
      </w:rPr>
      <w:t>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E79DF"/>
    <w:rsid w:val="002F73CD"/>
    <w:rsid w:val="00381020"/>
    <w:rsid w:val="005155BB"/>
    <w:rsid w:val="00590FEC"/>
    <w:rsid w:val="008731DE"/>
    <w:rsid w:val="008E79DF"/>
    <w:rsid w:val="009F5065"/>
    <w:rsid w:val="00AE0C02"/>
    <w:rsid w:val="00BB743B"/>
    <w:rsid w:val="00C40887"/>
    <w:rsid w:val="00DB39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00D122"/>
  <w15:chartTrackingRefBased/>
  <w15:docId w15:val="{7E42678B-0FA5-4EC2-B0B2-458BFFEF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79D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79DF"/>
    <w:pPr>
      <w:tabs>
        <w:tab w:val="center" w:pos="4153"/>
        <w:tab w:val="right" w:pos="8306"/>
      </w:tabs>
    </w:pPr>
  </w:style>
  <w:style w:type="character" w:customStyle="1" w:styleId="a4">
    <w:name w:val="כותרת עליונה תו"/>
    <w:link w:val="a3"/>
    <w:rsid w:val="008E79DF"/>
    <w:rPr>
      <w:rFonts w:ascii="Times New Roman" w:eastAsia="Times New Roman" w:hAnsi="Times New Roman" w:cs="David"/>
      <w:sz w:val="24"/>
      <w:szCs w:val="24"/>
    </w:rPr>
  </w:style>
  <w:style w:type="paragraph" w:styleId="a5">
    <w:name w:val="footer"/>
    <w:basedOn w:val="a"/>
    <w:link w:val="a6"/>
    <w:rsid w:val="008E79DF"/>
    <w:pPr>
      <w:tabs>
        <w:tab w:val="center" w:pos="4153"/>
        <w:tab w:val="right" w:pos="8306"/>
      </w:tabs>
    </w:pPr>
  </w:style>
  <w:style w:type="character" w:customStyle="1" w:styleId="a6">
    <w:name w:val="כותרת תחתונה תו"/>
    <w:link w:val="a5"/>
    <w:rsid w:val="008E79DF"/>
    <w:rPr>
      <w:rFonts w:ascii="Times New Roman" w:eastAsia="Times New Roman" w:hAnsi="Times New Roman" w:cs="David"/>
      <w:sz w:val="24"/>
      <w:szCs w:val="24"/>
    </w:rPr>
  </w:style>
  <w:style w:type="table" w:styleId="a7">
    <w:name w:val="Table Grid"/>
    <w:basedOn w:val="a1"/>
    <w:rsid w:val="008E79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E79DF"/>
  </w:style>
  <w:style w:type="character" w:customStyle="1" w:styleId="TimesNewRomanTimesNewRoman">
    <w:name w:val="סגנון (לטיני) Times New Roman (עברית ושפות אחרות) Times New Roman..."/>
    <w:rsid w:val="008E79DF"/>
    <w:rPr>
      <w:rFonts w:ascii="Times New Roman" w:hAnsi="Times New Roman" w:cs="David" w:hint="default"/>
      <w:b/>
      <w:bCs/>
      <w:sz w:val="26"/>
      <w:szCs w:val="26"/>
    </w:rPr>
  </w:style>
  <w:style w:type="character" w:styleId="Hyperlink">
    <w:name w:val="Hyperlink"/>
    <w:rsid w:val="00AE0C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5726579" TargetMode="External"/><Relationship Id="rId18" Type="http://schemas.openxmlformats.org/officeDocument/2006/relationships/hyperlink" Target="http://www.nevo.co.il/case/2524146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13" TargetMode="External"/><Relationship Id="rId12" Type="http://schemas.openxmlformats.org/officeDocument/2006/relationships/hyperlink" Target="http://www.nevo.co.il/case/5585052" TargetMode="External"/><Relationship Id="rId17" Type="http://schemas.openxmlformats.org/officeDocument/2006/relationships/hyperlink" Target="http://www.nevo.co.il/case/2023820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0240530"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683594"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5608364" TargetMode="External"/><Relationship Id="rId23" Type="http://schemas.openxmlformats.org/officeDocument/2006/relationships/footer" Target="footer1.xml"/><Relationship Id="rId10" Type="http://schemas.openxmlformats.org/officeDocument/2006/relationships/hyperlink" Target="http://www.nevo.co.il/case/5786821" TargetMode="External"/><Relationship Id="rId19" Type="http://schemas.openxmlformats.org/officeDocument/2006/relationships/hyperlink" Target="http://www.nevo.co.il/case/20244119"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5753269"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2090</Words>
  <Characters>10455</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12520</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3473521</vt:i4>
      </vt:variant>
      <vt:variant>
        <vt:i4>39</vt:i4>
      </vt:variant>
      <vt:variant>
        <vt:i4>0</vt:i4>
      </vt:variant>
      <vt:variant>
        <vt:i4>5</vt:i4>
      </vt:variant>
      <vt:variant>
        <vt:lpwstr>http://www.nevo.co.il/case/20244119</vt:lpwstr>
      </vt:variant>
      <vt:variant>
        <vt:lpwstr/>
      </vt:variant>
      <vt:variant>
        <vt:i4>3604593</vt:i4>
      </vt:variant>
      <vt:variant>
        <vt:i4>36</vt:i4>
      </vt:variant>
      <vt:variant>
        <vt:i4>0</vt:i4>
      </vt:variant>
      <vt:variant>
        <vt:i4>5</vt:i4>
      </vt:variant>
      <vt:variant>
        <vt:lpwstr>http://www.nevo.co.il/case/25241468</vt:lpwstr>
      </vt:variant>
      <vt:variant>
        <vt:lpwstr/>
      </vt:variant>
      <vt:variant>
        <vt:i4>3670133</vt:i4>
      </vt:variant>
      <vt:variant>
        <vt:i4>33</vt:i4>
      </vt:variant>
      <vt:variant>
        <vt:i4>0</vt:i4>
      </vt:variant>
      <vt:variant>
        <vt:i4>5</vt:i4>
      </vt:variant>
      <vt:variant>
        <vt:lpwstr>http://www.nevo.co.il/case/20238204</vt:lpwstr>
      </vt:variant>
      <vt:variant>
        <vt:lpwstr/>
      </vt:variant>
      <vt:variant>
        <vt:i4>3342453</vt:i4>
      </vt:variant>
      <vt:variant>
        <vt:i4>30</vt:i4>
      </vt:variant>
      <vt:variant>
        <vt:i4>0</vt:i4>
      </vt:variant>
      <vt:variant>
        <vt:i4>5</vt:i4>
      </vt:variant>
      <vt:variant>
        <vt:lpwstr>http://www.nevo.co.il/case/20240530</vt:lpwstr>
      </vt:variant>
      <vt:variant>
        <vt:lpwstr/>
      </vt:variant>
      <vt:variant>
        <vt:i4>3276924</vt:i4>
      </vt:variant>
      <vt:variant>
        <vt:i4>27</vt:i4>
      </vt:variant>
      <vt:variant>
        <vt:i4>0</vt:i4>
      </vt:variant>
      <vt:variant>
        <vt:i4>5</vt:i4>
      </vt:variant>
      <vt:variant>
        <vt:lpwstr>http://www.nevo.co.il/case/5608364</vt:lpwstr>
      </vt:variant>
      <vt:variant>
        <vt:lpwstr/>
      </vt:variant>
      <vt:variant>
        <vt:i4>3866742</vt:i4>
      </vt:variant>
      <vt:variant>
        <vt:i4>24</vt:i4>
      </vt:variant>
      <vt:variant>
        <vt:i4>0</vt:i4>
      </vt:variant>
      <vt:variant>
        <vt:i4>5</vt:i4>
      </vt:variant>
      <vt:variant>
        <vt:lpwstr>http://www.nevo.co.il/case/5753269</vt:lpwstr>
      </vt:variant>
      <vt:variant>
        <vt:lpwstr/>
      </vt:variant>
      <vt:variant>
        <vt:i4>3866738</vt:i4>
      </vt:variant>
      <vt:variant>
        <vt:i4>21</vt:i4>
      </vt:variant>
      <vt:variant>
        <vt:i4>0</vt:i4>
      </vt:variant>
      <vt:variant>
        <vt:i4>5</vt:i4>
      </vt:variant>
      <vt:variant>
        <vt:lpwstr>http://www.nevo.co.il/case/5726579</vt:lpwstr>
      </vt:variant>
      <vt:variant>
        <vt:lpwstr/>
      </vt:variant>
      <vt:variant>
        <vt:i4>4128881</vt:i4>
      </vt:variant>
      <vt:variant>
        <vt:i4>18</vt:i4>
      </vt:variant>
      <vt:variant>
        <vt:i4>0</vt:i4>
      </vt:variant>
      <vt:variant>
        <vt:i4>5</vt:i4>
      </vt:variant>
      <vt:variant>
        <vt:lpwstr>http://www.nevo.co.il/case/5585052</vt:lpwstr>
      </vt:variant>
      <vt:variant>
        <vt:lpwstr/>
      </vt:variant>
      <vt:variant>
        <vt:i4>4063353</vt:i4>
      </vt:variant>
      <vt:variant>
        <vt:i4>15</vt:i4>
      </vt:variant>
      <vt:variant>
        <vt:i4>0</vt:i4>
      </vt:variant>
      <vt:variant>
        <vt:i4>5</vt:i4>
      </vt:variant>
      <vt:variant>
        <vt:lpwstr>http://www.nevo.co.il/case/20683594</vt:lpwstr>
      </vt:variant>
      <vt:variant>
        <vt:lpwstr/>
      </vt:variant>
      <vt:variant>
        <vt:i4>3407991</vt:i4>
      </vt:variant>
      <vt:variant>
        <vt:i4>12</vt:i4>
      </vt:variant>
      <vt:variant>
        <vt:i4>0</vt:i4>
      </vt:variant>
      <vt:variant>
        <vt:i4>5</vt:i4>
      </vt:variant>
      <vt:variant>
        <vt:lpwstr>http://www.nevo.co.il/case/5786821</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30538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אלון צבי איזגילוב ולקוביץ </vt:lpwstr>
  </property>
  <property fmtid="{D5CDD505-2E9C-101B-9397-08002B2CF9AE}" pid="10" name="LAWYER">
    <vt:lpwstr>דליה וייסברג;יוסי סקה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20191105</vt:lpwstr>
  </property>
  <property fmtid="{D5CDD505-2E9C-101B-9397-08002B2CF9AE}" pid="14" name="TYPE_N_DATE">
    <vt:lpwstr>39020191105</vt:lpwstr>
  </property>
  <property fmtid="{D5CDD505-2E9C-101B-9397-08002B2CF9AE}" pid="15" name="CASESLISTTMP1">
    <vt:lpwstr>5786821;20683594;5585052;5726579;5753269;5608364;20240530;20238204;25241468;20244119</vt:lpwstr>
  </property>
  <property fmtid="{D5CDD505-2E9C-101B-9397-08002B2CF9AE}" pid="16" name="WORDNUMPAGES">
    <vt:lpwstr>7</vt:lpwstr>
  </property>
  <property fmtid="{D5CDD505-2E9C-101B-9397-08002B2CF9AE}" pid="17" name="TYPE_ABS_DATE">
    <vt:lpwstr>390020191105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vt:lpwstr>
  </property>
</Properties>
</file>