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844C4" w:rsidRPr="00280316" w14:paraId="1095A2B0" w14:textId="77777777" w:rsidTr="00E91986">
        <w:trPr>
          <w:trHeight w:hRule="exact" w:val="709"/>
          <w:jc w:val="center"/>
        </w:trPr>
        <w:tc>
          <w:tcPr>
            <w:tcW w:w="8721" w:type="dxa"/>
            <w:gridSpan w:val="2"/>
          </w:tcPr>
          <w:p w14:paraId="0455BD18" w14:textId="77777777" w:rsidR="007844C4" w:rsidRPr="00280316" w:rsidRDefault="007844C4" w:rsidP="00DE32D9">
            <w:pPr>
              <w:pStyle w:val="a3"/>
              <w:jc w:val="center"/>
              <w:rPr>
                <w:rFonts w:ascii="David" w:hAnsi="David"/>
                <w:color w:val="000080"/>
                <w:sz w:val="28"/>
                <w:szCs w:val="28"/>
                <w:rtl/>
              </w:rPr>
            </w:pPr>
            <w:bookmarkStart w:id="0" w:name="LastJudge"/>
            <w:r w:rsidRPr="00280316">
              <w:rPr>
                <w:rFonts w:ascii="David" w:hAnsi="David"/>
                <w:b/>
                <w:bCs/>
                <w:color w:val="000080"/>
                <w:sz w:val="28"/>
                <w:szCs w:val="28"/>
                <w:rtl/>
              </w:rPr>
              <w:t>בית המשפט המחוזי בירושלים</w:t>
            </w:r>
          </w:p>
          <w:p w14:paraId="6843EADA" w14:textId="77777777" w:rsidR="007844C4" w:rsidRPr="00280316" w:rsidRDefault="007844C4" w:rsidP="00DE32D9">
            <w:pPr>
              <w:pStyle w:val="a3"/>
              <w:jc w:val="center"/>
              <w:rPr>
                <w:rFonts w:ascii="Tahoma" w:hAnsi="Tahoma" w:cs="Tahoma"/>
                <w:b/>
                <w:bCs/>
                <w:color w:val="000080"/>
                <w:rtl/>
              </w:rPr>
            </w:pPr>
            <w:r w:rsidRPr="00280316">
              <w:rPr>
                <w:rFonts w:ascii="David" w:hAnsi="David"/>
                <w:b/>
                <w:bCs/>
                <w:color w:val="000080"/>
                <w:sz w:val="28"/>
                <w:szCs w:val="28"/>
                <w:rtl/>
              </w:rPr>
              <w:t>לפני כב' השופט אברהם רובין</w:t>
            </w:r>
          </w:p>
        </w:tc>
      </w:tr>
      <w:tr w:rsidR="007844C4" w:rsidRPr="00280316" w14:paraId="1F329B35" w14:textId="77777777" w:rsidTr="00E91986">
        <w:trPr>
          <w:trHeight w:val="337"/>
          <w:jc w:val="center"/>
        </w:trPr>
        <w:tc>
          <w:tcPr>
            <w:tcW w:w="5054" w:type="dxa"/>
          </w:tcPr>
          <w:p w14:paraId="578EE638" w14:textId="77777777" w:rsidR="007844C4" w:rsidRPr="00280316" w:rsidRDefault="007844C4" w:rsidP="00DE32D9">
            <w:pPr>
              <w:rPr>
                <w:rFonts w:ascii="David" w:hAnsi="David"/>
                <w:b/>
                <w:bCs/>
                <w:rtl/>
              </w:rPr>
            </w:pPr>
            <w:r w:rsidRPr="00280316">
              <w:rPr>
                <w:rFonts w:ascii="David" w:hAnsi="David"/>
                <w:b/>
                <w:bCs/>
                <w:rtl/>
              </w:rPr>
              <w:t>ת"פ 37958-02-19 מדינת ישראל נ' זיידל וינברג</w:t>
            </w:r>
          </w:p>
          <w:p w14:paraId="2022D999" w14:textId="77777777" w:rsidR="007844C4" w:rsidRPr="00280316" w:rsidRDefault="007844C4" w:rsidP="00DE32D9">
            <w:pPr>
              <w:pStyle w:val="a3"/>
              <w:rPr>
                <w:rFonts w:cs="FrankRuehl"/>
                <w:sz w:val="28"/>
                <w:szCs w:val="28"/>
                <w:rtl/>
              </w:rPr>
            </w:pPr>
          </w:p>
        </w:tc>
        <w:tc>
          <w:tcPr>
            <w:tcW w:w="3667" w:type="dxa"/>
          </w:tcPr>
          <w:p w14:paraId="74028198" w14:textId="77777777" w:rsidR="007844C4" w:rsidRPr="00280316" w:rsidRDefault="007844C4" w:rsidP="00DE32D9">
            <w:pPr>
              <w:pStyle w:val="a3"/>
              <w:jc w:val="right"/>
              <w:rPr>
                <w:rFonts w:cs="FrankRuehl"/>
                <w:sz w:val="28"/>
                <w:szCs w:val="28"/>
                <w:rtl/>
              </w:rPr>
            </w:pPr>
          </w:p>
        </w:tc>
      </w:tr>
    </w:tbl>
    <w:p w14:paraId="737904CF" w14:textId="77777777" w:rsidR="007844C4" w:rsidRPr="00280316" w:rsidRDefault="007844C4" w:rsidP="007844C4">
      <w:pPr>
        <w:pStyle w:val="a3"/>
        <w:rPr>
          <w:rtl/>
        </w:rPr>
      </w:pPr>
      <w:r w:rsidRPr="00280316">
        <w:rPr>
          <w:rFonts w:hint="cs"/>
          <w:rtl/>
        </w:rPr>
        <w:t xml:space="preserve"> </w:t>
      </w:r>
    </w:p>
    <w:p w14:paraId="04BA8120" w14:textId="77777777" w:rsidR="007844C4" w:rsidRPr="00280316" w:rsidRDefault="007844C4" w:rsidP="007844C4">
      <w:pPr>
        <w:rPr>
          <w:rFonts w:ascii="David" w:hAnsi="David"/>
          <w:b/>
          <w:bCs/>
          <w:sz w:val="28"/>
          <w:szCs w:val="28"/>
          <w:rtl/>
        </w:rPr>
      </w:pPr>
    </w:p>
    <w:p w14:paraId="01F848EC" w14:textId="77777777" w:rsidR="007844C4" w:rsidRPr="00280316" w:rsidRDefault="007844C4" w:rsidP="007844C4">
      <w:pPr>
        <w:rPr>
          <w:rFonts w:ascii="David" w:hAnsi="David"/>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3760"/>
        <w:gridCol w:w="4115"/>
      </w:tblGrid>
      <w:tr w:rsidR="007844C4" w:rsidRPr="00280316" w14:paraId="3D193B34" w14:textId="77777777" w:rsidTr="007844C4">
        <w:trPr>
          <w:trHeight w:val="295"/>
          <w:jc w:val="center"/>
        </w:trPr>
        <w:tc>
          <w:tcPr>
            <w:tcW w:w="945" w:type="dxa"/>
            <w:tcBorders>
              <w:top w:val="nil"/>
              <w:left w:val="nil"/>
              <w:bottom w:val="nil"/>
              <w:right w:val="nil"/>
            </w:tcBorders>
            <w:shd w:val="clear" w:color="auto" w:fill="auto"/>
          </w:tcPr>
          <w:p w14:paraId="2D12443A" w14:textId="77777777" w:rsidR="007844C4" w:rsidRPr="00280316" w:rsidRDefault="007844C4" w:rsidP="007844C4">
            <w:pPr>
              <w:jc w:val="both"/>
              <w:rPr>
                <w:rFonts w:ascii="David" w:hAnsi="David"/>
                <w:sz w:val="28"/>
                <w:szCs w:val="28"/>
              </w:rPr>
            </w:pPr>
          </w:p>
        </w:tc>
        <w:tc>
          <w:tcPr>
            <w:tcW w:w="7875" w:type="dxa"/>
            <w:gridSpan w:val="2"/>
            <w:tcBorders>
              <w:top w:val="nil"/>
              <w:left w:val="nil"/>
              <w:bottom w:val="nil"/>
              <w:right w:val="nil"/>
            </w:tcBorders>
            <w:shd w:val="clear" w:color="auto" w:fill="auto"/>
          </w:tcPr>
          <w:p w14:paraId="30D02B48" w14:textId="77777777" w:rsidR="007844C4" w:rsidRPr="00280316" w:rsidRDefault="007844C4" w:rsidP="007844C4">
            <w:pPr>
              <w:jc w:val="both"/>
              <w:rPr>
                <w:rFonts w:ascii="David" w:hAnsi="David"/>
                <w:sz w:val="28"/>
                <w:szCs w:val="28"/>
              </w:rPr>
            </w:pPr>
          </w:p>
        </w:tc>
      </w:tr>
      <w:tr w:rsidR="007844C4" w:rsidRPr="00280316" w14:paraId="41F11B82" w14:textId="77777777" w:rsidTr="007844C4">
        <w:trPr>
          <w:trHeight w:val="355"/>
          <w:jc w:val="center"/>
        </w:trPr>
        <w:tc>
          <w:tcPr>
            <w:tcW w:w="945" w:type="dxa"/>
            <w:tcBorders>
              <w:top w:val="nil"/>
              <w:left w:val="nil"/>
              <w:bottom w:val="nil"/>
              <w:right w:val="nil"/>
            </w:tcBorders>
            <w:shd w:val="clear" w:color="auto" w:fill="auto"/>
          </w:tcPr>
          <w:p w14:paraId="0C010FC3" w14:textId="77777777" w:rsidR="007844C4" w:rsidRPr="00280316" w:rsidRDefault="007844C4" w:rsidP="007844C4">
            <w:pPr>
              <w:jc w:val="both"/>
              <w:rPr>
                <w:rFonts w:ascii="David" w:hAnsi="David"/>
                <w:b/>
                <w:bCs/>
                <w:sz w:val="28"/>
                <w:szCs w:val="28"/>
              </w:rPr>
            </w:pPr>
            <w:bookmarkStart w:id="1" w:name="FirstAppellant"/>
            <w:r w:rsidRPr="00280316">
              <w:rPr>
                <w:rFonts w:ascii="David" w:hAnsi="David"/>
                <w:b/>
                <w:bCs/>
                <w:sz w:val="28"/>
                <w:szCs w:val="28"/>
                <w:rtl/>
              </w:rPr>
              <w:t>בעניין:</w:t>
            </w:r>
          </w:p>
        </w:tc>
        <w:tc>
          <w:tcPr>
            <w:tcW w:w="3760" w:type="dxa"/>
            <w:tcBorders>
              <w:top w:val="nil"/>
              <w:left w:val="nil"/>
              <w:bottom w:val="nil"/>
              <w:right w:val="nil"/>
            </w:tcBorders>
            <w:shd w:val="clear" w:color="auto" w:fill="auto"/>
          </w:tcPr>
          <w:p w14:paraId="1FC66576" w14:textId="77777777" w:rsidR="007844C4" w:rsidRPr="00280316" w:rsidRDefault="007844C4" w:rsidP="00DE32D9">
            <w:pPr>
              <w:rPr>
                <w:rFonts w:ascii="David" w:hAnsi="David"/>
                <w:b/>
                <w:bCs/>
                <w:sz w:val="28"/>
                <w:szCs w:val="28"/>
              </w:rPr>
            </w:pPr>
            <w:r w:rsidRPr="00280316">
              <w:rPr>
                <w:rFonts w:ascii="David" w:hAnsi="David" w:hint="cs"/>
                <w:b/>
                <w:bCs/>
                <w:sz w:val="28"/>
                <w:szCs w:val="28"/>
                <w:rtl/>
              </w:rPr>
              <w:t>מדינת ישראל</w:t>
            </w:r>
          </w:p>
        </w:tc>
        <w:tc>
          <w:tcPr>
            <w:tcW w:w="4115" w:type="dxa"/>
            <w:tcBorders>
              <w:top w:val="nil"/>
              <w:left w:val="nil"/>
              <w:bottom w:val="nil"/>
              <w:right w:val="nil"/>
            </w:tcBorders>
            <w:shd w:val="clear" w:color="auto" w:fill="auto"/>
          </w:tcPr>
          <w:p w14:paraId="192F2D7F" w14:textId="77777777" w:rsidR="007844C4" w:rsidRPr="00280316" w:rsidRDefault="007844C4" w:rsidP="007844C4">
            <w:pPr>
              <w:jc w:val="both"/>
              <w:rPr>
                <w:rFonts w:ascii="David" w:hAnsi="David"/>
                <w:b/>
                <w:bCs/>
                <w:sz w:val="28"/>
                <w:szCs w:val="28"/>
              </w:rPr>
            </w:pPr>
            <w:r w:rsidRPr="00280316">
              <w:rPr>
                <w:rFonts w:ascii="David" w:hAnsi="David" w:hint="cs"/>
                <w:b/>
                <w:bCs/>
                <w:sz w:val="28"/>
                <w:szCs w:val="28"/>
                <w:rtl/>
              </w:rPr>
              <w:t xml:space="preserve"> המאשימה</w:t>
            </w:r>
          </w:p>
        </w:tc>
      </w:tr>
      <w:bookmarkEnd w:id="1"/>
      <w:tr w:rsidR="007844C4" w:rsidRPr="00280316" w14:paraId="715EB3D2" w14:textId="77777777" w:rsidTr="007844C4">
        <w:trPr>
          <w:trHeight w:val="355"/>
          <w:jc w:val="center"/>
        </w:trPr>
        <w:tc>
          <w:tcPr>
            <w:tcW w:w="945" w:type="dxa"/>
            <w:tcBorders>
              <w:top w:val="nil"/>
              <w:left w:val="nil"/>
              <w:bottom w:val="nil"/>
              <w:right w:val="nil"/>
            </w:tcBorders>
            <w:shd w:val="clear" w:color="auto" w:fill="auto"/>
          </w:tcPr>
          <w:p w14:paraId="59B910CF" w14:textId="77777777" w:rsidR="007844C4" w:rsidRPr="00280316" w:rsidRDefault="007844C4" w:rsidP="007844C4">
            <w:pPr>
              <w:jc w:val="both"/>
              <w:rPr>
                <w:rFonts w:ascii="David" w:hAnsi="David"/>
                <w:b/>
                <w:bCs/>
                <w:sz w:val="28"/>
                <w:szCs w:val="28"/>
                <w:rtl/>
              </w:rPr>
            </w:pPr>
          </w:p>
        </w:tc>
        <w:tc>
          <w:tcPr>
            <w:tcW w:w="3760" w:type="dxa"/>
            <w:tcBorders>
              <w:top w:val="nil"/>
              <w:left w:val="nil"/>
              <w:bottom w:val="nil"/>
              <w:right w:val="nil"/>
            </w:tcBorders>
            <w:shd w:val="clear" w:color="auto" w:fill="auto"/>
          </w:tcPr>
          <w:p w14:paraId="2BC6B316" w14:textId="77777777" w:rsidR="007844C4" w:rsidRPr="00280316" w:rsidRDefault="007844C4" w:rsidP="007844C4">
            <w:pPr>
              <w:jc w:val="both"/>
              <w:rPr>
                <w:rFonts w:ascii="David" w:hAnsi="David"/>
                <w:b/>
                <w:bCs/>
                <w:sz w:val="28"/>
                <w:szCs w:val="28"/>
                <w:rtl/>
              </w:rPr>
            </w:pPr>
          </w:p>
        </w:tc>
        <w:tc>
          <w:tcPr>
            <w:tcW w:w="4115" w:type="dxa"/>
            <w:tcBorders>
              <w:top w:val="nil"/>
              <w:left w:val="nil"/>
              <w:bottom w:val="nil"/>
              <w:right w:val="nil"/>
            </w:tcBorders>
            <w:shd w:val="clear" w:color="auto" w:fill="auto"/>
          </w:tcPr>
          <w:p w14:paraId="00D11D53" w14:textId="77777777" w:rsidR="007844C4" w:rsidRPr="00280316" w:rsidRDefault="007844C4" w:rsidP="007844C4">
            <w:pPr>
              <w:jc w:val="right"/>
              <w:rPr>
                <w:rFonts w:ascii="David" w:hAnsi="David"/>
                <w:b/>
                <w:bCs/>
                <w:sz w:val="28"/>
                <w:szCs w:val="28"/>
                <w:rtl/>
              </w:rPr>
            </w:pPr>
          </w:p>
        </w:tc>
      </w:tr>
      <w:tr w:rsidR="007844C4" w:rsidRPr="00280316" w14:paraId="3177584D" w14:textId="77777777" w:rsidTr="007844C4">
        <w:trPr>
          <w:trHeight w:val="355"/>
          <w:jc w:val="center"/>
        </w:trPr>
        <w:tc>
          <w:tcPr>
            <w:tcW w:w="945" w:type="dxa"/>
            <w:tcBorders>
              <w:top w:val="nil"/>
              <w:left w:val="nil"/>
              <w:bottom w:val="nil"/>
              <w:right w:val="nil"/>
            </w:tcBorders>
            <w:shd w:val="clear" w:color="auto" w:fill="auto"/>
          </w:tcPr>
          <w:p w14:paraId="592561BF" w14:textId="77777777" w:rsidR="007844C4" w:rsidRPr="00280316" w:rsidRDefault="007844C4" w:rsidP="007844C4">
            <w:pPr>
              <w:jc w:val="both"/>
              <w:rPr>
                <w:rFonts w:ascii="David" w:hAnsi="David"/>
                <w:b/>
                <w:bCs/>
                <w:sz w:val="28"/>
                <w:szCs w:val="28"/>
                <w:rtl/>
              </w:rPr>
            </w:pPr>
          </w:p>
        </w:tc>
        <w:tc>
          <w:tcPr>
            <w:tcW w:w="7875" w:type="dxa"/>
            <w:gridSpan w:val="2"/>
            <w:tcBorders>
              <w:top w:val="nil"/>
              <w:left w:val="nil"/>
              <w:bottom w:val="nil"/>
              <w:right w:val="nil"/>
            </w:tcBorders>
            <w:shd w:val="clear" w:color="auto" w:fill="auto"/>
          </w:tcPr>
          <w:p w14:paraId="0A23B555" w14:textId="77777777" w:rsidR="007844C4" w:rsidRPr="00280316" w:rsidRDefault="007844C4" w:rsidP="007844C4">
            <w:pPr>
              <w:jc w:val="center"/>
              <w:rPr>
                <w:rFonts w:ascii="David" w:hAnsi="David"/>
                <w:b/>
                <w:bCs/>
                <w:sz w:val="28"/>
                <w:szCs w:val="28"/>
                <w:rtl/>
              </w:rPr>
            </w:pPr>
          </w:p>
          <w:p w14:paraId="16F0224C" w14:textId="77777777" w:rsidR="007844C4" w:rsidRPr="00280316" w:rsidRDefault="007844C4" w:rsidP="007844C4">
            <w:pPr>
              <w:tabs>
                <w:tab w:val="left" w:pos="3011"/>
                <w:tab w:val="center" w:pos="3829"/>
              </w:tabs>
              <w:rPr>
                <w:rFonts w:ascii="David" w:hAnsi="David"/>
                <w:b/>
                <w:bCs/>
                <w:sz w:val="28"/>
                <w:szCs w:val="28"/>
                <w:rtl/>
              </w:rPr>
            </w:pPr>
            <w:r w:rsidRPr="00280316">
              <w:rPr>
                <w:rFonts w:ascii="David" w:hAnsi="David"/>
                <w:b/>
                <w:bCs/>
                <w:sz w:val="28"/>
                <w:szCs w:val="28"/>
                <w:rtl/>
              </w:rPr>
              <w:tab/>
              <w:t>נגד</w:t>
            </w:r>
          </w:p>
          <w:p w14:paraId="15607BBA" w14:textId="77777777" w:rsidR="007844C4" w:rsidRPr="00280316" w:rsidRDefault="007844C4" w:rsidP="007844C4">
            <w:pPr>
              <w:jc w:val="both"/>
              <w:rPr>
                <w:rFonts w:ascii="David" w:hAnsi="David"/>
                <w:b/>
                <w:bCs/>
                <w:sz w:val="28"/>
                <w:szCs w:val="28"/>
              </w:rPr>
            </w:pPr>
          </w:p>
        </w:tc>
      </w:tr>
      <w:tr w:rsidR="007844C4" w:rsidRPr="00280316" w14:paraId="165DEB17" w14:textId="77777777" w:rsidTr="007844C4">
        <w:trPr>
          <w:trHeight w:val="355"/>
          <w:jc w:val="center"/>
        </w:trPr>
        <w:tc>
          <w:tcPr>
            <w:tcW w:w="945" w:type="dxa"/>
            <w:tcBorders>
              <w:top w:val="nil"/>
              <w:left w:val="nil"/>
              <w:bottom w:val="nil"/>
              <w:right w:val="nil"/>
            </w:tcBorders>
            <w:shd w:val="clear" w:color="auto" w:fill="auto"/>
          </w:tcPr>
          <w:p w14:paraId="4A83519F" w14:textId="77777777" w:rsidR="007844C4" w:rsidRPr="00280316" w:rsidRDefault="007844C4" w:rsidP="00DE32D9">
            <w:pPr>
              <w:rPr>
                <w:rFonts w:ascii="David" w:hAnsi="David"/>
                <w:b/>
                <w:bCs/>
                <w:sz w:val="28"/>
                <w:szCs w:val="28"/>
                <w:rtl/>
              </w:rPr>
            </w:pPr>
          </w:p>
        </w:tc>
        <w:tc>
          <w:tcPr>
            <w:tcW w:w="3760" w:type="dxa"/>
            <w:tcBorders>
              <w:top w:val="nil"/>
              <w:left w:val="nil"/>
              <w:bottom w:val="nil"/>
              <w:right w:val="nil"/>
            </w:tcBorders>
            <w:shd w:val="clear" w:color="auto" w:fill="auto"/>
          </w:tcPr>
          <w:p w14:paraId="2ADF1DD3" w14:textId="77777777" w:rsidR="007844C4" w:rsidRPr="00280316" w:rsidRDefault="007844C4" w:rsidP="00DE32D9">
            <w:pPr>
              <w:rPr>
                <w:rFonts w:ascii="David" w:hAnsi="David"/>
                <w:b/>
                <w:bCs/>
                <w:sz w:val="28"/>
                <w:szCs w:val="28"/>
                <w:rtl/>
              </w:rPr>
            </w:pPr>
            <w:r w:rsidRPr="00280316">
              <w:rPr>
                <w:rFonts w:ascii="David" w:hAnsi="David"/>
                <w:b/>
                <w:bCs/>
                <w:sz w:val="28"/>
                <w:szCs w:val="28"/>
                <w:rtl/>
              </w:rPr>
              <w:t>מרדכי זיידל וינברג</w:t>
            </w:r>
            <w:r w:rsidRPr="00280316">
              <w:rPr>
                <w:rFonts w:ascii="David" w:hAnsi="David"/>
                <w:b/>
                <w:bCs/>
                <w:sz w:val="28"/>
                <w:szCs w:val="28"/>
                <w:rtl/>
              </w:rPr>
              <w:br/>
            </w:r>
            <w:r w:rsidRPr="00280316">
              <w:rPr>
                <w:rFonts w:ascii="David" w:hAnsi="David" w:hint="cs"/>
                <w:b/>
                <w:bCs/>
                <w:sz w:val="28"/>
                <w:szCs w:val="28"/>
                <w:rtl/>
              </w:rPr>
              <w:t xml:space="preserve"> ת.ז. </w:t>
            </w:r>
            <w:r w:rsidR="00280316">
              <w:rPr>
                <w:rFonts w:ascii="David" w:hAnsi="David"/>
                <w:b/>
                <w:bCs/>
                <w:sz w:val="28"/>
                <w:szCs w:val="28"/>
              </w:rPr>
              <w:t>xxxxxxxxx</w:t>
            </w:r>
          </w:p>
        </w:tc>
        <w:tc>
          <w:tcPr>
            <w:tcW w:w="4115" w:type="dxa"/>
            <w:tcBorders>
              <w:top w:val="nil"/>
              <w:left w:val="nil"/>
              <w:bottom w:val="nil"/>
              <w:right w:val="nil"/>
            </w:tcBorders>
            <w:shd w:val="clear" w:color="auto" w:fill="auto"/>
          </w:tcPr>
          <w:p w14:paraId="4C87F20E" w14:textId="77777777" w:rsidR="007844C4" w:rsidRPr="00280316" w:rsidRDefault="007844C4" w:rsidP="00DE32D9">
            <w:pPr>
              <w:rPr>
                <w:rFonts w:ascii="David" w:hAnsi="David"/>
                <w:b/>
                <w:bCs/>
                <w:sz w:val="28"/>
                <w:szCs w:val="28"/>
              </w:rPr>
            </w:pPr>
            <w:r w:rsidRPr="00280316">
              <w:rPr>
                <w:rFonts w:ascii="David" w:hAnsi="David" w:hint="cs"/>
                <w:b/>
                <w:bCs/>
                <w:sz w:val="28"/>
                <w:szCs w:val="28"/>
                <w:rtl/>
              </w:rPr>
              <w:t xml:space="preserve">  הנאשם</w:t>
            </w:r>
          </w:p>
        </w:tc>
      </w:tr>
      <w:tr w:rsidR="007844C4" w:rsidRPr="00280316" w14:paraId="57B807ED" w14:textId="77777777" w:rsidTr="007844C4">
        <w:trPr>
          <w:trHeight w:val="355"/>
          <w:jc w:val="center"/>
        </w:trPr>
        <w:tc>
          <w:tcPr>
            <w:tcW w:w="945" w:type="dxa"/>
            <w:tcBorders>
              <w:top w:val="nil"/>
              <w:left w:val="nil"/>
              <w:bottom w:val="nil"/>
              <w:right w:val="nil"/>
            </w:tcBorders>
            <w:shd w:val="clear" w:color="auto" w:fill="auto"/>
          </w:tcPr>
          <w:p w14:paraId="2C108954" w14:textId="77777777" w:rsidR="007844C4" w:rsidRPr="00280316" w:rsidRDefault="007844C4" w:rsidP="007844C4">
            <w:pPr>
              <w:jc w:val="both"/>
              <w:rPr>
                <w:rFonts w:ascii="David" w:hAnsi="David"/>
                <w:b/>
                <w:bCs/>
                <w:sz w:val="28"/>
                <w:szCs w:val="28"/>
                <w:rtl/>
              </w:rPr>
            </w:pPr>
          </w:p>
        </w:tc>
        <w:tc>
          <w:tcPr>
            <w:tcW w:w="3760" w:type="dxa"/>
            <w:tcBorders>
              <w:top w:val="nil"/>
              <w:left w:val="nil"/>
              <w:bottom w:val="nil"/>
              <w:right w:val="nil"/>
            </w:tcBorders>
            <w:shd w:val="clear" w:color="auto" w:fill="auto"/>
          </w:tcPr>
          <w:p w14:paraId="1171294B" w14:textId="77777777" w:rsidR="007844C4" w:rsidRPr="00280316" w:rsidRDefault="007844C4" w:rsidP="007844C4">
            <w:pPr>
              <w:jc w:val="both"/>
              <w:rPr>
                <w:rFonts w:ascii="David" w:hAnsi="David"/>
                <w:b/>
                <w:bCs/>
                <w:sz w:val="28"/>
                <w:szCs w:val="28"/>
                <w:rtl/>
              </w:rPr>
            </w:pPr>
          </w:p>
        </w:tc>
        <w:tc>
          <w:tcPr>
            <w:tcW w:w="4115" w:type="dxa"/>
            <w:tcBorders>
              <w:top w:val="nil"/>
              <w:left w:val="nil"/>
              <w:bottom w:val="nil"/>
              <w:right w:val="nil"/>
            </w:tcBorders>
            <w:shd w:val="clear" w:color="auto" w:fill="auto"/>
          </w:tcPr>
          <w:p w14:paraId="3D49EA8D" w14:textId="77777777" w:rsidR="007844C4" w:rsidRPr="00280316" w:rsidRDefault="007844C4" w:rsidP="007844C4">
            <w:pPr>
              <w:jc w:val="right"/>
              <w:rPr>
                <w:rFonts w:ascii="David" w:hAnsi="David"/>
                <w:b/>
                <w:bCs/>
                <w:sz w:val="28"/>
                <w:szCs w:val="28"/>
              </w:rPr>
            </w:pPr>
          </w:p>
        </w:tc>
      </w:tr>
    </w:tbl>
    <w:p w14:paraId="4A14EDBB" w14:textId="77777777" w:rsidR="007844C4" w:rsidRPr="00280316" w:rsidRDefault="007844C4" w:rsidP="007844C4">
      <w:pPr>
        <w:rPr>
          <w:rFonts w:ascii="David" w:hAnsi="David"/>
          <w:b/>
          <w:bCs/>
          <w:sz w:val="28"/>
          <w:szCs w:val="28"/>
        </w:rPr>
      </w:pPr>
    </w:p>
    <w:p w14:paraId="1FF10896" w14:textId="77777777" w:rsidR="005C39CF" w:rsidRDefault="005C39CF" w:rsidP="005C39CF">
      <w:pPr>
        <w:rPr>
          <w:rFonts w:ascii="David" w:hAnsi="David"/>
          <w:sz w:val="32"/>
          <w:szCs w:val="32"/>
          <w:rtl/>
        </w:rPr>
      </w:pPr>
      <w:bookmarkStart w:id="2" w:name="LawTable"/>
      <w:bookmarkEnd w:id="2"/>
    </w:p>
    <w:p w14:paraId="7CE31A4F" w14:textId="77777777" w:rsidR="005C39CF" w:rsidRPr="005C39CF" w:rsidRDefault="005C39CF" w:rsidP="005C39CF">
      <w:pPr>
        <w:spacing w:before="120" w:after="120" w:line="240" w:lineRule="exact"/>
        <w:ind w:left="283" w:hanging="283"/>
        <w:jc w:val="both"/>
        <w:rPr>
          <w:rFonts w:ascii="FrankRuehl" w:hAnsi="FrankRuehl" w:cs="FrankRuehl"/>
          <w:rtl/>
        </w:rPr>
      </w:pPr>
    </w:p>
    <w:p w14:paraId="2F755544" w14:textId="77777777" w:rsidR="005C39CF" w:rsidRPr="005C39CF" w:rsidRDefault="005C39CF" w:rsidP="005C39CF">
      <w:pPr>
        <w:spacing w:before="120" w:after="120" w:line="240" w:lineRule="exact"/>
        <w:ind w:left="283" w:hanging="283"/>
        <w:jc w:val="both"/>
        <w:rPr>
          <w:rFonts w:ascii="FrankRuehl" w:hAnsi="FrankRuehl" w:cs="FrankRuehl"/>
          <w:rtl/>
        </w:rPr>
      </w:pPr>
    </w:p>
    <w:p w14:paraId="4354E240" w14:textId="77777777" w:rsidR="005C39CF" w:rsidRPr="005C39CF" w:rsidRDefault="005C39CF" w:rsidP="005C39CF">
      <w:pPr>
        <w:spacing w:before="120" w:after="120" w:line="240" w:lineRule="exact"/>
        <w:ind w:left="283" w:hanging="283"/>
        <w:jc w:val="both"/>
        <w:rPr>
          <w:rFonts w:ascii="FrankRuehl" w:hAnsi="FrankRuehl" w:cs="FrankRuehl"/>
          <w:rtl/>
        </w:rPr>
      </w:pPr>
      <w:r w:rsidRPr="005C39CF">
        <w:rPr>
          <w:rFonts w:ascii="FrankRuehl" w:hAnsi="FrankRuehl" w:cs="FrankRuehl"/>
          <w:rtl/>
        </w:rPr>
        <w:t xml:space="preserve">חקיקה שאוזכרה: </w:t>
      </w:r>
    </w:p>
    <w:p w14:paraId="2A789535" w14:textId="77777777" w:rsidR="005C39CF" w:rsidRPr="005C39CF" w:rsidRDefault="005C39CF" w:rsidP="005C39CF">
      <w:pPr>
        <w:spacing w:before="120" w:after="120" w:line="240" w:lineRule="exact"/>
        <w:ind w:left="283" w:hanging="283"/>
        <w:jc w:val="both"/>
        <w:rPr>
          <w:rFonts w:ascii="FrankRuehl" w:hAnsi="FrankRuehl" w:cs="FrankRuehl"/>
          <w:rtl/>
        </w:rPr>
      </w:pPr>
      <w:hyperlink r:id="rId6" w:history="1">
        <w:r w:rsidRPr="005C39CF">
          <w:rPr>
            <w:rFonts w:ascii="FrankRuehl" w:hAnsi="FrankRuehl" w:cs="FrankRuehl"/>
            <w:color w:val="0000FF"/>
            <w:rtl/>
          </w:rPr>
          <w:t>פקודת הסמים המסוכנים [נוסח חדש], תשל"ג-1973</w:t>
        </w:r>
      </w:hyperlink>
      <w:r w:rsidRPr="005C39CF">
        <w:rPr>
          <w:rFonts w:ascii="FrankRuehl" w:hAnsi="FrankRuehl" w:cs="FrankRuehl"/>
          <w:rtl/>
        </w:rPr>
        <w:t xml:space="preserve">: סע'  </w:t>
      </w:r>
      <w:hyperlink r:id="rId7" w:history="1">
        <w:r w:rsidRPr="005C39CF">
          <w:rPr>
            <w:rFonts w:ascii="FrankRuehl" w:hAnsi="FrankRuehl" w:cs="FrankRuehl"/>
            <w:color w:val="0000FF"/>
            <w:rtl/>
          </w:rPr>
          <w:t>13</w:t>
        </w:r>
      </w:hyperlink>
      <w:r w:rsidRPr="005C39CF">
        <w:rPr>
          <w:rFonts w:ascii="FrankRuehl" w:hAnsi="FrankRuehl" w:cs="FrankRuehl"/>
          <w:rtl/>
        </w:rPr>
        <w:t xml:space="preserve">, </w:t>
      </w:r>
      <w:hyperlink r:id="rId8" w:history="1">
        <w:r w:rsidRPr="005C39CF">
          <w:rPr>
            <w:rFonts w:ascii="FrankRuehl" w:hAnsi="FrankRuehl" w:cs="FrankRuehl"/>
            <w:color w:val="0000FF"/>
            <w:rtl/>
          </w:rPr>
          <w:t>19א</w:t>
        </w:r>
      </w:hyperlink>
    </w:p>
    <w:p w14:paraId="6F00D191" w14:textId="77777777" w:rsidR="005C39CF" w:rsidRPr="005C39CF" w:rsidRDefault="005C39CF" w:rsidP="005C39CF">
      <w:pPr>
        <w:rPr>
          <w:rFonts w:ascii="David" w:hAnsi="David"/>
          <w:sz w:val="32"/>
          <w:szCs w:val="32"/>
          <w:rtl/>
        </w:rPr>
      </w:pPr>
      <w:bookmarkStart w:id="3" w:name="LawTable_End"/>
      <w:bookmarkEnd w:id="3"/>
    </w:p>
    <w:p w14:paraId="0D74942D" w14:textId="77777777" w:rsidR="007844C4" w:rsidRPr="00E91986" w:rsidRDefault="007844C4" w:rsidP="00E91986">
      <w:pPr>
        <w:rPr>
          <w:rFonts w:ascii="David" w:hAnsi="David"/>
          <w:sz w:val="32"/>
          <w:szCs w:val="32"/>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844C4" w:rsidRPr="00894B8E" w14:paraId="43A8E5AB" w14:textId="77777777" w:rsidTr="007844C4">
        <w:trPr>
          <w:trHeight w:val="355"/>
          <w:jc w:val="center"/>
        </w:trPr>
        <w:tc>
          <w:tcPr>
            <w:tcW w:w="8820" w:type="dxa"/>
            <w:tcBorders>
              <w:top w:val="nil"/>
              <w:left w:val="nil"/>
              <w:bottom w:val="nil"/>
              <w:right w:val="nil"/>
            </w:tcBorders>
            <w:shd w:val="clear" w:color="auto" w:fill="auto"/>
          </w:tcPr>
          <w:p w14:paraId="4C65366C" w14:textId="77777777" w:rsidR="00280316" w:rsidRPr="00280316" w:rsidRDefault="00280316" w:rsidP="00280316">
            <w:pPr>
              <w:jc w:val="center"/>
              <w:rPr>
                <w:rFonts w:ascii="David" w:hAnsi="David"/>
                <w:b/>
                <w:bCs/>
                <w:sz w:val="32"/>
                <w:szCs w:val="32"/>
                <w:u w:val="single"/>
                <w:rtl/>
              </w:rPr>
            </w:pPr>
            <w:bookmarkStart w:id="4" w:name="PsakDin" w:colFirst="0" w:colLast="0"/>
            <w:bookmarkEnd w:id="0"/>
            <w:r w:rsidRPr="00280316">
              <w:rPr>
                <w:rFonts w:ascii="David" w:hAnsi="David"/>
                <w:b/>
                <w:bCs/>
                <w:sz w:val="32"/>
                <w:szCs w:val="32"/>
                <w:u w:val="single"/>
                <w:rtl/>
              </w:rPr>
              <w:t>גזר דין</w:t>
            </w:r>
          </w:p>
          <w:p w14:paraId="61E5B04A" w14:textId="77777777" w:rsidR="007844C4" w:rsidRPr="00280316" w:rsidRDefault="007844C4" w:rsidP="00280316">
            <w:pPr>
              <w:jc w:val="center"/>
              <w:rPr>
                <w:rFonts w:ascii="David" w:hAnsi="David"/>
                <w:bCs/>
                <w:sz w:val="32"/>
                <w:szCs w:val="32"/>
                <w:u w:val="single"/>
                <w:rtl/>
              </w:rPr>
            </w:pPr>
          </w:p>
        </w:tc>
      </w:tr>
      <w:bookmarkEnd w:id="4"/>
    </w:tbl>
    <w:p w14:paraId="417FA258" w14:textId="77777777" w:rsidR="007844C4" w:rsidRPr="00894B8E" w:rsidRDefault="007844C4" w:rsidP="007844C4">
      <w:pPr>
        <w:rPr>
          <w:rFonts w:ascii="David" w:hAnsi="David"/>
          <w:sz w:val="32"/>
          <w:szCs w:val="32"/>
          <w:rtl/>
        </w:rPr>
      </w:pPr>
    </w:p>
    <w:p w14:paraId="5883DFE9" w14:textId="77777777" w:rsidR="007844C4" w:rsidRPr="00894B8E" w:rsidRDefault="007844C4" w:rsidP="007844C4">
      <w:pPr>
        <w:rPr>
          <w:rFonts w:ascii="David" w:hAnsi="David"/>
          <w:sz w:val="28"/>
          <w:szCs w:val="28"/>
          <w:rtl/>
        </w:rPr>
      </w:pPr>
    </w:p>
    <w:p w14:paraId="5631D498" w14:textId="77777777" w:rsidR="007844C4" w:rsidRPr="00635CCC" w:rsidRDefault="007844C4" w:rsidP="007844C4">
      <w:pPr>
        <w:rPr>
          <w:rFonts w:ascii="David" w:hAnsi="David"/>
          <w:b/>
          <w:bCs/>
          <w:sz w:val="26"/>
          <w:szCs w:val="26"/>
          <w:u w:val="single"/>
          <w:rtl/>
        </w:rPr>
      </w:pPr>
      <w:r>
        <w:rPr>
          <w:rFonts w:ascii="David" w:hAnsi="David" w:hint="cs"/>
          <w:sz w:val="28"/>
          <w:szCs w:val="28"/>
          <w:rtl/>
        </w:rPr>
        <w:t>1.</w:t>
      </w:r>
      <w:r>
        <w:rPr>
          <w:rFonts w:ascii="David" w:hAnsi="David" w:hint="cs"/>
          <w:sz w:val="28"/>
          <w:szCs w:val="28"/>
          <w:rtl/>
        </w:rPr>
        <w:tab/>
      </w:r>
      <w:r w:rsidRPr="00635CCC">
        <w:rPr>
          <w:rFonts w:ascii="David" w:hAnsi="David"/>
          <w:b/>
          <w:bCs/>
          <w:sz w:val="26"/>
          <w:szCs w:val="26"/>
          <w:u w:val="single"/>
          <w:rtl/>
        </w:rPr>
        <w:t>רקע כללי</w:t>
      </w:r>
    </w:p>
    <w:p w14:paraId="50B5BB16" w14:textId="77777777" w:rsidR="007844C4" w:rsidRPr="00635CCC" w:rsidRDefault="007844C4" w:rsidP="007844C4">
      <w:pPr>
        <w:rPr>
          <w:rFonts w:ascii="David" w:hAnsi="David"/>
          <w:b/>
          <w:bCs/>
          <w:sz w:val="26"/>
          <w:szCs w:val="26"/>
          <w:u w:val="single"/>
          <w:rtl/>
        </w:rPr>
      </w:pPr>
    </w:p>
    <w:p w14:paraId="66D71C19" w14:textId="77777777" w:rsidR="007844C4" w:rsidRPr="00635CCC" w:rsidRDefault="007844C4" w:rsidP="007844C4">
      <w:pPr>
        <w:spacing w:line="360" w:lineRule="auto"/>
        <w:ind w:left="720" w:hanging="720"/>
        <w:jc w:val="both"/>
        <w:rPr>
          <w:rFonts w:ascii="David" w:hAnsi="David"/>
          <w:sz w:val="26"/>
          <w:szCs w:val="26"/>
          <w:rtl/>
        </w:rPr>
      </w:pPr>
      <w:r w:rsidRPr="00635CCC">
        <w:rPr>
          <w:rFonts w:ascii="David" w:hAnsi="David"/>
          <w:sz w:val="26"/>
          <w:szCs w:val="26"/>
          <w:rtl/>
        </w:rPr>
        <w:tab/>
      </w:r>
      <w:bookmarkStart w:id="5" w:name="ABSTRACT_START"/>
      <w:bookmarkEnd w:id="5"/>
      <w:r w:rsidRPr="00635CCC">
        <w:rPr>
          <w:rFonts w:ascii="David" w:hAnsi="David"/>
          <w:sz w:val="26"/>
          <w:szCs w:val="26"/>
          <w:rtl/>
        </w:rPr>
        <w:t xml:space="preserve">ביום 2.10.19  הורשע הנאשם על יסוד הודאתו בעובדות כתב האישום, במסגרת הסדר טיעון פתוח, בביצוע עבירה של יבוא סם מסוכן – עבירה לפי </w:t>
      </w:r>
      <w:hyperlink r:id="rId9" w:history="1">
        <w:r w:rsidR="00E91986" w:rsidRPr="00E91986">
          <w:rPr>
            <w:rStyle w:val="Hyperlink"/>
            <w:rFonts w:ascii="David" w:hAnsi="David"/>
            <w:sz w:val="26"/>
            <w:szCs w:val="26"/>
            <w:rtl/>
          </w:rPr>
          <w:t>סעיפים 13</w:t>
        </w:r>
      </w:hyperlink>
      <w:r w:rsidRPr="00635CCC">
        <w:rPr>
          <w:rFonts w:ascii="David" w:hAnsi="David"/>
          <w:sz w:val="26"/>
          <w:szCs w:val="26"/>
          <w:rtl/>
        </w:rPr>
        <w:t xml:space="preserve"> ו-</w:t>
      </w:r>
      <w:hyperlink r:id="rId10" w:history="1">
        <w:r w:rsidR="00E91986" w:rsidRPr="00E91986">
          <w:rPr>
            <w:rStyle w:val="Hyperlink"/>
            <w:rFonts w:ascii="David" w:hAnsi="David"/>
            <w:sz w:val="26"/>
            <w:szCs w:val="26"/>
            <w:rtl/>
          </w:rPr>
          <w:t>19א</w:t>
        </w:r>
      </w:hyperlink>
      <w:r w:rsidRPr="00635CCC">
        <w:rPr>
          <w:rFonts w:ascii="David" w:hAnsi="David"/>
          <w:sz w:val="26"/>
          <w:szCs w:val="26"/>
          <w:rtl/>
        </w:rPr>
        <w:t xml:space="preserve"> ל</w:t>
      </w:r>
      <w:hyperlink r:id="rId11" w:history="1">
        <w:r w:rsidR="00280316" w:rsidRPr="00280316">
          <w:rPr>
            <w:rFonts w:ascii="David" w:hAnsi="David"/>
            <w:color w:val="0000FF"/>
            <w:sz w:val="26"/>
            <w:szCs w:val="26"/>
            <w:u w:val="single"/>
            <w:rtl/>
          </w:rPr>
          <w:t>פקודת הסמים המסוכנים</w:t>
        </w:r>
      </w:hyperlink>
      <w:r w:rsidRPr="00635CCC">
        <w:rPr>
          <w:rFonts w:ascii="David" w:hAnsi="David"/>
          <w:sz w:val="26"/>
          <w:szCs w:val="26"/>
          <w:rtl/>
        </w:rPr>
        <w:t xml:space="preserve"> [נוסח חדש], התשל"ג-1973. </w:t>
      </w:r>
    </w:p>
    <w:p w14:paraId="655DD481" w14:textId="77777777" w:rsidR="007844C4" w:rsidRPr="00635CCC" w:rsidRDefault="007844C4" w:rsidP="007844C4">
      <w:pPr>
        <w:spacing w:line="360" w:lineRule="auto"/>
        <w:ind w:left="720" w:hanging="720"/>
        <w:jc w:val="both"/>
        <w:rPr>
          <w:rFonts w:ascii="David" w:hAnsi="David"/>
          <w:sz w:val="26"/>
          <w:szCs w:val="26"/>
          <w:rtl/>
        </w:rPr>
      </w:pPr>
      <w:r w:rsidRPr="00635CCC">
        <w:rPr>
          <w:rFonts w:ascii="David" w:hAnsi="David"/>
          <w:sz w:val="26"/>
          <w:szCs w:val="26"/>
          <w:rtl/>
        </w:rPr>
        <w:tab/>
        <w:t xml:space="preserve">על-פי </w:t>
      </w:r>
      <w:r>
        <w:rPr>
          <w:rFonts w:ascii="David" w:hAnsi="David" w:hint="cs"/>
          <w:sz w:val="26"/>
          <w:szCs w:val="26"/>
          <w:rtl/>
        </w:rPr>
        <w:t>האמור ב</w:t>
      </w:r>
      <w:r w:rsidRPr="00635CCC">
        <w:rPr>
          <w:rFonts w:ascii="David" w:hAnsi="David"/>
          <w:sz w:val="26"/>
          <w:szCs w:val="26"/>
          <w:rtl/>
        </w:rPr>
        <w:t>כתב האישום</w:t>
      </w:r>
      <w:r>
        <w:rPr>
          <w:rFonts w:ascii="David" w:hAnsi="David" w:hint="cs"/>
          <w:sz w:val="26"/>
          <w:szCs w:val="26"/>
          <w:rtl/>
        </w:rPr>
        <w:t>,</w:t>
      </w:r>
      <w:r w:rsidRPr="00635CCC">
        <w:rPr>
          <w:rFonts w:ascii="David" w:hAnsi="David"/>
          <w:sz w:val="26"/>
          <w:szCs w:val="26"/>
          <w:rtl/>
        </w:rPr>
        <w:t xml:space="preserve"> הנאשם קשר עם אחרים </w:t>
      </w:r>
      <w:r>
        <w:rPr>
          <w:rFonts w:ascii="David" w:hAnsi="David" w:hint="cs"/>
          <w:sz w:val="26"/>
          <w:szCs w:val="26"/>
          <w:rtl/>
        </w:rPr>
        <w:t xml:space="preserve">קשר </w:t>
      </w:r>
      <w:r w:rsidRPr="00635CCC">
        <w:rPr>
          <w:rFonts w:ascii="David" w:hAnsi="David"/>
          <w:sz w:val="26"/>
          <w:szCs w:val="26"/>
          <w:rtl/>
        </w:rPr>
        <w:t xml:space="preserve">לייבא סם מסוכן לישראל. בהמשך לקשר נסע הנאשם לאודסה, וקיבל שם סם מסוכן מסוג </w:t>
      </w:r>
      <w:r w:rsidRPr="00635CCC">
        <w:rPr>
          <w:rFonts w:ascii="David" w:hAnsi="David"/>
          <w:sz w:val="26"/>
          <w:szCs w:val="26"/>
        </w:rPr>
        <w:t xml:space="preserve">MDMA </w:t>
      </w:r>
      <w:r w:rsidRPr="00635CCC">
        <w:rPr>
          <w:rFonts w:ascii="David" w:hAnsi="David"/>
          <w:sz w:val="26"/>
          <w:szCs w:val="26"/>
          <w:rtl/>
        </w:rPr>
        <w:t xml:space="preserve"> במשקל נטו של 4,966 גרם, אותו הוא העביר לישראל מוסלק בתוך מזוודה. הנאשם הגיע עם הסם לנמל תעופה בן גוריון שם הוא נתפס. </w:t>
      </w:r>
    </w:p>
    <w:p w14:paraId="5BAE4881" w14:textId="77777777" w:rsidR="007844C4" w:rsidRPr="00635CCC" w:rsidRDefault="007844C4" w:rsidP="007844C4">
      <w:pPr>
        <w:spacing w:line="360" w:lineRule="auto"/>
        <w:ind w:left="720" w:hanging="720"/>
        <w:jc w:val="both"/>
        <w:rPr>
          <w:rFonts w:ascii="David" w:hAnsi="David"/>
          <w:sz w:val="26"/>
          <w:szCs w:val="26"/>
          <w:rtl/>
        </w:rPr>
      </w:pPr>
      <w:bookmarkStart w:id="6" w:name="ABSTRACT_END"/>
      <w:bookmarkEnd w:id="6"/>
    </w:p>
    <w:p w14:paraId="48206F6E" w14:textId="77777777" w:rsidR="007844C4" w:rsidRPr="00635CCC" w:rsidRDefault="007844C4" w:rsidP="007844C4">
      <w:pPr>
        <w:spacing w:line="360" w:lineRule="auto"/>
        <w:ind w:left="720" w:hanging="720"/>
        <w:jc w:val="both"/>
        <w:rPr>
          <w:rFonts w:ascii="David" w:hAnsi="David"/>
          <w:b/>
          <w:bCs/>
          <w:sz w:val="26"/>
          <w:szCs w:val="26"/>
          <w:u w:val="single"/>
          <w:rtl/>
        </w:rPr>
      </w:pPr>
      <w:r w:rsidRPr="00635CCC">
        <w:rPr>
          <w:rFonts w:ascii="David" w:hAnsi="David"/>
          <w:sz w:val="26"/>
          <w:szCs w:val="26"/>
          <w:rtl/>
        </w:rPr>
        <w:lastRenderedPageBreak/>
        <w:t>2.</w:t>
      </w:r>
      <w:r w:rsidRPr="00635CCC">
        <w:rPr>
          <w:rFonts w:ascii="David" w:hAnsi="David"/>
          <w:sz w:val="26"/>
          <w:szCs w:val="26"/>
          <w:rtl/>
        </w:rPr>
        <w:tab/>
      </w:r>
      <w:r w:rsidRPr="00635CCC">
        <w:rPr>
          <w:rFonts w:ascii="David" w:hAnsi="David"/>
          <w:b/>
          <w:bCs/>
          <w:sz w:val="26"/>
          <w:szCs w:val="26"/>
          <w:u w:val="single"/>
          <w:rtl/>
        </w:rPr>
        <w:t>תסקיר שירות המבחן</w:t>
      </w:r>
    </w:p>
    <w:p w14:paraId="1F5F9E63" w14:textId="77777777" w:rsidR="007844C4" w:rsidRPr="00635CCC" w:rsidRDefault="007844C4" w:rsidP="007844C4">
      <w:pPr>
        <w:spacing w:line="360" w:lineRule="auto"/>
        <w:ind w:left="720" w:hanging="720"/>
        <w:jc w:val="both"/>
        <w:rPr>
          <w:rFonts w:ascii="David" w:hAnsi="David"/>
          <w:sz w:val="26"/>
          <w:szCs w:val="26"/>
          <w:rtl/>
        </w:rPr>
      </w:pPr>
      <w:r w:rsidRPr="00635CCC">
        <w:rPr>
          <w:rFonts w:ascii="David" w:hAnsi="David"/>
          <w:sz w:val="26"/>
          <w:szCs w:val="26"/>
          <w:rtl/>
        </w:rPr>
        <w:tab/>
        <w:t>הנאשם נעצר תחילה למשך 65 יום, ולאחר מכן הוא שוחרר לטיפול גמילה בקהילת "מלכישוע". תסקיר שירות המבחן מלמד על כך שבמהלך תקופת שחרורו בתנאים עבר הנאשם תהליך גמילה ארוך ומשמעותי. תחילה שהה הנאשם בקהילת "מלכישוע" במשך למעלה משנה. לאחר מכן הנאשם עבר לגור בהוסטל ששייך לקהילת "מלכישוע"</w:t>
      </w:r>
      <w:r>
        <w:rPr>
          <w:rFonts w:ascii="David" w:hAnsi="David" w:hint="cs"/>
          <w:sz w:val="26"/>
          <w:szCs w:val="26"/>
          <w:rtl/>
        </w:rPr>
        <w:t>,</w:t>
      </w:r>
      <w:r w:rsidRPr="00635CCC">
        <w:rPr>
          <w:rFonts w:ascii="David" w:hAnsi="David"/>
          <w:sz w:val="26"/>
          <w:szCs w:val="26"/>
          <w:rtl/>
        </w:rPr>
        <w:t xml:space="preserve"> ולאחרונה הוא עבר לגור ב"דירת המשך" של קהילת "מלכישוע". במהלך תהליך השיקום הנאשם לא רק נגמל מהתמכרותו לסמים אלא גם השתלב בעבודה</w:t>
      </w:r>
      <w:r>
        <w:rPr>
          <w:rFonts w:ascii="David" w:hAnsi="David" w:hint="cs"/>
          <w:sz w:val="26"/>
          <w:szCs w:val="26"/>
          <w:rtl/>
        </w:rPr>
        <w:t>,</w:t>
      </w:r>
      <w:r w:rsidRPr="00635CCC">
        <w:rPr>
          <w:rFonts w:ascii="David" w:hAnsi="David"/>
          <w:sz w:val="26"/>
          <w:szCs w:val="26"/>
          <w:rtl/>
        </w:rPr>
        <w:t xml:space="preserve"> וכן החל להשלים את השכלתו במטרה להוציא תעודת בגרות מלאה. כיום הנאשם נמצא בקשר עם היחידה להתמכרויות של עיריית עפולה וממשיך לעבוד. </w:t>
      </w:r>
    </w:p>
    <w:p w14:paraId="324C041F" w14:textId="77777777" w:rsidR="007844C4" w:rsidRPr="00635CCC" w:rsidRDefault="007844C4" w:rsidP="007844C4">
      <w:pPr>
        <w:spacing w:line="360" w:lineRule="auto"/>
        <w:ind w:left="720" w:hanging="720"/>
        <w:jc w:val="both"/>
        <w:rPr>
          <w:rFonts w:ascii="David" w:hAnsi="David"/>
          <w:sz w:val="26"/>
          <w:szCs w:val="26"/>
          <w:rtl/>
        </w:rPr>
      </w:pPr>
      <w:r w:rsidRPr="00635CCC">
        <w:rPr>
          <w:rFonts w:ascii="David" w:hAnsi="David"/>
          <w:sz w:val="26"/>
          <w:szCs w:val="26"/>
          <w:rtl/>
        </w:rPr>
        <w:tab/>
        <w:t>כאמור, שירות המבחן התרשם שהנאשם עבר הליך השיקומי משמעותי מאוד, שהביא לשינוי עמוק בהתנהגותו של הנאשם. שירות המבחן עמד בתסקיר על נסיבות חייו הקשות של הנאשם, אשר עזב את החברה החרדית ובשל כך נתקה משפחתו את הקשר עמו, והוא נותר למעשה לבדו בעולם. שירות המבחן גם עמד על חשיבות השתלבותו של הנאשם בעבודה. לדברי שירות המבחן לנוכח העובדה שהנאשם עובד ומתפרנס למחייתו הוא חש לראשונה תחושת רווחה מסוימת בשל האפשרות להחזיר חובות שהוא צבר לאורך השנים. נציין שוב, כי במקביל לעבודתו לומד ה</w:t>
      </w:r>
      <w:r>
        <w:rPr>
          <w:rFonts w:ascii="David" w:hAnsi="David"/>
          <w:sz w:val="26"/>
          <w:szCs w:val="26"/>
          <w:rtl/>
        </w:rPr>
        <w:t>נאשם בערבים לצורך השלמת בגרויות</w:t>
      </w:r>
      <w:r>
        <w:rPr>
          <w:rFonts w:ascii="David" w:hAnsi="David" w:hint="cs"/>
          <w:sz w:val="26"/>
          <w:szCs w:val="26"/>
          <w:rtl/>
        </w:rPr>
        <w:t>, וכי הוא כבר עבר בהצלחה חלק מהבחינות.</w:t>
      </w:r>
      <w:r w:rsidRPr="00635CCC">
        <w:rPr>
          <w:rFonts w:ascii="David" w:hAnsi="David"/>
          <w:sz w:val="26"/>
          <w:szCs w:val="26"/>
          <w:rtl/>
        </w:rPr>
        <w:t xml:space="preserve"> </w:t>
      </w:r>
    </w:p>
    <w:p w14:paraId="2946F008" w14:textId="77777777" w:rsidR="007844C4" w:rsidRPr="00635CCC" w:rsidRDefault="007844C4" w:rsidP="007844C4">
      <w:pPr>
        <w:spacing w:line="360" w:lineRule="auto"/>
        <w:ind w:left="720" w:hanging="720"/>
        <w:jc w:val="both"/>
        <w:rPr>
          <w:rFonts w:ascii="David" w:hAnsi="David"/>
          <w:sz w:val="26"/>
          <w:szCs w:val="26"/>
          <w:rtl/>
        </w:rPr>
      </w:pPr>
      <w:r w:rsidRPr="00635CCC">
        <w:rPr>
          <w:rFonts w:ascii="David" w:hAnsi="David"/>
          <w:sz w:val="26"/>
          <w:szCs w:val="26"/>
          <w:rtl/>
        </w:rPr>
        <w:tab/>
        <w:t>לאור כל האמור ממליץ שירות המבחן שלא לגזור על הנאשם עונש של מאסר בפועל, זאת על רקע גילו הצעיר, עברו הנקי, תהליך השיקום שעבר והרצון שלא לחשוף אותו לחברה עבריינית. שירות המבחן מוסיף וממליץ שלא לגזור על הנאשם עונש של מאסר בעבודות שירות, זאת לנוכח מצבו הכלכלי הירוד של הנאשם. לדברי שירות המבחן הטלת עונש של עבודות שירות תפגע במקור פרנסתו של הנאשם, ובשים לב לכך שאין לו תמיכה משפחתית, הדבר עלול להביא לנסיגה משמעותית בתהליך השיקומי. שירות המבחן הדגיש שהנאשם זקוק לכסף שהוא מרוויח מעבודתו ל</w:t>
      </w:r>
      <w:r>
        <w:rPr>
          <w:rFonts w:ascii="David" w:hAnsi="David" w:hint="cs"/>
          <w:sz w:val="26"/>
          <w:szCs w:val="26"/>
          <w:rtl/>
        </w:rPr>
        <w:t>שם סיפוק צרכיו</w:t>
      </w:r>
      <w:r w:rsidRPr="00635CCC">
        <w:rPr>
          <w:rFonts w:ascii="David" w:hAnsi="David"/>
          <w:sz w:val="26"/>
          <w:szCs w:val="26"/>
          <w:rtl/>
        </w:rPr>
        <w:t xml:space="preserve"> הבסיסיים ביותר </w:t>
      </w:r>
      <w:r>
        <w:rPr>
          <w:rFonts w:ascii="David" w:hAnsi="David" w:hint="cs"/>
          <w:sz w:val="26"/>
          <w:szCs w:val="26"/>
          <w:rtl/>
        </w:rPr>
        <w:t xml:space="preserve">ובכלל זה </w:t>
      </w:r>
      <w:r w:rsidRPr="00635CCC">
        <w:rPr>
          <w:rFonts w:ascii="David" w:hAnsi="David"/>
          <w:sz w:val="26"/>
          <w:szCs w:val="26"/>
          <w:rtl/>
        </w:rPr>
        <w:t xml:space="preserve"> דיור ותזונה. לאור כל זאת ממליץ שירות המבחן לגזור על הנאשם עונש של שירות לתועלת הציבור בהיקף של 340 שעות. כן ממליץ שירות המבחן להטיל על הנאשם צו מבחן שבמסגרתו הוא ישתלב בטיפול ביחידה להתמכרויות בעפולה, יערך מעקב אחר המשך גמילתו מהסמים, והוא יזכה להכוונה במסגרת מיזם "מקושרים". </w:t>
      </w:r>
    </w:p>
    <w:p w14:paraId="2173236C" w14:textId="77777777" w:rsidR="007844C4" w:rsidRPr="00635CCC" w:rsidRDefault="007844C4" w:rsidP="007844C4">
      <w:pPr>
        <w:spacing w:line="360" w:lineRule="auto"/>
        <w:ind w:left="720" w:hanging="720"/>
        <w:jc w:val="both"/>
        <w:rPr>
          <w:rFonts w:ascii="David" w:hAnsi="David"/>
          <w:sz w:val="26"/>
          <w:szCs w:val="26"/>
          <w:rtl/>
        </w:rPr>
      </w:pPr>
    </w:p>
    <w:p w14:paraId="5922A8C5" w14:textId="77777777" w:rsidR="007844C4" w:rsidRPr="00635CCC" w:rsidRDefault="007844C4" w:rsidP="007844C4">
      <w:pPr>
        <w:spacing w:line="360" w:lineRule="auto"/>
        <w:ind w:left="720" w:hanging="720"/>
        <w:jc w:val="both"/>
        <w:rPr>
          <w:rFonts w:ascii="David" w:hAnsi="David"/>
          <w:sz w:val="26"/>
          <w:szCs w:val="26"/>
          <w:rtl/>
        </w:rPr>
      </w:pPr>
      <w:r w:rsidRPr="00635CCC">
        <w:rPr>
          <w:rFonts w:ascii="David" w:hAnsi="David"/>
          <w:sz w:val="26"/>
          <w:szCs w:val="26"/>
          <w:rtl/>
        </w:rPr>
        <w:t>3.</w:t>
      </w:r>
      <w:r w:rsidRPr="00635CCC">
        <w:rPr>
          <w:rFonts w:ascii="David" w:hAnsi="David"/>
          <w:sz w:val="26"/>
          <w:szCs w:val="26"/>
          <w:rtl/>
        </w:rPr>
        <w:tab/>
      </w:r>
      <w:r w:rsidRPr="00635CCC">
        <w:rPr>
          <w:rFonts w:ascii="David" w:hAnsi="David"/>
          <w:b/>
          <w:bCs/>
          <w:sz w:val="26"/>
          <w:szCs w:val="26"/>
          <w:u w:val="single"/>
          <w:rtl/>
        </w:rPr>
        <w:t>טענות המאשימה לעונש</w:t>
      </w:r>
    </w:p>
    <w:p w14:paraId="21B172CC" w14:textId="77777777" w:rsidR="007844C4" w:rsidRDefault="007844C4" w:rsidP="007844C4">
      <w:pPr>
        <w:spacing w:line="360" w:lineRule="auto"/>
        <w:ind w:left="720" w:hanging="720"/>
        <w:jc w:val="both"/>
        <w:rPr>
          <w:rFonts w:ascii="David" w:hAnsi="David"/>
          <w:sz w:val="26"/>
          <w:szCs w:val="26"/>
          <w:rtl/>
        </w:rPr>
      </w:pPr>
      <w:r w:rsidRPr="00635CCC">
        <w:rPr>
          <w:rFonts w:ascii="David" w:hAnsi="David"/>
          <w:sz w:val="26"/>
          <w:szCs w:val="26"/>
          <w:rtl/>
        </w:rPr>
        <w:lastRenderedPageBreak/>
        <w:tab/>
        <w:t>במסגרת הסדר הטיעון הוסכם כי המאשימה תגביל את עצמה ותטען ל-27 חודשי מאסר בפועל כתחתית מתחם העונש ההולם. חרף זאת</w:t>
      </w:r>
      <w:r>
        <w:rPr>
          <w:rFonts w:ascii="David" w:hAnsi="David" w:hint="cs"/>
          <w:sz w:val="26"/>
          <w:szCs w:val="26"/>
          <w:rtl/>
        </w:rPr>
        <w:t xml:space="preserve">, </w:t>
      </w:r>
      <w:r>
        <w:rPr>
          <w:rFonts w:ascii="David" w:hAnsi="David"/>
          <w:sz w:val="26"/>
          <w:szCs w:val="26"/>
          <w:rtl/>
        </w:rPr>
        <w:t>לנוכח התסקיר החיובי</w:t>
      </w:r>
      <w:r w:rsidRPr="00635CCC">
        <w:rPr>
          <w:rFonts w:ascii="David" w:hAnsi="David"/>
          <w:sz w:val="26"/>
          <w:szCs w:val="26"/>
          <w:rtl/>
        </w:rPr>
        <w:t xml:space="preserve"> מסכימה המאשימה, בנסיבות העניין הקונקרטי ובנסיבותיו של הנאשם הקונקרטי, כי מטעמי שיקום מוצדק לסטות כלפי מטה ממתחם העונש ההולם, ולגזור על הנאשם עונש של 9 חודשי מאסר בעבודות שירות. המאשימה ראויה לשבח על עמדתה זו. עם זאת, המאשימה סבורה כי לנוכח חומרת העבירה לא ניתן לקבל את המלצת שירות המבחן ולהסתפק בעונש של שירות לתועלת הציבור. באת כוח המאשימה הזכירה בהקשר זה שגם עונש של מאסר לריצוי בעבודות שירות הוא בבחינת עונש שיקומי.</w:t>
      </w:r>
    </w:p>
    <w:p w14:paraId="2F8DBECC" w14:textId="77777777" w:rsidR="007844C4" w:rsidRDefault="007844C4" w:rsidP="007844C4">
      <w:pPr>
        <w:spacing w:line="360" w:lineRule="auto"/>
        <w:ind w:left="720" w:hanging="720"/>
        <w:jc w:val="both"/>
        <w:rPr>
          <w:rFonts w:ascii="David" w:hAnsi="David"/>
          <w:sz w:val="26"/>
          <w:szCs w:val="26"/>
          <w:rtl/>
        </w:rPr>
      </w:pPr>
    </w:p>
    <w:p w14:paraId="6BDD64E9" w14:textId="77777777" w:rsidR="007844C4" w:rsidRPr="00635CCC" w:rsidRDefault="007844C4" w:rsidP="007844C4">
      <w:pPr>
        <w:spacing w:line="360" w:lineRule="auto"/>
        <w:ind w:left="720" w:hanging="720"/>
        <w:jc w:val="both"/>
        <w:rPr>
          <w:rFonts w:ascii="David" w:hAnsi="David"/>
          <w:sz w:val="26"/>
          <w:szCs w:val="26"/>
          <w:rtl/>
        </w:rPr>
      </w:pPr>
      <w:r w:rsidRPr="00635CCC">
        <w:rPr>
          <w:rFonts w:ascii="David" w:hAnsi="David"/>
          <w:sz w:val="26"/>
          <w:szCs w:val="26"/>
          <w:rtl/>
        </w:rPr>
        <w:t xml:space="preserve"> </w:t>
      </w:r>
    </w:p>
    <w:p w14:paraId="27751F74" w14:textId="77777777" w:rsidR="007844C4" w:rsidRPr="00635CCC" w:rsidRDefault="007844C4" w:rsidP="007844C4">
      <w:pPr>
        <w:spacing w:line="360" w:lineRule="auto"/>
        <w:ind w:left="720" w:hanging="720"/>
        <w:jc w:val="both"/>
        <w:rPr>
          <w:rFonts w:ascii="David" w:hAnsi="David"/>
          <w:sz w:val="26"/>
          <w:szCs w:val="26"/>
          <w:rtl/>
        </w:rPr>
      </w:pPr>
    </w:p>
    <w:p w14:paraId="534472B1" w14:textId="77777777" w:rsidR="007844C4" w:rsidRPr="00635CCC" w:rsidRDefault="007844C4" w:rsidP="007844C4">
      <w:pPr>
        <w:spacing w:line="360" w:lineRule="auto"/>
        <w:ind w:left="720" w:hanging="720"/>
        <w:jc w:val="both"/>
        <w:rPr>
          <w:rFonts w:ascii="David" w:hAnsi="David"/>
          <w:sz w:val="26"/>
          <w:szCs w:val="26"/>
          <w:rtl/>
        </w:rPr>
      </w:pPr>
      <w:r w:rsidRPr="00635CCC">
        <w:rPr>
          <w:rFonts w:ascii="David" w:hAnsi="David"/>
          <w:sz w:val="26"/>
          <w:szCs w:val="26"/>
          <w:rtl/>
        </w:rPr>
        <w:t>4.</w:t>
      </w:r>
      <w:r w:rsidRPr="00635CCC">
        <w:rPr>
          <w:rFonts w:ascii="David" w:hAnsi="David"/>
          <w:sz w:val="26"/>
          <w:szCs w:val="26"/>
          <w:rtl/>
        </w:rPr>
        <w:tab/>
      </w:r>
      <w:r w:rsidRPr="00635CCC">
        <w:rPr>
          <w:rFonts w:ascii="David" w:hAnsi="David"/>
          <w:b/>
          <w:bCs/>
          <w:sz w:val="26"/>
          <w:szCs w:val="26"/>
          <w:u w:val="single"/>
          <w:rtl/>
        </w:rPr>
        <w:t>ראיות וטענות הנאשם לעונש</w:t>
      </w:r>
    </w:p>
    <w:p w14:paraId="03F0CA12" w14:textId="77777777" w:rsidR="007844C4" w:rsidRPr="00635CCC" w:rsidRDefault="007844C4" w:rsidP="007844C4">
      <w:pPr>
        <w:spacing w:line="360" w:lineRule="auto"/>
        <w:ind w:left="720" w:hanging="720"/>
        <w:jc w:val="both"/>
        <w:rPr>
          <w:rFonts w:ascii="David" w:hAnsi="David"/>
          <w:sz w:val="26"/>
          <w:szCs w:val="26"/>
          <w:rtl/>
        </w:rPr>
      </w:pPr>
      <w:r w:rsidRPr="00635CCC">
        <w:rPr>
          <w:rFonts w:ascii="David" w:hAnsi="David"/>
          <w:sz w:val="26"/>
          <w:szCs w:val="26"/>
          <w:rtl/>
        </w:rPr>
        <w:tab/>
        <w:t>מטעם הנאשם העיד מר צביקה קיל. מר קיל העיד כי הוא מכיר את הנאשם מאז גיל 16 כאשר נותק הקשר בין הנאשם לבין משפחתו. לאחר ניתוק הקשר מר קיל סיפק לנאשם קורת גג, תחילה בביתו ולאחר מכן בדירה שהוא מפקח עליה. לדברי מר קיל לאחר מעצרו של הנאשם הוא שוחח עמו בטלפון לפחות פעם בשבוע, גם בתקופה ש</w:t>
      </w:r>
      <w:r>
        <w:rPr>
          <w:rFonts w:ascii="David" w:hAnsi="David" w:hint="cs"/>
          <w:sz w:val="26"/>
          <w:szCs w:val="26"/>
          <w:rtl/>
        </w:rPr>
        <w:t xml:space="preserve">במהלכה </w:t>
      </w:r>
      <w:r w:rsidRPr="00635CCC">
        <w:rPr>
          <w:rFonts w:ascii="David" w:hAnsi="David"/>
          <w:sz w:val="26"/>
          <w:szCs w:val="26"/>
          <w:rtl/>
        </w:rPr>
        <w:t>הוא שהה בקהילת "מלכישוע". מר קיל מציין שהוא נוכח לדעת שהנאשם השתנה לטובה במהלך תקופת השיקום, הוא התבגר וגדל. לדברי מר קיל הנאשם איננו אותו אדם שהוא הכיר לפני כן, "</w:t>
      </w:r>
      <w:r w:rsidRPr="00635CCC">
        <w:rPr>
          <w:rFonts w:ascii="David" w:hAnsi="David"/>
          <w:b/>
          <w:bCs/>
          <w:sz w:val="26"/>
          <w:szCs w:val="26"/>
          <w:rtl/>
        </w:rPr>
        <w:t>הוא נמצא במקום הרבה יותר טוב בתפילה שהוא ימשיך ככה</w:t>
      </w:r>
      <w:r w:rsidRPr="00635CCC">
        <w:rPr>
          <w:rFonts w:ascii="David" w:hAnsi="David"/>
          <w:sz w:val="26"/>
          <w:szCs w:val="26"/>
          <w:rtl/>
        </w:rPr>
        <w:t xml:space="preserve">". </w:t>
      </w:r>
    </w:p>
    <w:p w14:paraId="4784B8E1" w14:textId="77777777" w:rsidR="007844C4" w:rsidRPr="00635CCC" w:rsidRDefault="007844C4" w:rsidP="007844C4">
      <w:pPr>
        <w:spacing w:line="360" w:lineRule="auto"/>
        <w:ind w:left="720" w:hanging="720"/>
        <w:jc w:val="both"/>
        <w:rPr>
          <w:rFonts w:ascii="David" w:hAnsi="David"/>
          <w:sz w:val="26"/>
          <w:szCs w:val="26"/>
          <w:rtl/>
        </w:rPr>
      </w:pPr>
    </w:p>
    <w:p w14:paraId="49B56D40" w14:textId="77777777" w:rsidR="007844C4" w:rsidRPr="00635CCC" w:rsidRDefault="007844C4" w:rsidP="007844C4">
      <w:pPr>
        <w:spacing w:line="360" w:lineRule="auto"/>
        <w:ind w:left="720" w:hanging="720"/>
        <w:jc w:val="both"/>
        <w:rPr>
          <w:rFonts w:ascii="David" w:hAnsi="David"/>
          <w:sz w:val="26"/>
          <w:szCs w:val="26"/>
          <w:rtl/>
        </w:rPr>
      </w:pPr>
      <w:r w:rsidRPr="00635CCC">
        <w:rPr>
          <w:rFonts w:ascii="David" w:hAnsi="David"/>
          <w:sz w:val="26"/>
          <w:szCs w:val="26"/>
          <w:rtl/>
        </w:rPr>
        <w:t>5.</w:t>
      </w:r>
      <w:r w:rsidRPr="00635CCC">
        <w:rPr>
          <w:rFonts w:ascii="David" w:hAnsi="David"/>
          <w:sz w:val="26"/>
          <w:szCs w:val="26"/>
          <w:rtl/>
        </w:rPr>
        <w:tab/>
        <w:t xml:space="preserve">בפתח טיעוניו הודה בא-כוח הנאשם למאשימה על עמדתה </w:t>
      </w:r>
      <w:r>
        <w:rPr>
          <w:rFonts w:ascii="David" w:hAnsi="David" w:hint="cs"/>
          <w:sz w:val="26"/>
          <w:szCs w:val="26"/>
          <w:rtl/>
        </w:rPr>
        <w:t xml:space="preserve">העונשית </w:t>
      </w:r>
      <w:r w:rsidRPr="00635CCC">
        <w:rPr>
          <w:rFonts w:ascii="David" w:hAnsi="David"/>
          <w:sz w:val="26"/>
          <w:szCs w:val="26"/>
          <w:rtl/>
        </w:rPr>
        <w:t>הראויה. עם זאת ביקש בא-כוח הנאשם שבית המשפט יאמץ את המלצת שירות המבחן במלואה. בהקשר זה הדגיש בא-כוח הנאשם שמדובר בנאשם צעיר, בודד בעולם ללא כל תמיכה משפחתית. בא-כוח הנאשם גם עמד בטיעוניו על החשיבות הרבה שיש לעבודתו של הנאשם. לדברי בא-כוח הנאשם אלמלא השכר שהנאשם מרוויח בעבוד</w:t>
      </w:r>
      <w:r>
        <w:rPr>
          <w:rFonts w:ascii="David" w:hAnsi="David" w:hint="cs"/>
          <w:sz w:val="26"/>
          <w:szCs w:val="26"/>
          <w:rtl/>
        </w:rPr>
        <w:t xml:space="preserve">תו הנוכחית </w:t>
      </w:r>
      <w:r w:rsidRPr="00635CCC">
        <w:rPr>
          <w:rFonts w:ascii="David" w:hAnsi="David"/>
          <w:sz w:val="26"/>
          <w:szCs w:val="26"/>
          <w:rtl/>
        </w:rPr>
        <w:t xml:space="preserve">הוא לא היה יכול לכלכל את עצמו ולממן קורת גג לעצמו. אשר על כן, ועל רקע עברו הנקי של הנאשם והודאתו במיוחס לו, ביקש בא-כוח הנאשם שבית המשפט לא יגזור על נאשם עונש של מאסר לריצוי בעבודות שירות. </w:t>
      </w:r>
    </w:p>
    <w:p w14:paraId="502CFE1A" w14:textId="77777777" w:rsidR="007844C4" w:rsidRPr="00635CCC" w:rsidRDefault="007844C4" w:rsidP="007844C4">
      <w:pPr>
        <w:spacing w:line="360" w:lineRule="auto"/>
        <w:ind w:left="720" w:hanging="720"/>
        <w:jc w:val="both"/>
        <w:rPr>
          <w:rFonts w:ascii="David" w:hAnsi="David"/>
          <w:sz w:val="26"/>
          <w:szCs w:val="26"/>
          <w:rtl/>
        </w:rPr>
      </w:pPr>
    </w:p>
    <w:p w14:paraId="691CFAB8" w14:textId="77777777" w:rsidR="007844C4" w:rsidRPr="00635CCC" w:rsidRDefault="007844C4" w:rsidP="007844C4">
      <w:pPr>
        <w:spacing w:line="360" w:lineRule="auto"/>
        <w:ind w:left="720" w:hanging="720"/>
        <w:jc w:val="both"/>
        <w:rPr>
          <w:rFonts w:ascii="David" w:hAnsi="David"/>
          <w:sz w:val="26"/>
          <w:szCs w:val="26"/>
          <w:rtl/>
        </w:rPr>
      </w:pPr>
      <w:r w:rsidRPr="00635CCC">
        <w:rPr>
          <w:rFonts w:ascii="David" w:hAnsi="David"/>
          <w:sz w:val="26"/>
          <w:szCs w:val="26"/>
          <w:rtl/>
        </w:rPr>
        <w:t>6.</w:t>
      </w:r>
      <w:r w:rsidRPr="00635CCC">
        <w:rPr>
          <w:rFonts w:ascii="David" w:hAnsi="David"/>
          <w:sz w:val="26"/>
          <w:szCs w:val="26"/>
          <w:rtl/>
        </w:rPr>
        <w:tab/>
        <w:t>בתום שמיעת הטיעונים לעונש השמיע גם הנאשם עצמו את דבריו.</w:t>
      </w:r>
    </w:p>
    <w:p w14:paraId="17CB456E" w14:textId="77777777" w:rsidR="007844C4" w:rsidRPr="00635CCC" w:rsidRDefault="007844C4" w:rsidP="007844C4">
      <w:pPr>
        <w:spacing w:line="360" w:lineRule="auto"/>
        <w:ind w:left="720"/>
        <w:jc w:val="both"/>
        <w:rPr>
          <w:rFonts w:ascii="David" w:hAnsi="David"/>
          <w:sz w:val="26"/>
          <w:szCs w:val="26"/>
          <w:rtl/>
        </w:rPr>
      </w:pPr>
      <w:r w:rsidRPr="00635CCC">
        <w:rPr>
          <w:rFonts w:ascii="David" w:hAnsi="David"/>
          <w:sz w:val="26"/>
          <w:szCs w:val="26"/>
          <w:rtl/>
        </w:rPr>
        <w:t xml:space="preserve"> הנאשם פתח ואמר שהוא מודע לכך שהוא עשה מעשה חמור. לדברי הנאשם הוא עבר שינוי גדול בשנתיים האחרונות, שינוי שהיה כרוך במאמצים לא פשוטים. הנאשם תיאר את השינוי הנפשי והרגשי שהוא עבר במהלך הליך השיקום, וכן את ההתקדמות הלימודית שהוא עשה במסגרת השיקום. הנאשם ציין שהוא נמצא היום במקום הרבה יותר טוב מזה שהוא היה בו אי פעם בחייו. הנאשם ביקש שבית המשפט לא יגזור עליו עבודות שירות כיוון שהדבר ישבש את עבודתו אשר מקנה לו יציבות בחיים. לסיכום ציין הנאשם שהוא למד את הלקח ולא יחזור שוב לבצע עבירות.</w:t>
      </w:r>
    </w:p>
    <w:p w14:paraId="6C33459B" w14:textId="77777777" w:rsidR="007844C4" w:rsidRDefault="007844C4" w:rsidP="007844C4">
      <w:pPr>
        <w:spacing w:line="360" w:lineRule="auto"/>
        <w:ind w:left="720"/>
        <w:jc w:val="both"/>
        <w:rPr>
          <w:rFonts w:ascii="David" w:hAnsi="David"/>
          <w:sz w:val="26"/>
          <w:szCs w:val="26"/>
          <w:rtl/>
        </w:rPr>
      </w:pPr>
      <w:r w:rsidRPr="00635CCC">
        <w:rPr>
          <w:rFonts w:ascii="David" w:hAnsi="David"/>
          <w:sz w:val="26"/>
          <w:szCs w:val="26"/>
          <w:rtl/>
        </w:rPr>
        <w:t xml:space="preserve">יאמר כבר עתה כי הרושם הוא שדברי הנאשם נאמרו בכנות רבה, וניכר בהם שהם יצאו מן הלב. </w:t>
      </w:r>
    </w:p>
    <w:p w14:paraId="06023171" w14:textId="77777777" w:rsidR="007844C4" w:rsidRPr="00635CCC" w:rsidRDefault="007844C4" w:rsidP="007844C4">
      <w:pPr>
        <w:spacing w:line="360" w:lineRule="auto"/>
        <w:ind w:left="720"/>
        <w:jc w:val="both"/>
        <w:rPr>
          <w:rFonts w:ascii="David" w:hAnsi="David"/>
          <w:sz w:val="26"/>
          <w:szCs w:val="26"/>
          <w:rtl/>
        </w:rPr>
      </w:pPr>
    </w:p>
    <w:p w14:paraId="1D2F5F58" w14:textId="77777777" w:rsidR="007844C4" w:rsidRPr="00635CCC" w:rsidRDefault="007844C4" w:rsidP="007844C4">
      <w:pPr>
        <w:spacing w:line="360" w:lineRule="auto"/>
        <w:ind w:left="720" w:hanging="720"/>
        <w:jc w:val="both"/>
        <w:rPr>
          <w:rFonts w:ascii="David" w:hAnsi="David"/>
          <w:sz w:val="26"/>
          <w:szCs w:val="26"/>
          <w:rtl/>
        </w:rPr>
      </w:pPr>
    </w:p>
    <w:p w14:paraId="3D697BA6" w14:textId="77777777" w:rsidR="007844C4" w:rsidRPr="00635CCC" w:rsidRDefault="007844C4" w:rsidP="007844C4">
      <w:pPr>
        <w:spacing w:line="360" w:lineRule="auto"/>
        <w:ind w:left="720" w:hanging="720"/>
        <w:jc w:val="both"/>
        <w:rPr>
          <w:rFonts w:ascii="David" w:hAnsi="David"/>
          <w:b/>
          <w:bCs/>
          <w:sz w:val="26"/>
          <w:szCs w:val="26"/>
          <w:u w:val="single"/>
          <w:rtl/>
        </w:rPr>
      </w:pPr>
      <w:r w:rsidRPr="00635CCC">
        <w:rPr>
          <w:rFonts w:ascii="David" w:hAnsi="David"/>
          <w:sz w:val="26"/>
          <w:szCs w:val="26"/>
          <w:rtl/>
        </w:rPr>
        <w:tab/>
      </w:r>
      <w:r w:rsidRPr="00635CCC">
        <w:rPr>
          <w:rFonts w:ascii="David" w:hAnsi="David"/>
          <w:b/>
          <w:bCs/>
          <w:sz w:val="26"/>
          <w:szCs w:val="26"/>
          <w:u w:val="single"/>
          <w:rtl/>
        </w:rPr>
        <w:t>דיון והכרעה</w:t>
      </w:r>
    </w:p>
    <w:p w14:paraId="12B9707D" w14:textId="77777777" w:rsidR="007844C4" w:rsidRPr="00635CCC" w:rsidRDefault="007844C4" w:rsidP="007844C4">
      <w:pPr>
        <w:spacing w:line="360" w:lineRule="auto"/>
        <w:ind w:left="720" w:hanging="720"/>
        <w:jc w:val="both"/>
        <w:rPr>
          <w:rFonts w:ascii="David" w:hAnsi="David"/>
          <w:b/>
          <w:bCs/>
          <w:sz w:val="26"/>
          <w:szCs w:val="26"/>
          <w:u w:val="single"/>
          <w:rtl/>
        </w:rPr>
      </w:pPr>
    </w:p>
    <w:p w14:paraId="6F1D3570" w14:textId="77777777" w:rsidR="007844C4" w:rsidRPr="00635CCC" w:rsidRDefault="007844C4" w:rsidP="007844C4">
      <w:pPr>
        <w:spacing w:line="360" w:lineRule="auto"/>
        <w:ind w:left="720" w:hanging="720"/>
        <w:jc w:val="both"/>
        <w:rPr>
          <w:rFonts w:ascii="David" w:hAnsi="David"/>
          <w:sz w:val="26"/>
          <w:szCs w:val="26"/>
          <w:rtl/>
        </w:rPr>
      </w:pPr>
      <w:r w:rsidRPr="00635CCC">
        <w:rPr>
          <w:rFonts w:ascii="David" w:hAnsi="David"/>
          <w:sz w:val="26"/>
          <w:szCs w:val="26"/>
          <w:rtl/>
        </w:rPr>
        <w:t>7.</w:t>
      </w:r>
      <w:r w:rsidRPr="00635CCC">
        <w:rPr>
          <w:rFonts w:ascii="David" w:hAnsi="David"/>
          <w:sz w:val="26"/>
          <w:szCs w:val="26"/>
          <w:rtl/>
        </w:rPr>
        <w:tab/>
      </w:r>
      <w:r w:rsidRPr="00635CCC">
        <w:rPr>
          <w:rFonts w:ascii="David" w:hAnsi="David"/>
          <w:b/>
          <w:bCs/>
          <w:sz w:val="26"/>
          <w:szCs w:val="26"/>
          <w:u w:val="single"/>
          <w:rtl/>
        </w:rPr>
        <w:t>מתחם העונש ההולם</w:t>
      </w:r>
    </w:p>
    <w:p w14:paraId="4E97F536" w14:textId="77777777" w:rsidR="007844C4" w:rsidRPr="00635CCC" w:rsidRDefault="007844C4" w:rsidP="007844C4">
      <w:pPr>
        <w:spacing w:line="360" w:lineRule="auto"/>
        <w:ind w:left="720" w:hanging="720"/>
        <w:jc w:val="both"/>
        <w:rPr>
          <w:rFonts w:ascii="David" w:hAnsi="David"/>
          <w:sz w:val="26"/>
          <w:szCs w:val="26"/>
          <w:rtl/>
        </w:rPr>
      </w:pPr>
      <w:r w:rsidRPr="00635CCC">
        <w:rPr>
          <w:rFonts w:ascii="David" w:hAnsi="David"/>
          <w:sz w:val="26"/>
          <w:szCs w:val="26"/>
          <w:rtl/>
        </w:rPr>
        <w:tab/>
        <w:t xml:space="preserve">כעולה מן האמור לעיל, אין מחלוקת של ממש בין הצדדים לגבי חומרת העבירה ולגבי מתחם העונש ההולם אשר מחייב בדרך כלל לגזור עונש משמעותי של מאסר לריצוי בפועל בגין עבירה של ייבוא סם מסוכן. אין גם מחלוקת בין הצדדים על כך שבנסיבות הקונקרטיות של הנאשם שלפניי ראוי לחרוג ממתחם העונש ההולם מטעמי שיקום. כיוון שכך לא אאריך בדברים לגבי מתחם העונש ההולם. </w:t>
      </w:r>
    </w:p>
    <w:p w14:paraId="36A6E545" w14:textId="77777777" w:rsidR="007844C4" w:rsidRPr="00635CCC" w:rsidRDefault="007844C4" w:rsidP="007844C4">
      <w:pPr>
        <w:spacing w:line="360" w:lineRule="auto"/>
        <w:ind w:left="720" w:hanging="720"/>
        <w:jc w:val="both"/>
        <w:rPr>
          <w:rFonts w:ascii="David" w:hAnsi="David"/>
          <w:sz w:val="26"/>
          <w:szCs w:val="26"/>
          <w:rtl/>
        </w:rPr>
      </w:pPr>
      <w:r w:rsidRPr="00635CCC">
        <w:rPr>
          <w:rFonts w:ascii="David" w:hAnsi="David"/>
          <w:sz w:val="26"/>
          <w:szCs w:val="26"/>
          <w:rtl/>
        </w:rPr>
        <w:tab/>
        <w:t>אכן, כפי שציינו הצדדים, עבירה של יבוא סם מסוכן בהיקף</w:t>
      </w:r>
      <w:r>
        <w:rPr>
          <w:rFonts w:ascii="David" w:hAnsi="David"/>
          <w:sz w:val="26"/>
          <w:szCs w:val="26"/>
          <w:rtl/>
        </w:rPr>
        <w:t xml:space="preserve"> של כ-5 קילוגרם היא עבירה חמורה</w:t>
      </w:r>
      <w:r>
        <w:rPr>
          <w:rFonts w:ascii="David" w:hAnsi="David" w:hint="cs"/>
          <w:sz w:val="26"/>
          <w:szCs w:val="26"/>
          <w:rtl/>
        </w:rPr>
        <w:t xml:space="preserve">, </w:t>
      </w:r>
      <w:r w:rsidRPr="00635CCC">
        <w:rPr>
          <w:rFonts w:ascii="David" w:hAnsi="David"/>
          <w:sz w:val="26"/>
          <w:szCs w:val="26"/>
          <w:rtl/>
        </w:rPr>
        <w:t xml:space="preserve">אשר פוגעת קשות בערך המוגן של שלום הציבור ובריאותו. רבות גם נאמר על כך שעבירות הסמים, ובכלל זה העבירה של ייבוא סם, גוררות אחריהן גם ביצוע של עבירות רבות נוספות. </w:t>
      </w:r>
    </w:p>
    <w:p w14:paraId="3BB65AF0" w14:textId="77777777" w:rsidR="007844C4" w:rsidRPr="00635CCC" w:rsidRDefault="007844C4" w:rsidP="007844C4">
      <w:pPr>
        <w:spacing w:line="360" w:lineRule="auto"/>
        <w:ind w:left="720" w:hanging="720"/>
        <w:jc w:val="both"/>
        <w:rPr>
          <w:rFonts w:ascii="David" w:hAnsi="David"/>
          <w:sz w:val="26"/>
          <w:szCs w:val="26"/>
          <w:rtl/>
        </w:rPr>
      </w:pPr>
      <w:r w:rsidRPr="00635CCC">
        <w:rPr>
          <w:rFonts w:ascii="David" w:hAnsi="David"/>
          <w:sz w:val="26"/>
          <w:szCs w:val="26"/>
          <w:rtl/>
        </w:rPr>
        <w:tab/>
        <w:t>הנסיבות הקשורות בביצוע העבירה מלמדות על חומרה גבוהה יחסית. מדובר בעבירה שתוכננה מראש, תוך נקיטת אמצעים מתוחכמים יחסית לשם הצפנת הסם במזוודה כדי שניתן יהיה להבריחו לישראל. כמות הסם גבוהה למדי. עם זאת לא מדובר בסם מן הסמים הקשים ביותר כגון קוקאין, ויש בכך כדי להפחית במעט את חומרתה של העבירה. הנזק הצפוי מביצוע עבירה של יבוא סמים בהיקף כזה הוא נזק גדול, אם כי הלכה למעשה הנזק נמנע כיוון שהסם נתפס. חלקו של הנאשם בעבירה שבוצעה משמעותי</w:t>
      </w:r>
      <w:r>
        <w:rPr>
          <w:rFonts w:ascii="David" w:hAnsi="David" w:hint="cs"/>
          <w:sz w:val="26"/>
          <w:szCs w:val="26"/>
          <w:rtl/>
        </w:rPr>
        <w:t>.</w:t>
      </w:r>
      <w:r w:rsidRPr="00635CCC">
        <w:rPr>
          <w:rFonts w:ascii="David" w:hAnsi="David"/>
          <w:sz w:val="26"/>
          <w:szCs w:val="26"/>
          <w:rtl/>
        </w:rPr>
        <w:t xml:space="preserve"> כאמור בסעיף 1 לכתב האישום הוא היה שותף להחלטה לייבא את הסם לישראל, כך שאין לראות בו בלדר בלבד. </w:t>
      </w:r>
    </w:p>
    <w:p w14:paraId="5DCB7EFB" w14:textId="77777777" w:rsidR="007844C4" w:rsidRPr="00635CCC" w:rsidRDefault="007844C4" w:rsidP="007844C4">
      <w:pPr>
        <w:spacing w:line="360" w:lineRule="auto"/>
        <w:ind w:left="720" w:hanging="720"/>
        <w:jc w:val="both"/>
        <w:rPr>
          <w:rFonts w:ascii="David" w:hAnsi="David"/>
          <w:sz w:val="26"/>
          <w:szCs w:val="26"/>
          <w:rtl/>
        </w:rPr>
      </w:pPr>
      <w:r w:rsidRPr="00635CCC">
        <w:rPr>
          <w:rFonts w:ascii="David" w:hAnsi="David"/>
          <w:sz w:val="26"/>
          <w:szCs w:val="26"/>
          <w:rtl/>
        </w:rPr>
        <w:tab/>
        <w:t xml:space="preserve">על-פי הפסיקה, בעבירות מסוג זה יש לגזור עונשים משמעותיים של מאסר בפועל. ויודגש, הפסיקה עמדה על כך שיש להשית עונשים חמורים על כל המעורבים בשרשרת הפצת הסם לרבות על בלדרים </w:t>
      </w:r>
      <w:hyperlink r:id="rId12" w:history="1">
        <w:r w:rsidR="00280316" w:rsidRPr="00280316">
          <w:rPr>
            <w:rFonts w:ascii="David" w:hAnsi="David"/>
            <w:color w:val="0000FF"/>
            <w:sz w:val="26"/>
            <w:szCs w:val="26"/>
            <w:u w:val="single"/>
            <w:rtl/>
          </w:rPr>
          <w:t>ע"פ 7044/11</w:t>
        </w:r>
      </w:hyperlink>
      <w:r w:rsidRPr="00635CCC">
        <w:rPr>
          <w:rFonts w:ascii="David" w:hAnsi="David"/>
          <w:sz w:val="26"/>
          <w:szCs w:val="26"/>
          <w:rtl/>
        </w:rPr>
        <w:t xml:space="preserve"> </w:t>
      </w:r>
      <w:r w:rsidRPr="00635CCC">
        <w:rPr>
          <w:rFonts w:ascii="David" w:hAnsi="David"/>
          <w:b/>
          <w:bCs/>
          <w:sz w:val="26"/>
          <w:szCs w:val="26"/>
          <w:rtl/>
        </w:rPr>
        <w:t>עבד נ' מדינת ישראל</w:t>
      </w:r>
      <w:r w:rsidRPr="00635CCC">
        <w:rPr>
          <w:rFonts w:ascii="David" w:hAnsi="David"/>
          <w:sz w:val="26"/>
          <w:szCs w:val="26"/>
          <w:rtl/>
        </w:rPr>
        <w:t xml:space="preserve"> (17.6.12). לנוכח הענישה הנוהגת (וראו לעניין זה גם גזר דין שנתתי ב</w:t>
      </w:r>
      <w:hyperlink r:id="rId13" w:history="1">
        <w:r w:rsidR="00280316" w:rsidRPr="00280316">
          <w:rPr>
            <w:rFonts w:ascii="David" w:hAnsi="David"/>
            <w:color w:val="0000FF"/>
            <w:sz w:val="26"/>
            <w:szCs w:val="26"/>
            <w:u w:val="single"/>
            <w:rtl/>
          </w:rPr>
          <w:t>ת"פ (מחוזי י-ם) 22022-07-18</w:t>
        </w:r>
      </w:hyperlink>
      <w:r w:rsidRPr="00635CCC">
        <w:rPr>
          <w:rFonts w:ascii="David" w:hAnsi="David"/>
          <w:sz w:val="26"/>
          <w:szCs w:val="26"/>
          <w:rtl/>
        </w:rPr>
        <w:t xml:space="preserve"> </w:t>
      </w:r>
      <w:r w:rsidRPr="00635CCC">
        <w:rPr>
          <w:rFonts w:ascii="David" w:hAnsi="David"/>
          <w:b/>
          <w:bCs/>
          <w:sz w:val="26"/>
          <w:szCs w:val="26"/>
          <w:rtl/>
        </w:rPr>
        <w:t xml:space="preserve">מדינת ישראל נ' פורסט </w:t>
      </w:r>
      <w:r w:rsidRPr="00635CCC">
        <w:rPr>
          <w:rFonts w:ascii="David" w:hAnsi="David"/>
          <w:sz w:val="26"/>
          <w:szCs w:val="26"/>
          <w:rtl/>
        </w:rPr>
        <w:t xml:space="preserve">(20.5.20)), ולנוכח הנסיבות הקשורות בביצוע העבירה, ומידת הפגיעה בערכים המוגנים, נראה כי מתחם העונש ההולם במקרה שלפניי צריך לנוע בין 24 חודשי מאסר לבין 40 חודשי מאסר. </w:t>
      </w:r>
    </w:p>
    <w:p w14:paraId="62D33C32" w14:textId="77777777" w:rsidR="007844C4" w:rsidRPr="00635CCC" w:rsidRDefault="007844C4" w:rsidP="007844C4">
      <w:pPr>
        <w:spacing w:line="360" w:lineRule="auto"/>
        <w:ind w:left="720" w:hanging="720"/>
        <w:jc w:val="both"/>
        <w:rPr>
          <w:rFonts w:ascii="David" w:hAnsi="David"/>
          <w:sz w:val="26"/>
          <w:szCs w:val="26"/>
          <w:rtl/>
        </w:rPr>
      </w:pPr>
    </w:p>
    <w:p w14:paraId="5CB94246" w14:textId="77777777" w:rsidR="007844C4" w:rsidRPr="00635CCC" w:rsidRDefault="007844C4" w:rsidP="007844C4">
      <w:pPr>
        <w:spacing w:line="360" w:lineRule="auto"/>
        <w:ind w:left="720" w:hanging="720"/>
        <w:jc w:val="both"/>
        <w:rPr>
          <w:rFonts w:ascii="David" w:hAnsi="David"/>
          <w:sz w:val="26"/>
          <w:szCs w:val="26"/>
          <w:rtl/>
        </w:rPr>
      </w:pPr>
      <w:r w:rsidRPr="00635CCC">
        <w:rPr>
          <w:rFonts w:ascii="David" w:hAnsi="David"/>
          <w:sz w:val="26"/>
          <w:szCs w:val="26"/>
          <w:rtl/>
        </w:rPr>
        <w:t>8.</w:t>
      </w:r>
      <w:r w:rsidRPr="00635CCC">
        <w:rPr>
          <w:rFonts w:ascii="David" w:hAnsi="David"/>
          <w:sz w:val="26"/>
          <w:szCs w:val="26"/>
          <w:rtl/>
        </w:rPr>
        <w:tab/>
      </w:r>
      <w:r w:rsidRPr="00635CCC">
        <w:rPr>
          <w:rFonts w:ascii="David" w:hAnsi="David"/>
          <w:b/>
          <w:bCs/>
          <w:sz w:val="26"/>
          <w:szCs w:val="26"/>
          <w:u w:val="single"/>
          <w:rtl/>
        </w:rPr>
        <w:t>העונש המתאים</w:t>
      </w:r>
    </w:p>
    <w:p w14:paraId="4A3057CA" w14:textId="77777777" w:rsidR="007844C4" w:rsidRPr="00635CCC" w:rsidRDefault="007844C4" w:rsidP="007844C4">
      <w:pPr>
        <w:spacing w:line="360" w:lineRule="auto"/>
        <w:ind w:left="720" w:hanging="720"/>
        <w:jc w:val="both"/>
        <w:rPr>
          <w:rFonts w:ascii="David" w:hAnsi="David"/>
          <w:sz w:val="26"/>
          <w:szCs w:val="26"/>
          <w:rtl/>
        </w:rPr>
      </w:pPr>
      <w:r w:rsidRPr="00635CCC">
        <w:rPr>
          <w:rFonts w:ascii="David" w:hAnsi="David"/>
          <w:sz w:val="26"/>
          <w:szCs w:val="26"/>
          <w:rtl/>
        </w:rPr>
        <w:tab/>
        <w:t>הנאשם צעיר בן 20, נעדר עבר פלילי. כאמור לעיל נסיבות חייו של הנאשם קשות. הוא נטש את העולם החרדי כבר בגיל 16, ובשל כך ניתקה עמו משפחתו כל קשר. כתוצאה מן האמור התדרדר הנאשם לשימוש בסמים ולביצוע העבירה בה הוא הורשע לפניי.  בשל הנתק ממשפחתו הנאשם נאלץ מאז גיל 16 לדאוג לעצמו ללא כל תמיכה.</w:t>
      </w:r>
    </w:p>
    <w:p w14:paraId="3BA4AA7D" w14:textId="77777777" w:rsidR="007844C4" w:rsidRPr="00635CCC" w:rsidRDefault="007844C4" w:rsidP="007844C4">
      <w:pPr>
        <w:spacing w:line="360" w:lineRule="auto"/>
        <w:ind w:left="720"/>
        <w:jc w:val="both"/>
        <w:rPr>
          <w:rFonts w:ascii="David" w:hAnsi="David"/>
          <w:sz w:val="26"/>
          <w:szCs w:val="26"/>
          <w:rtl/>
        </w:rPr>
      </w:pPr>
      <w:r w:rsidRPr="00635CCC">
        <w:rPr>
          <w:rFonts w:ascii="David" w:hAnsi="David"/>
          <w:sz w:val="26"/>
          <w:szCs w:val="26"/>
          <w:rtl/>
        </w:rPr>
        <w:t xml:space="preserve">עברו של הנאשם נקי, ובגין  העבירה שבה הוא הורשע לפניי הוא </w:t>
      </w:r>
      <w:r>
        <w:rPr>
          <w:rFonts w:ascii="David" w:hAnsi="David" w:hint="cs"/>
          <w:sz w:val="26"/>
          <w:szCs w:val="26"/>
          <w:rtl/>
        </w:rPr>
        <w:t>היה נתון</w:t>
      </w:r>
      <w:r w:rsidRPr="00635CCC">
        <w:rPr>
          <w:rFonts w:ascii="David" w:hAnsi="David"/>
          <w:sz w:val="26"/>
          <w:szCs w:val="26"/>
          <w:rtl/>
        </w:rPr>
        <w:t xml:space="preserve"> במעצר במשך 65 יום.</w:t>
      </w:r>
    </w:p>
    <w:p w14:paraId="372D498A" w14:textId="77777777" w:rsidR="007844C4" w:rsidRPr="00635CCC" w:rsidRDefault="007844C4" w:rsidP="007844C4">
      <w:pPr>
        <w:spacing w:line="360" w:lineRule="auto"/>
        <w:ind w:left="720" w:hanging="720"/>
        <w:jc w:val="both"/>
        <w:rPr>
          <w:rFonts w:ascii="David" w:hAnsi="David"/>
          <w:sz w:val="26"/>
          <w:szCs w:val="26"/>
          <w:rtl/>
        </w:rPr>
      </w:pPr>
      <w:r w:rsidRPr="00635CCC">
        <w:rPr>
          <w:rFonts w:ascii="David" w:hAnsi="David"/>
          <w:sz w:val="26"/>
          <w:szCs w:val="26"/>
          <w:rtl/>
        </w:rPr>
        <w:tab/>
        <w:t xml:space="preserve">הנאשם הודה במיוחס לו ובכך חסך מזמנה של המאשימה ומזמנו של בית המשפט. תהליך השיקום המרשים שעבר הנאשם </w:t>
      </w:r>
      <w:r>
        <w:rPr>
          <w:rFonts w:ascii="David" w:hAnsi="David" w:hint="cs"/>
          <w:sz w:val="26"/>
          <w:szCs w:val="26"/>
          <w:rtl/>
        </w:rPr>
        <w:t xml:space="preserve">מלמד כי </w:t>
      </w:r>
      <w:r w:rsidRPr="00635CCC">
        <w:rPr>
          <w:rFonts w:ascii="David" w:hAnsi="David"/>
          <w:sz w:val="26"/>
          <w:szCs w:val="26"/>
          <w:rtl/>
        </w:rPr>
        <w:t xml:space="preserve">הודאתו איננה מן הפה אל החוץ, אלא היא פרי של שינוי אמתי לחיוב שחל בנאשם. </w:t>
      </w:r>
    </w:p>
    <w:p w14:paraId="5F6AFB96" w14:textId="77777777" w:rsidR="007844C4" w:rsidRPr="00635CCC" w:rsidRDefault="007844C4" w:rsidP="007844C4">
      <w:pPr>
        <w:spacing w:line="360" w:lineRule="auto"/>
        <w:ind w:left="720" w:hanging="720"/>
        <w:jc w:val="both"/>
        <w:rPr>
          <w:rFonts w:ascii="David" w:hAnsi="David"/>
          <w:sz w:val="26"/>
          <w:szCs w:val="26"/>
          <w:rtl/>
        </w:rPr>
      </w:pPr>
      <w:r w:rsidRPr="00635CCC">
        <w:rPr>
          <w:rFonts w:ascii="David" w:hAnsi="David"/>
          <w:sz w:val="26"/>
          <w:szCs w:val="26"/>
          <w:rtl/>
        </w:rPr>
        <w:tab/>
        <w:t>כאמור לעיל, שני הצדדים מסכימים שראוי במקרה זה לחרוג ממתחם העונש ההולם משיקולי שיקום. אכן, לא בקלות יחרוג בית המשפט ממתחם העונש ההולם בכלל, ובעבירות סמים בפרט, אולם בסופו של דבר חריגה ממתחם העונש ההולם אפשרית כמובן גם בעבירות סמים חמורות, הכול בהתאם לנסיבות הקונקרטיות של המקרה הנדון (</w:t>
      </w:r>
      <w:hyperlink r:id="rId14" w:history="1">
        <w:r w:rsidR="00280316" w:rsidRPr="00280316">
          <w:rPr>
            <w:rFonts w:ascii="David" w:hAnsi="David"/>
            <w:color w:val="0000FF"/>
            <w:sz w:val="26"/>
            <w:szCs w:val="26"/>
            <w:u w:val="single"/>
            <w:rtl/>
          </w:rPr>
          <w:t>ע"פ 6637/17</w:t>
        </w:r>
      </w:hyperlink>
      <w:r w:rsidRPr="00635CCC">
        <w:rPr>
          <w:rFonts w:ascii="David" w:hAnsi="David"/>
          <w:sz w:val="26"/>
          <w:szCs w:val="26"/>
          <w:rtl/>
        </w:rPr>
        <w:t xml:space="preserve"> </w:t>
      </w:r>
      <w:r w:rsidRPr="00635CCC">
        <w:rPr>
          <w:rFonts w:ascii="David" w:hAnsi="David"/>
          <w:b/>
          <w:bCs/>
          <w:sz w:val="26"/>
          <w:szCs w:val="26"/>
          <w:rtl/>
        </w:rPr>
        <w:t>קרנדל נ' מדינת ישראל</w:t>
      </w:r>
      <w:r w:rsidRPr="00635CCC">
        <w:rPr>
          <w:rFonts w:ascii="David" w:hAnsi="David"/>
          <w:sz w:val="26"/>
          <w:szCs w:val="26"/>
          <w:rtl/>
        </w:rPr>
        <w:t xml:space="preserve"> (18.4.18). בבואי לשקול האם יש מקום לאמץ במלואה את המלצת שירות המבחן נתתי דעתי למקום המרכזי </w:t>
      </w:r>
      <w:r>
        <w:rPr>
          <w:rFonts w:ascii="David" w:hAnsi="David" w:hint="cs"/>
          <w:sz w:val="26"/>
          <w:szCs w:val="26"/>
          <w:rtl/>
        </w:rPr>
        <w:t>ש</w:t>
      </w:r>
      <w:r w:rsidRPr="00635CCC">
        <w:rPr>
          <w:rFonts w:ascii="David" w:hAnsi="David"/>
          <w:sz w:val="26"/>
          <w:szCs w:val="26"/>
          <w:rtl/>
        </w:rPr>
        <w:t>תופסת</w:t>
      </w:r>
      <w:r>
        <w:rPr>
          <w:rFonts w:ascii="David" w:hAnsi="David" w:hint="cs"/>
          <w:sz w:val="26"/>
          <w:szCs w:val="26"/>
          <w:rtl/>
        </w:rPr>
        <w:t>, לעת הזו,</w:t>
      </w:r>
      <w:r w:rsidRPr="00635CCC">
        <w:rPr>
          <w:rFonts w:ascii="David" w:hAnsi="David"/>
          <w:sz w:val="26"/>
          <w:szCs w:val="26"/>
          <w:rtl/>
        </w:rPr>
        <w:t xml:space="preserve"> התעסוקה בחייו של הנאשם. במהלך תקופת השיקום עבד הנאשם במפעל לייצור גבינות, וכיום הוא עובד במפעל "מטרוניקס". גם שירות המבחן וגם הנאשם הדגישו עד כמה העובדה שהנאשם מצליח להשתכר למחייתו קריטית מבחינת המשך השיקום שלו, שכן ללא הכנסה הנאשם לא יוכל לממן לעצמו קורת גג ואפילו מזון. מעבר לכך, הנאשם גם הדגיש עד כמה הוא מרוצה מעבודתו במפעל כיוון שהוא זוכה שם להערכה. ניכר היה מדבריו כי העבודה מחזקת את בטחונו העצמי ומסייעת לו להתמודד עם אתגרי השיקום. התעסוקה, ששכרה בצידה, חיונית אם כן להמשך שיקומו של הנאשם, ולפיכך אני מקבל את הערכת שירות המבחן לפיה הטלת עונש של מאסר בעבודות שירות, אשר מטבע הדברים יחייב את הנאשם להפסיק לעבוד במפעל, עלולה לגרום לנסיגה בתהליך השיקומי. </w:t>
      </w:r>
    </w:p>
    <w:p w14:paraId="26429C22" w14:textId="77777777" w:rsidR="007844C4" w:rsidRDefault="007844C4" w:rsidP="007844C4">
      <w:pPr>
        <w:spacing w:line="360" w:lineRule="auto"/>
        <w:ind w:left="720" w:hanging="720"/>
        <w:jc w:val="both"/>
        <w:rPr>
          <w:rFonts w:ascii="David" w:hAnsi="David"/>
          <w:sz w:val="26"/>
          <w:szCs w:val="26"/>
          <w:rtl/>
        </w:rPr>
      </w:pPr>
      <w:r w:rsidRPr="00635CCC">
        <w:rPr>
          <w:rFonts w:ascii="David" w:hAnsi="David"/>
          <w:sz w:val="26"/>
          <w:szCs w:val="26"/>
          <w:rtl/>
        </w:rPr>
        <w:tab/>
        <w:t xml:space="preserve">אשר על כן, ולמרות חומרת העבירה שאין לזלזל בה כלל ועיקר, אני סבור כי לנוכח הנסיבות הקונקרטיות של הנאשם שלפניי, בהן הליך השיקום הארוך והמשמעותי שהוא עבר והעדר התמיכה המשפחתית, יש לאמץ את המלצת שירות המבחן ולגזור על נאשם עונש של שירות לתועלת הציבור. </w:t>
      </w:r>
    </w:p>
    <w:p w14:paraId="646C9ABE" w14:textId="77777777" w:rsidR="007844C4" w:rsidRDefault="007844C4" w:rsidP="007844C4">
      <w:pPr>
        <w:spacing w:line="360" w:lineRule="auto"/>
        <w:ind w:left="720" w:hanging="720"/>
        <w:jc w:val="both"/>
        <w:rPr>
          <w:rFonts w:ascii="David" w:hAnsi="David"/>
          <w:sz w:val="26"/>
          <w:szCs w:val="26"/>
          <w:rtl/>
        </w:rPr>
      </w:pPr>
    </w:p>
    <w:p w14:paraId="3579556C" w14:textId="77777777" w:rsidR="007844C4" w:rsidRDefault="007844C4" w:rsidP="007844C4">
      <w:pPr>
        <w:spacing w:line="360" w:lineRule="auto"/>
        <w:ind w:left="720" w:hanging="720"/>
        <w:jc w:val="both"/>
        <w:rPr>
          <w:rFonts w:ascii="David" w:hAnsi="David"/>
          <w:sz w:val="26"/>
          <w:szCs w:val="26"/>
          <w:rtl/>
        </w:rPr>
      </w:pPr>
    </w:p>
    <w:p w14:paraId="0ACEE761" w14:textId="77777777" w:rsidR="007844C4" w:rsidRPr="00635CCC" w:rsidRDefault="007844C4" w:rsidP="007844C4">
      <w:pPr>
        <w:spacing w:line="360" w:lineRule="auto"/>
        <w:ind w:left="720" w:hanging="720"/>
        <w:jc w:val="both"/>
        <w:rPr>
          <w:rFonts w:ascii="David" w:hAnsi="David"/>
          <w:sz w:val="26"/>
          <w:szCs w:val="26"/>
          <w:rtl/>
        </w:rPr>
      </w:pPr>
    </w:p>
    <w:p w14:paraId="3E8F313B" w14:textId="77777777" w:rsidR="007844C4" w:rsidRPr="00635CCC" w:rsidRDefault="007844C4" w:rsidP="007844C4">
      <w:pPr>
        <w:spacing w:line="360" w:lineRule="auto"/>
        <w:ind w:left="720" w:hanging="720"/>
        <w:jc w:val="both"/>
        <w:rPr>
          <w:rFonts w:ascii="David" w:hAnsi="David"/>
          <w:sz w:val="26"/>
          <w:szCs w:val="26"/>
          <w:rtl/>
        </w:rPr>
      </w:pPr>
    </w:p>
    <w:p w14:paraId="166078BB" w14:textId="77777777" w:rsidR="007844C4" w:rsidRPr="00635CCC" w:rsidRDefault="007844C4" w:rsidP="007844C4">
      <w:pPr>
        <w:spacing w:line="360" w:lineRule="auto"/>
        <w:ind w:left="720" w:hanging="720"/>
        <w:jc w:val="both"/>
        <w:rPr>
          <w:rFonts w:ascii="David" w:hAnsi="David"/>
          <w:sz w:val="26"/>
          <w:szCs w:val="26"/>
          <w:rtl/>
        </w:rPr>
      </w:pPr>
      <w:r w:rsidRPr="00635CCC">
        <w:rPr>
          <w:rFonts w:ascii="David" w:hAnsi="David"/>
          <w:sz w:val="26"/>
          <w:szCs w:val="26"/>
          <w:rtl/>
        </w:rPr>
        <w:t>9.</w:t>
      </w:r>
      <w:r w:rsidRPr="00635CCC">
        <w:rPr>
          <w:rFonts w:ascii="David" w:hAnsi="David"/>
          <w:sz w:val="26"/>
          <w:szCs w:val="26"/>
          <w:rtl/>
        </w:rPr>
        <w:tab/>
        <w:t xml:space="preserve">אשר על כן, אני גוזר על הנאשם את העונשים שלהלן: </w:t>
      </w:r>
    </w:p>
    <w:p w14:paraId="0E045EAD" w14:textId="77777777" w:rsidR="007844C4" w:rsidRPr="00635CCC" w:rsidRDefault="007844C4" w:rsidP="007844C4">
      <w:pPr>
        <w:spacing w:line="360" w:lineRule="auto"/>
        <w:ind w:left="720" w:hanging="720"/>
        <w:jc w:val="both"/>
        <w:rPr>
          <w:rFonts w:ascii="David" w:hAnsi="David"/>
          <w:sz w:val="26"/>
          <w:szCs w:val="26"/>
          <w:rtl/>
        </w:rPr>
      </w:pPr>
    </w:p>
    <w:p w14:paraId="58B0C3ED" w14:textId="77777777" w:rsidR="007844C4" w:rsidRPr="00635CCC" w:rsidRDefault="007844C4" w:rsidP="007844C4">
      <w:pPr>
        <w:spacing w:line="360" w:lineRule="auto"/>
        <w:ind w:left="1440" w:hanging="720"/>
        <w:jc w:val="both"/>
        <w:rPr>
          <w:rFonts w:ascii="David" w:hAnsi="David"/>
          <w:sz w:val="26"/>
          <w:szCs w:val="26"/>
          <w:rtl/>
        </w:rPr>
      </w:pPr>
      <w:r w:rsidRPr="00635CCC">
        <w:rPr>
          <w:rFonts w:ascii="David" w:hAnsi="David"/>
          <w:sz w:val="26"/>
          <w:szCs w:val="26"/>
          <w:rtl/>
        </w:rPr>
        <w:t>א.</w:t>
      </w:r>
      <w:r w:rsidRPr="00635CCC">
        <w:rPr>
          <w:rFonts w:ascii="David" w:hAnsi="David"/>
          <w:sz w:val="26"/>
          <w:szCs w:val="26"/>
          <w:rtl/>
        </w:rPr>
        <w:tab/>
        <w:t>6 חודשי מאסר על תנאי אותם ירצה הנאשם בפועל אם בתוך שלוש שנים מהיום הוא יעבור עבירה המנויה ב</w:t>
      </w:r>
      <w:hyperlink r:id="rId15" w:history="1">
        <w:r w:rsidR="00280316" w:rsidRPr="00280316">
          <w:rPr>
            <w:rFonts w:ascii="David" w:hAnsi="David"/>
            <w:color w:val="0000FF"/>
            <w:sz w:val="26"/>
            <w:szCs w:val="26"/>
            <w:u w:val="single"/>
            <w:rtl/>
          </w:rPr>
          <w:t>פקודת הסמים המסוכנים</w:t>
        </w:r>
      </w:hyperlink>
      <w:r w:rsidRPr="00635CCC">
        <w:rPr>
          <w:rFonts w:ascii="David" w:hAnsi="David"/>
          <w:sz w:val="26"/>
          <w:szCs w:val="26"/>
          <w:rtl/>
        </w:rPr>
        <w:t>, למעט עבירה של החזקה או שימוש בסם לצריכה עצמית או החזקת כלים לשימוש עצמי.</w:t>
      </w:r>
      <w:r w:rsidRPr="00635CCC">
        <w:rPr>
          <w:rFonts w:ascii="David" w:hAnsi="David"/>
          <w:sz w:val="26"/>
          <w:szCs w:val="26"/>
          <w:rtl/>
        </w:rPr>
        <w:tab/>
      </w:r>
    </w:p>
    <w:p w14:paraId="105933F7" w14:textId="77777777" w:rsidR="007844C4" w:rsidRDefault="007844C4" w:rsidP="007844C4">
      <w:pPr>
        <w:spacing w:line="360" w:lineRule="auto"/>
        <w:ind w:left="1440" w:hanging="720"/>
        <w:jc w:val="both"/>
        <w:rPr>
          <w:rFonts w:ascii="David" w:hAnsi="David"/>
          <w:sz w:val="26"/>
          <w:szCs w:val="26"/>
          <w:rtl/>
        </w:rPr>
      </w:pPr>
      <w:r w:rsidRPr="00635CCC">
        <w:rPr>
          <w:rFonts w:ascii="David" w:hAnsi="David"/>
          <w:sz w:val="26"/>
          <w:szCs w:val="26"/>
          <w:rtl/>
        </w:rPr>
        <w:t>ב.</w:t>
      </w:r>
      <w:r w:rsidRPr="00635CCC">
        <w:rPr>
          <w:rFonts w:ascii="David" w:hAnsi="David"/>
          <w:sz w:val="26"/>
          <w:szCs w:val="26"/>
          <w:rtl/>
        </w:rPr>
        <w:tab/>
        <w:t>340 שעות שירות לתועלת הציבור על-פי תכנית שיכין שירות המבחן ואשר תוגש לבית המשפט עד ליום 21.3.21.</w:t>
      </w:r>
    </w:p>
    <w:p w14:paraId="492B4E8A" w14:textId="77777777" w:rsidR="007844C4" w:rsidRPr="00635CCC" w:rsidRDefault="007844C4" w:rsidP="007844C4">
      <w:pPr>
        <w:spacing w:line="360" w:lineRule="auto"/>
        <w:ind w:left="1440" w:hanging="720"/>
        <w:jc w:val="both"/>
        <w:rPr>
          <w:rFonts w:ascii="David" w:hAnsi="David"/>
          <w:sz w:val="26"/>
          <w:szCs w:val="26"/>
          <w:rtl/>
        </w:rPr>
      </w:pPr>
    </w:p>
    <w:p w14:paraId="1D70ECBC" w14:textId="77777777" w:rsidR="007844C4" w:rsidRPr="00635CCC" w:rsidRDefault="007844C4" w:rsidP="007844C4">
      <w:pPr>
        <w:spacing w:line="360" w:lineRule="auto"/>
        <w:ind w:left="1440" w:hanging="720"/>
        <w:jc w:val="both"/>
        <w:rPr>
          <w:rFonts w:ascii="David" w:hAnsi="David"/>
          <w:sz w:val="26"/>
          <w:szCs w:val="26"/>
          <w:rtl/>
        </w:rPr>
      </w:pPr>
      <w:r w:rsidRPr="00635CCC">
        <w:rPr>
          <w:rFonts w:ascii="David" w:hAnsi="David"/>
          <w:sz w:val="26"/>
          <w:szCs w:val="26"/>
          <w:rtl/>
        </w:rPr>
        <w:t>ג.</w:t>
      </w:r>
      <w:r w:rsidRPr="00635CCC">
        <w:rPr>
          <w:rFonts w:ascii="David" w:hAnsi="David"/>
          <w:sz w:val="26"/>
          <w:szCs w:val="26"/>
          <w:rtl/>
        </w:rPr>
        <w:tab/>
        <w:t>צו מבחן למשך שנה אחת מהיום.</w:t>
      </w:r>
    </w:p>
    <w:p w14:paraId="1036B1A8" w14:textId="77777777" w:rsidR="007844C4" w:rsidRPr="00635CCC" w:rsidRDefault="007844C4" w:rsidP="007844C4">
      <w:pPr>
        <w:spacing w:line="360" w:lineRule="auto"/>
        <w:jc w:val="both"/>
        <w:rPr>
          <w:rFonts w:ascii="David" w:hAnsi="David"/>
          <w:sz w:val="26"/>
          <w:szCs w:val="26"/>
          <w:rtl/>
        </w:rPr>
      </w:pPr>
      <w:r w:rsidRPr="00635CCC">
        <w:rPr>
          <w:rFonts w:ascii="David" w:hAnsi="David"/>
          <w:sz w:val="26"/>
          <w:szCs w:val="26"/>
          <w:rtl/>
        </w:rPr>
        <w:tab/>
      </w:r>
    </w:p>
    <w:p w14:paraId="1D4A26D7" w14:textId="77777777" w:rsidR="007844C4" w:rsidRPr="00635CCC" w:rsidRDefault="007844C4" w:rsidP="007844C4">
      <w:pPr>
        <w:spacing w:line="360" w:lineRule="auto"/>
        <w:ind w:left="1440" w:hanging="720"/>
        <w:jc w:val="both"/>
        <w:rPr>
          <w:rFonts w:ascii="David" w:hAnsi="David"/>
          <w:sz w:val="26"/>
          <w:szCs w:val="26"/>
          <w:rtl/>
        </w:rPr>
      </w:pPr>
    </w:p>
    <w:p w14:paraId="40C0D169" w14:textId="77777777" w:rsidR="007844C4" w:rsidRPr="00635CCC" w:rsidRDefault="007844C4" w:rsidP="007844C4">
      <w:pPr>
        <w:spacing w:line="360" w:lineRule="auto"/>
        <w:ind w:left="1440" w:hanging="720"/>
        <w:jc w:val="both"/>
        <w:rPr>
          <w:rFonts w:ascii="David" w:hAnsi="David"/>
          <w:b/>
          <w:bCs/>
          <w:sz w:val="26"/>
          <w:szCs w:val="26"/>
          <w:rtl/>
        </w:rPr>
      </w:pPr>
      <w:r w:rsidRPr="00635CCC">
        <w:rPr>
          <w:rFonts w:ascii="David" w:hAnsi="David"/>
          <w:b/>
          <w:bCs/>
          <w:sz w:val="26"/>
          <w:szCs w:val="26"/>
          <w:rtl/>
        </w:rPr>
        <w:t>הודע לנאשם על זכותו לערער לבית המשפט העליון בתוך 45 יום מהיום.</w:t>
      </w:r>
    </w:p>
    <w:p w14:paraId="402E71AD" w14:textId="77777777" w:rsidR="007844C4" w:rsidRPr="00635CCC" w:rsidRDefault="007844C4" w:rsidP="007844C4">
      <w:pPr>
        <w:rPr>
          <w:rFonts w:ascii="David" w:hAnsi="David"/>
          <w:sz w:val="26"/>
          <w:szCs w:val="26"/>
          <w:rtl/>
        </w:rPr>
      </w:pPr>
    </w:p>
    <w:p w14:paraId="50CBCD18" w14:textId="77777777" w:rsidR="007844C4" w:rsidRPr="00635CCC" w:rsidRDefault="007844C4" w:rsidP="007844C4">
      <w:pPr>
        <w:rPr>
          <w:rFonts w:ascii="David" w:hAnsi="David"/>
          <w:sz w:val="26"/>
          <w:szCs w:val="26"/>
          <w:rtl/>
        </w:rPr>
      </w:pPr>
    </w:p>
    <w:p w14:paraId="3587E3FE" w14:textId="77777777" w:rsidR="007844C4" w:rsidRPr="00635CCC" w:rsidRDefault="007844C4" w:rsidP="007844C4">
      <w:pPr>
        <w:rPr>
          <w:rFonts w:ascii="David" w:hAnsi="David"/>
          <w:sz w:val="26"/>
          <w:szCs w:val="26"/>
          <w:rtl/>
        </w:rPr>
      </w:pPr>
    </w:p>
    <w:p w14:paraId="39424BAF" w14:textId="77777777" w:rsidR="007844C4" w:rsidRPr="00635CCC" w:rsidRDefault="007844C4" w:rsidP="007844C4">
      <w:pPr>
        <w:rPr>
          <w:rFonts w:ascii="David" w:hAnsi="David"/>
          <w:sz w:val="26"/>
          <w:szCs w:val="26"/>
          <w:rtl/>
        </w:rPr>
      </w:pPr>
    </w:p>
    <w:p w14:paraId="3F5E4C32" w14:textId="77777777" w:rsidR="007844C4" w:rsidRPr="00635CCC" w:rsidRDefault="007844C4" w:rsidP="007844C4">
      <w:pPr>
        <w:rPr>
          <w:rFonts w:ascii="David" w:hAnsi="David"/>
          <w:sz w:val="26"/>
          <w:szCs w:val="26"/>
          <w:rtl/>
        </w:rPr>
      </w:pPr>
    </w:p>
    <w:p w14:paraId="1F9DE8EA" w14:textId="77777777" w:rsidR="007844C4" w:rsidRPr="00280316" w:rsidRDefault="00280316" w:rsidP="007844C4">
      <w:pPr>
        <w:rPr>
          <w:rFonts w:ascii="David" w:hAnsi="David"/>
          <w:color w:val="FFFFFF"/>
          <w:sz w:val="2"/>
          <w:szCs w:val="2"/>
          <w:rtl/>
        </w:rPr>
      </w:pPr>
      <w:r w:rsidRPr="00280316">
        <w:rPr>
          <w:rFonts w:ascii="David" w:hAnsi="David"/>
          <w:color w:val="FFFFFF"/>
          <w:sz w:val="2"/>
          <w:szCs w:val="2"/>
          <w:rtl/>
        </w:rPr>
        <w:t>5129371</w:t>
      </w:r>
    </w:p>
    <w:p w14:paraId="07FD2F2E" w14:textId="77777777" w:rsidR="007844C4" w:rsidRPr="00635CCC" w:rsidRDefault="00280316" w:rsidP="007844C4">
      <w:pPr>
        <w:rPr>
          <w:rFonts w:ascii="David" w:hAnsi="David"/>
          <w:sz w:val="26"/>
          <w:szCs w:val="26"/>
          <w:rtl/>
        </w:rPr>
      </w:pPr>
      <w:bookmarkStart w:id="7" w:name="Nitan"/>
      <w:r w:rsidRPr="00280316">
        <w:rPr>
          <w:rFonts w:ascii="David" w:hAnsi="David"/>
          <w:color w:val="FFFFFF"/>
          <w:sz w:val="2"/>
          <w:szCs w:val="2"/>
          <w:rtl/>
        </w:rPr>
        <w:t>54678313</w:t>
      </w:r>
      <w:r>
        <w:rPr>
          <w:rFonts w:ascii="David" w:hAnsi="David"/>
          <w:sz w:val="26"/>
          <w:szCs w:val="26"/>
          <w:rtl/>
        </w:rPr>
        <w:t xml:space="preserve">ניתן היום,  כ"ט שבט תשפ"א, 11 פברואר 2021, בנוכחות הצדדים. </w:t>
      </w:r>
      <w:bookmarkEnd w:id="7"/>
    </w:p>
    <w:p w14:paraId="1707A6D8" w14:textId="77777777" w:rsidR="007844C4" w:rsidRPr="00635CCC" w:rsidRDefault="007844C4" w:rsidP="00280316">
      <w:pPr>
        <w:jc w:val="center"/>
      </w:pPr>
      <w:r w:rsidRPr="00635CCC">
        <w:rPr>
          <w:rFonts w:ascii="David" w:hAnsi="David"/>
          <w:sz w:val="26"/>
          <w:szCs w:val="26"/>
          <w:rtl/>
        </w:rPr>
        <w:t xml:space="preserve">   </w:t>
      </w:r>
      <w:r w:rsidRPr="00635CCC">
        <w:rPr>
          <w:rFonts w:ascii="David" w:hAnsi="David"/>
          <w:sz w:val="26"/>
          <w:szCs w:val="26"/>
          <w:rtl/>
        </w:rPr>
        <w:tab/>
      </w:r>
      <w:r w:rsidRPr="00635CCC">
        <w:rPr>
          <w:rFonts w:ascii="David" w:hAnsi="David"/>
          <w:sz w:val="26"/>
          <w:szCs w:val="26"/>
          <w:rtl/>
        </w:rPr>
        <w:tab/>
      </w:r>
      <w:r w:rsidRPr="00635CCC">
        <w:rPr>
          <w:rFonts w:ascii="David" w:hAnsi="David"/>
          <w:sz w:val="26"/>
          <w:szCs w:val="26"/>
          <w:rtl/>
        </w:rPr>
        <w:tab/>
      </w:r>
      <w:r w:rsidRPr="00635CCC">
        <w:rPr>
          <w:rFonts w:ascii="David" w:hAnsi="David"/>
          <w:sz w:val="26"/>
          <w:szCs w:val="26"/>
          <w:rtl/>
        </w:rPr>
        <w:tab/>
      </w:r>
      <w:r w:rsidRPr="00635CCC">
        <w:rPr>
          <w:rFonts w:ascii="David" w:hAnsi="David"/>
          <w:sz w:val="26"/>
          <w:szCs w:val="26"/>
          <w:rtl/>
        </w:rPr>
        <w:tab/>
      </w:r>
    </w:p>
    <w:p w14:paraId="1B98699D" w14:textId="77777777" w:rsidR="007844C4" w:rsidRPr="00635CCC" w:rsidRDefault="007844C4" w:rsidP="007844C4">
      <w:pPr>
        <w:jc w:val="center"/>
        <w:rPr>
          <w:rFonts w:ascii="David" w:hAnsi="David"/>
          <w:sz w:val="26"/>
          <w:szCs w:val="26"/>
          <w:rtl/>
        </w:rPr>
      </w:pPr>
    </w:p>
    <w:p w14:paraId="411867E7" w14:textId="77777777" w:rsidR="00280316" w:rsidRDefault="00280316" w:rsidP="00280316">
      <w:pPr>
        <w:rPr>
          <w:rtl/>
        </w:rPr>
      </w:pPr>
    </w:p>
    <w:p w14:paraId="6056E7C7" w14:textId="77777777" w:rsidR="00280316" w:rsidRDefault="00280316" w:rsidP="00280316">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p>
    <w:p w14:paraId="0106957D" w14:textId="77777777" w:rsidR="00E91986" w:rsidRPr="00E91986" w:rsidRDefault="00E91986" w:rsidP="00E91986">
      <w:pPr>
        <w:keepNext/>
        <w:rPr>
          <w:rFonts w:ascii="David" w:hAnsi="David"/>
          <w:color w:val="000000"/>
          <w:sz w:val="22"/>
          <w:szCs w:val="22"/>
          <w:rtl/>
        </w:rPr>
      </w:pPr>
    </w:p>
    <w:p w14:paraId="74A187DE" w14:textId="77777777" w:rsidR="00E91986" w:rsidRPr="00E91986" w:rsidRDefault="00E91986" w:rsidP="00E91986">
      <w:pPr>
        <w:keepNext/>
        <w:rPr>
          <w:rFonts w:ascii="David" w:hAnsi="David"/>
          <w:color w:val="000000"/>
          <w:sz w:val="22"/>
          <w:szCs w:val="22"/>
          <w:rtl/>
        </w:rPr>
      </w:pPr>
      <w:r w:rsidRPr="00E91986">
        <w:rPr>
          <w:rFonts w:ascii="David" w:hAnsi="David"/>
          <w:color w:val="000000"/>
          <w:sz w:val="22"/>
          <w:szCs w:val="22"/>
          <w:rtl/>
        </w:rPr>
        <w:t>אברהם רובין 54678313-/</w:t>
      </w:r>
    </w:p>
    <w:p w14:paraId="73E636F9" w14:textId="77777777" w:rsidR="00280316" w:rsidRPr="00280316" w:rsidRDefault="00E91986" w:rsidP="00E91986">
      <w:pPr>
        <w:rPr>
          <w:rFonts w:hint="cs"/>
          <w:color w:val="0000FF"/>
          <w:u w:val="single"/>
        </w:rPr>
      </w:pPr>
      <w:r w:rsidRPr="00E91986">
        <w:rPr>
          <w:color w:val="000000"/>
          <w:u w:val="single"/>
          <w:rtl/>
        </w:rPr>
        <w:t>נוסח מסמך זה כפוף לשינויי ניסוח ועריכה</w:t>
      </w:r>
      <w:r w:rsidR="00B30A92">
        <w:rPr>
          <w:rFonts w:hint="cs"/>
          <w:color w:val="0000FF"/>
          <w:u w:val="single"/>
          <w:rtl/>
        </w:rPr>
        <w:t xml:space="preserve"> </w:t>
      </w:r>
    </w:p>
    <w:sectPr w:rsidR="00280316" w:rsidRPr="00280316" w:rsidSect="00E91986">
      <w:headerReference w:type="even" r:id="rId17"/>
      <w:headerReference w:type="default" r:id="rId18"/>
      <w:footerReference w:type="even" r:id="rId19"/>
      <w:footerReference w:type="default" r:id="rId2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161B20" w14:textId="77777777" w:rsidR="002143B2" w:rsidRDefault="002143B2" w:rsidP="005266DA">
      <w:r>
        <w:separator/>
      </w:r>
    </w:p>
  </w:endnote>
  <w:endnote w:type="continuationSeparator" w:id="0">
    <w:p w14:paraId="23255AE2" w14:textId="77777777" w:rsidR="002143B2" w:rsidRDefault="002143B2" w:rsidP="00526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629E6" w14:textId="77777777" w:rsidR="00E91986" w:rsidRDefault="00E91986" w:rsidP="00E9198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2F23BA3" w14:textId="77777777" w:rsidR="00DE32D9" w:rsidRPr="00E91986" w:rsidRDefault="00E91986" w:rsidP="00E91986">
    <w:pPr>
      <w:pStyle w:val="a5"/>
      <w:pBdr>
        <w:top w:val="single" w:sz="4" w:space="1" w:color="auto"/>
        <w:between w:val="single" w:sz="4" w:space="0" w:color="auto"/>
      </w:pBdr>
      <w:spacing w:after="60"/>
      <w:jc w:val="center"/>
      <w:rPr>
        <w:rFonts w:ascii="FrankRuehl" w:hAnsi="FrankRuehl" w:cs="FrankRuehl"/>
        <w:color w:val="000000"/>
      </w:rPr>
    </w:pPr>
    <w:r w:rsidRPr="00E9198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5C786" w14:textId="77777777" w:rsidR="00E91986" w:rsidRDefault="00E91986" w:rsidP="00E9198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14B72">
      <w:rPr>
        <w:rFonts w:ascii="FrankRuehl" w:hAnsi="FrankRuehl" w:cs="FrankRuehl"/>
        <w:noProof/>
        <w:rtl/>
      </w:rPr>
      <w:t>1</w:t>
    </w:r>
    <w:r>
      <w:rPr>
        <w:rFonts w:ascii="FrankRuehl" w:hAnsi="FrankRuehl" w:cs="FrankRuehl"/>
        <w:rtl/>
      </w:rPr>
      <w:fldChar w:fldCharType="end"/>
    </w:r>
  </w:p>
  <w:p w14:paraId="778421C4" w14:textId="77777777" w:rsidR="00DE32D9" w:rsidRPr="00E91986" w:rsidRDefault="00E91986" w:rsidP="00E91986">
    <w:pPr>
      <w:pStyle w:val="a5"/>
      <w:pBdr>
        <w:top w:val="single" w:sz="4" w:space="1" w:color="auto"/>
        <w:between w:val="single" w:sz="4" w:space="0" w:color="auto"/>
      </w:pBdr>
      <w:spacing w:after="60"/>
      <w:jc w:val="center"/>
      <w:rPr>
        <w:rFonts w:ascii="FrankRuehl" w:hAnsi="FrankRuehl" w:cs="FrankRuehl"/>
        <w:color w:val="000000"/>
      </w:rPr>
    </w:pPr>
    <w:r w:rsidRPr="00E91986">
      <w:rPr>
        <w:rFonts w:ascii="FrankRuehl" w:hAnsi="FrankRuehl" w:cs="FrankRuehl"/>
        <w:color w:val="000000"/>
      </w:rPr>
      <w:pict w14:anchorId="4642EF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F695E" w14:textId="77777777" w:rsidR="002143B2" w:rsidRDefault="002143B2" w:rsidP="005266DA">
      <w:r>
        <w:separator/>
      </w:r>
    </w:p>
  </w:footnote>
  <w:footnote w:type="continuationSeparator" w:id="0">
    <w:p w14:paraId="169FE07D" w14:textId="77777777" w:rsidR="002143B2" w:rsidRDefault="002143B2" w:rsidP="005266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03EB3" w14:textId="77777777" w:rsidR="00280316" w:rsidRPr="00E91986" w:rsidRDefault="00E91986" w:rsidP="00E9198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37958-02-19</w:t>
    </w:r>
    <w:r>
      <w:rPr>
        <w:rFonts w:ascii="David" w:hAnsi="David"/>
        <w:color w:val="000000"/>
        <w:sz w:val="22"/>
        <w:szCs w:val="22"/>
        <w:rtl/>
      </w:rPr>
      <w:tab/>
      <w:t xml:space="preserve"> מדינת ישראל נ' מרדכי זיידל וינברג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014C1" w14:textId="77777777" w:rsidR="00280316" w:rsidRPr="00E91986" w:rsidRDefault="00E91986" w:rsidP="00E9198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37958-02-19</w:t>
    </w:r>
    <w:r>
      <w:rPr>
        <w:rFonts w:ascii="David" w:hAnsi="David"/>
        <w:color w:val="000000"/>
        <w:sz w:val="22"/>
        <w:szCs w:val="22"/>
        <w:rtl/>
      </w:rPr>
      <w:tab/>
      <w:t xml:space="preserve"> מדינת ישראל נ' מרדכי זיידל וינברג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844C4"/>
    <w:rsid w:val="002143B2"/>
    <w:rsid w:val="00280316"/>
    <w:rsid w:val="003A33AF"/>
    <w:rsid w:val="00510415"/>
    <w:rsid w:val="005266DA"/>
    <w:rsid w:val="00571FC5"/>
    <w:rsid w:val="005C39CF"/>
    <w:rsid w:val="00751D24"/>
    <w:rsid w:val="007844C4"/>
    <w:rsid w:val="00B30A92"/>
    <w:rsid w:val="00D258B4"/>
    <w:rsid w:val="00DE32D9"/>
    <w:rsid w:val="00E14B72"/>
    <w:rsid w:val="00E91986"/>
    <w:rsid w:val="00ED48DD"/>
    <w:rsid w:val="00F00934"/>
    <w:rsid w:val="00FD19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AA4E13"/>
  <w15:chartTrackingRefBased/>
  <w15:docId w15:val="{A27B45D8-185C-4133-906A-F9B31DD0A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844C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844C4"/>
    <w:pPr>
      <w:tabs>
        <w:tab w:val="center" w:pos="4153"/>
        <w:tab w:val="right" w:pos="8306"/>
      </w:tabs>
    </w:pPr>
  </w:style>
  <w:style w:type="character" w:customStyle="1" w:styleId="a4">
    <w:name w:val="כותרת עליונה תו"/>
    <w:link w:val="a3"/>
    <w:rsid w:val="007844C4"/>
    <w:rPr>
      <w:rFonts w:ascii="Times New Roman" w:eastAsia="Times New Roman" w:hAnsi="Times New Roman" w:cs="David"/>
      <w:sz w:val="24"/>
      <w:szCs w:val="24"/>
    </w:rPr>
  </w:style>
  <w:style w:type="paragraph" w:styleId="a5">
    <w:name w:val="footer"/>
    <w:basedOn w:val="a"/>
    <w:link w:val="a6"/>
    <w:rsid w:val="007844C4"/>
    <w:pPr>
      <w:tabs>
        <w:tab w:val="center" w:pos="4153"/>
        <w:tab w:val="right" w:pos="8306"/>
      </w:tabs>
    </w:pPr>
  </w:style>
  <w:style w:type="character" w:customStyle="1" w:styleId="a6">
    <w:name w:val="כותרת תחתונה תו"/>
    <w:link w:val="a5"/>
    <w:rsid w:val="007844C4"/>
    <w:rPr>
      <w:rFonts w:ascii="Times New Roman" w:eastAsia="Times New Roman" w:hAnsi="Times New Roman" w:cs="David"/>
      <w:sz w:val="24"/>
      <w:szCs w:val="24"/>
    </w:rPr>
  </w:style>
  <w:style w:type="table" w:styleId="a7">
    <w:name w:val="Table Grid"/>
    <w:basedOn w:val="a1"/>
    <w:rsid w:val="007844C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844C4"/>
  </w:style>
  <w:style w:type="character" w:styleId="Hyperlink">
    <w:name w:val="Hyperlink"/>
    <w:rsid w:val="002803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9a" TargetMode="External"/><Relationship Id="rId13" Type="http://schemas.openxmlformats.org/officeDocument/2006/relationships/hyperlink" Target="http://www.nevo.co.il/case/24370818"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4216/13" TargetMode="External"/><Relationship Id="rId12" Type="http://schemas.openxmlformats.org/officeDocument/2006/relationships/hyperlink" Target="http://www.nevo.co.il/case/5598765"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yperlink" Target="http://www.nevo.co.il/law/4216" TargetMode="External"/><Relationship Id="rId10" Type="http://schemas.openxmlformats.org/officeDocument/2006/relationships/hyperlink" Target="http://www.nevo.co.il/law/4216/19a"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case/22938500"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1616</Words>
  <Characters>8083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9680</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8257637</vt:i4>
      </vt:variant>
      <vt:variant>
        <vt:i4>27</vt:i4>
      </vt:variant>
      <vt:variant>
        <vt:i4>0</vt:i4>
      </vt:variant>
      <vt:variant>
        <vt:i4>5</vt:i4>
      </vt:variant>
      <vt:variant>
        <vt:lpwstr>http://www.nevo.co.il/law/4216</vt:lpwstr>
      </vt:variant>
      <vt:variant>
        <vt:lpwstr/>
      </vt:variant>
      <vt:variant>
        <vt:i4>3342448</vt:i4>
      </vt:variant>
      <vt:variant>
        <vt:i4>24</vt:i4>
      </vt:variant>
      <vt:variant>
        <vt:i4>0</vt:i4>
      </vt:variant>
      <vt:variant>
        <vt:i4>5</vt:i4>
      </vt:variant>
      <vt:variant>
        <vt:lpwstr>http://www.nevo.co.il/case/22938500</vt:lpwstr>
      </vt:variant>
      <vt:variant>
        <vt:lpwstr/>
      </vt:variant>
      <vt:variant>
        <vt:i4>3145855</vt:i4>
      </vt:variant>
      <vt:variant>
        <vt:i4>21</vt:i4>
      </vt:variant>
      <vt:variant>
        <vt:i4>0</vt:i4>
      </vt:variant>
      <vt:variant>
        <vt:i4>5</vt:i4>
      </vt:variant>
      <vt:variant>
        <vt:lpwstr>http://www.nevo.co.il/case/24370818</vt:lpwstr>
      </vt:variant>
      <vt:variant>
        <vt:lpwstr/>
      </vt:variant>
      <vt:variant>
        <vt:i4>4063359</vt:i4>
      </vt:variant>
      <vt:variant>
        <vt:i4>18</vt:i4>
      </vt:variant>
      <vt:variant>
        <vt:i4>0</vt:i4>
      </vt:variant>
      <vt:variant>
        <vt:i4>5</vt:i4>
      </vt:variant>
      <vt:variant>
        <vt:lpwstr>http://www.nevo.co.il/case/5598765</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2025-04-22T20:59:00Z</dcterms:created>
  <dcterms:modified xsi:type="dcterms:W3CDTF">2025-04-22T20:59:00Z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37958</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מרדכי זיידל וינברג</vt:lpwstr>
  </property>
  <property fmtid="{D5CDD505-2E9C-101B-9397-08002B2CF9AE}" pid="10" name="JUDGE">
    <vt:lpwstr>אברהם רובין</vt:lpwstr>
  </property>
  <property fmtid="{D5CDD505-2E9C-101B-9397-08002B2CF9AE}" pid="11" name="CITY">
    <vt:lpwstr>י-ם</vt:lpwstr>
  </property>
  <property fmtid="{D5CDD505-2E9C-101B-9397-08002B2CF9AE}" pid="12" name="DATE">
    <vt:lpwstr>20210211</vt:lpwstr>
  </property>
  <property fmtid="{D5CDD505-2E9C-101B-9397-08002B2CF9AE}" pid="13" name="TYPE_N_DATE">
    <vt:lpwstr>39020210211</vt:lpwstr>
  </property>
  <property fmtid="{D5CDD505-2E9C-101B-9397-08002B2CF9AE}" pid="14" name="WORDNUMPAGES">
    <vt:lpwstr>6</vt:lpwstr>
  </property>
  <property fmtid="{D5CDD505-2E9C-101B-9397-08002B2CF9AE}" pid="15" name="TYPE_ABS_DATE">
    <vt:lpwstr>390020210211</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5598765;24370818;22938500</vt:lpwstr>
  </property>
  <property fmtid="{D5CDD505-2E9C-101B-9397-08002B2CF9AE}" pid="36" name="LAWLISTTMP1">
    <vt:lpwstr>4216/013;019a</vt:lpwstr>
  </property>
</Properties>
</file>