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A5CDF" w:rsidRPr="00011D22" w14:paraId="0DD3DA2E" w14:textId="77777777" w:rsidTr="00AA3ED9">
        <w:trPr>
          <w:trHeight w:hRule="exact" w:val="418"/>
          <w:jc w:val="center"/>
        </w:trPr>
        <w:tc>
          <w:tcPr>
            <w:tcW w:w="8721" w:type="dxa"/>
            <w:gridSpan w:val="2"/>
          </w:tcPr>
          <w:p w14:paraId="430ABBCF" w14:textId="77777777" w:rsidR="002A5CDF" w:rsidRPr="00011D22" w:rsidRDefault="002A5CDF" w:rsidP="00B51FD9">
            <w:pPr>
              <w:pStyle w:val="a4"/>
              <w:jc w:val="center"/>
              <w:rPr>
                <w:rFonts w:ascii="Tahoma" w:hAnsi="Tahoma" w:cs="Tahoma"/>
                <w:color w:val="000080"/>
                <w:rtl/>
              </w:rPr>
            </w:pPr>
            <w:bookmarkStart w:id="0" w:name="LastJudge"/>
            <w:r w:rsidRPr="00011D22">
              <w:rPr>
                <w:rFonts w:ascii="Tahoma" w:hAnsi="Tahoma" w:cs="Tahoma"/>
                <w:b/>
                <w:bCs/>
                <w:color w:val="000080"/>
                <w:rtl/>
              </w:rPr>
              <w:t>בית המשפט המחוזי מרכז-לוד</w:t>
            </w:r>
          </w:p>
        </w:tc>
      </w:tr>
      <w:tr w:rsidR="002A5CDF" w:rsidRPr="00011D22" w14:paraId="0A2DD4A5" w14:textId="77777777" w:rsidTr="00AA3ED9">
        <w:trPr>
          <w:trHeight w:val="337"/>
          <w:jc w:val="center"/>
        </w:trPr>
        <w:tc>
          <w:tcPr>
            <w:tcW w:w="5058" w:type="dxa"/>
          </w:tcPr>
          <w:p w14:paraId="1365D25B" w14:textId="77777777" w:rsidR="002A5CDF" w:rsidRPr="00011D22" w:rsidRDefault="002A5CDF" w:rsidP="00B51FD9">
            <w:pPr>
              <w:rPr>
                <w:rFonts w:cs="FrankRuehl"/>
                <w:sz w:val="28"/>
                <w:szCs w:val="28"/>
                <w:rtl/>
              </w:rPr>
            </w:pPr>
            <w:r w:rsidRPr="00011D22">
              <w:rPr>
                <w:rFonts w:cs="FrankRuehl"/>
                <w:sz w:val="28"/>
                <w:szCs w:val="28"/>
                <w:rtl/>
              </w:rPr>
              <w:t>ת"פ</w:t>
            </w:r>
            <w:r w:rsidRPr="00011D22">
              <w:rPr>
                <w:rFonts w:cs="FrankRuehl" w:hint="cs"/>
                <w:sz w:val="28"/>
                <w:szCs w:val="28"/>
                <w:rtl/>
              </w:rPr>
              <w:t xml:space="preserve"> </w:t>
            </w:r>
            <w:r w:rsidRPr="00011D22">
              <w:rPr>
                <w:rFonts w:cs="FrankRuehl"/>
                <w:sz w:val="28"/>
                <w:szCs w:val="28"/>
                <w:rtl/>
              </w:rPr>
              <w:t>45480-02-19</w:t>
            </w:r>
            <w:r w:rsidRPr="00011D22">
              <w:rPr>
                <w:rFonts w:cs="FrankRuehl" w:hint="cs"/>
                <w:sz w:val="28"/>
                <w:szCs w:val="28"/>
                <w:rtl/>
              </w:rPr>
              <w:t xml:space="preserve"> </w:t>
            </w:r>
            <w:r w:rsidRPr="00011D22">
              <w:rPr>
                <w:rFonts w:cs="FrankRuehl"/>
                <w:sz w:val="28"/>
                <w:szCs w:val="28"/>
                <w:rtl/>
              </w:rPr>
              <w:t>מדינת ישראל נ' סויסה(עציר)</w:t>
            </w:r>
          </w:p>
          <w:p w14:paraId="4443B703" w14:textId="77777777" w:rsidR="002A5CDF" w:rsidRPr="00011D22" w:rsidRDefault="002A5CDF" w:rsidP="00B51FD9">
            <w:pPr>
              <w:pStyle w:val="a4"/>
              <w:rPr>
                <w:rFonts w:cs="FrankRuehl"/>
                <w:sz w:val="28"/>
                <w:szCs w:val="28"/>
                <w:rtl/>
              </w:rPr>
            </w:pPr>
          </w:p>
        </w:tc>
        <w:tc>
          <w:tcPr>
            <w:tcW w:w="3663" w:type="dxa"/>
          </w:tcPr>
          <w:p w14:paraId="74D0D2A4" w14:textId="77777777" w:rsidR="002A5CDF" w:rsidRPr="00011D22" w:rsidRDefault="002A5CDF" w:rsidP="00B51FD9">
            <w:pPr>
              <w:pStyle w:val="a4"/>
              <w:jc w:val="right"/>
              <w:rPr>
                <w:rFonts w:cs="FrankRuehl"/>
                <w:sz w:val="28"/>
                <w:szCs w:val="28"/>
                <w:rtl/>
              </w:rPr>
            </w:pPr>
          </w:p>
        </w:tc>
      </w:tr>
    </w:tbl>
    <w:p w14:paraId="1B43632F" w14:textId="77777777" w:rsidR="002A5CDF" w:rsidRPr="00011D22" w:rsidRDefault="002A5CDF" w:rsidP="002A5CDF">
      <w:pPr>
        <w:pStyle w:val="a4"/>
        <w:rPr>
          <w:rtl/>
        </w:rPr>
      </w:pPr>
      <w:r w:rsidRPr="00011D22">
        <w:rPr>
          <w:rFonts w:hint="cs"/>
          <w:rtl/>
        </w:rPr>
        <w:t xml:space="preserve"> </w:t>
      </w:r>
    </w:p>
    <w:p w14:paraId="0340C01E" w14:textId="77777777" w:rsidR="002A5CDF" w:rsidRPr="00011D22" w:rsidRDefault="002A5CDF" w:rsidP="002A5CDF">
      <w:pPr>
        <w:rPr>
          <w:rtl/>
        </w:rPr>
      </w:pPr>
    </w:p>
    <w:p w14:paraId="661701A8" w14:textId="77777777" w:rsidR="002A5CDF" w:rsidRPr="00011D22" w:rsidRDefault="002A5CDF" w:rsidP="002A5C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A5CDF" w:rsidRPr="00011D22" w14:paraId="7DDA570A" w14:textId="77777777" w:rsidTr="002A5CDF">
        <w:trPr>
          <w:trHeight w:val="295"/>
          <w:jc w:val="center"/>
        </w:trPr>
        <w:tc>
          <w:tcPr>
            <w:tcW w:w="923" w:type="dxa"/>
            <w:tcBorders>
              <w:top w:val="nil"/>
              <w:left w:val="nil"/>
              <w:bottom w:val="nil"/>
              <w:right w:val="nil"/>
            </w:tcBorders>
            <w:shd w:val="clear" w:color="auto" w:fill="auto"/>
          </w:tcPr>
          <w:p w14:paraId="1BA7842B" w14:textId="77777777" w:rsidR="002A5CDF" w:rsidRPr="00011D22" w:rsidRDefault="002A5CDF" w:rsidP="002A5CDF">
            <w:pPr>
              <w:jc w:val="both"/>
              <w:rPr>
                <w:rFonts w:ascii="Arial" w:hAnsi="Arial" w:cs="FrankRuehl"/>
                <w:sz w:val="28"/>
                <w:szCs w:val="28"/>
              </w:rPr>
            </w:pPr>
            <w:r w:rsidRPr="00011D22">
              <w:rPr>
                <w:rFonts w:ascii="Arial" w:hAnsi="Arial" w:cs="FrankRuehl" w:hint="cs"/>
                <w:sz w:val="28"/>
                <w:szCs w:val="28"/>
                <w:rtl/>
              </w:rPr>
              <w:t>ב</w:t>
            </w:r>
            <w:r w:rsidRPr="00011D2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48632F3" w14:textId="77777777" w:rsidR="002A5CDF" w:rsidRPr="00011D22" w:rsidRDefault="002A5CDF" w:rsidP="00B51FD9">
            <w:pPr>
              <w:rPr>
                <w:rFonts w:ascii="Arial" w:hAnsi="Arial"/>
                <w:b/>
                <w:bCs/>
                <w:rtl/>
              </w:rPr>
            </w:pPr>
            <w:r w:rsidRPr="00011D22">
              <w:rPr>
                <w:rFonts w:ascii="Arial" w:hAnsi="Arial" w:hint="cs"/>
                <w:b/>
                <w:bCs/>
                <w:rtl/>
              </w:rPr>
              <w:t>כבוד ה</w:t>
            </w:r>
            <w:r w:rsidRPr="00011D22">
              <w:rPr>
                <w:rFonts w:ascii="Arial" w:hAnsi="Arial"/>
                <w:b/>
                <w:bCs/>
                <w:rtl/>
              </w:rPr>
              <w:t>שופט</w:t>
            </w:r>
            <w:r w:rsidRPr="00011D22">
              <w:rPr>
                <w:rFonts w:ascii="Arial" w:hAnsi="Arial" w:hint="cs"/>
                <w:b/>
                <w:bCs/>
                <w:rtl/>
              </w:rPr>
              <w:t xml:space="preserve">  </w:t>
            </w:r>
            <w:r w:rsidRPr="00011D22">
              <w:rPr>
                <w:rFonts w:ascii="Arial" w:hAnsi="Arial"/>
                <w:b/>
                <w:bCs/>
                <w:rtl/>
              </w:rPr>
              <w:t>עמי קובו</w:t>
            </w:r>
          </w:p>
          <w:p w14:paraId="2B5D5923" w14:textId="77777777" w:rsidR="002A5CDF" w:rsidRPr="00011D22" w:rsidRDefault="002A5CDF" w:rsidP="00B51FD9">
            <w:pPr>
              <w:rPr>
                <w:rtl/>
              </w:rPr>
            </w:pPr>
          </w:p>
          <w:p w14:paraId="37316AC8" w14:textId="77777777" w:rsidR="002A5CDF" w:rsidRPr="00011D22" w:rsidRDefault="002A5CDF" w:rsidP="002A5CDF">
            <w:pPr>
              <w:jc w:val="both"/>
              <w:rPr>
                <w:rFonts w:ascii="Arial" w:hAnsi="Arial" w:cs="FrankRuehl"/>
                <w:sz w:val="28"/>
                <w:szCs w:val="28"/>
              </w:rPr>
            </w:pPr>
          </w:p>
        </w:tc>
      </w:tr>
      <w:tr w:rsidR="002A5CDF" w:rsidRPr="00011D22" w14:paraId="504EFDEE" w14:textId="77777777" w:rsidTr="002A5CDF">
        <w:trPr>
          <w:trHeight w:val="355"/>
          <w:jc w:val="center"/>
        </w:trPr>
        <w:tc>
          <w:tcPr>
            <w:tcW w:w="923" w:type="dxa"/>
            <w:tcBorders>
              <w:top w:val="nil"/>
              <w:left w:val="nil"/>
              <w:bottom w:val="nil"/>
              <w:right w:val="nil"/>
            </w:tcBorders>
            <w:shd w:val="clear" w:color="auto" w:fill="auto"/>
          </w:tcPr>
          <w:p w14:paraId="3C4A1969" w14:textId="77777777" w:rsidR="002A5CDF" w:rsidRPr="00011D22" w:rsidRDefault="002A5CDF" w:rsidP="002A5CDF">
            <w:pPr>
              <w:jc w:val="both"/>
              <w:rPr>
                <w:rFonts w:ascii="Arial" w:hAnsi="Arial" w:cs="FrankRuehl"/>
                <w:sz w:val="28"/>
                <w:szCs w:val="28"/>
              </w:rPr>
            </w:pPr>
            <w:bookmarkStart w:id="1" w:name="FirstAppellant"/>
            <w:r w:rsidRPr="00011D2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1BDB7E0" w14:textId="77777777" w:rsidR="002A5CDF" w:rsidRPr="00011D22" w:rsidRDefault="002A5CDF" w:rsidP="00B51FD9">
            <w:r w:rsidRPr="00011D2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643C0F9" w14:textId="77777777" w:rsidR="002A5CDF" w:rsidRPr="00011D22" w:rsidRDefault="002A5CDF" w:rsidP="002A5CDF">
            <w:pPr>
              <w:jc w:val="both"/>
              <w:rPr>
                <w:rFonts w:ascii="Arial" w:hAnsi="Arial" w:cs="FrankRuehl"/>
                <w:sz w:val="28"/>
                <w:szCs w:val="28"/>
              </w:rPr>
            </w:pPr>
          </w:p>
        </w:tc>
      </w:tr>
      <w:bookmarkEnd w:id="1"/>
      <w:tr w:rsidR="002A5CDF" w:rsidRPr="00011D22" w14:paraId="3DA6CF23" w14:textId="77777777" w:rsidTr="002A5CDF">
        <w:trPr>
          <w:trHeight w:val="355"/>
          <w:jc w:val="center"/>
        </w:trPr>
        <w:tc>
          <w:tcPr>
            <w:tcW w:w="923" w:type="dxa"/>
            <w:tcBorders>
              <w:top w:val="nil"/>
              <w:left w:val="nil"/>
              <w:bottom w:val="nil"/>
              <w:right w:val="nil"/>
            </w:tcBorders>
            <w:shd w:val="clear" w:color="auto" w:fill="auto"/>
          </w:tcPr>
          <w:p w14:paraId="01706C68" w14:textId="77777777" w:rsidR="002A5CDF" w:rsidRPr="00011D22" w:rsidRDefault="002A5CDF" w:rsidP="002A5CD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0FB7632" w14:textId="77777777" w:rsidR="002A5CDF" w:rsidRPr="00011D22" w:rsidRDefault="002A5CDF" w:rsidP="002A5CDF">
            <w:pPr>
              <w:jc w:val="both"/>
              <w:rPr>
                <w:rtl/>
              </w:rPr>
            </w:pPr>
          </w:p>
        </w:tc>
        <w:tc>
          <w:tcPr>
            <w:tcW w:w="3771" w:type="dxa"/>
            <w:tcBorders>
              <w:top w:val="nil"/>
              <w:left w:val="nil"/>
              <w:bottom w:val="nil"/>
              <w:right w:val="nil"/>
            </w:tcBorders>
            <w:shd w:val="clear" w:color="auto" w:fill="auto"/>
          </w:tcPr>
          <w:p w14:paraId="59F240A5" w14:textId="77777777" w:rsidR="002A5CDF" w:rsidRPr="00011D22" w:rsidRDefault="002A5CDF" w:rsidP="002A5CDF">
            <w:pPr>
              <w:jc w:val="right"/>
              <w:rPr>
                <w:rFonts w:ascii="Arial" w:hAnsi="Arial" w:cs="FrankRuehl"/>
                <w:sz w:val="28"/>
                <w:szCs w:val="28"/>
                <w:rtl/>
              </w:rPr>
            </w:pPr>
            <w:r w:rsidRPr="00011D22">
              <w:rPr>
                <w:rFonts w:ascii="Arial" w:hAnsi="Arial" w:cs="FrankRuehl" w:hint="cs"/>
                <w:sz w:val="28"/>
                <w:szCs w:val="28"/>
                <w:rtl/>
              </w:rPr>
              <w:t>ה</w:t>
            </w:r>
            <w:r w:rsidRPr="00011D22">
              <w:rPr>
                <w:rFonts w:ascii="Arial" w:hAnsi="Arial" w:cs="FrankRuehl"/>
                <w:sz w:val="28"/>
                <w:szCs w:val="28"/>
                <w:rtl/>
              </w:rPr>
              <w:t>מאשימה</w:t>
            </w:r>
          </w:p>
        </w:tc>
      </w:tr>
      <w:tr w:rsidR="002A5CDF" w:rsidRPr="00011D22" w14:paraId="2580B0F7" w14:textId="77777777" w:rsidTr="002A5CDF">
        <w:trPr>
          <w:trHeight w:val="355"/>
          <w:jc w:val="center"/>
        </w:trPr>
        <w:tc>
          <w:tcPr>
            <w:tcW w:w="923" w:type="dxa"/>
            <w:tcBorders>
              <w:top w:val="nil"/>
              <w:left w:val="nil"/>
              <w:bottom w:val="nil"/>
              <w:right w:val="nil"/>
            </w:tcBorders>
            <w:shd w:val="clear" w:color="auto" w:fill="auto"/>
          </w:tcPr>
          <w:p w14:paraId="43653959" w14:textId="77777777" w:rsidR="002A5CDF" w:rsidRPr="00011D22" w:rsidRDefault="002A5CDF" w:rsidP="002A5CD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D55D7B0" w14:textId="77777777" w:rsidR="002A5CDF" w:rsidRPr="00011D22" w:rsidRDefault="002A5CDF" w:rsidP="002A5CDF">
            <w:pPr>
              <w:jc w:val="center"/>
              <w:rPr>
                <w:rFonts w:ascii="Arial" w:hAnsi="Arial" w:cs="FrankRuehl"/>
                <w:b/>
                <w:bCs/>
                <w:sz w:val="28"/>
                <w:szCs w:val="28"/>
                <w:rtl/>
              </w:rPr>
            </w:pPr>
          </w:p>
          <w:p w14:paraId="014031F0" w14:textId="77777777" w:rsidR="002A5CDF" w:rsidRPr="00011D22" w:rsidRDefault="002A5CDF" w:rsidP="002A5CDF">
            <w:pPr>
              <w:jc w:val="center"/>
              <w:rPr>
                <w:rFonts w:ascii="Arial" w:hAnsi="Arial" w:cs="FrankRuehl"/>
                <w:b/>
                <w:bCs/>
                <w:sz w:val="28"/>
                <w:szCs w:val="28"/>
                <w:rtl/>
              </w:rPr>
            </w:pPr>
            <w:r w:rsidRPr="00011D22">
              <w:rPr>
                <w:rFonts w:ascii="Arial" w:hAnsi="Arial" w:cs="FrankRuehl"/>
                <w:b/>
                <w:bCs/>
                <w:sz w:val="28"/>
                <w:szCs w:val="28"/>
                <w:rtl/>
              </w:rPr>
              <w:t>נגד</w:t>
            </w:r>
          </w:p>
          <w:p w14:paraId="16C8841B" w14:textId="77777777" w:rsidR="002A5CDF" w:rsidRPr="00011D22" w:rsidRDefault="002A5CDF" w:rsidP="002A5CDF">
            <w:pPr>
              <w:jc w:val="both"/>
              <w:rPr>
                <w:rFonts w:ascii="Arial" w:hAnsi="Arial" w:cs="FrankRuehl"/>
                <w:sz w:val="28"/>
                <w:szCs w:val="28"/>
              </w:rPr>
            </w:pPr>
          </w:p>
        </w:tc>
      </w:tr>
      <w:tr w:rsidR="002A5CDF" w:rsidRPr="00011D22" w14:paraId="58EF9F0B" w14:textId="77777777" w:rsidTr="002A5CDF">
        <w:trPr>
          <w:trHeight w:val="355"/>
          <w:jc w:val="center"/>
        </w:trPr>
        <w:tc>
          <w:tcPr>
            <w:tcW w:w="923" w:type="dxa"/>
            <w:tcBorders>
              <w:top w:val="nil"/>
              <w:left w:val="nil"/>
              <w:bottom w:val="nil"/>
              <w:right w:val="nil"/>
            </w:tcBorders>
            <w:shd w:val="clear" w:color="auto" w:fill="auto"/>
          </w:tcPr>
          <w:p w14:paraId="5511B8B3" w14:textId="77777777" w:rsidR="002A5CDF" w:rsidRPr="00011D22" w:rsidRDefault="002A5CDF" w:rsidP="00B51FD9">
            <w:pPr>
              <w:rPr>
                <w:rFonts w:ascii="Arial" w:hAnsi="Arial" w:cs="FrankRuehl"/>
                <w:sz w:val="28"/>
                <w:szCs w:val="28"/>
                <w:rtl/>
              </w:rPr>
            </w:pPr>
          </w:p>
        </w:tc>
        <w:tc>
          <w:tcPr>
            <w:tcW w:w="4126" w:type="dxa"/>
            <w:tcBorders>
              <w:top w:val="nil"/>
              <w:left w:val="nil"/>
              <w:bottom w:val="nil"/>
              <w:right w:val="nil"/>
            </w:tcBorders>
            <w:shd w:val="clear" w:color="auto" w:fill="auto"/>
          </w:tcPr>
          <w:p w14:paraId="23E79FBB" w14:textId="77777777" w:rsidR="002A5CDF" w:rsidRPr="00011D22" w:rsidRDefault="002A5CDF" w:rsidP="00B51FD9">
            <w:pPr>
              <w:rPr>
                <w:rtl/>
              </w:rPr>
            </w:pPr>
            <w:r w:rsidRPr="00011D22">
              <w:rPr>
                <w:rFonts w:ascii="Arial" w:hAnsi="Arial" w:cs="FrankRuehl"/>
                <w:sz w:val="28"/>
                <w:szCs w:val="28"/>
                <w:rtl/>
              </w:rPr>
              <w:t>יניב בן דוד סויסה</w:t>
            </w:r>
          </w:p>
        </w:tc>
        <w:tc>
          <w:tcPr>
            <w:tcW w:w="3771" w:type="dxa"/>
            <w:tcBorders>
              <w:top w:val="nil"/>
              <w:left w:val="nil"/>
              <w:bottom w:val="nil"/>
              <w:right w:val="nil"/>
            </w:tcBorders>
            <w:shd w:val="clear" w:color="auto" w:fill="auto"/>
          </w:tcPr>
          <w:p w14:paraId="07E78BEC" w14:textId="77777777" w:rsidR="002A5CDF" w:rsidRPr="00011D22" w:rsidRDefault="002A5CDF" w:rsidP="002A5CDF">
            <w:pPr>
              <w:jc w:val="right"/>
              <w:rPr>
                <w:rFonts w:ascii="Arial" w:hAnsi="Arial" w:cs="FrankRuehl"/>
                <w:sz w:val="28"/>
                <w:szCs w:val="28"/>
              </w:rPr>
            </w:pPr>
          </w:p>
        </w:tc>
      </w:tr>
      <w:tr w:rsidR="002A5CDF" w:rsidRPr="00011D22" w14:paraId="711837CA" w14:textId="77777777" w:rsidTr="002A5CDF">
        <w:trPr>
          <w:trHeight w:val="355"/>
          <w:jc w:val="center"/>
        </w:trPr>
        <w:tc>
          <w:tcPr>
            <w:tcW w:w="923" w:type="dxa"/>
            <w:tcBorders>
              <w:top w:val="nil"/>
              <w:left w:val="nil"/>
              <w:bottom w:val="nil"/>
              <w:right w:val="nil"/>
            </w:tcBorders>
            <w:shd w:val="clear" w:color="auto" w:fill="auto"/>
          </w:tcPr>
          <w:p w14:paraId="7BB55FAE" w14:textId="77777777" w:rsidR="002A5CDF" w:rsidRPr="00011D22" w:rsidRDefault="002A5CDF" w:rsidP="002A5CD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8248B9F" w14:textId="77777777" w:rsidR="002A5CDF" w:rsidRPr="00011D22" w:rsidRDefault="002A5CDF" w:rsidP="002A5CDF">
            <w:pPr>
              <w:jc w:val="both"/>
              <w:rPr>
                <w:rtl/>
              </w:rPr>
            </w:pPr>
          </w:p>
        </w:tc>
        <w:tc>
          <w:tcPr>
            <w:tcW w:w="3771" w:type="dxa"/>
            <w:tcBorders>
              <w:top w:val="nil"/>
              <w:left w:val="nil"/>
              <w:bottom w:val="nil"/>
              <w:right w:val="nil"/>
            </w:tcBorders>
            <w:shd w:val="clear" w:color="auto" w:fill="auto"/>
          </w:tcPr>
          <w:p w14:paraId="2D0D44E1" w14:textId="77777777" w:rsidR="002A5CDF" w:rsidRPr="00011D22" w:rsidRDefault="002A5CDF" w:rsidP="002A5CDF">
            <w:pPr>
              <w:jc w:val="right"/>
              <w:rPr>
                <w:rFonts w:ascii="Arial" w:hAnsi="Arial" w:cs="FrankRuehl"/>
                <w:sz w:val="28"/>
                <w:szCs w:val="28"/>
              </w:rPr>
            </w:pPr>
            <w:r w:rsidRPr="00011D22">
              <w:rPr>
                <w:rFonts w:ascii="Arial" w:hAnsi="Arial" w:cs="FrankRuehl" w:hint="cs"/>
                <w:sz w:val="28"/>
                <w:szCs w:val="28"/>
                <w:rtl/>
              </w:rPr>
              <w:t>ה</w:t>
            </w:r>
            <w:r w:rsidRPr="00011D22">
              <w:rPr>
                <w:rFonts w:ascii="Arial" w:hAnsi="Arial" w:cs="FrankRuehl"/>
                <w:sz w:val="28"/>
                <w:szCs w:val="28"/>
                <w:rtl/>
              </w:rPr>
              <w:t>נאשם</w:t>
            </w:r>
          </w:p>
        </w:tc>
      </w:tr>
    </w:tbl>
    <w:p w14:paraId="4921283C" w14:textId="77777777" w:rsidR="002A5CDF" w:rsidRPr="00011D22" w:rsidRDefault="002A5CDF" w:rsidP="002A5CDF">
      <w:pPr>
        <w:rPr>
          <w:rtl/>
        </w:rPr>
      </w:pPr>
      <w:bookmarkStart w:id="2" w:name="FirstLawyer"/>
      <w:r w:rsidRPr="00011D22">
        <w:rPr>
          <w:rFonts w:hint="cs"/>
          <w:rtl/>
        </w:rPr>
        <w:t>ב"כ</w:t>
      </w:r>
      <w:bookmarkEnd w:id="2"/>
      <w:r w:rsidRPr="00011D22">
        <w:rPr>
          <w:rFonts w:hint="cs"/>
          <w:rtl/>
        </w:rPr>
        <w:t xml:space="preserve"> המאשימה: עו"ד איריס פיקר</w:t>
      </w:r>
    </w:p>
    <w:p w14:paraId="18115659" w14:textId="77777777" w:rsidR="00011D22" w:rsidRPr="00011D22" w:rsidRDefault="002A5CDF" w:rsidP="00011D22">
      <w:pPr>
        <w:spacing w:before="120" w:after="120" w:line="240" w:lineRule="exact"/>
        <w:ind w:left="283" w:hanging="283"/>
        <w:jc w:val="both"/>
        <w:rPr>
          <w:rFonts w:ascii="FrankRuehl" w:hAnsi="FrankRuehl" w:cs="FrankRuehl"/>
          <w:rtl/>
        </w:rPr>
      </w:pPr>
      <w:r w:rsidRPr="00011D22">
        <w:rPr>
          <w:rFonts w:hint="cs"/>
          <w:rtl/>
        </w:rPr>
        <w:t>ב"כ הנאשם: עו"ד יעקב מלול</w:t>
      </w:r>
    </w:p>
    <w:p w14:paraId="6C2A51EC" w14:textId="77777777" w:rsidR="00011D22" w:rsidRPr="00011D22" w:rsidRDefault="00011D22" w:rsidP="00011D22">
      <w:pPr>
        <w:rPr>
          <w:rtl/>
        </w:rPr>
      </w:pPr>
    </w:p>
    <w:p w14:paraId="2E95B06A" w14:textId="77777777" w:rsidR="00AA3ED9" w:rsidRPr="00AA3ED9" w:rsidRDefault="00AA3ED9" w:rsidP="00AA3ED9">
      <w:pPr>
        <w:spacing w:before="120" w:after="120" w:line="240" w:lineRule="exact"/>
        <w:ind w:left="283" w:hanging="283"/>
        <w:jc w:val="both"/>
        <w:rPr>
          <w:rFonts w:ascii="FrankRuehl" w:hAnsi="FrankRuehl" w:cs="FrankRuehl"/>
          <w:rtl/>
        </w:rPr>
      </w:pPr>
      <w:bookmarkStart w:id="3" w:name="LawTable"/>
      <w:bookmarkEnd w:id="3"/>
      <w:r w:rsidRPr="00AA3ED9">
        <w:rPr>
          <w:rFonts w:ascii="FrankRuehl" w:hAnsi="FrankRuehl" w:cs="FrankRuehl"/>
          <w:rtl/>
        </w:rPr>
        <w:t xml:space="preserve">חקיקה שאוזכרה: </w:t>
      </w:r>
    </w:p>
    <w:p w14:paraId="3F9D98B7" w14:textId="77777777" w:rsidR="00AA3ED9" w:rsidRPr="00AA3ED9" w:rsidRDefault="00AA3ED9" w:rsidP="00AA3ED9">
      <w:pPr>
        <w:spacing w:before="120" w:after="120" w:line="240" w:lineRule="exact"/>
        <w:ind w:left="283" w:hanging="283"/>
        <w:jc w:val="both"/>
        <w:rPr>
          <w:rFonts w:ascii="FrankRuehl" w:hAnsi="FrankRuehl" w:cs="FrankRuehl"/>
          <w:rtl/>
        </w:rPr>
      </w:pPr>
      <w:hyperlink r:id="rId7" w:history="1">
        <w:r w:rsidRPr="00AA3ED9">
          <w:rPr>
            <w:rFonts w:ascii="FrankRuehl" w:hAnsi="FrankRuehl" w:cs="FrankRuehl"/>
            <w:color w:val="0000FF"/>
            <w:u w:val="single"/>
            <w:rtl/>
          </w:rPr>
          <w:t>פקודת הסמים המסוכנים [נוסח חדש], תשל"ג-1973</w:t>
        </w:r>
      </w:hyperlink>
      <w:r w:rsidRPr="00AA3ED9">
        <w:rPr>
          <w:rFonts w:ascii="FrankRuehl" w:hAnsi="FrankRuehl" w:cs="FrankRuehl"/>
          <w:rtl/>
        </w:rPr>
        <w:t xml:space="preserve">: סע'  </w:t>
      </w:r>
      <w:hyperlink r:id="rId8" w:history="1">
        <w:r w:rsidRPr="00AA3ED9">
          <w:rPr>
            <w:rFonts w:ascii="FrankRuehl" w:hAnsi="FrankRuehl" w:cs="FrankRuehl"/>
            <w:color w:val="0000FF"/>
            <w:u w:val="single"/>
            <w:rtl/>
          </w:rPr>
          <w:t>6</w:t>
        </w:r>
      </w:hyperlink>
      <w:r w:rsidRPr="00AA3ED9">
        <w:rPr>
          <w:rFonts w:ascii="FrankRuehl" w:hAnsi="FrankRuehl" w:cs="FrankRuehl"/>
          <w:rtl/>
        </w:rPr>
        <w:t xml:space="preserve">, </w:t>
      </w:r>
      <w:hyperlink r:id="rId9" w:history="1">
        <w:r w:rsidRPr="00AA3ED9">
          <w:rPr>
            <w:rFonts w:ascii="FrankRuehl" w:hAnsi="FrankRuehl" w:cs="FrankRuehl"/>
            <w:color w:val="0000FF"/>
            <w:u w:val="single"/>
            <w:rtl/>
          </w:rPr>
          <w:t>7(א)</w:t>
        </w:r>
      </w:hyperlink>
      <w:r w:rsidRPr="00AA3ED9">
        <w:rPr>
          <w:rFonts w:ascii="FrankRuehl" w:hAnsi="FrankRuehl" w:cs="FrankRuehl"/>
          <w:rtl/>
        </w:rPr>
        <w:t xml:space="preserve">, </w:t>
      </w:r>
      <w:hyperlink r:id="rId10" w:history="1">
        <w:r w:rsidRPr="00AA3ED9">
          <w:rPr>
            <w:rFonts w:ascii="FrankRuehl" w:hAnsi="FrankRuehl" w:cs="FrankRuehl"/>
            <w:color w:val="0000FF"/>
            <w:u w:val="single"/>
            <w:rtl/>
          </w:rPr>
          <w:t>7(ג)</w:t>
        </w:r>
      </w:hyperlink>
    </w:p>
    <w:p w14:paraId="1BF885E4" w14:textId="77777777" w:rsidR="00AA3ED9" w:rsidRPr="00AA3ED9" w:rsidRDefault="00AA3ED9" w:rsidP="00AA3ED9">
      <w:pPr>
        <w:spacing w:before="120" w:after="120" w:line="240" w:lineRule="exact"/>
        <w:ind w:left="283" w:hanging="283"/>
        <w:jc w:val="both"/>
        <w:rPr>
          <w:rFonts w:ascii="FrankRuehl" w:hAnsi="FrankRuehl" w:cs="FrankRuehl"/>
          <w:rtl/>
        </w:rPr>
      </w:pPr>
      <w:hyperlink r:id="rId11" w:history="1">
        <w:r w:rsidRPr="00AA3ED9">
          <w:rPr>
            <w:rFonts w:ascii="FrankRuehl" w:hAnsi="FrankRuehl" w:cs="FrankRuehl"/>
            <w:color w:val="0000FF"/>
            <w:u w:val="single"/>
            <w:rtl/>
          </w:rPr>
          <w:t>חוק העונשין, תשל"ז-1977</w:t>
        </w:r>
      </w:hyperlink>
      <w:r w:rsidRPr="00AA3ED9">
        <w:rPr>
          <w:rFonts w:ascii="FrankRuehl" w:hAnsi="FrankRuehl" w:cs="FrankRuehl"/>
          <w:rtl/>
        </w:rPr>
        <w:t xml:space="preserve">: סע'  </w:t>
      </w:r>
      <w:hyperlink r:id="rId12" w:history="1">
        <w:r w:rsidRPr="00AA3ED9">
          <w:rPr>
            <w:rFonts w:ascii="FrankRuehl" w:hAnsi="FrankRuehl" w:cs="FrankRuehl"/>
            <w:color w:val="0000FF"/>
            <w:u w:val="single"/>
            <w:rtl/>
          </w:rPr>
          <w:t>40 ט</w:t>
        </w:r>
      </w:hyperlink>
      <w:r w:rsidRPr="00AA3ED9">
        <w:rPr>
          <w:rFonts w:ascii="FrankRuehl" w:hAnsi="FrankRuehl" w:cs="FrankRuehl"/>
          <w:rtl/>
        </w:rPr>
        <w:t xml:space="preserve">, </w:t>
      </w:r>
      <w:hyperlink r:id="rId13" w:history="1">
        <w:r w:rsidRPr="00AA3ED9">
          <w:rPr>
            <w:rFonts w:ascii="FrankRuehl" w:hAnsi="FrankRuehl" w:cs="FrankRuehl"/>
            <w:color w:val="0000FF"/>
            <w:u w:val="single"/>
            <w:rtl/>
          </w:rPr>
          <w:t>40 יא</w:t>
        </w:r>
      </w:hyperlink>
      <w:r w:rsidRPr="00AA3ED9">
        <w:rPr>
          <w:rFonts w:ascii="FrankRuehl" w:hAnsi="FrankRuehl" w:cs="FrankRuehl"/>
          <w:rtl/>
        </w:rPr>
        <w:t xml:space="preserve">, </w:t>
      </w:r>
      <w:hyperlink r:id="rId14" w:history="1">
        <w:r w:rsidRPr="00AA3ED9">
          <w:rPr>
            <w:rFonts w:ascii="FrankRuehl" w:hAnsi="FrankRuehl" w:cs="FrankRuehl"/>
            <w:color w:val="0000FF"/>
            <w:u w:val="single"/>
            <w:rtl/>
          </w:rPr>
          <w:t>40 יג</w:t>
        </w:r>
      </w:hyperlink>
    </w:p>
    <w:p w14:paraId="28353467" w14:textId="77777777" w:rsidR="002A5CDF" w:rsidRDefault="002A5CDF" w:rsidP="00AA3ED9">
      <w:pPr>
        <w:rPr>
          <w:rFonts w:hint="cs"/>
          <w:rtl/>
        </w:rPr>
      </w:pPr>
      <w:bookmarkStart w:id="4" w:name="LawTable_End"/>
      <w:bookmarkEnd w:id="4"/>
    </w:p>
    <w:p w14:paraId="1C280C37" w14:textId="77777777" w:rsidR="00AA3ED9" w:rsidRPr="00AA3ED9" w:rsidRDefault="00AA3ED9" w:rsidP="00AA3ED9">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5CDF" w14:paraId="7D418477" w14:textId="77777777" w:rsidTr="002A5CDF">
        <w:trPr>
          <w:trHeight w:val="355"/>
          <w:jc w:val="center"/>
        </w:trPr>
        <w:tc>
          <w:tcPr>
            <w:tcW w:w="8820" w:type="dxa"/>
            <w:tcBorders>
              <w:top w:val="nil"/>
              <w:left w:val="nil"/>
              <w:bottom w:val="nil"/>
              <w:right w:val="nil"/>
            </w:tcBorders>
            <w:shd w:val="clear" w:color="auto" w:fill="auto"/>
          </w:tcPr>
          <w:p w14:paraId="476967AE" w14:textId="77777777" w:rsidR="00011D22" w:rsidRPr="00011D22" w:rsidRDefault="00011D22" w:rsidP="00011D22">
            <w:pPr>
              <w:jc w:val="center"/>
              <w:rPr>
                <w:rFonts w:ascii="Arial" w:hAnsi="Arial" w:cs="FrankRuehl"/>
                <w:b/>
                <w:bCs/>
                <w:sz w:val="32"/>
                <w:szCs w:val="32"/>
                <w:u w:val="single"/>
                <w:rtl/>
              </w:rPr>
            </w:pPr>
            <w:bookmarkStart w:id="5" w:name="PsakDin" w:colFirst="0" w:colLast="0"/>
            <w:bookmarkEnd w:id="0"/>
            <w:r w:rsidRPr="00011D22">
              <w:rPr>
                <w:rFonts w:ascii="Arial" w:hAnsi="Arial" w:cs="FrankRuehl"/>
                <w:b/>
                <w:bCs/>
                <w:sz w:val="32"/>
                <w:szCs w:val="32"/>
                <w:u w:val="single"/>
                <w:rtl/>
              </w:rPr>
              <w:t>גזר דין</w:t>
            </w:r>
          </w:p>
          <w:p w14:paraId="31BB65EA" w14:textId="77777777" w:rsidR="002A5CDF" w:rsidRPr="00011D22" w:rsidRDefault="002A5CDF" w:rsidP="00011D22">
            <w:pPr>
              <w:jc w:val="center"/>
              <w:rPr>
                <w:rFonts w:ascii="Arial" w:hAnsi="Arial" w:cs="FrankRuehl"/>
                <w:bCs/>
                <w:sz w:val="32"/>
                <w:szCs w:val="32"/>
                <w:u w:val="single"/>
                <w:rtl/>
              </w:rPr>
            </w:pPr>
          </w:p>
        </w:tc>
      </w:tr>
      <w:bookmarkEnd w:id="5"/>
    </w:tbl>
    <w:p w14:paraId="5583CDDA" w14:textId="77777777" w:rsidR="002A5CDF" w:rsidRPr="00B05847" w:rsidRDefault="002A5CDF" w:rsidP="002A5CDF">
      <w:pPr>
        <w:rPr>
          <w:rFonts w:ascii="Arial" w:hAnsi="Arial"/>
          <w:rtl/>
        </w:rPr>
      </w:pPr>
    </w:p>
    <w:p w14:paraId="3C7D1184" w14:textId="77777777" w:rsidR="002A5CDF" w:rsidRPr="00B05847" w:rsidRDefault="002A5CDF" w:rsidP="002A5CDF">
      <w:pPr>
        <w:rPr>
          <w:rFonts w:ascii="Arial" w:hAnsi="Arial"/>
          <w:rtl/>
        </w:rPr>
      </w:pPr>
    </w:p>
    <w:p w14:paraId="2515CF52" w14:textId="77777777" w:rsidR="002A5CDF" w:rsidRPr="009C70CF" w:rsidRDefault="002A5CDF" w:rsidP="002A5CDF">
      <w:pPr>
        <w:spacing w:after="120" w:line="360" w:lineRule="auto"/>
        <w:jc w:val="both"/>
        <w:rPr>
          <w:bCs/>
          <w:u w:val="single"/>
          <w:rtl/>
          <w:lang w:eastAsia="he-IL"/>
        </w:rPr>
      </w:pPr>
      <w:r w:rsidRPr="009C70CF">
        <w:rPr>
          <w:bCs/>
          <w:u w:val="single"/>
          <w:rtl/>
          <w:lang w:eastAsia="he-IL"/>
        </w:rPr>
        <w:t>רקע</w:t>
      </w:r>
    </w:p>
    <w:p w14:paraId="50BF3283" w14:textId="77777777" w:rsidR="002A5CDF" w:rsidRPr="009C70CF" w:rsidRDefault="002A5CDF" w:rsidP="002A5CDF">
      <w:pPr>
        <w:numPr>
          <w:ilvl w:val="0"/>
          <w:numId w:val="1"/>
        </w:numPr>
        <w:spacing w:after="120" w:line="360" w:lineRule="auto"/>
        <w:jc w:val="both"/>
        <w:rPr>
          <w:rFonts w:ascii="David" w:hAnsi="David"/>
          <w:color w:val="000000"/>
        </w:rPr>
      </w:pPr>
      <w:bookmarkStart w:id="6" w:name="ABSTRACT_START"/>
      <w:bookmarkEnd w:id="6"/>
      <w:r w:rsidRPr="009C70CF">
        <w:rPr>
          <w:rFonts w:ascii="David" w:hAnsi="David"/>
          <w:color w:val="000000"/>
          <w:rtl/>
        </w:rPr>
        <w:t>הנאשם הורשע בהתאם להודאתו בעובדות כתב האישום המתוקן בעבירות כדלקמן:</w:t>
      </w:r>
    </w:p>
    <w:p w14:paraId="5201AE7F" w14:textId="77777777" w:rsidR="002A5CDF" w:rsidRPr="009C70CF" w:rsidRDefault="002A5CDF" w:rsidP="002A5CDF">
      <w:pPr>
        <w:numPr>
          <w:ilvl w:val="1"/>
          <w:numId w:val="1"/>
        </w:numPr>
        <w:tabs>
          <w:tab w:val="clear" w:pos="1620"/>
          <w:tab w:val="num" w:pos="1274"/>
        </w:tabs>
        <w:spacing w:after="120" w:line="360" w:lineRule="auto"/>
        <w:ind w:left="1274" w:hanging="567"/>
        <w:jc w:val="both"/>
        <w:rPr>
          <w:rFonts w:ascii="David" w:hAnsi="David"/>
          <w:color w:val="000000"/>
          <w:rtl/>
        </w:rPr>
      </w:pPr>
      <w:r w:rsidRPr="009C70CF">
        <w:rPr>
          <w:rFonts w:ascii="David" w:hAnsi="David"/>
          <w:b/>
          <w:bCs/>
          <w:color w:val="000000"/>
          <w:rtl/>
        </w:rPr>
        <w:t>ייצור, הכנה והפקת סם מסוכן</w:t>
      </w:r>
      <w:r w:rsidRPr="009C70CF">
        <w:rPr>
          <w:rFonts w:ascii="David" w:hAnsi="David"/>
          <w:color w:val="000000"/>
          <w:rtl/>
        </w:rPr>
        <w:t xml:space="preserve">, עבירה לפי </w:t>
      </w:r>
      <w:hyperlink r:id="rId15" w:history="1">
        <w:r w:rsidR="00AA3ED9" w:rsidRPr="00AA3ED9">
          <w:rPr>
            <w:rFonts w:ascii="David" w:hAnsi="David"/>
            <w:color w:val="0000FF"/>
            <w:u w:val="single"/>
            <w:rtl/>
          </w:rPr>
          <w:t>סעיף 6</w:t>
        </w:r>
      </w:hyperlink>
      <w:r w:rsidRPr="009C70CF">
        <w:rPr>
          <w:rFonts w:ascii="David" w:hAnsi="David"/>
          <w:color w:val="000000"/>
          <w:rtl/>
        </w:rPr>
        <w:t xml:space="preserve"> ל</w:t>
      </w:r>
      <w:hyperlink r:id="rId16" w:history="1">
        <w:r w:rsidR="00011D22" w:rsidRPr="00011D22">
          <w:rPr>
            <w:rFonts w:ascii="David" w:hAnsi="David"/>
            <w:color w:val="0000FF"/>
            <w:u w:val="single"/>
            <w:rtl/>
          </w:rPr>
          <w:t>פקודת הסמים המסוכנים</w:t>
        </w:r>
      </w:hyperlink>
      <w:r w:rsidRPr="009C70CF">
        <w:rPr>
          <w:rFonts w:ascii="David" w:hAnsi="David"/>
          <w:color w:val="000000"/>
          <w:rtl/>
        </w:rPr>
        <w:t xml:space="preserve"> [נוסח חדש], תשל"ג-1973 (להלן: "הפקודה"). </w:t>
      </w:r>
    </w:p>
    <w:p w14:paraId="25900EFC" w14:textId="77777777" w:rsidR="002A5CDF" w:rsidRPr="009C70CF" w:rsidRDefault="002A5CDF" w:rsidP="002A5CDF">
      <w:pPr>
        <w:numPr>
          <w:ilvl w:val="1"/>
          <w:numId w:val="1"/>
        </w:numPr>
        <w:tabs>
          <w:tab w:val="clear" w:pos="1620"/>
          <w:tab w:val="num" w:pos="1274"/>
        </w:tabs>
        <w:spacing w:after="120" w:line="360" w:lineRule="auto"/>
        <w:ind w:left="1274" w:hanging="567"/>
        <w:jc w:val="both"/>
        <w:rPr>
          <w:rFonts w:ascii="David" w:hAnsi="David"/>
          <w:color w:val="000000"/>
        </w:rPr>
      </w:pPr>
      <w:r w:rsidRPr="009C70CF">
        <w:rPr>
          <w:rFonts w:ascii="David" w:hAnsi="David"/>
          <w:b/>
          <w:bCs/>
          <w:color w:val="000000"/>
          <w:rtl/>
        </w:rPr>
        <w:t>החזקת סם מסוכן שלא לצריכה עצמית</w:t>
      </w:r>
      <w:r w:rsidRPr="009C70CF">
        <w:rPr>
          <w:rFonts w:ascii="David" w:hAnsi="David"/>
          <w:color w:val="000000"/>
          <w:rtl/>
        </w:rPr>
        <w:t xml:space="preserve">, עבירה לפי </w:t>
      </w:r>
      <w:hyperlink r:id="rId17" w:history="1">
        <w:r w:rsidR="00AA3ED9" w:rsidRPr="00AA3ED9">
          <w:rPr>
            <w:rFonts w:ascii="David" w:hAnsi="David"/>
            <w:color w:val="0000FF"/>
            <w:u w:val="single"/>
            <w:rtl/>
          </w:rPr>
          <w:t>סעיף 7(א)</w:t>
        </w:r>
      </w:hyperlink>
      <w:r w:rsidRPr="009C70CF">
        <w:rPr>
          <w:rFonts w:ascii="David" w:hAnsi="David"/>
          <w:color w:val="000000"/>
          <w:rtl/>
        </w:rPr>
        <w:t xml:space="preserve"> ו-</w:t>
      </w:r>
      <w:hyperlink r:id="rId18" w:history="1">
        <w:r w:rsidR="00AA3ED9" w:rsidRPr="00AA3ED9">
          <w:rPr>
            <w:rFonts w:ascii="David" w:hAnsi="David"/>
            <w:color w:val="0000FF"/>
            <w:u w:val="single"/>
            <w:rtl/>
          </w:rPr>
          <w:t>7(ג)</w:t>
        </w:r>
      </w:hyperlink>
      <w:r w:rsidRPr="009C70CF">
        <w:rPr>
          <w:rFonts w:ascii="David" w:hAnsi="David"/>
          <w:color w:val="000000"/>
          <w:rtl/>
        </w:rPr>
        <w:t xml:space="preserve"> רישא לפקודה.  </w:t>
      </w:r>
      <w:bookmarkStart w:id="7" w:name="ABSTRACT_END"/>
      <w:bookmarkEnd w:id="7"/>
    </w:p>
    <w:p w14:paraId="229BB303"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על-פי המתואר בעובדות כתב האישום המתוקן, החל מיום 1.1.19 שכר הנאשם דירה בעיר נתניה בתמורה ל-2,600 ₪ בחודש. בין המועדים 6-9.2.19 </w:t>
      </w:r>
      <w:r w:rsidRPr="009C70CF">
        <w:rPr>
          <w:rFonts w:ascii="David" w:hAnsi="David"/>
          <w:b/>
          <w:bCs/>
          <w:color w:val="000000"/>
          <w:rtl/>
        </w:rPr>
        <w:t>הקים הנאשם בשני חדרים בדירה, עבור אחרים, מקום לייצור, הפקה והכנה של סם מסוג קנאביס</w:t>
      </w:r>
      <w:r w:rsidRPr="009C70CF">
        <w:rPr>
          <w:rFonts w:ascii="David" w:hAnsi="David"/>
          <w:color w:val="000000"/>
          <w:rtl/>
        </w:rPr>
        <w:t xml:space="preserve"> (להלן: "הסם"). הנאשם אטם את החלונות ופתחי הדירה באמצעות יריעות ניילון ונייר דבק, מתח חבלים ברחבי הדירה ותלה עליהם את הסמים לצורך ייבושם, פיזר סם מסוכן מסוג קנאביס </w:t>
      </w:r>
      <w:r w:rsidRPr="009C70CF">
        <w:rPr>
          <w:rFonts w:ascii="David" w:hAnsi="David"/>
          <w:color w:val="000000"/>
          <w:rtl/>
        </w:rPr>
        <w:lastRenderedPageBreak/>
        <w:t xml:space="preserve">ברחבי הדירה לצורך ייבושו וכן הצטייד במדפים והתקין במעבדה מפוח ומאוורר לצורך כך. בהמשך לכך, הנאשם עסק בייצור ובהכנת הסם במעבדה, ייבש את הסם, גזם אותו, חתך אותו וארז אותו. </w:t>
      </w:r>
      <w:r w:rsidRPr="009C70CF">
        <w:rPr>
          <w:rFonts w:ascii="David" w:hAnsi="David"/>
          <w:b/>
          <w:bCs/>
          <w:color w:val="000000"/>
          <w:rtl/>
        </w:rPr>
        <w:t>בעת מעצרו של הנאשם ביום 9.2.19 ייצר הנאשם והחזיק במעבדה סם מסוג קנאביס במשקל של 79.9 ק"ג בשווי כולל של מאות אלפי ₪</w:t>
      </w:r>
      <w:r w:rsidRPr="009C70CF">
        <w:rPr>
          <w:rFonts w:ascii="David" w:hAnsi="David"/>
          <w:color w:val="000000"/>
          <w:rtl/>
        </w:rPr>
        <w:t xml:space="preserve">. </w:t>
      </w:r>
    </w:p>
    <w:p w14:paraId="4A2F4F48" w14:textId="77777777" w:rsidR="002A5CDF" w:rsidRPr="009C70CF" w:rsidRDefault="002A5CDF" w:rsidP="002A5CDF">
      <w:pPr>
        <w:numPr>
          <w:ilvl w:val="0"/>
          <w:numId w:val="1"/>
        </w:numPr>
        <w:spacing w:after="120" w:line="360" w:lineRule="auto"/>
        <w:jc w:val="both"/>
        <w:rPr>
          <w:rFonts w:ascii="David" w:hAnsi="David"/>
          <w:color w:val="000000"/>
          <w:rtl/>
        </w:rPr>
      </w:pPr>
      <w:r w:rsidRPr="009C70CF">
        <w:rPr>
          <w:rFonts w:ascii="David" w:hAnsi="David"/>
          <w:color w:val="000000"/>
          <w:rtl/>
        </w:rPr>
        <w:t>הצדדים הגיעו להסדר דיוני, לפיו הנאשם הודה והורשע בכתב האישום המתוקן, והוכרז סוחר סמים. בין הצדדים לא הייתה הסכמה לעניין העונש. המאשימה הצהירה כי תעתור לעונש מאסר לצד רכיבי ענישה נוספים ולחילוט התפוסים.</w:t>
      </w:r>
    </w:p>
    <w:p w14:paraId="14016B27" w14:textId="77777777" w:rsidR="002A5CDF" w:rsidRPr="009C70CF" w:rsidRDefault="002A5CDF" w:rsidP="002A5CDF">
      <w:pPr>
        <w:spacing w:after="120" w:line="360" w:lineRule="auto"/>
        <w:jc w:val="both"/>
        <w:rPr>
          <w:rFonts w:ascii="David" w:hAnsi="David"/>
          <w:b/>
          <w:bCs/>
          <w:color w:val="000000"/>
          <w:u w:val="single"/>
        </w:rPr>
      </w:pPr>
      <w:r w:rsidRPr="009C70CF">
        <w:rPr>
          <w:rFonts w:ascii="David" w:hAnsi="David"/>
          <w:b/>
          <w:bCs/>
          <w:color w:val="000000"/>
          <w:u w:val="single"/>
          <w:rtl/>
        </w:rPr>
        <w:t>תסקירי שירות המבחן</w:t>
      </w:r>
    </w:p>
    <w:p w14:paraId="15788386"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על פי תסקיר שירות המבחן, הנאשם כבן 36, גרוש ואב לשני ילדים. טרם מעצרו לא עבד והתקיים מקצבת נכות של המוסד לביטוח לאומי. הנאשם נשר ממערכת החינוך לאחר 9 שנות לימוד, על רקע קשיים בהסתגלות וקשיי קשב וריכוז שלא טופלו. לאחר נשירתו ממסגרת בית הספר, חבר לחברה שולית באזור מגוריו, צרך חומרים פסיכו אקטיביים והסתבך בפלילים. הנאשם החל לצרוך סמים מסוג קנאביס מגיל 13 באופן מזדמן ובהמשך העמיק השימוש בסמים מסוגים שונים ובאלכוהול. כבר בגיל 15 הופנה לטיפול גמילה בקהילה טיפולית אולם נשר מהטיפול. בהמשך היה ניסיון נוסף לשלבו בטיפול אולם גם ניסיון זה כשל. הנאשם לא גויס לשירות צבאי. לאורך השנים עבד בעבודות מזדמנות והתקשה לשמור על רצף תעסוקתי, בשל ריצוי עונשי מאסר וצריכת חומרים ממכרים. בגיל 29 אובחן כסובל מדיכאון בגינו טופל תרופתית במשך מספר שנים. מסר כי עם מעצרו הנוכחי, הפסיק בנטילת התרופות, כשהוא שולל קשיים במצבו הנפשי כיום. באבחון פסיכיאטרי קודם שנערך לו בהיותו בטיפול הרשות לשיקום האסיר עלתה אבחנה כי הנאשם סובל מהפרעה אנטי סוציאלית, דיכאון, הפרעת אישיות גבולית, הפרעת קשב וריכוז ופוסט טראומה. </w:t>
      </w:r>
    </w:p>
    <w:p w14:paraId="4B5A62AD"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color w:val="000000"/>
          <w:rtl/>
        </w:rPr>
        <w:t>עברו הפלילי של הנאשם כולל 8 הרשעות בין השנים 2016-1999 בגין ביצוע עבירות רכוש, סמים, אלימות ועוד. שירות המבחן התרשם בחקירת מעצר שערכו בעניינו מקיומו של סיכון משמעותי להמשך התנהלות שולית והתמכרותית, כשהנאשם מתקשה להיעזר בגורמי טיפול ולהתמיד במסגרות טיפוליות והוא חסר כוחות לעריכת שינוי ממשי באורחות חייו.</w:t>
      </w:r>
    </w:p>
    <w:p w14:paraId="65886D1F"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b/>
          <w:bCs/>
          <w:color w:val="000000"/>
          <w:rtl/>
        </w:rPr>
        <w:t>ביחסו לעבירות, הנאשם התקשה בנטילת אחריות מלאה למעשיו</w:t>
      </w:r>
      <w:r w:rsidRPr="009C70CF">
        <w:rPr>
          <w:rFonts w:ascii="David" w:hAnsi="David"/>
          <w:color w:val="000000"/>
          <w:rtl/>
        </w:rPr>
        <w:t xml:space="preserve">, מסר כי בתקופת ביצוע העבירות היה בתוכנית שחרור ממאסר, והסכים לבקשת חבריו להחזיק בבעלותו סמים בכמות גדולה בתמורה לכיסוי חובותיו להם. </w:t>
      </w:r>
      <w:r w:rsidRPr="009C70CF">
        <w:rPr>
          <w:rFonts w:ascii="David" w:hAnsi="David"/>
          <w:b/>
          <w:bCs/>
          <w:color w:val="000000"/>
          <w:rtl/>
        </w:rPr>
        <w:t>הנאשם הדגיש שהגורם למעורבותו החוזרת בפלילים היה הניסיון להיחלץ מהלחץ הכלכלי שבו היה נתון</w:t>
      </w:r>
      <w:r w:rsidRPr="009C70CF">
        <w:rPr>
          <w:rFonts w:ascii="David" w:hAnsi="David"/>
          <w:color w:val="000000"/>
          <w:rtl/>
        </w:rPr>
        <w:t xml:space="preserve"> לצד התמודדות עם קשיים נוספים ובכללם גירושיו, כשפעל באופן אימפולסיבי וללא שיקול דעת אך ביטא הכרה להתמכרותו לריגושים. </w:t>
      </w:r>
      <w:r w:rsidRPr="009C70CF">
        <w:rPr>
          <w:rFonts w:ascii="David" w:hAnsi="David"/>
          <w:b/>
          <w:bCs/>
          <w:color w:val="000000"/>
          <w:rtl/>
        </w:rPr>
        <w:t>הנאשם ביטא חרטה על מעשיו</w:t>
      </w:r>
      <w:r w:rsidRPr="009C70CF">
        <w:rPr>
          <w:rFonts w:ascii="David" w:hAnsi="David"/>
          <w:color w:val="000000"/>
          <w:rtl/>
        </w:rPr>
        <w:t xml:space="preserve">.   </w:t>
      </w:r>
    </w:p>
    <w:p w14:paraId="3DCF3C24"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color w:val="000000"/>
          <w:rtl/>
        </w:rPr>
        <w:lastRenderedPageBreak/>
        <w:t xml:space="preserve">לדבריו אינו צורך סמים מזה כ-3 שנים, ולתפיסתו אינו זקוק לסיוע טיפול בתחום ההתמכרות כמו גם ביחס למצבו הנפשי. לתפיסתו כיום התמכרותו היא לריגושים ולסיכונים בלבד. ביטא נכונות להשתלב בשיחות פרטניות גם במסגרת טיפולית סגורה לשם טיפול בקשייו ולרכישת כלים לניהול אורח חיים נורמטיבי. בנוסף מסר הנאשם כי משתתף בשיעורים תורניים במסגרת מעצרו, המסייעים לו בחיזוק רוחני ולדבריו לא הוצע לו טיפול רגשי. </w:t>
      </w:r>
    </w:p>
    <w:p w14:paraId="524310E9"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color w:val="000000"/>
          <w:rtl/>
        </w:rPr>
        <w:t xml:space="preserve">שירות המבחן התרשם מהנאשם כמי שמגיל צעיר גילה קשיי תפקוד והסתגלות במסגרות חייו, חווה קשיים ונעדר דמויות הוריות תומכות ומכוונות. חבר לחברה שולית וסיגל נורמות התנהגות שוליות לצד צריכת חומרים פסיכו אקטיביים באופן התמכרותי. </w:t>
      </w:r>
      <w:r w:rsidRPr="009C70CF">
        <w:rPr>
          <w:rFonts w:ascii="David" w:hAnsi="David"/>
          <w:b/>
          <w:bCs/>
          <w:color w:val="000000"/>
          <w:rtl/>
        </w:rPr>
        <w:t>סנקציות עונשיות שהוטלו עליו לא הועילו בגיבוש גבולות פנימיים והימנעות ממעורבות חוזרת בפלילים</w:t>
      </w:r>
      <w:r w:rsidRPr="009C70CF">
        <w:rPr>
          <w:rFonts w:ascii="David" w:hAnsi="David"/>
          <w:color w:val="000000"/>
          <w:rtl/>
        </w:rPr>
        <w:t xml:space="preserve"> כשהוא אינו נותן אמון בגורמי טיפול. ביצוע העבירה דנן מוסבר על רקע קשייו התפקודיים, גבולות פנימיים חלשים, קשריו ודפוסיו השוליים, היעדרן של מערכות תמיכה ונטייתו לפעול לסיפוק צרכיו המידיים. כגורמי סיכון להישנות ביצוע עבירות מנה שירות המבחן את חומרת העבירה והחזרתיות שבה, וכן </w:t>
      </w:r>
      <w:r w:rsidRPr="009C70CF">
        <w:rPr>
          <w:rFonts w:ascii="David" w:hAnsi="David"/>
          <w:b/>
          <w:bCs/>
          <w:color w:val="000000"/>
          <w:rtl/>
        </w:rPr>
        <w:t>ביצועה בהיותו מצוי בתוכנית שיקום במסגרת שחרור מוקדם ממאסר</w:t>
      </w:r>
      <w:r w:rsidRPr="009C70CF">
        <w:rPr>
          <w:rFonts w:ascii="David" w:hAnsi="David"/>
          <w:color w:val="000000"/>
          <w:rtl/>
        </w:rPr>
        <w:t xml:space="preserve">, קשייו בוויסות, קושי משמעותי בעמידה בחוקים ובגבולות, דפוסיו ההתמכרותיים והשוליים, קשייו הנפשיים המקשים על יציבותו, קשייו להכיר בעומק בעיית ההתמכרות, היעדר מקורות תמיכה וכוחותיו הדלים המקשים על השתלבותו בטיפול. כגורמי סיכוי לשיקום מנה שירות המבחן את הכרתו של הנאשם בנזקים ובהשלכות מעשיו על חייו, הדאגה שביטא כלפי בני משפחתו והחרטה שהביע על מעשיו, הכרה מסוימת בדפוסיו הבעייתיים ורצונו לחולל שינוי בהתנהלותו ונכונותו לקבלת טיפול.  </w:t>
      </w:r>
    </w:p>
    <w:p w14:paraId="71ECA0B2"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b/>
          <w:bCs/>
          <w:color w:val="000000"/>
          <w:rtl/>
        </w:rPr>
        <w:t>נוכח המתואר, העריך שירות המבחן כי קיים סיכון משמעותי להמשך מעורבות שולית והתמכרותית</w:t>
      </w:r>
      <w:r w:rsidRPr="009C70CF">
        <w:rPr>
          <w:rFonts w:ascii="David" w:hAnsi="David"/>
          <w:color w:val="000000"/>
          <w:rtl/>
        </w:rPr>
        <w:t xml:space="preserve">, כשטיפול במסגרת סגורה ואינטנסיבית עשויה להוות גורם ממתן ומפחית סיכון במצבו. </w:t>
      </w:r>
    </w:p>
    <w:p w14:paraId="1DDDB5A4" w14:textId="77777777" w:rsidR="002A5CDF" w:rsidRPr="009C70CF" w:rsidRDefault="002A5CDF" w:rsidP="002A5CDF">
      <w:pPr>
        <w:spacing w:after="120" w:line="360" w:lineRule="auto"/>
        <w:ind w:left="720"/>
        <w:jc w:val="both"/>
        <w:rPr>
          <w:rFonts w:ascii="David" w:hAnsi="David"/>
          <w:color w:val="000000"/>
        </w:rPr>
      </w:pPr>
      <w:r w:rsidRPr="009C70CF">
        <w:rPr>
          <w:rFonts w:ascii="David" w:hAnsi="David"/>
          <w:color w:val="000000"/>
          <w:rtl/>
        </w:rPr>
        <w:t xml:space="preserve">לאור כל המתואר, </w:t>
      </w:r>
      <w:r w:rsidRPr="009C70CF">
        <w:rPr>
          <w:rFonts w:ascii="David" w:hAnsi="David"/>
          <w:b/>
          <w:bCs/>
          <w:color w:val="000000"/>
          <w:rtl/>
        </w:rPr>
        <w:t>שירות המבחן נמנע מהמלצה טיפולית בעניינו של הנאשם והמליץ לאפשר לו להשתלב בטיפול במסגרת מאסרו</w:t>
      </w:r>
      <w:r w:rsidRPr="009C70CF">
        <w:rPr>
          <w:rFonts w:ascii="David" w:hAnsi="David"/>
          <w:color w:val="000000"/>
          <w:rtl/>
        </w:rPr>
        <w:t xml:space="preserve">. </w:t>
      </w:r>
    </w:p>
    <w:p w14:paraId="5D8E1A7C" w14:textId="77777777" w:rsidR="002A5CDF" w:rsidRPr="009C70CF" w:rsidRDefault="002A5CDF" w:rsidP="002A5CDF">
      <w:pPr>
        <w:spacing w:after="120" w:line="360" w:lineRule="auto"/>
        <w:jc w:val="both"/>
        <w:rPr>
          <w:bCs/>
          <w:u w:val="single"/>
          <w:rtl/>
          <w:lang w:eastAsia="he-IL"/>
        </w:rPr>
      </w:pPr>
      <w:r w:rsidRPr="009C70CF">
        <w:rPr>
          <w:bCs/>
          <w:u w:val="single"/>
          <w:rtl/>
          <w:lang w:eastAsia="he-IL"/>
        </w:rPr>
        <w:t>טיעוני הצדדים</w:t>
      </w:r>
    </w:p>
    <w:p w14:paraId="2F9AF2F2"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לטענת ב"כ המאשימה, עו"ד איריס פיקר, מדובר בנאשם שלחובתו שמונה הרשעות קודמות בעבירות סמים, רכוש, שוד בנסיבות מחמירות, נהיגה בפסילה ועוד. הנאשם שוחרר ממאסרו האחרון ביום 1.11.18, כ-3 חודשים טרם נעצר בתיק זה. על הנאשם הוטל אז בין היתר עונש מאסר מותנה בן 6 חודשים שהוא בר הפעלה בתיק דנן. הערך המוגן שנפגע בעבירה הוא ההגנה על הציבור מפני הנזקים הנלווים לשימוש בסמים הן בגוף והן בנפש. הנזקים הישירים הם של אנשים הנופלים כנטל על החברה והנזקים העקיפים קשורים בכך שלצורך מימון הסם, אותם מכורים מבצעים עבירות נלוות, הן בתחום האלימות והן בתחום הרכוש. מבחינת הנסיבות הקשורות בביצוע העבירה, עולה תכנון שכן ביצוע עבירה של מעבדה דורש ידע והשקעה כספית. הסיבה שהובילה את הנאשם לביצוע העבירה היא רווח כספי. המאשימה עתרה למתחם עונש הנע בין 24 ועד ל-48 חודשי מאסר בפועל. הנאשם הודה וחסך זמן שיפוטי רב. לעומת זאת, מדובר במי שלחובתו עבר פלילי משמעותי, שלא מזמן נגזר דינו והושת עליו מאסר מותנה וזמן קצר לאחר מכן ביצע את העבירה הנוכחית. לנאשם רצף של עיסוק בפלילים, אחד המאסרים שנגזרו עליו היה בן 5 שנים בגין עבירת שוד וכל זה לא גרם לו להשתלב בטיפול בתקופת המאסר. הנאשם לא למד את הלקח מעברו. המאסר האחרון היה בן 16 חודשים והחל בשנת 2017. תסקיר שירות המבחן מציין שהנאשם ביצע את העבירות בהיותו בתוכנית שיקום. בתסקיר צוין עוד שנעשו ניסיונות שיקומיים בעבר שכשלו. הנאשם מבטא חרטה על הנזקים שנגרמו לו ולסביבתו כתוצאה ממעשיו, אך הוא מנמק את המעשים בהיותו בלחץ כלכלי רב. מדובר פה במעגל שהוא לא מצליח לצאת ממנו למרות כל תכניות השיקום שהוצעו לו ועל אף שהוא היה בעיצומה של תכנית כזו. כיום הנאשם מבטא נכונות להשתלב בשיחות פרטניות במסגרת טיפולית סגורה, אולם הוא מסרב לקבל טיפול בתחום הסמים. על אף שהוא נמצא על ידי שירות המבחן כמי שמכור לסמים, הנאשם לא עשה מאמץ להשתלב בטיפול. שירות המבחן התרשם מסיכון משמעותי להמשך התנהלות שולית לאור קשיים תפקודיים וגבולות פנימיים חלשים. </w:t>
      </w:r>
    </w:p>
    <w:p w14:paraId="6666F6F8"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color w:val="000000"/>
          <w:rtl/>
        </w:rPr>
        <w:t xml:space="preserve">לאור העובדה שהנאשם ביצע את העבירה תוך כדי תכנית שיקום כאשר מאסר על תנאי מרחף מעל לראשו, עותרת המאשימה לעונש של 36 חודשי מאסר והפעלת עונש המאסר המותנה במצטבר, כך שירצה 42 חודשי מאסר בפועל לצד  מאסר מותנה וקנס משמעותי.  </w:t>
      </w:r>
    </w:p>
    <w:p w14:paraId="171D65C2"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לטענת ב"כ הנאשם, עו"ד יעקב מלול, נסיבות העבירה במקרה דנן אינן דומות לפסיקה שאותה הגישה המאשימה. על פי עובדות כתב האישום, הנאשם ביצע את העבירה עבור אחרים. הוא למעשה גזם את הסם. לא ניתן להקים מעבדה כזו בתוך יומיים. הוא שכר את הדירה למגורים ולא לצורך ביצוע העבירה. מכתב האישום וכן מהתמונות מהזירה, ניתן לראות שמדובר במעבדה שלא ניתן להקימה ולהביאה למצב הזה בתוך יומיים. כדי לקחת סם, לגדל אותו ולהעביר אותו את כל הליך הפקה דרוש זמן. הסמים נמצאים במקום במשך יומיים וחצי-שלושה, הנאשם גזם את הסמים, תלה את הסמים על חבלים ושם באריזה אחת. השוני של כתב האישום לעומת תיקים אחרים הוא שהסם נמצא במקום רק למשך יומיים. ייבושם של הסמים כלל את הנחתם על החבלים וגיזומם. הנאשם אמנם ביצע את העבירה כמבצע עיקרי, אך הוא עשה כן עבור אחרים, ומדובר בנסיבות הקרובות במהותן לסיוע. הוא לא פעל למען עצמו ולא עבור בצע כסף. הוא לא התכוון לשווק את הסם או להציע אותו לסוחרי סמים. הנאשם עשה את העבירה עבור אחרים בגלל לחץ כלכלי שהופעל עליו מצד גורמים עברייניים. אכן אין המדובר בסיוע במובן הפורמלי, כך שלא ניתן להשית עליו מחצית מהעונש הראוי, אך יש לתת משקל לחלקו היחסי, ולכך שמסגרת הזמנים של ביצוע העבירה הייתה קצרה. יש הבדל משמעותי בין תיקי מעבדה רגילים הכוללים את כל השלבים מרכישת הזרעים וגניבת חשמל, לעומת מצב בו שמקבלים את הסם, גוזמים אותו ושמים אותו על חבל לצורך הכנתו. הנאשם נמצא בשלב הייצור, ולא בשלב הגידול. הוא נמצא שלב אחד אחרי המגדל – בשלב ההפקה. המעשה נעשה לא למען עצמו אלא בשל לחץ שהופעל מצד גורמים עברייניים. על סמך נסיבות אלה יש לקבוע את מתחם העונש החל מ-12 חודשים ועד ל-24 חודשי מאסר. לנאשם קיים עבר פלילי, הוא נטל אחריות כבר בתחנת המשטרה, הביע חרטה וחסך זמן שיפוטי יקר. הנאשם גרוש ואב לשני ילדים. לאחר שחרורו ממאסר הוא פנה לרווחה ל"בית חוסן" כדי לעבור תהליך שיקומי. הנזק לילדיו של הנאשם הוא עצום. בתקופה זו גם הקשר עם בת זוגו הסתיים. הנאשם פנה בנוסף לעמותת "אנוש" וניסה לעבור הליכי שיקום. מלבד הנזק והפגיעה בנאשם ובבני משפחתו, נטילת האחריות והמאמצים שעשה, יש לתת את הדעת שברישומו הפלילי אין עבירות של סחר, אלא החזקת סמים לצריכה עצמית. כתב האישום ממנו נגזר התנאי שחל בתיק דנן, הוא בגין עבירה של 12 ג' סמים ובמכלול השיקולים יש להפעיל את המאסר על תנאי בחופף. יש למקם את הנאשם באמצעו של מתחם העונש. </w:t>
      </w:r>
    </w:p>
    <w:p w14:paraId="5DD578E6" w14:textId="77777777" w:rsidR="002A5CDF" w:rsidRPr="009C70CF" w:rsidRDefault="002A5CDF" w:rsidP="002A5CDF">
      <w:pPr>
        <w:spacing w:after="120" w:line="360" w:lineRule="auto"/>
        <w:ind w:left="720"/>
        <w:jc w:val="both"/>
        <w:rPr>
          <w:rFonts w:ascii="David" w:hAnsi="David"/>
          <w:color w:val="000000"/>
          <w:rtl/>
          <w:lang w:eastAsia="he-IL"/>
        </w:rPr>
      </w:pPr>
      <w:r w:rsidRPr="009C70CF">
        <w:rPr>
          <w:rFonts w:ascii="David" w:hAnsi="David"/>
          <w:color w:val="000000"/>
          <w:rtl/>
          <w:lang w:eastAsia="he-IL"/>
        </w:rPr>
        <w:t>ב"כ הנאשם הפנה לדו"ח מסכם חקירת מז"פ מיום 11.2.19 (נ/1) – בו תוארו פרטי הזירה ותמונות מהדירה בה נמצאו הסמים.</w:t>
      </w:r>
    </w:p>
    <w:p w14:paraId="618BFCF3"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הנאשם עצמו טען ששכר את הדירה לעצמו ולמשפחתו, היה לו חדר שינה, ויתר החדרים היו סגורים. לא היה נותן לאנשים להיכנס לבית. עשה את המעשה במטרה לפתור בעיות ולא הייתה לו מטרה לסחור בסמים. </w:t>
      </w:r>
    </w:p>
    <w:p w14:paraId="5273D79C" w14:textId="77777777" w:rsidR="002A5CDF" w:rsidRPr="009C70CF" w:rsidRDefault="002A5CDF" w:rsidP="002A5CDF">
      <w:pPr>
        <w:spacing w:after="120" w:line="360" w:lineRule="auto"/>
        <w:jc w:val="both"/>
        <w:rPr>
          <w:bCs/>
          <w:u w:val="single"/>
          <w:lang w:eastAsia="he-IL"/>
        </w:rPr>
      </w:pPr>
      <w:r w:rsidRPr="009C70CF">
        <w:rPr>
          <w:bCs/>
          <w:u w:val="single"/>
          <w:rtl/>
          <w:lang w:eastAsia="he-IL"/>
        </w:rPr>
        <w:t>דיון - קביעת מתחם העונש ההולם</w:t>
      </w:r>
    </w:p>
    <w:p w14:paraId="412353A3"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כתב האישום מתאר אירוע אחד, ומכאן שיש לקבוע בגינו </w:t>
      </w:r>
      <w:r w:rsidRPr="009C70CF">
        <w:rPr>
          <w:rFonts w:ascii="David" w:hAnsi="David"/>
          <w:b/>
          <w:bCs/>
          <w:color w:val="000000"/>
          <w:rtl/>
        </w:rPr>
        <w:t>מתחם עונש הולם אחד</w:t>
      </w:r>
      <w:r w:rsidRPr="009C70CF">
        <w:rPr>
          <w:rFonts w:ascii="David" w:hAnsi="David"/>
          <w:color w:val="000000"/>
          <w:rtl/>
        </w:rPr>
        <w:t xml:space="preserve">. </w:t>
      </w:r>
    </w:p>
    <w:p w14:paraId="034C7780"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b/>
          <w:bCs/>
          <w:color w:val="000000"/>
          <w:rtl/>
        </w:rPr>
        <w:t>הערכים החברתיים</w:t>
      </w:r>
      <w:r w:rsidRPr="009C70CF">
        <w:rPr>
          <w:rFonts w:ascii="David" w:hAnsi="David"/>
          <w:color w:val="000000"/>
          <w:rtl/>
        </w:rPr>
        <w:t xml:space="preserve"> שנפגעו מביצוע העבירה הם הגנה על הציבור מפני הנזקים הישירים והעקיפים אשר נגרמים עקב השימוש בסמים. לעבירות הסמים פוטנציאל נזק רב, שכן השימוש בסמים מוביל במקרים רבים אף לביצוע עבירות נלוות, ולא בכדי קבע המחוקק לצד העבירה של הפקת והכנת סמים, עונש מרבי של עד עשרים שנות מאסר. עם זאת, מדובר בסם מסוג קנבוס, שהוא "סם קל" בהשוואה לסמים אחרים. </w:t>
      </w:r>
    </w:p>
    <w:p w14:paraId="27911077"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color w:val="000000"/>
          <w:rtl/>
        </w:rPr>
        <w:t xml:space="preserve">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 עם זאת, קיים שוני משמעותי בין תיקים שונים של מעבדות, בהתאם לגודלן, לכמות הסמים שנתפסה בהם ולפרמטרים נוספים. </w:t>
      </w:r>
    </w:p>
    <w:p w14:paraId="03316A19"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color w:val="000000"/>
          <w:rtl/>
        </w:rPr>
        <w:t>לעניין זה ראו דבריו של כב' השופט י' עמית ב</w:t>
      </w:r>
      <w:hyperlink r:id="rId19" w:history="1">
        <w:r w:rsidR="00011D22" w:rsidRPr="00011D22">
          <w:rPr>
            <w:rFonts w:ascii="David" w:hAnsi="David"/>
            <w:color w:val="0000FF"/>
            <w:u w:val="single"/>
            <w:rtl/>
          </w:rPr>
          <w:t>ע"פ 2596/18</w:t>
        </w:r>
      </w:hyperlink>
      <w:r w:rsidRPr="009C70CF">
        <w:rPr>
          <w:rFonts w:ascii="David" w:hAnsi="David"/>
          <w:color w:val="000000"/>
          <w:rtl/>
        </w:rPr>
        <w:t xml:space="preserve"> </w:t>
      </w:r>
      <w:r w:rsidRPr="009C70CF">
        <w:rPr>
          <w:rFonts w:ascii="David" w:hAnsi="David"/>
          <w:b/>
          <w:bCs/>
          <w:color w:val="000000"/>
          <w:rtl/>
        </w:rPr>
        <w:t xml:space="preserve">זנזורי נ' מדינת ישראל </w:t>
      </w:r>
      <w:r w:rsidRPr="009C70CF">
        <w:rPr>
          <w:rFonts w:ascii="David" w:hAnsi="David"/>
          <w:color w:val="000000"/>
          <w:rtl/>
        </w:rPr>
        <w:t xml:space="preserve">(12.8.18), מדיניות הענישה בעבירה של גידול, יצור והפקת סמים, נותרה בעינה, גם כאשר מדובר בסם "קלים": </w:t>
      </w:r>
    </w:p>
    <w:p w14:paraId="19BFE26E" w14:textId="77777777" w:rsidR="002A5CDF" w:rsidRPr="009C70CF" w:rsidRDefault="002A5CDF" w:rsidP="002A5CDF">
      <w:pPr>
        <w:spacing w:after="120" w:line="360" w:lineRule="auto"/>
        <w:ind w:left="1133" w:right="567"/>
        <w:jc w:val="both"/>
        <w:rPr>
          <w:rFonts w:ascii="Century" w:hAnsi="Century"/>
          <w:sz w:val="20"/>
          <w:rtl/>
        </w:rPr>
      </w:pPr>
      <w:r w:rsidRPr="009C70CF">
        <w:rPr>
          <w:rFonts w:ascii="Century" w:hAnsi="Century"/>
          <w:sz w:val="20"/>
          <w:rtl/>
        </w:rPr>
        <w:t>"</w:t>
      </w:r>
      <w:r w:rsidRPr="009C70CF">
        <w:rPr>
          <w:rFonts w:ascii="Century" w:hAnsi="Century" w:hint="eastAsia"/>
          <w:sz w:val="20"/>
          <w:rtl/>
        </w:rPr>
        <w:t>ריבוי</w:t>
      </w:r>
      <w:r w:rsidRPr="009C70CF">
        <w:rPr>
          <w:rFonts w:ascii="Century" w:hAnsi="Century"/>
          <w:sz w:val="20"/>
          <w:rtl/>
        </w:rPr>
        <w:t xml:space="preserve"> </w:t>
      </w:r>
      <w:r w:rsidRPr="009C70CF">
        <w:rPr>
          <w:rFonts w:ascii="Century" w:hAnsi="Century" w:hint="eastAsia"/>
          <w:sz w:val="20"/>
          <w:rtl/>
        </w:rPr>
        <w:t>המקרים</w:t>
      </w:r>
      <w:r w:rsidRPr="009C70CF">
        <w:rPr>
          <w:rFonts w:ascii="Century" w:hAnsi="Century"/>
          <w:sz w:val="20"/>
          <w:rtl/>
        </w:rPr>
        <w:t xml:space="preserve"> </w:t>
      </w:r>
      <w:r w:rsidRPr="009C70CF">
        <w:rPr>
          <w:rFonts w:ascii="Century" w:hAnsi="Century" w:hint="eastAsia"/>
          <w:sz w:val="20"/>
          <w:rtl/>
        </w:rPr>
        <w:t>המובאים</w:t>
      </w:r>
      <w:r w:rsidRPr="009C70CF">
        <w:rPr>
          <w:rFonts w:ascii="Century" w:hAnsi="Century"/>
          <w:sz w:val="20"/>
          <w:rtl/>
        </w:rPr>
        <w:t xml:space="preserve"> </w:t>
      </w:r>
      <w:r w:rsidRPr="009C70CF">
        <w:rPr>
          <w:rFonts w:ascii="Century" w:hAnsi="Century" w:hint="eastAsia"/>
          <w:sz w:val="20"/>
          <w:rtl/>
        </w:rPr>
        <w:t>לפנינו</w:t>
      </w:r>
      <w:r w:rsidRPr="009C70CF">
        <w:rPr>
          <w:rFonts w:ascii="Century" w:hAnsi="Century"/>
          <w:sz w:val="20"/>
          <w:rtl/>
        </w:rPr>
        <w:t xml:space="preserve"> </w:t>
      </w:r>
      <w:r w:rsidRPr="009C70CF">
        <w:rPr>
          <w:rFonts w:ascii="Century" w:hAnsi="Century" w:hint="eastAsia"/>
          <w:sz w:val="20"/>
          <w:rtl/>
        </w:rPr>
        <w:t>בעת</w:t>
      </w:r>
      <w:r w:rsidRPr="009C70CF">
        <w:rPr>
          <w:rFonts w:ascii="Century" w:hAnsi="Century"/>
          <w:sz w:val="20"/>
          <w:rtl/>
        </w:rPr>
        <w:t xml:space="preserve"> </w:t>
      </w:r>
      <w:r w:rsidRPr="009C70CF">
        <w:rPr>
          <w:rFonts w:ascii="Century" w:hAnsi="Century" w:hint="eastAsia"/>
          <w:sz w:val="20"/>
          <w:rtl/>
        </w:rPr>
        <w:t>האחרונה</w:t>
      </w:r>
      <w:r w:rsidRPr="009C70CF">
        <w:rPr>
          <w:rFonts w:ascii="Century" w:hAnsi="Century"/>
          <w:sz w:val="20"/>
          <w:rtl/>
        </w:rPr>
        <w:t xml:space="preserve"> – </w:t>
      </w:r>
      <w:r w:rsidRPr="009C70CF">
        <w:rPr>
          <w:rFonts w:ascii="Century" w:hAnsi="Century" w:hint="eastAsia"/>
          <w:sz w:val="20"/>
          <w:rtl/>
        </w:rPr>
        <w:t>של</w:t>
      </w:r>
      <w:r w:rsidRPr="009C70CF">
        <w:rPr>
          <w:rFonts w:ascii="Century" w:hAnsi="Century"/>
          <w:sz w:val="20"/>
          <w:rtl/>
        </w:rPr>
        <w:t xml:space="preserve"> </w:t>
      </w:r>
      <w:r w:rsidRPr="009C70CF">
        <w:rPr>
          <w:rFonts w:ascii="Century" w:hAnsi="Century" w:hint="eastAsia"/>
          <w:sz w:val="20"/>
          <w:rtl/>
        </w:rPr>
        <w:t>גידול</w:t>
      </w:r>
      <w:r w:rsidRPr="009C70CF">
        <w:rPr>
          <w:rFonts w:ascii="Century" w:hAnsi="Century"/>
          <w:sz w:val="20"/>
          <w:rtl/>
        </w:rPr>
        <w:t xml:space="preserve">, </w:t>
      </w:r>
      <w:r w:rsidRPr="009C70CF">
        <w:rPr>
          <w:rFonts w:ascii="Century" w:hAnsi="Century" w:hint="eastAsia"/>
          <w:sz w:val="20"/>
          <w:rtl/>
        </w:rPr>
        <w:t>ייצור</w:t>
      </w:r>
      <w:r w:rsidRPr="009C70CF">
        <w:rPr>
          <w:rFonts w:ascii="Century" w:hAnsi="Century"/>
          <w:sz w:val="20"/>
          <w:rtl/>
        </w:rPr>
        <w:t xml:space="preserve"> </w:t>
      </w:r>
      <w:r w:rsidRPr="009C70CF">
        <w:rPr>
          <w:rFonts w:ascii="Century" w:hAnsi="Century" w:hint="eastAsia"/>
          <w:sz w:val="20"/>
          <w:rtl/>
        </w:rPr>
        <w:t>והפקת</w:t>
      </w:r>
      <w:r w:rsidRPr="009C70CF">
        <w:rPr>
          <w:rFonts w:ascii="Century" w:hAnsi="Century"/>
          <w:sz w:val="20"/>
          <w:rtl/>
        </w:rPr>
        <w:t xml:space="preserve"> </w:t>
      </w:r>
      <w:r w:rsidRPr="009C70CF">
        <w:rPr>
          <w:rFonts w:ascii="Century" w:hAnsi="Century" w:hint="eastAsia"/>
          <w:sz w:val="20"/>
          <w:rtl/>
        </w:rPr>
        <w:t>קנבוס</w:t>
      </w:r>
      <w:r w:rsidRPr="009C70CF">
        <w:rPr>
          <w:rFonts w:ascii="Century" w:hAnsi="Century"/>
          <w:sz w:val="20"/>
          <w:rtl/>
        </w:rPr>
        <w:t xml:space="preserve"> </w:t>
      </w:r>
      <w:r w:rsidRPr="009C70CF">
        <w:rPr>
          <w:rFonts w:ascii="Century" w:hAnsi="Century" w:hint="eastAsia"/>
          <w:sz w:val="20"/>
          <w:rtl/>
        </w:rPr>
        <w:t>לשם</w:t>
      </w:r>
      <w:r w:rsidRPr="009C70CF">
        <w:rPr>
          <w:rFonts w:ascii="Century" w:hAnsi="Century"/>
          <w:sz w:val="20"/>
          <w:rtl/>
        </w:rPr>
        <w:t xml:space="preserve"> </w:t>
      </w:r>
      <w:r w:rsidRPr="009C70CF">
        <w:rPr>
          <w:rFonts w:ascii="Century" w:hAnsi="Century" w:hint="eastAsia"/>
          <w:sz w:val="20"/>
          <w:rtl/>
        </w:rPr>
        <w:t>הפצה</w:t>
      </w:r>
      <w:r w:rsidRPr="009C70CF">
        <w:rPr>
          <w:rFonts w:ascii="Century" w:hAnsi="Century"/>
          <w:sz w:val="20"/>
          <w:rtl/>
        </w:rPr>
        <w:t xml:space="preserve"> </w:t>
      </w:r>
      <w:r w:rsidRPr="009C70CF">
        <w:rPr>
          <w:rFonts w:ascii="Century" w:hAnsi="Century" w:hint="eastAsia"/>
          <w:sz w:val="20"/>
          <w:rtl/>
        </w:rPr>
        <w:t>ומכירה</w:t>
      </w:r>
      <w:r w:rsidRPr="009C70CF">
        <w:rPr>
          <w:rFonts w:ascii="Century" w:hAnsi="Century"/>
          <w:sz w:val="20"/>
          <w:rtl/>
        </w:rPr>
        <w:t xml:space="preserve">... </w:t>
      </w:r>
      <w:r w:rsidRPr="009C70CF">
        <w:rPr>
          <w:rFonts w:ascii="Century" w:hAnsi="Century" w:hint="eastAsia"/>
          <w:sz w:val="20"/>
          <w:rtl/>
        </w:rPr>
        <w:t>מעוררים</w:t>
      </w:r>
      <w:r w:rsidRPr="009C70CF">
        <w:rPr>
          <w:rFonts w:ascii="Century" w:hAnsi="Century"/>
          <w:sz w:val="20"/>
          <w:rtl/>
        </w:rPr>
        <w:t xml:space="preserve"> </w:t>
      </w:r>
      <w:r w:rsidRPr="009C70CF">
        <w:rPr>
          <w:rFonts w:ascii="Century" w:hAnsi="Century" w:hint="eastAsia"/>
          <w:sz w:val="20"/>
          <w:rtl/>
        </w:rPr>
        <w:t>את</w:t>
      </w:r>
      <w:r w:rsidRPr="009C70CF">
        <w:rPr>
          <w:rFonts w:ascii="Century" w:hAnsi="Century"/>
          <w:sz w:val="20"/>
          <w:rtl/>
        </w:rPr>
        <w:t xml:space="preserve"> </w:t>
      </w:r>
      <w:r w:rsidRPr="009C70CF">
        <w:rPr>
          <w:rFonts w:ascii="Century" w:hAnsi="Century" w:hint="eastAsia"/>
          <w:sz w:val="20"/>
          <w:rtl/>
        </w:rPr>
        <w:t>התחושה</w:t>
      </w:r>
      <w:r w:rsidRPr="009C70CF">
        <w:rPr>
          <w:rFonts w:ascii="Century" w:hAnsi="Century"/>
          <w:sz w:val="20"/>
          <w:rtl/>
        </w:rPr>
        <w:t xml:space="preserve">, </w:t>
      </w:r>
      <w:r w:rsidRPr="009C70CF">
        <w:rPr>
          <w:rFonts w:ascii="Century" w:hAnsi="Century" w:hint="eastAsia"/>
          <w:sz w:val="20"/>
          <w:rtl/>
        </w:rPr>
        <w:t>הגם</w:t>
      </w:r>
      <w:r w:rsidRPr="009C70CF">
        <w:rPr>
          <w:rFonts w:ascii="Century" w:hAnsi="Century"/>
          <w:sz w:val="20"/>
          <w:rtl/>
        </w:rPr>
        <w:t xml:space="preserve"> </w:t>
      </w:r>
      <w:r w:rsidRPr="009C70CF">
        <w:rPr>
          <w:rFonts w:ascii="Century" w:hAnsi="Century" w:hint="eastAsia"/>
          <w:sz w:val="20"/>
          <w:rtl/>
        </w:rPr>
        <w:t>שאינה</w:t>
      </w:r>
      <w:r w:rsidRPr="009C70CF">
        <w:rPr>
          <w:rFonts w:ascii="Century" w:hAnsi="Century"/>
          <w:sz w:val="20"/>
          <w:rtl/>
        </w:rPr>
        <w:t xml:space="preserve"> </w:t>
      </w:r>
      <w:r w:rsidRPr="009C70CF">
        <w:rPr>
          <w:rFonts w:ascii="Century" w:hAnsi="Century" w:hint="eastAsia"/>
          <w:sz w:val="20"/>
          <w:rtl/>
        </w:rPr>
        <w:t>מגובה</w:t>
      </w:r>
      <w:r w:rsidRPr="009C70CF">
        <w:rPr>
          <w:rFonts w:ascii="Century" w:hAnsi="Century"/>
          <w:sz w:val="20"/>
          <w:rtl/>
        </w:rPr>
        <w:t xml:space="preserve"> </w:t>
      </w:r>
      <w:r w:rsidRPr="009C70CF">
        <w:rPr>
          <w:rFonts w:ascii="Century" w:hAnsi="Century" w:hint="eastAsia"/>
          <w:sz w:val="20"/>
          <w:rtl/>
        </w:rPr>
        <w:t>בסטטיסטיקה</w:t>
      </w:r>
      <w:r w:rsidRPr="009C70CF">
        <w:rPr>
          <w:rFonts w:ascii="Century" w:hAnsi="Century"/>
          <w:sz w:val="20"/>
          <w:rtl/>
        </w:rPr>
        <w:t xml:space="preserve"> </w:t>
      </w:r>
      <w:r w:rsidRPr="009C70CF">
        <w:rPr>
          <w:rFonts w:ascii="Century" w:hAnsi="Century" w:hint="eastAsia"/>
          <w:sz w:val="20"/>
          <w:rtl/>
        </w:rPr>
        <w:t>או</w:t>
      </w:r>
      <w:r w:rsidRPr="009C70CF">
        <w:rPr>
          <w:rFonts w:ascii="Century" w:hAnsi="Century"/>
          <w:sz w:val="20"/>
          <w:rtl/>
        </w:rPr>
        <w:t xml:space="preserve"> </w:t>
      </w:r>
      <w:r w:rsidRPr="009C70CF">
        <w:rPr>
          <w:rFonts w:ascii="Century" w:hAnsi="Century" w:hint="eastAsia"/>
          <w:sz w:val="20"/>
          <w:rtl/>
        </w:rPr>
        <w:t>במחקר</w:t>
      </w:r>
      <w:r w:rsidRPr="009C70CF">
        <w:rPr>
          <w:rFonts w:ascii="Century" w:hAnsi="Century"/>
          <w:sz w:val="20"/>
          <w:rtl/>
        </w:rPr>
        <w:t xml:space="preserve"> </w:t>
      </w:r>
      <w:r w:rsidRPr="009C70CF">
        <w:rPr>
          <w:rFonts w:ascii="Century" w:hAnsi="Century" w:hint="eastAsia"/>
          <w:sz w:val="20"/>
          <w:rtl/>
        </w:rPr>
        <w:t>אמפירי</w:t>
      </w:r>
      <w:r w:rsidRPr="009C70CF">
        <w:rPr>
          <w:rFonts w:ascii="Century" w:hAnsi="Century"/>
          <w:sz w:val="20"/>
          <w:rtl/>
        </w:rPr>
        <w:t xml:space="preserve">, </w:t>
      </w:r>
      <w:r w:rsidRPr="009C70CF">
        <w:rPr>
          <w:rFonts w:ascii="Century" w:hAnsi="Century" w:hint="eastAsia"/>
          <w:sz w:val="20"/>
          <w:rtl/>
        </w:rPr>
        <w:t>כי</w:t>
      </w:r>
      <w:r w:rsidRPr="009C70CF">
        <w:rPr>
          <w:rFonts w:ascii="Century" w:hAnsi="Century"/>
          <w:sz w:val="20"/>
          <w:rtl/>
        </w:rPr>
        <w:t xml:space="preserve"> </w:t>
      </w:r>
      <w:r w:rsidRPr="009C70CF">
        <w:rPr>
          <w:rFonts w:ascii="Century" w:hAnsi="Century" w:hint="eastAsia"/>
          <w:sz w:val="20"/>
          <w:rtl/>
        </w:rPr>
        <w:t>המדיניות</w:t>
      </w:r>
      <w:r w:rsidRPr="009C70CF">
        <w:rPr>
          <w:rFonts w:ascii="Century" w:hAnsi="Century"/>
          <w:sz w:val="20"/>
          <w:rtl/>
        </w:rPr>
        <w:t xml:space="preserve"> </w:t>
      </w:r>
      <w:r w:rsidRPr="009C70CF">
        <w:rPr>
          <w:rFonts w:ascii="Century" w:hAnsi="Century" w:hint="eastAsia"/>
          <w:sz w:val="20"/>
          <w:rtl/>
        </w:rPr>
        <w:t>שבאה</w:t>
      </w:r>
      <w:r w:rsidRPr="009C70CF">
        <w:rPr>
          <w:rFonts w:ascii="Century" w:hAnsi="Century"/>
          <w:sz w:val="20"/>
          <w:rtl/>
        </w:rPr>
        <w:t xml:space="preserve"> </w:t>
      </w:r>
      <w:r w:rsidRPr="009C70CF">
        <w:rPr>
          <w:rFonts w:ascii="Century" w:hAnsi="Century" w:hint="eastAsia"/>
          <w:sz w:val="20"/>
          <w:rtl/>
        </w:rPr>
        <w:t>לידי</w:t>
      </w:r>
      <w:r w:rsidRPr="009C70CF">
        <w:rPr>
          <w:rFonts w:ascii="Century" w:hAnsi="Century"/>
          <w:sz w:val="20"/>
          <w:rtl/>
        </w:rPr>
        <w:t xml:space="preserve"> </w:t>
      </w:r>
      <w:r w:rsidRPr="009C70CF">
        <w:rPr>
          <w:rFonts w:ascii="Century" w:hAnsi="Century" w:hint="eastAsia"/>
          <w:sz w:val="20"/>
          <w:rtl/>
        </w:rPr>
        <w:t>ביטוי</w:t>
      </w:r>
      <w:r w:rsidRPr="009C70CF">
        <w:rPr>
          <w:rFonts w:ascii="Century" w:hAnsi="Century"/>
          <w:sz w:val="20"/>
          <w:rtl/>
        </w:rPr>
        <w:t xml:space="preserve"> </w:t>
      </w:r>
      <w:r w:rsidRPr="009C70CF">
        <w:rPr>
          <w:rFonts w:ascii="Century" w:hAnsi="Century" w:hint="eastAsia"/>
          <w:sz w:val="20"/>
          <w:rtl/>
        </w:rPr>
        <w:t>בחוק</w:t>
      </w:r>
      <w:r w:rsidRPr="009C70CF">
        <w:rPr>
          <w:rFonts w:ascii="Century" w:hAnsi="Century"/>
          <w:sz w:val="20"/>
          <w:rtl/>
        </w:rPr>
        <w:t xml:space="preserve"> </w:t>
      </w:r>
      <w:r w:rsidRPr="009C70CF">
        <w:rPr>
          <w:rFonts w:ascii="Century" w:hAnsi="Century" w:hint="eastAsia"/>
          <w:sz w:val="20"/>
          <w:rtl/>
        </w:rPr>
        <w:t>הסמים</w:t>
      </w:r>
      <w:r w:rsidRPr="009C70CF">
        <w:rPr>
          <w:rFonts w:ascii="Century" w:hAnsi="Century"/>
          <w:sz w:val="20"/>
          <w:rtl/>
        </w:rPr>
        <w:t xml:space="preserve"> </w:t>
      </w:r>
      <w:r w:rsidRPr="009C70CF">
        <w:rPr>
          <w:rFonts w:ascii="Century" w:hAnsi="Century" w:hint="eastAsia"/>
          <w:sz w:val="20"/>
          <w:rtl/>
        </w:rPr>
        <w:t>המסוכנים</w:t>
      </w:r>
      <w:r w:rsidRPr="009C70CF">
        <w:rPr>
          <w:rFonts w:ascii="Century" w:hAnsi="Century"/>
          <w:sz w:val="20"/>
          <w:rtl/>
        </w:rPr>
        <w:t xml:space="preserve"> (</w:t>
      </w:r>
      <w:r w:rsidRPr="009C70CF">
        <w:rPr>
          <w:rFonts w:ascii="Century" w:hAnsi="Century" w:hint="eastAsia"/>
          <w:sz w:val="20"/>
          <w:rtl/>
        </w:rPr>
        <w:t>עבירת</w:t>
      </w:r>
      <w:r w:rsidRPr="009C70CF">
        <w:rPr>
          <w:rFonts w:ascii="Century" w:hAnsi="Century"/>
          <w:sz w:val="20"/>
          <w:rtl/>
        </w:rPr>
        <w:t xml:space="preserve"> </w:t>
      </w:r>
      <w:r w:rsidRPr="009C70CF">
        <w:rPr>
          <w:rFonts w:ascii="Century" w:hAnsi="Century" w:hint="eastAsia"/>
          <w:sz w:val="20"/>
          <w:rtl/>
        </w:rPr>
        <w:t>קנס</w:t>
      </w:r>
      <w:r w:rsidRPr="009C70CF">
        <w:rPr>
          <w:rFonts w:ascii="Century" w:hAnsi="Century"/>
          <w:sz w:val="20"/>
          <w:rtl/>
        </w:rPr>
        <w:t xml:space="preserve"> </w:t>
      </w:r>
      <w:r w:rsidRPr="009C70CF">
        <w:rPr>
          <w:rFonts w:ascii="Century" w:hAnsi="Century" w:hint="eastAsia"/>
          <w:sz w:val="20"/>
          <w:rtl/>
        </w:rPr>
        <w:t>מיוחדת</w:t>
      </w:r>
      <w:r w:rsidRPr="009C70CF">
        <w:rPr>
          <w:rFonts w:ascii="Century" w:hAnsi="Century"/>
          <w:sz w:val="20"/>
          <w:rtl/>
        </w:rPr>
        <w:t xml:space="preserve"> – </w:t>
      </w:r>
      <w:r w:rsidRPr="009C70CF">
        <w:rPr>
          <w:rFonts w:ascii="Century" w:hAnsi="Century" w:hint="eastAsia"/>
          <w:sz w:val="20"/>
          <w:rtl/>
        </w:rPr>
        <w:t>הוראת</w:t>
      </w:r>
      <w:r w:rsidRPr="009C70CF">
        <w:rPr>
          <w:rFonts w:ascii="Century" w:hAnsi="Century"/>
          <w:sz w:val="20"/>
          <w:rtl/>
        </w:rPr>
        <w:t xml:space="preserve"> </w:t>
      </w:r>
      <w:r w:rsidRPr="009C70CF">
        <w:rPr>
          <w:rFonts w:ascii="Century" w:hAnsi="Century" w:hint="eastAsia"/>
          <w:sz w:val="20"/>
          <w:rtl/>
        </w:rPr>
        <w:t>שעה</w:t>
      </w:r>
      <w:r w:rsidRPr="009C70CF">
        <w:rPr>
          <w:rFonts w:ascii="Century" w:hAnsi="Century"/>
          <w:sz w:val="20"/>
          <w:rtl/>
        </w:rPr>
        <w:t xml:space="preserve">), </w:t>
      </w:r>
      <w:r w:rsidRPr="009C70CF">
        <w:rPr>
          <w:rFonts w:ascii="Century" w:hAnsi="Century" w:hint="eastAsia"/>
          <w:sz w:val="20"/>
          <w:rtl/>
        </w:rPr>
        <w:t>התשע</w:t>
      </w:r>
      <w:r w:rsidRPr="009C70CF">
        <w:rPr>
          <w:rFonts w:ascii="Century" w:hAnsi="Century"/>
          <w:sz w:val="20"/>
          <w:rtl/>
        </w:rPr>
        <w:t>"</w:t>
      </w:r>
      <w:r w:rsidRPr="009C70CF">
        <w:rPr>
          <w:rFonts w:ascii="Century" w:hAnsi="Century" w:hint="eastAsia"/>
          <w:sz w:val="20"/>
          <w:rtl/>
        </w:rPr>
        <w:t>ח</w:t>
      </w:r>
      <w:r w:rsidRPr="009C70CF">
        <w:rPr>
          <w:rFonts w:ascii="Century" w:hAnsi="Century"/>
          <w:sz w:val="20"/>
          <w:rtl/>
        </w:rPr>
        <w:t>-2018 (</w:t>
      </w:r>
      <w:r w:rsidRPr="009C70CF">
        <w:rPr>
          <w:rFonts w:ascii="Century" w:hAnsi="Century" w:hint="eastAsia"/>
          <w:sz w:val="20"/>
          <w:rtl/>
        </w:rPr>
        <w:t>שתחולתו</w:t>
      </w:r>
      <w:r w:rsidRPr="009C70CF">
        <w:rPr>
          <w:rFonts w:ascii="Century" w:hAnsi="Century"/>
          <w:sz w:val="20"/>
          <w:rtl/>
        </w:rPr>
        <w:t xml:space="preserve"> </w:t>
      </w:r>
      <w:r w:rsidRPr="009C70CF">
        <w:rPr>
          <w:rFonts w:ascii="Century" w:hAnsi="Century" w:hint="eastAsia"/>
          <w:sz w:val="20"/>
          <w:rtl/>
        </w:rPr>
        <w:t>ביום</w:t>
      </w:r>
      <w:r w:rsidRPr="009C70CF">
        <w:rPr>
          <w:rFonts w:ascii="Century" w:hAnsi="Century"/>
          <w:sz w:val="20"/>
          <w:rtl/>
        </w:rPr>
        <w:t xml:space="preserve"> 1.4.2019) – </w:t>
      </w:r>
      <w:r w:rsidRPr="009C70CF">
        <w:rPr>
          <w:rFonts w:ascii="Century" w:hAnsi="Century" w:hint="eastAsia"/>
          <w:sz w:val="20"/>
          <w:rtl/>
        </w:rPr>
        <w:t>זלגה</w:t>
      </w:r>
      <w:r w:rsidRPr="009C70CF">
        <w:rPr>
          <w:rFonts w:ascii="Century" w:hAnsi="Century"/>
          <w:sz w:val="20"/>
          <w:rtl/>
        </w:rPr>
        <w:t xml:space="preserve"> </w:t>
      </w:r>
      <w:r w:rsidRPr="009C70CF">
        <w:rPr>
          <w:rFonts w:ascii="Century" w:hAnsi="Century" w:hint="eastAsia"/>
          <w:sz w:val="20"/>
          <w:rtl/>
        </w:rPr>
        <w:t>שלא</w:t>
      </w:r>
      <w:r w:rsidRPr="009C70CF">
        <w:rPr>
          <w:rFonts w:ascii="Century" w:hAnsi="Century"/>
          <w:sz w:val="20"/>
          <w:rtl/>
        </w:rPr>
        <w:t xml:space="preserve"> </w:t>
      </w:r>
      <w:r w:rsidRPr="009C70CF">
        <w:rPr>
          <w:rFonts w:ascii="Century" w:hAnsi="Century" w:hint="eastAsia"/>
          <w:sz w:val="20"/>
          <w:rtl/>
        </w:rPr>
        <w:t>בטובתה</w:t>
      </w:r>
      <w:r w:rsidRPr="009C70CF">
        <w:rPr>
          <w:rFonts w:ascii="Century" w:hAnsi="Century"/>
          <w:sz w:val="20"/>
          <w:rtl/>
        </w:rPr>
        <w:t xml:space="preserve"> </w:t>
      </w:r>
      <w:r w:rsidRPr="009C70CF">
        <w:rPr>
          <w:rFonts w:ascii="Century" w:hAnsi="Century" w:hint="eastAsia"/>
          <w:sz w:val="20"/>
          <w:rtl/>
        </w:rPr>
        <w:t>למחוזות</w:t>
      </w:r>
      <w:r w:rsidRPr="009C70CF">
        <w:rPr>
          <w:rFonts w:ascii="Century" w:hAnsi="Century"/>
          <w:sz w:val="20"/>
          <w:rtl/>
        </w:rPr>
        <w:t xml:space="preserve"> </w:t>
      </w:r>
      <w:r w:rsidRPr="009C70CF">
        <w:rPr>
          <w:rFonts w:ascii="Century" w:hAnsi="Century" w:hint="eastAsia"/>
          <w:sz w:val="20"/>
          <w:rtl/>
        </w:rPr>
        <w:t>אחרים</w:t>
      </w:r>
      <w:r w:rsidRPr="009C70CF">
        <w:rPr>
          <w:rFonts w:ascii="Century" w:hAnsi="Century"/>
          <w:sz w:val="20"/>
          <w:rtl/>
        </w:rPr>
        <w:t xml:space="preserve">. </w:t>
      </w:r>
      <w:r w:rsidRPr="009C70CF">
        <w:rPr>
          <w:rFonts w:ascii="Calibri" w:hAnsi="Calibri" w:hint="eastAsia"/>
          <w:sz w:val="20"/>
          <w:rtl/>
        </w:rPr>
        <w:t>צרכנים</w:t>
      </w:r>
      <w:r w:rsidRPr="009C70CF">
        <w:rPr>
          <w:rFonts w:ascii="Calibri" w:hAnsi="Calibri"/>
          <w:sz w:val="20"/>
          <w:rtl/>
        </w:rPr>
        <w:t xml:space="preserve"> </w:t>
      </w:r>
      <w:r w:rsidRPr="009C70CF">
        <w:rPr>
          <w:rFonts w:ascii="Calibri" w:hAnsi="Calibri" w:hint="eastAsia"/>
          <w:sz w:val="20"/>
          <w:rtl/>
        </w:rPr>
        <w:t>ומשתמשים</w:t>
      </w:r>
      <w:r w:rsidRPr="009C70CF">
        <w:rPr>
          <w:rFonts w:ascii="Calibri" w:hAnsi="Calibri"/>
          <w:sz w:val="20"/>
          <w:rtl/>
        </w:rPr>
        <w:t xml:space="preserve"> </w:t>
      </w:r>
      <w:r w:rsidRPr="009C70CF">
        <w:rPr>
          <w:rFonts w:ascii="Calibri" w:hAnsi="Calibri" w:hint="eastAsia"/>
          <w:sz w:val="20"/>
          <w:rtl/>
        </w:rPr>
        <w:t>ואנשים</w:t>
      </w:r>
      <w:r w:rsidRPr="009C70CF">
        <w:rPr>
          <w:rFonts w:ascii="Calibri" w:hAnsi="Calibri"/>
          <w:sz w:val="20"/>
          <w:rtl/>
        </w:rPr>
        <w:t xml:space="preserve"> </w:t>
      </w:r>
      <w:r w:rsidRPr="009C70CF">
        <w:rPr>
          <w:rFonts w:ascii="Calibri" w:hAnsi="Calibri" w:hint="eastAsia"/>
          <w:sz w:val="20"/>
          <w:rtl/>
        </w:rPr>
        <w:t>נורמטיביים</w:t>
      </w:r>
      <w:r w:rsidRPr="009C70CF">
        <w:rPr>
          <w:rFonts w:ascii="Calibri" w:hAnsi="Calibri"/>
          <w:sz w:val="20"/>
          <w:rtl/>
        </w:rPr>
        <w:t xml:space="preserve">, </w:t>
      </w:r>
      <w:r w:rsidRPr="009C70CF">
        <w:rPr>
          <w:rFonts w:ascii="Calibri" w:hAnsi="Calibri" w:hint="eastAsia"/>
          <w:sz w:val="20"/>
          <w:rtl/>
        </w:rPr>
        <w:t>שבעבר</w:t>
      </w:r>
      <w:r w:rsidRPr="009C70CF">
        <w:rPr>
          <w:rFonts w:ascii="Calibri" w:hAnsi="Calibri"/>
          <w:sz w:val="20"/>
          <w:rtl/>
        </w:rPr>
        <w:t xml:space="preserve"> </w:t>
      </w:r>
      <w:r w:rsidRPr="009C70CF">
        <w:rPr>
          <w:rFonts w:ascii="Calibri" w:hAnsi="Calibri" w:hint="eastAsia"/>
          <w:sz w:val="20"/>
          <w:rtl/>
        </w:rPr>
        <w:t>לא</w:t>
      </w:r>
      <w:r w:rsidRPr="009C70CF">
        <w:rPr>
          <w:rFonts w:ascii="Calibri" w:hAnsi="Calibri"/>
          <w:sz w:val="20"/>
          <w:rtl/>
        </w:rPr>
        <w:t xml:space="preserve"> </w:t>
      </w:r>
      <w:r w:rsidRPr="009C70CF">
        <w:rPr>
          <w:rFonts w:ascii="Calibri" w:hAnsi="Calibri" w:hint="eastAsia"/>
          <w:sz w:val="20"/>
          <w:rtl/>
        </w:rPr>
        <w:t>היו</w:t>
      </w:r>
      <w:r w:rsidRPr="009C70CF">
        <w:rPr>
          <w:rFonts w:ascii="Calibri" w:hAnsi="Calibri"/>
          <w:sz w:val="20"/>
          <w:rtl/>
        </w:rPr>
        <w:t xml:space="preserve"> </w:t>
      </w:r>
      <w:r w:rsidRPr="009C70CF">
        <w:rPr>
          <w:rFonts w:ascii="Calibri" w:hAnsi="Calibri" w:hint="eastAsia"/>
          <w:sz w:val="20"/>
          <w:rtl/>
        </w:rPr>
        <w:t>נכונים</w:t>
      </w:r>
      <w:r w:rsidRPr="009C70CF">
        <w:rPr>
          <w:rFonts w:ascii="Calibri" w:hAnsi="Calibri"/>
          <w:sz w:val="20"/>
          <w:rtl/>
        </w:rPr>
        <w:t xml:space="preserve"> </w:t>
      </w:r>
      <w:r w:rsidRPr="009C70CF">
        <w:rPr>
          <w:rFonts w:ascii="Calibri" w:hAnsi="Calibri" w:hint="eastAsia"/>
          <w:sz w:val="20"/>
          <w:rtl/>
        </w:rPr>
        <w:t>ליטול</w:t>
      </w:r>
      <w:r w:rsidRPr="009C70CF">
        <w:rPr>
          <w:rFonts w:ascii="Calibri" w:hAnsi="Calibri"/>
          <w:sz w:val="20"/>
          <w:rtl/>
        </w:rPr>
        <w:t xml:space="preserve"> </w:t>
      </w:r>
      <w:r w:rsidRPr="009C70CF">
        <w:rPr>
          <w:rFonts w:ascii="Calibri" w:hAnsi="Calibri" w:hint="eastAsia"/>
          <w:sz w:val="20"/>
          <w:rtl/>
        </w:rPr>
        <w:t>על</w:t>
      </w:r>
      <w:r w:rsidRPr="009C70CF">
        <w:rPr>
          <w:rFonts w:ascii="Calibri" w:hAnsi="Calibri"/>
          <w:sz w:val="20"/>
          <w:rtl/>
        </w:rPr>
        <w:t xml:space="preserve"> </w:t>
      </w:r>
      <w:r w:rsidRPr="009C70CF">
        <w:rPr>
          <w:rFonts w:ascii="Calibri" w:hAnsi="Calibri" w:hint="eastAsia"/>
          <w:sz w:val="20"/>
          <w:rtl/>
        </w:rPr>
        <w:t>עצמם</w:t>
      </w:r>
      <w:r w:rsidRPr="009C70CF">
        <w:rPr>
          <w:rFonts w:ascii="Calibri" w:hAnsi="Calibri"/>
          <w:sz w:val="20"/>
          <w:rtl/>
        </w:rPr>
        <w:t xml:space="preserve"> </w:t>
      </w:r>
      <w:r w:rsidRPr="009C70CF">
        <w:rPr>
          <w:rFonts w:ascii="Calibri" w:hAnsi="Calibri" w:hint="eastAsia"/>
          <w:sz w:val="20"/>
          <w:rtl/>
        </w:rPr>
        <w:t>סיכון</w:t>
      </w:r>
      <w:r w:rsidRPr="009C70CF">
        <w:rPr>
          <w:rFonts w:ascii="Calibri" w:hAnsi="Calibri"/>
          <w:sz w:val="20"/>
          <w:rtl/>
        </w:rPr>
        <w:t xml:space="preserve"> </w:t>
      </w:r>
      <w:r w:rsidRPr="009C70CF">
        <w:rPr>
          <w:rFonts w:ascii="Calibri" w:hAnsi="Calibri" w:hint="eastAsia"/>
          <w:sz w:val="20"/>
          <w:rtl/>
        </w:rPr>
        <w:t>להסתבך</w:t>
      </w:r>
      <w:r w:rsidRPr="009C70CF">
        <w:rPr>
          <w:rFonts w:ascii="Calibri" w:hAnsi="Calibri"/>
          <w:sz w:val="20"/>
          <w:rtl/>
        </w:rPr>
        <w:t xml:space="preserve"> </w:t>
      </w:r>
      <w:r w:rsidRPr="009C70CF">
        <w:rPr>
          <w:rFonts w:ascii="Calibri" w:hAnsi="Calibri" w:hint="eastAsia"/>
          <w:sz w:val="20"/>
          <w:rtl/>
        </w:rPr>
        <w:t>בעולם</w:t>
      </w:r>
      <w:r w:rsidRPr="009C70CF">
        <w:rPr>
          <w:rFonts w:ascii="Calibri" w:hAnsi="Calibri"/>
          <w:sz w:val="20"/>
          <w:rtl/>
        </w:rPr>
        <w:t xml:space="preserve"> </w:t>
      </w:r>
      <w:r w:rsidRPr="009C70CF">
        <w:rPr>
          <w:rFonts w:ascii="Calibri" w:hAnsi="Calibri" w:hint="eastAsia"/>
          <w:sz w:val="20"/>
          <w:rtl/>
        </w:rPr>
        <w:t>הפלילי</w:t>
      </w:r>
      <w:r w:rsidRPr="009C70CF">
        <w:rPr>
          <w:rFonts w:ascii="Calibri" w:hAnsi="Calibri"/>
          <w:sz w:val="20"/>
          <w:rtl/>
        </w:rPr>
        <w:t xml:space="preserve">, </w:t>
      </w:r>
      <w:r w:rsidRPr="009C70CF">
        <w:rPr>
          <w:rFonts w:ascii="Century" w:hAnsi="Century" w:hint="eastAsia"/>
          <w:sz w:val="20"/>
          <w:rtl/>
        </w:rPr>
        <w:t>נכונים</w:t>
      </w:r>
      <w:r w:rsidRPr="009C70CF">
        <w:rPr>
          <w:rFonts w:ascii="Century" w:hAnsi="Century"/>
          <w:sz w:val="20"/>
          <w:rtl/>
        </w:rPr>
        <w:t xml:space="preserve"> </w:t>
      </w:r>
      <w:r w:rsidRPr="009C70CF">
        <w:rPr>
          <w:rFonts w:ascii="Century" w:hAnsi="Century" w:hint="eastAsia"/>
          <w:sz w:val="20"/>
          <w:rtl/>
        </w:rPr>
        <w:t>כיום</w:t>
      </w:r>
      <w:r w:rsidRPr="009C70CF">
        <w:rPr>
          <w:rFonts w:ascii="Century" w:hAnsi="Century"/>
          <w:sz w:val="20"/>
          <w:rtl/>
        </w:rPr>
        <w:t xml:space="preserve"> </w:t>
      </w:r>
      <w:r w:rsidRPr="009C70CF">
        <w:rPr>
          <w:rFonts w:ascii="Century" w:hAnsi="Century" w:hint="eastAsia"/>
          <w:sz w:val="20"/>
          <w:rtl/>
        </w:rPr>
        <w:t>לילך</w:t>
      </w:r>
      <w:r w:rsidRPr="009C70CF">
        <w:rPr>
          <w:rFonts w:ascii="Century" w:hAnsi="Century"/>
          <w:sz w:val="20"/>
          <w:rtl/>
        </w:rPr>
        <w:t xml:space="preserve"> </w:t>
      </w:r>
      <w:r w:rsidRPr="009C70CF">
        <w:rPr>
          <w:rFonts w:ascii="Century" w:hAnsi="Century" w:hint="eastAsia"/>
          <w:sz w:val="20"/>
          <w:rtl/>
        </w:rPr>
        <w:t>צעד</w:t>
      </w:r>
      <w:r w:rsidRPr="009C70CF">
        <w:rPr>
          <w:rFonts w:ascii="Century" w:hAnsi="Century"/>
          <w:sz w:val="20"/>
          <w:rtl/>
        </w:rPr>
        <w:t xml:space="preserve"> </w:t>
      </w:r>
      <w:r w:rsidRPr="009C70CF">
        <w:rPr>
          <w:rFonts w:ascii="Century" w:hAnsi="Century" w:hint="eastAsia"/>
          <w:sz w:val="20"/>
          <w:rtl/>
        </w:rPr>
        <w:t>נוסף</w:t>
      </w:r>
      <w:r w:rsidRPr="009C70CF">
        <w:rPr>
          <w:rFonts w:ascii="Century" w:hAnsi="Century"/>
          <w:sz w:val="20"/>
          <w:rtl/>
        </w:rPr>
        <w:t xml:space="preserve"> </w:t>
      </w:r>
      <w:r w:rsidRPr="009C70CF">
        <w:rPr>
          <w:rFonts w:ascii="Century" w:hAnsi="Century" w:hint="eastAsia"/>
          <w:sz w:val="20"/>
          <w:rtl/>
        </w:rPr>
        <w:t>ולהפוך</w:t>
      </w:r>
      <w:r w:rsidRPr="009C70CF">
        <w:rPr>
          <w:rFonts w:ascii="Century" w:hAnsi="Century"/>
          <w:sz w:val="20"/>
          <w:rtl/>
        </w:rPr>
        <w:t xml:space="preserve"> </w:t>
      </w:r>
      <w:r w:rsidRPr="009C70CF">
        <w:rPr>
          <w:rFonts w:ascii="Century" w:hAnsi="Century" w:hint="eastAsia"/>
          <w:sz w:val="20"/>
          <w:rtl/>
        </w:rPr>
        <w:t>למגדלים</w:t>
      </w:r>
      <w:r w:rsidRPr="009C70CF">
        <w:rPr>
          <w:rFonts w:ascii="Century" w:hAnsi="Century"/>
          <w:sz w:val="20"/>
          <w:rtl/>
        </w:rPr>
        <w:t xml:space="preserve"> </w:t>
      </w:r>
      <w:r w:rsidRPr="009C70CF">
        <w:rPr>
          <w:rFonts w:ascii="Century" w:hAnsi="Century" w:hint="eastAsia"/>
          <w:sz w:val="20"/>
          <w:rtl/>
        </w:rPr>
        <w:t>ולסוחרים</w:t>
      </w:r>
      <w:r w:rsidRPr="009C70CF">
        <w:rPr>
          <w:rFonts w:ascii="Century" w:hAnsi="Century"/>
          <w:sz w:val="20"/>
          <w:rtl/>
        </w:rPr>
        <w:t xml:space="preserve"> </w:t>
      </w:r>
      <w:r w:rsidRPr="009C70CF">
        <w:rPr>
          <w:rFonts w:ascii="David" w:hAnsi="David"/>
          <w:color w:val="000000"/>
          <w:rtl/>
        </w:rPr>
        <w:t>בסם</w:t>
      </w:r>
      <w:r w:rsidRPr="009C70CF">
        <w:rPr>
          <w:rFonts w:ascii="Century" w:hAnsi="Century"/>
          <w:sz w:val="20"/>
          <w:rtl/>
        </w:rPr>
        <w:t xml:space="preserve">. </w:t>
      </w:r>
      <w:r w:rsidRPr="009C70CF">
        <w:rPr>
          <w:rFonts w:ascii="Century" w:hAnsi="Century" w:hint="eastAsia"/>
          <w:sz w:val="20"/>
          <w:rtl/>
        </w:rPr>
        <w:t>זאת</w:t>
      </w:r>
      <w:r w:rsidRPr="009C70CF">
        <w:rPr>
          <w:rFonts w:ascii="Century" w:hAnsi="Century"/>
          <w:sz w:val="20"/>
          <w:rtl/>
        </w:rPr>
        <w:t xml:space="preserve">, </w:t>
      </w:r>
      <w:r w:rsidRPr="009C70CF">
        <w:rPr>
          <w:rFonts w:ascii="Century" w:hAnsi="Century" w:hint="eastAsia"/>
          <w:sz w:val="20"/>
          <w:rtl/>
        </w:rPr>
        <w:t>מתוך</w:t>
      </w:r>
      <w:r w:rsidRPr="009C70CF">
        <w:rPr>
          <w:rFonts w:ascii="Century" w:hAnsi="Century"/>
          <w:sz w:val="20"/>
          <w:rtl/>
        </w:rPr>
        <w:t xml:space="preserve"> </w:t>
      </w:r>
      <w:r w:rsidRPr="009C70CF">
        <w:rPr>
          <w:rFonts w:ascii="Century" w:hAnsi="Century" w:hint="eastAsia"/>
          <w:sz w:val="20"/>
          <w:rtl/>
        </w:rPr>
        <w:t>תפיסה</w:t>
      </w:r>
      <w:r w:rsidRPr="009C70CF">
        <w:rPr>
          <w:rFonts w:ascii="Century" w:hAnsi="Century"/>
          <w:sz w:val="20"/>
          <w:rtl/>
        </w:rPr>
        <w:t xml:space="preserve"> </w:t>
      </w:r>
      <w:r w:rsidRPr="009C70CF">
        <w:rPr>
          <w:rFonts w:ascii="Century" w:hAnsi="Century" w:hint="eastAsia"/>
          <w:sz w:val="20"/>
          <w:rtl/>
        </w:rPr>
        <w:t>שגויה</w:t>
      </w:r>
      <w:r w:rsidRPr="009C70CF">
        <w:rPr>
          <w:rFonts w:ascii="Century" w:hAnsi="Century"/>
          <w:sz w:val="20"/>
          <w:rtl/>
        </w:rPr>
        <w:t xml:space="preserve"> </w:t>
      </w:r>
      <w:r w:rsidRPr="009C70CF">
        <w:rPr>
          <w:rFonts w:ascii="Century" w:hAnsi="Century" w:hint="eastAsia"/>
          <w:sz w:val="20"/>
          <w:rtl/>
        </w:rPr>
        <w:t>כי</w:t>
      </w:r>
      <w:r w:rsidRPr="009C70CF">
        <w:rPr>
          <w:rFonts w:ascii="Century" w:hAnsi="Century"/>
          <w:sz w:val="20"/>
          <w:rtl/>
        </w:rPr>
        <w:t xml:space="preserve"> </w:t>
      </w:r>
      <w:r w:rsidRPr="009C70CF">
        <w:rPr>
          <w:rFonts w:ascii="Century" w:hAnsi="Century" w:hint="eastAsia"/>
          <w:sz w:val="20"/>
          <w:rtl/>
        </w:rPr>
        <w:t>מדובר</w:t>
      </w:r>
      <w:r w:rsidRPr="009C70CF">
        <w:rPr>
          <w:rFonts w:ascii="Century" w:hAnsi="Century"/>
          <w:sz w:val="20"/>
          <w:rtl/>
        </w:rPr>
        <w:t xml:space="preserve"> </w:t>
      </w:r>
      <w:r w:rsidRPr="009C70CF">
        <w:rPr>
          <w:rFonts w:ascii="Century" w:hAnsi="Century" w:hint="eastAsia"/>
          <w:sz w:val="20"/>
          <w:rtl/>
        </w:rPr>
        <w:t>ב</w:t>
      </w:r>
      <w:r w:rsidRPr="009C70CF">
        <w:rPr>
          <w:rFonts w:ascii="Century" w:hAnsi="Century"/>
          <w:sz w:val="20"/>
          <w:rtl/>
        </w:rPr>
        <w:t>"</w:t>
      </w:r>
      <w:r w:rsidRPr="009C70CF">
        <w:rPr>
          <w:rFonts w:ascii="Century" w:hAnsi="Century" w:hint="eastAsia"/>
          <w:sz w:val="20"/>
          <w:rtl/>
        </w:rPr>
        <w:t>סמים</w:t>
      </w:r>
      <w:r w:rsidRPr="009C70CF">
        <w:rPr>
          <w:rFonts w:ascii="Century" w:hAnsi="Century"/>
          <w:sz w:val="20"/>
          <w:rtl/>
        </w:rPr>
        <w:t xml:space="preserve"> </w:t>
      </w:r>
      <w:r w:rsidRPr="009C70CF">
        <w:rPr>
          <w:rFonts w:ascii="Century" w:hAnsi="Century" w:hint="eastAsia"/>
          <w:sz w:val="20"/>
          <w:rtl/>
        </w:rPr>
        <w:t>קלים</w:t>
      </w:r>
      <w:r w:rsidRPr="009C70CF">
        <w:rPr>
          <w:rFonts w:ascii="Century" w:hAnsi="Century"/>
          <w:sz w:val="20"/>
          <w:rtl/>
        </w:rPr>
        <w:t xml:space="preserve">", </w:t>
      </w:r>
      <w:r w:rsidRPr="009C70CF">
        <w:rPr>
          <w:rFonts w:ascii="Century" w:hAnsi="Century" w:hint="eastAsia"/>
          <w:sz w:val="20"/>
          <w:rtl/>
        </w:rPr>
        <w:t>ובהינתן</w:t>
      </w:r>
      <w:r w:rsidRPr="009C70CF">
        <w:rPr>
          <w:rFonts w:ascii="Century" w:hAnsi="Century"/>
          <w:sz w:val="20"/>
          <w:rtl/>
        </w:rPr>
        <w:t xml:space="preserve"> </w:t>
      </w:r>
      <w:r w:rsidRPr="009C70CF">
        <w:rPr>
          <w:rFonts w:ascii="Century" w:hAnsi="Century" w:hint="eastAsia"/>
          <w:sz w:val="20"/>
          <w:rtl/>
        </w:rPr>
        <w:t>הטכנולוגיה</w:t>
      </w:r>
      <w:r w:rsidRPr="009C70CF">
        <w:rPr>
          <w:rFonts w:ascii="Century" w:hAnsi="Century"/>
          <w:sz w:val="20"/>
          <w:rtl/>
        </w:rPr>
        <w:t xml:space="preserve"> </w:t>
      </w:r>
      <w:r w:rsidRPr="009C70CF">
        <w:rPr>
          <w:rFonts w:ascii="Century" w:hAnsi="Century" w:hint="eastAsia"/>
          <w:sz w:val="20"/>
          <w:rtl/>
        </w:rPr>
        <w:t>המאפשרת</w:t>
      </w:r>
      <w:r w:rsidRPr="009C70CF">
        <w:rPr>
          <w:rFonts w:ascii="Century" w:hAnsi="Century"/>
          <w:sz w:val="20"/>
          <w:rtl/>
        </w:rPr>
        <w:t xml:space="preserve"> </w:t>
      </w:r>
      <w:r w:rsidRPr="009C70CF">
        <w:rPr>
          <w:rFonts w:ascii="Century" w:hAnsi="Century" w:hint="eastAsia"/>
          <w:sz w:val="20"/>
          <w:rtl/>
        </w:rPr>
        <w:t>מכירה</w:t>
      </w:r>
      <w:r w:rsidRPr="009C70CF">
        <w:rPr>
          <w:rFonts w:ascii="Century" w:hAnsi="Century"/>
          <w:sz w:val="20"/>
          <w:rtl/>
        </w:rPr>
        <w:t xml:space="preserve"> </w:t>
      </w:r>
      <w:r w:rsidRPr="009C70CF">
        <w:rPr>
          <w:rFonts w:ascii="Century" w:hAnsi="Century" w:hint="eastAsia"/>
          <w:sz w:val="20"/>
          <w:rtl/>
        </w:rPr>
        <w:t>והפצה</w:t>
      </w:r>
      <w:r w:rsidRPr="009C70CF">
        <w:rPr>
          <w:rFonts w:ascii="Century" w:hAnsi="Century"/>
          <w:sz w:val="20"/>
          <w:rtl/>
        </w:rPr>
        <w:t xml:space="preserve"> </w:t>
      </w:r>
      <w:r w:rsidRPr="009C70CF">
        <w:rPr>
          <w:rFonts w:ascii="Century" w:hAnsi="Century" w:hint="eastAsia"/>
          <w:sz w:val="20"/>
          <w:rtl/>
        </w:rPr>
        <w:t>קלה</w:t>
      </w:r>
      <w:r w:rsidRPr="009C70CF">
        <w:rPr>
          <w:rFonts w:ascii="Century" w:hAnsi="Century"/>
          <w:sz w:val="20"/>
          <w:rtl/>
        </w:rPr>
        <w:t xml:space="preserve"> </w:t>
      </w:r>
      <w:r w:rsidRPr="009C70CF">
        <w:rPr>
          <w:rFonts w:ascii="Century" w:hAnsi="Century" w:hint="eastAsia"/>
          <w:sz w:val="20"/>
          <w:rtl/>
        </w:rPr>
        <w:t>ו</w:t>
      </w:r>
      <w:r w:rsidRPr="009C70CF">
        <w:rPr>
          <w:rFonts w:ascii="Century" w:hAnsi="Century"/>
          <w:sz w:val="20"/>
          <w:rtl/>
        </w:rPr>
        <w:t>"</w:t>
      </w:r>
      <w:r w:rsidRPr="009C70CF">
        <w:rPr>
          <w:rFonts w:ascii="Century" w:hAnsi="Century" w:hint="eastAsia"/>
          <w:sz w:val="20"/>
          <w:rtl/>
        </w:rPr>
        <w:t>סטרילית</w:t>
      </w:r>
      <w:r w:rsidRPr="009C70CF">
        <w:rPr>
          <w:rFonts w:ascii="Century" w:hAnsi="Century"/>
          <w:sz w:val="20"/>
          <w:rtl/>
        </w:rPr>
        <w:t xml:space="preserve">" </w:t>
      </w:r>
      <w:r w:rsidRPr="009C70CF">
        <w:rPr>
          <w:rFonts w:ascii="Century" w:hAnsi="Century" w:hint="eastAsia"/>
          <w:sz w:val="20"/>
          <w:rtl/>
        </w:rPr>
        <w:t>של</w:t>
      </w:r>
      <w:r w:rsidRPr="009C70CF">
        <w:rPr>
          <w:rFonts w:ascii="Century" w:hAnsi="Century"/>
          <w:sz w:val="20"/>
          <w:rtl/>
        </w:rPr>
        <w:t xml:space="preserve"> </w:t>
      </w:r>
      <w:r w:rsidRPr="009C70CF">
        <w:rPr>
          <w:rFonts w:ascii="Century" w:hAnsi="Century" w:hint="eastAsia"/>
          <w:sz w:val="20"/>
          <w:rtl/>
        </w:rPr>
        <w:t>סמים</w:t>
      </w:r>
      <w:r w:rsidRPr="009C70CF">
        <w:rPr>
          <w:rFonts w:ascii="Century" w:hAnsi="Century"/>
          <w:sz w:val="20"/>
          <w:rtl/>
        </w:rPr>
        <w:t xml:space="preserve">. </w:t>
      </w:r>
      <w:r w:rsidRPr="009C70CF">
        <w:rPr>
          <w:rFonts w:ascii="Century" w:hAnsi="Century" w:hint="eastAsia"/>
          <w:sz w:val="20"/>
          <w:rtl/>
        </w:rPr>
        <w:t>ברם</w:t>
      </w:r>
      <w:r w:rsidRPr="009C70CF">
        <w:rPr>
          <w:rFonts w:ascii="Century" w:hAnsi="Century"/>
          <w:sz w:val="20"/>
          <w:rtl/>
        </w:rPr>
        <w:t xml:space="preserve">, </w:t>
      </w:r>
      <w:r w:rsidRPr="009C70CF">
        <w:rPr>
          <w:rFonts w:ascii="Century" w:hAnsi="Century" w:hint="eastAsia"/>
          <w:sz w:val="20"/>
          <w:rtl/>
        </w:rPr>
        <w:t>סחר</w:t>
      </w:r>
      <w:r w:rsidRPr="009C70CF">
        <w:rPr>
          <w:rFonts w:ascii="Century" w:hAnsi="Century"/>
          <w:sz w:val="20"/>
          <w:rtl/>
        </w:rPr>
        <w:t xml:space="preserve"> </w:t>
      </w:r>
      <w:r w:rsidRPr="009C70CF">
        <w:rPr>
          <w:rFonts w:ascii="Century" w:hAnsi="Century" w:hint="eastAsia"/>
          <w:sz w:val="20"/>
          <w:rtl/>
        </w:rPr>
        <w:t>בסמים</w:t>
      </w:r>
      <w:r w:rsidRPr="009C70CF">
        <w:rPr>
          <w:rFonts w:ascii="Century" w:hAnsi="Century"/>
          <w:sz w:val="20"/>
          <w:rtl/>
        </w:rPr>
        <w:t xml:space="preserve"> </w:t>
      </w:r>
      <w:r w:rsidRPr="009C70CF">
        <w:rPr>
          <w:rFonts w:ascii="Century" w:hAnsi="Century" w:hint="eastAsia"/>
          <w:sz w:val="20"/>
          <w:rtl/>
        </w:rPr>
        <w:t>הוא</w:t>
      </w:r>
      <w:r w:rsidRPr="009C70CF">
        <w:rPr>
          <w:rFonts w:ascii="Century" w:hAnsi="Century"/>
          <w:sz w:val="20"/>
          <w:rtl/>
        </w:rPr>
        <w:t xml:space="preserve"> </w:t>
      </w:r>
      <w:r w:rsidRPr="009C70CF">
        <w:rPr>
          <w:rFonts w:ascii="Century" w:hAnsi="Century" w:hint="eastAsia"/>
          <w:sz w:val="20"/>
          <w:rtl/>
        </w:rPr>
        <w:t>סחר</w:t>
      </w:r>
      <w:r w:rsidRPr="009C70CF">
        <w:rPr>
          <w:rFonts w:ascii="Century" w:hAnsi="Century"/>
          <w:sz w:val="20"/>
          <w:rtl/>
        </w:rPr>
        <w:t xml:space="preserve"> </w:t>
      </w:r>
      <w:r w:rsidRPr="009C70CF">
        <w:rPr>
          <w:rFonts w:ascii="Century" w:hAnsi="Century" w:hint="eastAsia"/>
          <w:sz w:val="20"/>
          <w:rtl/>
        </w:rPr>
        <w:t>בסמים</w:t>
      </w:r>
      <w:r w:rsidRPr="009C70CF">
        <w:rPr>
          <w:rFonts w:ascii="Century" w:hAnsi="Century"/>
          <w:sz w:val="20"/>
          <w:rtl/>
        </w:rPr>
        <w:t xml:space="preserve">. </w:t>
      </w:r>
      <w:r w:rsidRPr="009C70CF">
        <w:rPr>
          <w:rFonts w:ascii="Century" w:hAnsi="Century" w:hint="eastAsia"/>
          <w:sz w:val="20"/>
          <w:rtl/>
        </w:rPr>
        <w:t>ידע</w:t>
      </w:r>
      <w:r w:rsidRPr="009C70CF">
        <w:rPr>
          <w:rFonts w:ascii="Century" w:hAnsi="Century"/>
          <w:sz w:val="20"/>
          <w:rtl/>
        </w:rPr>
        <w:t xml:space="preserve"> </w:t>
      </w:r>
      <w:r w:rsidRPr="009C70CF">
        <w:rPr>
          <w:rFonts w:ascii="Century" w:hAnsi="Century" w:hint="eastAsia"/>
          <w:sz w:val="20"/>
          <w:rtl/>
        </w:rPr>
        <w:t>כל</w:t>
      </w:r>
      <w:r w:rsidRPr="009C70CF">
        <w:rPr>
          <w:rFonts w:ascii="Century" w:hAnsi="Century"/>
          <w:sz w:val="20"/>
          <w:rtl/>
        </w:rPr>
        <w:t xml:space="preserve"> </w:t>
      </w:r>
      <w:r w:rsidRPr="009C70CF">
        <w:rPr>
          <w:rFonts w:ascii="Century" w:hAnsi="Century" w:hint="eastAsia"/>
          <w:sz w:val="20"/>
          <w:rtl/>
        </w:rPr>
        <w:t>מי</w:t>
      </w:r>
      <w:r w:rsidRPr="009C70CF">
        <w:rPr>
          <w:rFonts w:ascii="Century" w:hAnsi="Century"/>
          <w:sz w:val="20"/>
          <w:rtl/>
        </w:rPr>
        <w:t xml:space="preserve"> </w:t>
      </w:r>
      <w:r w:rsidRPr="009C70CF">
        <w:rPr>
          <w:rFonts w:ascii="Century" w:hAnsi="Century" w:hint="eastAsia"/>
          <w:sz w:val="20"/>
          <w:rtl/>
        </w:rPr>
        <w:t>שמהרהר</w:t>
      </w:r>
      <w:r w:rsidRPr="009C70CF">
        <w:rPr>
          <w:rFonts w:ascii="Century" w:hAnsi="Century"/>
          <w:sz w:val="20"/>
          <w:rtl/>
        </w:rPr>
        <w:t xml:space="preserve"> </w:t>
      </w:r>
      <w:r w:rsidRPr="009C70CF">
        <w:rPr>
          <w:rFonts w:ascii="Century" w:hAnsi="Century" w:hint="eastAsia"/>
          <w:sz w:val="20"/>
          <w:rtl/>
        </w:rPr>
        <w:t>בדרכים</w:t>
      </w:r>
      <w:r w:rsidRPr="009C70CF">
        <w:rPr>
          <w:rFonts w:ascii="Century" w:hAnsi="Century"/>
          <w:sz w:val="20"/>
          <w:rtl/>
        </w:rPr>
        <w:t xml:space="preserve"> </w:t>
      </w:r>
      <w:r w:rsidRPr="009C70CF">
        <w:rPr>
          <w:rFonts w:ascii="Century" w:hAnsi="Century" w:hint="eastAsia"/>
          <w:sz w:val="20"/>
          <w:rtl/>
        </w:rPr>
        <w:t>לעשיית</w:t>
      </w:r>
      <w:r w:rsidRPr="009C70CF">
        <w:rPr>
          <w:rFonts w:ascii="Century" w:hAnsi="Century"/>
          <w:sz w:val="20"/>
          <w:rtl/>
        </w:rPr>
        <w:t xml:space="preserve"> </w:t>
      </w:r>
      <w:r w:rsidRPr="009C70CF">
        <w:rPr>
          <w:rFonts w:ascii="Century" w:hAnsi="Century" w:hint="eastAsia"/>
          <w:sz w:val="20"/>
          <w:rtl/>
        </w:rPr>
        <w:t>כסף</w:t>
      </w:r>
      <w:r w:rsidRPr="009C70CF">
        <w:rPr>
          <w:rFonts w:ascii="Century" w:hAnsi="Century"/>
          <w:sz w:val="20"/>
          <w:rtl/>
        </w:rPr>
        <w:t xml:space="preserve"> </w:t>
      </w:r>
      <w:r w:rsidRPr="009C70CF">
        <w:rPr>
          <w:rFonts w:ascii="Century" w:hAnsi="Century" w:hint="eastAsia"/>
          <w:sz w:val="20"/>
          <w:rtl/>
        </w:rPr>
        <w:t>קל</w:t>
      </w:r>
      <w:r w:rsidRPr="009C70CF">
        <w:rPr>
          <w:rFonts w:ascii="Century" w:hAnsi="Century"/>
          <w:sz w:val="20"/>
          <w:rtl/>
        </w:rPr>
        <w:t xml:space="preserve">, </w:t>
      </w:r>
      <w:r w:rsidRPr="009C70CF">
        <w:rPr>
          <w:rFonts w:ascii="Century" w:hAnsi="Century" w:hint="eastAsia"/>
          <w:sz w:val="20"/>
          <w:rtl/>
        </w:rPr>
        <w:t>כי</w:t>
      </w:r>
      <w:r w:rsidRPr="009C70CF">
        <w:rPr>
          <w:rFonts w:ascii="Century" w:hAnsi="Century"/>
          <w:sz w:val="20"/>
          <w:rtl/>
        </w:rPr>
        <w:t xml:space="preserve"> </w:t>
      </w:r>
      <w:r w:rsidRPr="009C70CF">
        <w:rPr>
          <w:rFonts w:ascii="Century" w:hAnsi="Century" w:hint="eastAsia"/>
          <w:sz w:val="20"/>
          <w:rtl/>
        </w:rPr>
        <w:t>מדיניות</w:t>
      </w:r>
      <w:r w:rsidRPr="009C70CF">
        <w:rPr>
          <w:rFonts w:ascii="Century" w:hAnsi="Century"/>
          <w:sz w:val="20"/>
          <w:rtl/>
        </w:rPr>
        <w:t xml:space="preserve"> </w:t>
      </w:r>
      <w:r w:rsidRPr="009C70CF">
        <w:rPr>
          <w:rFonts w:ascii="Century" w:hAnsi="Century" w:hint="eastAsia"/>
          <w:sz w:val="20"/>
          <w:rtl/>
        </w:rPr>
        <w:t>הענישה</w:t>
      </w:r>
      <w:r w:rsidRPr="009C70CF">
        <w:rPr>
          <w:rFonts w:ascii="Century" w:hAnsi="Century"/>
          <w:sz w:val="20"/>
          <w:rtl/>
        </w:rPr>
        <w:t xml:space="preserve"> </w:t>
      </w:r>
      <w:r w:rsidRPr="009C70CF">
        <w:rPr>
          <w:rFonts w:ascii="Century" w:hAnsi="Century" w:hint="eastAsia"/>
          <w:sz w:val="20"/>
          <w:rtl/>
        </w:rPr>
        <w:t>לא</w:t>
      </w:r>
      <w:r w:rsidRPr="009C70CF">
        <w:rPr>
          <w:rFonts w:ascii="Century" w:hAnsi="Century"/>
          <w:sz w:val="20"/>
          <w:rtl/>
        </w:rPr>
        <w:t xml:space="preserve"> </w:t>
      </w:r>
      <w:r w:rsidRPr="009C70CF">
        <w:rPr>
          <w:rFonts w:ascii="Century" w:hAnsi="Century" w:hint="eastAsia"/>
          <w:sz w:val="20"/>
          <w:rtl/>
        </w:rPr>
        <w:t>השתנתה</w:t>
      </w:r>
      <w:r w:rsidRPr="009C70CF">
        <w:rPr>
          <w:rFonts w:ascii="Century" w:hAnsi="Century"/>
          <w:sz w:val="20"/>
          <w:rtl/>
        </w:rPr>
        <w:t xml:space="preserve"> </w:t>
      </w:r>
      <w:r w:rsidRPr="009C70CF">
        <w:rPr>
          <w:rFonts w:ascii="Century" w:hAnsi="Century" w:hint="eastAsia"/>
          <w:sz w:val="20"/>
          <w:rtl/>
        </w:rPr>
        <w:t>ובית</w:t>
      </w:r>
      <w:r w:rsidRPr="009C70CF">
        <w:rPr>
          <w:rFonts w:ascii="Century" w:hAnsi="Century"/>
          <w:sz w:val="20"/>
          <w:rtl/>
        </w:rPr>
        <w:t xml:space="preserve"> </w:t>
      </w:r>
      <w:r w:rsidRPr="009C70CF">
        <w:rPr>
          <w:rFonts w:ascii="Century" w:hAnsi="Century" w:hint="eastAsia"/>
          <w:sz w:val="20"/>
          <w:rtl/>
        </w:rPr>
        <w:t>המשפט</w:t>
      </w:r>
      <w:r w:rsidRPr="009C70CF">
        <w:rPr>
          <w:rFonts w:ascii="Century" w:hAnsi="Century"/>
          <w:sz w:val="20"/>
          <w:rtl/>
        </w:rPr>
        <w:t xml:space="preserve"> </w:t>
      </w:r>
      <w:r w:rsidRPr="009C70CF">
        <w:rPr>
          <w:rFonts w:ascii="Century" w:hAnsi="Century" w:hint="eastAsia"/>
          <w:sz w:val="20"/>
          <w:rtl/>
        </w:rPr>
        <w:t>רואה</w:t>
      </w:r>
      <w:r w:rsidRPr="009C70CF">
        <w:rPr>
          <w:rFonts w:ascii="Century" w:hAnsi="Century"/>
          <w:sz w:val="20"/>
          <w:rtl/>
        </w:rPr>
        <w:t xml:space="preserve"> </w:t>
      </w:r>
      <w:r w:rsidRPr="009C70CF">
        <w:rPr>
          <w:rFonts w:ascii="Century" w:hAnsi="Century" w:hint="eastAsia"/>
          <w:sz w:val="20"/>
          <w:rtl/>
        </w:rPr>
        <w:t>בחומרה</w:t>
      </w:r>
      <w:r w:rsidRPr="009C70CF">
        <w:rPr>
          <w:rFonts w:ascii="Century" w:hAnsi="Century"/>
          <w:sz w:val="20"/>
          <w:rtl/>
        </w:rPr>
        <w:t xml:space="preserve"> </w:t>
      </w:r>
      <w:r w:rsidRPr="009C70CF">
        <w:rPr>
          <w:rFonts w:ascii="Century" w:hAnsi="Century" w:hint="eastAsia"/>
          <w:sz w:val="20"/>
          <w:rtl/>
        </w:rPr>
        <w:t>עבירות</w:t>
      </w:r>
      <w:r w:rsidRPr="009C70CF">
        <w:rPr>
          <w:rFonts w:ascii="Century" w:hAnsi="Century"/>
          <w:sz w:val="20"/>
          <w:rtl/>
        </w:rPr>
        <w:t xml:space="preserve"> </w:t>
      </w:r>
      <w:r w:rsidRPr="009C70CF">
        <w:rPr>
          <w:rFonts w:ascii="Century" w:hAnsi="Century" w:hint="eastAsia"/>
          <w:sz w:val="20"/>
          <w:rtl/>
        </w:rPr>
        <w:t>של</w:t>
      </w:r>
      <w:r w:rsidRPr="009C70CF">
        <w:rPr>
          <w:rFonts w:ascii="Century" w:hAnsi="Century"/>
          <w:sz w:val="20"/>
          <w:rtl/>
        </w:rPr>
        <w:t xml:space="preserve"> </w:t>
      </w:r>
      <w:r w:rsidRPr="009C70CF">
        <w:rPr>
          <w:rFonts w:ascii="Century" w:hAnsi="Century" w:hint="eastAsia"/>
          <w:sz w:val="20"/>
          <w:rtl/>
        </w:rPr>
        <w:t>סחר</w:t>
      </w:r>
      <w:r w:rsidRPr="009C70CF">
        <w:rPr>
          <w:rFonts w:ascii="Century" w:hAnsi="Century"/>
          <w:sz w:val="20"/>
          <w:rtl/>
        </w:rPr>
        <w:t xml:space="preserve"> </w:t>
      </w:r>
      <w:r w:rsidRPr="009C70CF">
        <w:rPr>
          <w:rFonts w:ascii="Century" w:hAnsi="Century" w:hint="eastAsia"/>
          <w:sz w:val="20"/>
          <w:rtl/>
        </w:rPr>
        <w:t>והפצה</w:t>
      </w:r>
      <w:r w:rsidRPr="009C70CF">
        <w:rPr>
          <w:rFonts w:ascii="Century" w:hAnsi="Century"/>
          <w:sz w:val="20"/>
          <w:rtl/>
        </w:rPr>
        <w:t xml:space="preserve"> </w:t>
      </w:r>
      <w:r w:rsidRPr="009C70CF">
        <w:rPr>
          <w:rFonts w:ascii="Century" w:hAnsi="Century" w:hint="eastAsia"/>
          <w:sz w:val="20"/>
          <w:rtl/>
        </w:rPr>
        <w:t>של</w:t>
      </w:r>
      <w:r w:rsidRPr="009C70CF">
        <w:rPr>
          <w:rFonts w:ascii="Century" w:hAnsi="Century"/>
          <w:sz w:val="20"/>
          <w:rtl/>
        </w:rPr>
        <w:t xml:space="preserve"> </w:t>
      </w:r>
      <w:r w:rsidRPr="009C70CF">
        <w:rPr>
          <w:rFonts w:ascii="Century" w:hAnsi="Century" w:hint="eastAsia"/>
          <w:sz w:val="20"/>
          <w:rtl/>
        </w:rPr>
        <w:t>סמים</w:t>
      </w:r>
      <w:r w:rsidRPr="009C70CF">
        <w:rPr>
          <w:rFonts w:ascii="Century" w:hAnsi="Century"/>
          <w:sz w:val="20"/>
          <w:rtl/>
        </w:rPr>
        <w:t xml:space="preserve"> </w:t>
      </w:r>
      <w:r w:rsidRPr="009C70CF">
        <w:rPr>
          <w:rFonts w:ascii="Century" w:hAnsi="Century" w:hint="eastAsia"/>
          <w:sz w:val="20"/>
          <w:rtl/>
        </w:rPr>
        <w:t>מסוכנים</w:t>
      </w:r>
      <w:r w:rsidRPr="009C70CF">
        <w:rPr>
          <w:rFonts w:ascii="Century" w:hAnsi="Century"/>
          <w:sz w:val="20"/>
          <w:rtl/>
        </w:rPr>
        <w:t xml:space="preserve">, </w:t>
      </w:r>
      <w:r w:rsidRPr="009C70CF">
        <w:rPr>
          <w:rFonts w:ascii="Century" w:hAnsi="Century" w:hint="eastAsia"/>
          <w:sz w:val="20"/>
          <w:rtl/>
        </w:rPr>
        <w:t>גם</w:t>
      </w:r>
      <w:r w:rsidRPr="009C70CF">
        <w:rPr>
          <w:rFonts w:ascii="Century" w:hAnsi="Century"/>
          <w:sz w:val="20"/>
          <w:rtl/>
        </w:rPr>
        <w:t xml:space="preserve"> </w:t>
      </w:r>
      <w:r w:rsidRPr="009C70CF">
        <w:rPr>
          <w:rFonts w:ascii="Century" w:hAnsi="Century" w:hint="eastAsia"/>
          <w:sz w:val="20"/>
          <w:rtl/>
        </w:rPr>
        <w:t>סמים</w:t>
      </w:r>
      <w:r w:rsidRPr="009C70CF">
        <w:rPr>
          <w:rFonts w:ascii="Century" w:hAnsi="Century"/>
          <w:sz w:val="20"/>
          <w:rtl/>
        </w:rPr>
        <w:t xml:space="preserve"> "</w:t>
      </w:r>
      <w:r w:rsidRPr="009C70CF">
        <w:rPr>
          <w:rFonts w:ascii="Century" w:hAnsi="Century" w:hint="eastAsia"/>
          <w:sz w:val="20"/>
          <w:rtl/>
        </w:rPr>
        <w:t>קלים</w:t>
      </w:r>
      <w:r w:rsidRPr="009C70CF">
        <w:rPr>
          <w:rFonts w:ascii="Century" w:hAnsi="Century"/>
          <w:sz w:val="20"/>
          <w:rtl/>
        </w:rPr>
        <w:t xml:space="preserve">", </w:t>
      </w:r>
      <w:r w:rsidRPr="009C70CF">
        <w:rPr>
          <w:rFonts w:ascii="Century" w:hAnsi="Century" w:hint="eastAsia"/>
          <w:sz w:val="20"/>
          <w:rtl/>
        </w:rPr>
        <w:t>תוך</w:t>
      </w:r>
      <w:r w:rsidRPr="009C70CF">
        <w:rPr>
          <w:rFonts w:ascii="Century" w:hAnsi="Century"/>
          <w:sz w:val="20"/>
          <w:rtl/>
        </w:rPr>
        <w:t xml:space="preserve"> </w:t>
      </w:r>
      <w:r w:rsidRPr="009C70CF">
        <w:rPr>
          <w:rFonts w:ascii="Century" w:hAnsi="Century" w:hint="eastAsia"/>
          <w:sz w:val="20"/>
          <w:rtl/>
        </w:rPr>
        <w:t>הטלת</w:t>
      </w:r>
      <w:r w:rsidRPr="009C70CF">
        <w:rPr>
          <w:rFonts w:ascii="Century" w:hAnsi="Century"/>
          <w:sz w:val="20"/>
          <w:rtl/>
        </w:rPr>
        <w:t xml:space="preserve"> </w:t>
      </w:r>
      <w:r w:rsidRPr="009C70CF">
        <w:rPr>
          <w:rFonts w:ascii="Century" w:hAnsi="Century" w:hint="eastAsia"/>
          <w:sz w:val="20"/>
          <w:rtl/>
        </w:rPr>
        <w:t>ענישה</w:t>
      </w:r>
      <w:r w:rsidRPr="009C70CF">
        <w:rPr>
          <w:rFonts w:ascii="Century" w:hAnsi="Century"/>
          <w:sz w:val="20"/>
          <w:rtl/>
        </w:rPr>
        <w:t xml:space="preserve"> </w:t>
      </w:r>
      <w:r w:rsidRPr="009C70CF">
        <w:rPr>
          <w:rFonts w:ascii="Century" w:hAnsi="Century" w:hint="eastAsia"/>
          <w:sz w:val="20"/>
          <w:rtl/>
        </w:rPr>
        <w:t>משמעותית</w:t>
      </w:r>
      <w:r w:rsidRPr="009C70CF">
        <w:rPr>
          <w:rFonts w:ascii="Century" w:hAnsi="Century"/>
          <w:sz w:val="20"/>
          <w:rtl/>
        </w:rPr>
        <w:t xml:space="preserve"> </w:t>
      </w:r>
      <w:r w:rsidRPr="009C70CF">
        <w:rPr>
          <w:rFonts w:ascii="Century" w:hAnsi="Century" w:hint="eastAsia"/>
          <w:sz w:val="20"/>
          <w:rtl/>
        </w:rPr>
        <w:t>ומרתיעה</w:t>
      </w:r>
      <w:r w:rsidRPr="009C70CF">
        <w:rPr>
          <w:rFonts w:ascii="Century" w:hAnsi="Century"/>
          <w:sz w:val="20"/>
          <w:rtl/>
        </w:rPr>
        <w:t xml:space="preserve">. </w:t>
      </w:r>
      <w:r w:rsidRPr="009C70CF">
        <w:rPr>
          <w:rFonts w:ascii="Century" w:hAnsi="Century" w:hint="eastAsia"/>
          <w:sz w:val="20"/>
          <w:rtl/>
        </w:rPr>
        <w:t>צרכנים</w:t>
      </w:r>
      <w:r w:rsidRPr="009C70CF">
        <w:rPr>
          <w:rFonts w:ascii="Century" w:hAnsi="Century"/>
          <w:sz w:val="20"/>
          <w:rtl/>
        </w:rPr>
        <w:t xml:space="preserve"> </w:t>
      </w:r>
      <w:r w:rsidRPr="009C70CF">
        <w:rPr>
          <w:rFonts w:ascii="Century" w:hAnsi="Century" w:hint="eastAsia"/>
          <w:sz w:val="20"/>
          <w:rtl/>
        </w:rPr>
        <w:t>ומשתמשים</w:t>
      </w:r>
      <w:r w:rsidRPr="009C70CF">
        <w:rPr>
          <w:rFonts w:ascii="Century" w:hAnsi="Century"/>
          <w:sz w:val="20"/>
          <w:rtl/>
        </w:rPr>
        <w:t xml:space="preserve"> – </w:t>
      </w:r>
      <w:r w:rsidRPr="009C70CF">
        <w:rPr>
          <w:rFonts w:ascii="Century" w:hAnsi="Century" w:hint="eastAsia"/>
          <w:sz w:val="20"/>
          <w:rtl/>
        </w:rPr>
        <w:t>ראו</w:t>
      </w:r>
      <w:r w:rsidRPr="009C70CF">
        <w:rPr>
          <w:rFonts w:ascii="Century" w:hAnsi="Century"/>
          <w:sz w:val="20"/>
          <w:rtl/>
        </w:rPr>
        <w:t xml:space="preserve"> </w:t>
      </w:r>
      <w:r w:rsidRPr="009C70CF">
        <w:rPr>
          <w:rFonts w:ascii="Century" w:hAnsi="Century" w:hint="eastAsia"/>
          <w:sz w:val="20"/>
          <w:rtl/>
        </w:rPr>
        <w:t>הוזהרתם</w:t>
      </w:r>
      <w:r w:rsidRPr="009C70CF">
        <w:rPr>
          <w:rFonts w:ascii="Century" w:hAnsi="Century"/>
          <w:sz w:val="20"/>
          <w:rtl/>
        </w:rPr>
        <w:t xml:space="preserve">". </w:t>
      </w:r>
    </w:p>
    <w:p w14:paraId="715E42EB" w14:textId="77777777" w:rsidR="002A5CDF" w:rsidRPr="009C70CF" w:rsidRDefault="002A5CDF" w:rsidP="002A5CDF">
      <w:pPr>
        <w:spacing w:after="120" w:line="360" w:lineRule="auto"/>
        <w:ind w:left="720"/>
        <w:jc w:val="both"/>
        <w:rPr>
          <w:rFonts w:ascii="David" w:hAnsi="David"/>
          <w:color w:val="000000"/>
          <w:rtl/>
        </w:rPr>
      </w:pPr>
      <w:r w:rsidRPr="009C70CF">
        <w:rPr>
          <w:rFonts w:ascii="David" w:hAnsi="David"/>
          <w:color w:val="000000"/>
          <w:rtl/>
        </w:rPr>
        <w:t xml:space="preserve">דברים דומים נקבעו על ידי כב' השופט הנדל </w:t>
      </w:r>
      <w:r w:rsidRPr="009C70CF">
        <w:rPr>
          <w:rFonts w:ascii="David" w:hAnsi="David"/>
          <w:rtl/>
        </w:rPr>
        <w:t>ב</w:t>
      </w:r>
      <w:hyperlink r:id="rId20" w:history="1">
        <w:r w:rsidR="00011D22" w:rsidRPr="00011D22">
          <w:rPr>
            <w:rFonts w:ascii="David" w:hAnsi="David"/>
            <w:color w:val="0000FF"/>
            <w:u w:val="single"/>
            <w:rtl/>
          </w:rPr>
          <w:t>ע"פ 5807/17</w:t>
        </w:r>
      </w:hyperlink>
      <w:r w:rsidRPr="009C70CF">
        <w:rPr>
          <w:rFonts w:ascii="David" w:hAnsi="David"/>
          <w:color w:val="000000"/>
          <w:rtl/>
        </w:rPr>
        <w:t xml:space="preserve"> </w:t>
      </w:r>
      <w:r w:rsidRPr="009C70CF">
        <w:rPr>
          <w:rFonts w:ascii="David" w:hAnsi="David"/>
          <w:b/>
          <w:bCs/>
          <w:color w:val="000000"/>
          <w:rtl/>
        </w:rPr>
        <w:t xml:space="preserve">דרחי נ' מדינת ישראל </w:t>
      </w:r>
      <w:r w:rsidRPr="009C70CF">
        <w:rPr>
          <w:rFonts w:ascii="David" w:hAnsi="David"/>
          <w:color w:val="000000"/>
          <w:rtl/>
        </w:rPr>
        <w:t>(18.6.18):</w:t>
      </w:r>
    </w:p>
    <w:p w14:paraId="483A219D" w14:textId="77777777" w:rsidR="002A5CDF" w:rsidRPr="009C70CF" w:rsidRDefault="002A5CDF" w:rsidP="002A5CDF">
      <w:pPr>
        <w:spacing w:after="120" w:line="360" w:lineRule="auto"/>
        <w:ind w:left="1133" w:right="567"/>
        <w:jc w:val="both"/>
        <w:rPr>
          <w:rFonts w:ascii="David" w:hAnsi="David" w:cs="Times New Roman"/>
          <w:color w:val="000000"/>
          <w:rtl/>
        </w:rPr>
      </w:pPr>
      <w:r w:rsidRPr="009C70CF">
        <w:rPr>
          <w:rFonts w:ascii="David" w:hAnsi="David"/>
          <w:color w:val="000000"/>
          <w:rtl/>
        </w:rPr>
        <w:t>"מערער 1 הקים בית גידול לסמים, באופן המלמד על תכנון מוקדם משמעותי ועל כוונה להרחיב את שרשרת הפצת הסמים. כתב האישום מתייחס לכמות של כ-76 קילוגרם של סם מסוג קנבוס, אשר מערער 1 קשר קשר עם מערער 2 על מנת להפיצם. ללא התערבות גורמי אכיפת החוק, הנזק הפוטנציאלי ממעשיהם של המערערים עשוי היה להיות עצום, וכך גם הפגיעה בערכים המוגנים. וברקע, בצע כסף, נוכח מצבם הכלכלי. השימוש בדירה לצורך גידול סם, הוא כהכרזה כי מכאן יסופק סם בכמויות גדולות לציבור. ויוזכר כי לא מדובר בעסקה בודדת, אלא כוונה לפתוח עסק, הכולל, בין היתר, ייצור של החומר האסור".</w:t>
      </w:r>
      <w:r w:rsidRPr="009C70CF">
        <w:rPr>
          <w:rFonts w:ascii="David" w:hAnsi="David" w:cs="Times New Roman"/>
          <w:color w:val="000000"/>
          <w:rtl/>
        </w:rPr>
        <w:t xml:space="preserve"> </w:t>
      </w:r>
    </w:p>
    <w:p w14:paraId="792861C4"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בחינת </w:t>
      </w:r>
      <w:r w:rsidRPr="009C70CF">
        <w:rPr>
          <w:rFonts w:ascii="David" w:hAnsi="David"/>
          <w:b/>
          <w:bCs/>
          <w:color w:val="000000"/>
          <w:rtl/>
        </w:rPr>
        <w:t xml:space="preserve">מידת הפגיעה בערך המוגן </w:t>
      </w:r>
      <w:r w:rsidRPr="009C70CF">
        <w:rPr>
          <w:rFonts w:ascii="David" w:hAnsi="David"/>
          <w:color w:val="000000"/>
          <w:rtl/>
        </w:rPr>
        <w:t xml:space="preserve">מובילה למסקנה כי הפגיעה בערך המוגן הינה </w:t>
      </w:r>
      <w:r w:rsidRPr="009C70CF">
        <w:rPr>
          <w:rFonts w:ascii="David" w:hAnsi="David"/>
          <w:b/>
          <w:bCs/>
          <w:color w:val="000000"/>
          <w:rtl/>
        </w:rPr>
        <w:t>ברף בינוני</w:t>
      </w:r>
      <w:r w:rsidRPr="009C70CF">
        <w:rPr>
          <w:rFonts w:ascii="David" w:hAnsi="David"/>
          <w:color w:val="000000"/>
          <w:rtl/>
        </w:rPr>
        <w:t xml:space="preserve">. זאת בשים לב לכך שמדובר בהפקה והכנה של קנאביס בהיקף של </w:t>
      </w:r>
      <w:r w:rsidRPr="009C70CF">
        <w:rPr>
          <w:rFonts w:ascii="David" w:hAnsi="David"/>
          <w:b/>
          <w:bCs/>
          <w:color w:val="000000"/>
          <w:rtl/>
        </w:rPr>
        <w:t>כ-80 ק"ג</w:t>
      </w:r>
      <w:r w:rsidRPr="009C70CF">
        <w:rPr>
          <w:rFonts w:ascii="David" w:hAnsi="David"/>
          <w:color w:val="000000"/>
          <w:rtl/>
        </w:rPr>
        <w:t>, בשווי כולל של מאות אלפי</w:t>
      </w:r>
      <w:r w:rsidRPr="009C70CF">
        <w:rPr>
          <w:rFonts w:ascii="David" w:hAnsi="David"/>
          <w:b/>
          <w:bCs/>
          <w:color w:val="000000"/>
          <w:rtl/>
        </w:rPr>
        <w:t xml:space="preserve"> ₪. </w:t>
      </w:r>
    </w:p>
    <w:p w14:paraId="1D3BA553" w14:textId="77777777" w:rsidR="002A5CDF" w:rsidRPr="009C70CF" w:rsidRDefault="002A5CDF" w:rsidP="002A5CDF">
      <w:pPr>
        <w:numPr>
          <w:ilvl w:val="0"/>
          <w:numId w:val="1"/>
        </w:numPr>
        <w:spacing w:after="120" w:line="360" w:lineRule="auto"/>
        <w:jc w:val="both"/>
        <w:rPr>
          <w:color w:val="000000"/>
        </w:rPr>
      </w:pPr>
      <w:r w:rsidRPr="009C70CF">
        <w:rPr>
          <w:rFonts w:ascii="David" w:hAnsi="David"/>
          <w:color w:val="000000"/>
          <w:rtl/>
        </w:rPr>
        <w:t xml:space="preserve">במסגרת </w:t>
      </w:r>
      <w:r w:rsidRPr="009C70CF">
        <w:rPr>
          <w:rFonts w:ascii="David" w:hAnsi="David"/>
          <w:b/>
          <w:bCs/>
          <w:color w:val="000000"/>
          <w:rtl/>
        </w:rPr>
        <w:t xml:space="preserve">הנסיבות הקשורות בביצוע העבירה </w:t>
      </w:r>
      <w:r w:rsidRPr="009C70CF">
        <w:rPr>
          <w:rFonts w:ascii="David" w:hAnsi="David"/>
          <w:color w:val="000000"/>
          <w:rtl/>
        </w:rPr>
        <w:t>(</w:t>
      </w:r>
      <w:hyperlink r:id="rId21" w:history="1">
        <w:r w:rsidR="00AA3ED9" w:rsidRPr="00AA3ED9">
          <w:rPr>
            <w:rStyle w:val="Hyperlink"/>
            <w:rFonts w:ascii="David" w:hAnsi="David"/>
            <w:color w:val="0000FF"/>
            <w:rtl/>
          </w:rPr>
          <w:t>סעיף 40 ט</w:t>
        </w:r>
      </w:hyperlink>
      <w:r w:rsidRPr="009C70CF">
        <w:rPr>
          <w:rFonts w:ascii="David" w:hAnsi="David"/>
          <w:color w:val="000000"/>
          <w:rtl/>
        </w:rPr>
        <w:t xml:space="preserve">' לחוק), יש לתת את הדעת </w:t>
      </w:r>
      <w:r w:rsidRPr="009C70CF">
        <w:rPr>
          <w:color w:val="000000"/>
          <w:rtl/>
        </w:rPr>
        <w:t>לכך שהנאשם שכר את הדירה ובהמשך הקים בשניים מחדרי הדירה מקום להפקת ולהכנת סם, אטם את חלונות הדירה, מתח חבלים ברחבי הדירה ותלה עליהם את הסם. כמו כן הצטייד במדפים והתקין מפוח ומאוורר לשם הכנת הסמים. כל אלה מעידים על תכנון. בהמשך הנאשם עסק ייצור והכנה של הסם, ייבש את הסם, גזם וחתך אותו, וארז אותו.</w:t>
      </w:r>
    </w:p>
    <w:p w14:paraId="14422437" w14:textId="77777777" w:rsidR="002A5CDF" w:rsidRPr="009C70CF" w:rsidRDefault="002A5CDF" w:rsidP="002A5CDF">
      <w:pPr>
        <w:spacing w:after="120" w:line="360" w:lineRule="auto"/>
        <w:ind w:left="720"/>
        <w:jc w:val="both"/>
        <w:rPr>
          <w:color w:val="000000"/>
        </w:rPr>
      </w:pPr>
      <w:r w:rsidRPr="009C70CF">
        <w:rPr>
          <w:color w:val="000000"/>
          <w:rtl/>
        </w:rPr>
        <w:t xml:space="preserve">יודגש שאין המדובר בגידול סמים, אלא בייצור ובהפקת הסמים – כלומר מבחינת שרשרת הפצת הסם, הנאשם נמצא בשלב מתקדם יותר, לאחר שלב הגידול, ומכאן שהסמים נמצאים בשלב קרוב יותר לשלב ההפצה. הנזקים שצפויים היו להיגרם מביצוע העבירה נוגעים לחשש שהסמים יופצו בציבור. עבירות הסמים מסוג זה הן בגדר מחולל פשיעה. הנאשם ביצע את העבירות בעבור בצע כסף ועקב מצבו הכלכלי הקשה. </w:t>
      </w:r>
    </w:p>
    <w:p w14:paraId="48741B43" w14:textId="77777777" w:rsidR="002A5CDF" w:rsidRPr="009C70CF" w:rsidRDefault="002A5CDF" w:rsidP="002A5CDF">
      <w:pPr>
        <w:spacing w:after="120" w:line="360" w:lineRule="auto"/>
        <w:ind w:left="720"/>
        <w:jc w:val="both"/>
        <w:rPr>
          <w:color w:val="000000"/>
        </w:rPr>
      </w:pPr>
      <w:r w:rsidRPr="009C70CF">
        <w:rPr>
          <w:color w:val="000000"/>
          <w:rtl/>
        </w:rPr>
        <w:t xml:space="preserve">יש לזקוף לקולה את העובדה שמשך ביצוע העבירה היה ימים אחדים בלבד (9.2-6.2), וכי הנאשם ביצע את המעשים עבור אחרים, זאת הגם שחלקו בביצוע העבירה היה משמעותי בכל הקשור להפקה ולהכנת הסם (לעניין הקמת מעבדת סמים עבור אחרים ראו למשל </w:t>
      </w:r>
      <w:hyperlink r:id="rId22" w:history="1">
        <w:r w:rsidR="00011D22" w:rsidRPr="00011D22">
          <w:rPr>
            <w:color w:val="0000FF"/>
            <w:u w:val="single"/>
            <w:rtl/>
          </w:rPr>
          <w:t>ת"פ (מח' מרכז-לוד) 30876-03-17</w:t>
        </w:r>
      </w:hyperlink>
      <w:r w:rsidRPr="009C70CF">
        <w:rPr>
          <w:color w:val="000000"/>
          <w:rtl/>
        </w:rPr>
        <w:t xml:space="preserve"> </w:t>
      </w:r>
      <w:r w:rsidRPr="009C70CF">
        <w:rPr>
          <w:b/>
          <w:bCs/>
          <w:color w:val="000000"/>
          <w:rtl/>
        </w:rPr>
        <w:t>מדינת ישראל נ' בן אדיבה</w:t>
      </w:r>
      <w:r w:rsidRPr="009C70CF">
        <w:rPr>
          <w:color w:val="000000"/>
          <w:rtl/>
        </w:rPr>
        <w:t xml:space="preserve"> [20.9.18], פיסקה 11). </w:t>
      </w:r>
    </w:p>
    <w:p w14:paraId="2946A58B"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בחינת </w:t>
      </w:r>
      <w:r w:rsidRPr="009C70CF">
        <w:rPr>
          <w:rFonts w:ascii="David" w:hAnsi="David"/>
          <w:b/>
          <w:bCs/>
          <w:color w:val="000000"/>
          <w:rtl/>
        </w:rPr>
        <w:t>מדיניות הענישה הנוהגת</w:t>
      </w:r>
      <w:r w:rsidRPr="009C70CF">
        <w:rPr>
          <w:rFonts w:ascii="David" w:hAnsi="David"/>
          <w:color w:val="000000"/>
          <w:rtl/>
        </w:rPr>
        <w:t xml:space="preserve"> מעלה כי במקרים דומים הוטלו על נאשמים עונשים במנעד רחב כמפורט להלן:</w:t>
      </w:r>
    </w:p>
    <w:p w14:paraId="164994EC"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23" w:history="1">
        <w:r w:rsidR="00011D22" w:rsidRPr="00011D22">
          <w:rPr>
            <w:color w:val="0000FF"/>
            <w:u w:val="single"/>
            <w:rtl/>
          </w:rPr>
          <w:t>ע"פ 8988/16</w:t>
        </w:r>
      </w:hyperlink>
      <w:r w:rsidRPr="009C70CF">
        <w:rPr>
          <w:rtl/>
        </w:rPr>
        <w:t xml:space="preserve"> </w:t>
      </w:r>
      <w:r w:rsidRPr="009C70CF">
        <w:rPr>
          <w:b/>
          <w:bCs/>
          <w:rtl/>
        </w:rPr>
        <w:t>בן סימון נ' מדינת ישראל</w:t>
      </w:r>
      <w:r w:rsidRPr="009C70CF">
        <w:rPr>
          <w:rtl/>
        </w:rPr>
        <w:t xml:space="preserve"> (8.3.17), נדחה ערעורו של נאשם אשר הורשע לפי הודאתו בעבירות של ייצור הכנה והפקה של סם, סחר והספקת סם ונטילת חשמל. הנאשם הקים מעבדה לגידול סם מסוג קנבוס בביתו. גידל בה 282 שתילים, וגנב חשמל בשווי של עשרות אלפי ₪. הנאשם גידל כמות של </w:t>
      </w:r>
      <w:r w:rsidRPr="009C70CF">
        <w:rPr>
          <w:b/>
          <w:bCs/>
          <w:rtl/>
        </w:rPr>
        <w:t>87.25 ק"ג</w:t>
      </w:r>
      <w:r w:rsidRPr="009C70CF">
        <w:rPr>
          <w:rtl/>
        </w:rPr>
        <w:t xml:space="preserve">. בנוסף סיפק הנאשם לאדם אחר סם מסוג קנאביס במשקל של 5.4 ג'. נקבע </w:t>
      </w:r>
      <w:r w:rsidRPr="009C70CF">
        <w:rPr>
          <w:b/>
          <w:bCs/>
          <w:rtl/>
        </w:rPr>
        <w:t>מתחם שבין 28 ל-48 חודשי מאסר בפועל</w:t>
      </w:r>
      <w:r w:rsidRPr="009C70CF">
        <w:rPr>
          <w:rtl/>
        </w:rPr>
        <w:t>. לנאשם נסיבות אישיות מורכבות וזהו מאסר ראשון עבורו. הנאשם נדון ל-</w:t>
      </w:r>
      <w:r w:rsidRPr="009C70CF">
        <w:rPr>
          <w:b/>
          <w:bCs/>
          <w:rtl/>
        </w:rPr>
        <w:t>36 חודשי מאסר בפועל</w:t>
      </w:r>
      <w:r w:rsidRPr="009C70CF">
        <w:rPr>
          <w:rtl/>
        </w:rPr>
        <w:t xml:space="preserve">, מאסר על תנאי, וקנס בסך 40,000 ₪. </w:t>
      </w:r>
    </w:p>
    <w:p w14:paraId="1FE2E9E5"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24" w:history="1">
        <w:r w:rsidR="00011D22" w:rsidRPr="00011D22">
          <w:rPr>
            <w:color w:val="0000FF"/>
            <w:u w:val="single"/>
            <w:rtl/>
          </w:rPr>
          <w:t>ע"פ 863/18</w:t>
        </w:r>
      </w:hyperlink>
      <w:r w:rsidRPr="009C70CF">
        <w:rPr>
          <w:rtl/>
        </w:rPr>
        <w:t xml:space="preserve"> </w:t>
      </w:r>
      <w:r w:rsidRPr="009C70CF">
        <w:rPr>
          <w:b/>
          <w:bCs/>
          <w:rtl/>
        </w:rPr>
        <w:t>לירן סבן נ' מדינת ישראל</w:t>
      </w:r>
      <w:r w:rsidRPr="009C70CF">
        <w:rPr>
          <w:rtl/>
        </w:rPr>
        <w:t xml:space="preserve"> (15.11.18) וב</w:t>
      </w:r>
      <w:hyperlink r:id="rId25" w:history="1">
        <w:r w:rsidR="00011D22" w:rsidRPr="00011D22">
          <w:rPr>
            <w:color w:val="0000FF"/>
            <w:u w:val="single"/>
            <w:rtl/>
          </w:rPr>
          <w:t>ע"פ 861/18</w:t>
        </w:r>
      </w:hyperlink>
      <w:r w:rsidRPr="009C70CF">
        <w:rPr>
          <w:rtl/>
        </w:rPr>
        <w:t xml:space="preserve"> </w:t>
      </w:r>
      <w:r w:rsidRPr="009C70CF">
        <w:rPr>
          <w:b/>
          <w:bCs/>
          <w:rtl/>
        </w:rPr>
        <w:t>משה סבן</w:t>
      </w:r>
      <w:r w:rsidRPr="009C70CF">
        <w:rPr>
          <w:rtl/>
        </w:rPr>
        <w:t xml:space="preserve"> (2.4.19), הקל בית המשפט העליון בעונשם של שני נאשמים אשר הורשעו ב</w:t>
      </w:r>
      <w:hyperlink r:id="rId26" w:history="1">
        <w:r w:rsidR="00011D22" w:rsidRPr="00011D22">
          <w:rPr>
            <w:color w:val="0000FF"/>
            <w:u w:val="single"/>
            <w:rtl/>
          </w:rPr>
          <w:t>ת"פ (מח' מרכז לוד) 8867-02-15</w:t>
        </w:r>
      </w:hyperlink>
      <w:r w:rsidRPr="009C70CF">
        <w:rPr>
          <w:rtl/>
        </w:rPr>
        <w:t xml:space="preserve"> </w:t>
      </w:r>
      <w:r w:rsidRPr="009C70CF">
        <w:rPr>
          <w:b/>
          <w:bCs/>
          <w:rtl/>
        </w:rPr>
        <w:t>מדינת ישראל נ' סבן</w:t>
      </w:r>
      <w:r w:rsidRPr="009C70CF">
        <w:rPr>
          <w:rtl/>
        </w:rPr>
        <w:t xml:space="preserve"> (11.1.18), על פי הודאתם בעבירות של הכנה והפקת סמים, החזקת סמים שלא לצריכה עצמית וקשירת קשר לפשע. הנאשמים הקימו מעבדה לגידול סמים בדירה ששכרו לשם כך, ובה גידלו </w:t>
      </w:r>
      <w:r w:rsidRPr="009C70CF">
        <w:rPr>
          <w:b/>
          <w:bCs/>
          <w:rtl/>
        </w:rPr>
        <w:t>92 ק"ג</w:t>
      </w:r>
      <w:r w:rsidRPr="009C70CF">
        <w:rPr>
          <w:rtl/>
        </w:rPr>
        <w:t xml:space="preserve"> סם מסוג קנאביס (283 שתילים). הוסכם כי חלקו של הנאשם 2 היה פחות מחלקו של הנאשם 1. בית המשפט המחוזי קבע </w:t>
      </w:r>
      <w:r w:rsidRPr="009C70CF">
        <w:rPr>
          <w:b/>
          <w:bCs/>
          <w:rtl/>
        </w:rPr>
        <w:t>מתחם עונש לנאשם 1 הנע בין 28 ל-52 חודשי מאסר בפועל</w:t>
      </w:r>
      <w:r w:rsidRPr="009C70CF">
        <w:rPr>
          <w:rtl/>
        </w:rPr>
        <w:t xml:space="preserve"> ולנאשם 2 </w:t>
      </w:r>
      <w:r w:rsidRPr="009C70CF">
        <w:rPr>
          <w:b/>
          <w:bCs/>
          <w:rtl/>
        </w:rPr>
        <w:t>מתחם הנע בין 20 ל-42 חודשי מאסר בפועל</w:t>
      </w:r>
      <w:r w:rsidRPr="009C70CF">
        <w:rPr>
          <w:rtl/>
        </w:rPr>
        <w:t xml:space="preserve">. בית המשפט העליון הקל בעונשו של הנאשם 1 לעונש של </w:t>
      </w:r>
      <w:r w:rsidRPr="009C70CF">
        <w:rPr>
          <w:b/>
          <w:bCs/>
          <w:rtl/>
        </w:rPr>
        <w:t>36 חודשי מאסר בפועל</w:t>
      </w:r>
      <w:r w:rsidRPr="009C70CF">
        <w:rPr>
          <w:rtl/>
        </w:rPr>
        <w:t xml:space="preserve"> (כולל הפעלת מאסר על תנאי של 12 חודשים) ולגבי נאשם 2 הקל בית המשפט העליון בעונשו משיקולי שיקום, לעונש של </w:t>
      </w:r>
      <w:r w:rsidRPr="009C70CF">
        <w:rPr>
          <w:b/>
          <w:bCs/>
          <w:rtl/>
        </w:rPr>
        <w:t>9 חודשי עבודות שירות</w:t>
      </w:r>
      <w:r w:rsidRPr="009C70CF">
        <w:rPr>
          <w:rtl/>
        </w:rPr>
        <w:t xml:space="preserve"> (חלף 24 חודשי מאסר בפועל). </w:t>
      </w:r>
    </w:p>
    <w:p w14:paraId="5F33A698"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27" w:history="1">
        <w:r w:rsidR="00011D22" w:rsidRPr="00011D22">
          <w:rPr>
            <w:color w:val="0000FF"/>
            <w:u w:val="single"/>
            <w:rtl/>
          </w:rPr>
          <w:t>ע"פ 5807/17</w:t>
        </w:r>
      </w:hyperlink>
      <w:r w:rsidRPr="009C70CF">
        <w:rPr>
          <w:rtl/>
        </w:rPr>
        <w:t xml:space="preserve"> </w:t>
      </w:r>
      <w:r w:rsidRPr="009C70CF">
        <w:rPr>
          <w:b/>
          <w:bCs/>
          <w:rtl/>
        </w:rPr>
        <w:t>דרחי נ' מדינת ישראל</w:t>
      </w:r>
      <w:r w:rsidRPr="009C70CF">
        <w:rPr>
          <w:rtl/>
        </w:rPr>
        <w:t xml:space="preserve"> (18.6.18), נדחה ערעורו של נאשם אשר הורשע על פי הודאתו בעבירות של גידול סם מסוכן והחזקת סם שלא לצריכה עצמית. הנאשם הקים מעבדה לגידול סם מסוג קנאביס במספר חדרים בדירה בחזקתו. המעבדה הכילה ציוד טכני רב. בדירה נמצאו סמים מסוג קנאביס במשקל של </w:t>
      </w:r>
      <w:r w:rsidRPr="009C70CF">
        <w:rPr>
          <w:b/>
          <w:bCs/>
          <w:rtl/>
        </w:rPr>
        <w:t xml:space="preserve">76.85 </w:t>
      </w:r>
      <w:r w:rsidRPr="009C70CF">
        <w:rPr>
          <w:rtl/>
        </w:rPr>
        <w:t xml:space="preserve">ק"ג. בית המשפט המחוזי קבע </w:t>
      </w:r>
      <w:r w:rsidRPr="009C70CF">
        <w:rPr>
          <w:b/>
          <w:bCs/>
          <w:rtl/>
        </w:rPr>
        <w:t>מתחם עונש הנע בין 24 ל-48 חודשי מאסר בפועל</w:t>
      </w:r>
      <w:r w:rsidRPr="009C70CF">
        <w:rPr>
          <w:rtl/>
        </w:rPr>
        <w:t xml:space="preserve"> והשית על הנאשם עונש של </w:t>
      </w:r>
      <w:r w:rsidRPr="009C70CF">
        <w:rPr>
          <w:b/>
          <w:bCs/>
          <w:rtl/>
        </w:rPr>
        <w:t>30 חודשי מאסר בפועל</w:t>
      </w:r>
      <w:r w:rsidRPr="009C70CF">
        <w:rPr>
          <w:rtl/>
        </w:rPr>
        <w:t xml:space="preserve"> תוך שנתן משקל לנסיבותיו האישיות. </w:t>
      </w:r>
    </w:p>
    <w:p w14:paraId="5B8AFC18"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28" w:history="1">
        <w:r w:rsidR="00011D22" w:rsidRPr="00011D22">
          <w:rPr>
            <w:color w:val="0000FF"/>
            <w:u w:val="single"/>
            <w:rtl/>
          </w:rPr>
          <w:t>ת"פ (מח' מרכז-לוד) 40227-06-17</w:t>
        </w:r>
      </w:hyperlink>
      <w:r w:rsidRPr="009C70CF">
        <w:rPr>
          <w:rtl/>
        </w:rPr>
        <w:t xml:space="preserve"> </w:t>
      </w:r>
      <w:r w:rsidRPr="009C70CF">
        <w:rPr>
          <w:b/>
          <w:bCs/>
          <w:rtl/>
        </w:rPr>
        <w:t>מדינת ישראל נ' טויל</w:t>
      </w:r>
      <w:r w:rsidRPr="009C70CF">
        <w:rPr>
          <w:rtl/>
        </w:rPr>
        <w:t xml:space="preserve"> (30.5.18), הורשעו 3 נאשמים על פי הודאתם בעבירות של ייצור, הכנה והפקת סם, החזקת כלים, החזקת סם שלא לצריכה עצמית וקשירת קשר. הנאשמים ביחד עם אחרים קיבלו לידיהם צמחי סם מסוג קנאביס והצטיידו באמצעים לייבוש הסם ולהפצתו לאחר תום הייצור. אחד הנאשמים שכר דירה והנאשמים בנו בדירה מתקנים ליבוש הסם, אטמו את חלונות הדירה פיזרו את הסם לייבוש. בדירה נמצא </w:t>
      </w:r>
      <w:r w:rsidRPr="009C70CF">
        <w:rPr>
          <w:b/>
          <w:bCs/>
          <w:rtl/>
        </w:rPr>
        <w:t>סם במשקל של 84.6 ק"ג</w:t>
      </w:r>
      <w:r w:rsidRPr="009C70CF">
        <w:rPr>
          <w:rtl/>
        </w:rPr>
        <w:t xml:space="preserve">. במסגרת הסדר טיעון שכלל עונש מוסכם, על הנאשם 1 הושת עונש של </w:t>
      </w:r>
      <w:r w:rsidRPr="009C70CF">
        <w:rPr>
          <w:b/>
          <w:bCs/>
          <w:rtl/>
        </w:rPr>
        <w:t>36 חודשי מאסר בפועל</w:t>
      </w:r>
      <w:r w:rsidRPr="009C70CF">
        <w:rPr>
          <w:rtl/>
        </w:rPr>
        <w:t xml:space="preserve"> לצד ענישה נלווית, על הנאשם 2 הושת עונש של </w:t>
      </w:r>
      <w:r w:rsidRPr="009C70CF">
        <w:rPr>
          <w:b/>
          <w:bCs/>
          <w:rtl/>
        </w:rPr>
        <w:t xml:space="preserve">31 חודשי מאסר בפועל </w:t>
      </w:r>
      <w:r w:rsidRPr="009C70CF">
        <w:rPr>
          <w:rtl/>
        </w:rPr>
        <w:t>ועל נאשם נוסף שהורשע בסיוע הושת עונש של 18 חודשי מאסר בפועל (וכן הופעל מאסר מותנה בן 6 חודשים).</w:t>
      </w:r>
    </w:p>
    <w:p w14:paraId="7DF60D9D"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29" w:history="1">
        <w:r w:rsidR="00011D22" w:rsidRPr="00011D22">
          <w:rPr>
            <w:color w:val="0000FF"/>
            <w:u w:val="single"/>
            <w:rtl/>
          </w:rPr>
          <w:t>ת"פ (מח' מרכז-לוד) 46662-04-15</w:t>
        </w:r>
      </w:hyperlink>
      <w:r w:rsidRPr="009C70CF">
        <w:rPr>
          <w:rtl/>
        </w:rPr>
        <w:t xml:space="preserve"> </w:t>
      </w:r>
      <w:r w:rsidRPr="009C70CF">
        <w:rPr>
          <w:b/>
          <w:bCs/>
          <w:rtl/>
        </w:rPr>
        <w:t>מדינת ישראל נ' סגל</w:t>
      </w:r>
      <w:r w:rsidRPr="009C70CF">
        <w:rPr>
          <w:rtl/>
        </w:rPr>
        <w:t xml:space="preserve"> (3.2.16), הורשע נאשם על פי הודאתו בעבירות של ייצור, הכנה והפקת סם, החזקת סם שלא לצריכה עצמית והחזקת כלים המשמשים להכנת סם. הנאשם שכר דירה והקים בה מעבדה לגידול סם מסוג קנאביס. הנאשם החזיק צמחי קנאביס בעציצים במשקל של</w:t>
      </w:r>
      <w:r w:rsidRPr="009C70CF">
        <w:rPr>
          <w:b/>
          <w:bCs/>
          <w:rtl/>
        </w:rPr>
        <w:t xml:space="preserve"> 78.8 ק"ג </w:t>
      </w:r>
      <w:r w:rsidRPr="009C70CF">
        <w:rPr>
          <w:rtl/>
        </w:rPr>
        <w:t xml:space="preserve">וכן החזיק בכלים אסורים המשמשים להכנת סם. בית המשפט קבע </w:t>
      </w:r>
      <w:r w:rsidRPr="009C70CF">
        <w:rPr>
          <w:b/>
          <w:bCs/>
          <w:rtl/>
        </w:rPr>
        <w:t>מתחם עונש הנע בין 24 ועד ל-48 חודשי מאסר בפועל</w:t>
      </w:r>
      <w:r w:rsidRPr="009C70CF">
        <w:rPr>
          <w:rtl/>
        </w:rPr>
        <w:t xml:space="preserve"> והשית על הנאשם עונש של </w:t>
      </w:r>
      <w:r w:rsidRPr="009C70CF">
        <w:rPr>
          <w:b/>
          <w:bCs/>
          <w:rtl/>
        </w:rPr>
        <w:t>30 חודשי מאסר בפועל</w:t>
      </w:r>
      <w:r w:rsidRPr="009C70CF">
        <w:rPr>
          <w:rtl/>
        </w:rPr>
        <w:t xml:space="preserve"> לצד ענישה נלווית.</w:t>
      </w:r>
    </w:p>
    <w:p w14:paraId="63754BA0"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30" w:history="1">
        <w:r w:rsidR="00011D22" w:rsidRPr="00011D22">
          <w:rPr>
            <w:color w:val="0000FF"/>
            <w:u w:val="single"/>
            <w:rtl/>
          </w:rPr>
          <w:t>ת"פ (מח' מרכז-לוד) 17677-04-17</w:t>
        </w:r>
      </w:hyperlink>
      <w:r w:rsidRPr="009C70CF">
        <w:rPr>
          <w:rtl/>
        </w:rPr>
        <w:t xml:space="preserve"> </w:t>
      </w:r>
      <w:r w:rsidRPr="009C70CF">
        <w:rPr>
          <w:b/>
          <w:bCs/>
          <w:rtl/>
        </w:rPr>
        <w:t>מדינת ישראל נ' דוכן</w:t>
      </w:r>
      <w:r w:rsidRPr="009C70CF">
        <w:rPr>
          <w:rtl/>
        </w:rPr>
        <w:t xml:space="preserve"> (2.11.17), הורשע נאשם על פי הודאתו בעבירות של יצור, הכנה והפקת סם וגניבת חשמל. הנאשם שכר בית והקים בו מעבדה לגידול סם מסוג קנאביס. לשם כך צייד את הבית בציוד רלוונטי וגנב חשמל. בבית נמצא סם מסוג קנאביס במשקל של </w:t>
      </w:r>
      <w:r w:rsidRPr="009C70CF">
        <w:rPr>
          <w:b/>
          <w:bCs/>
          <w:rtl/>
        </w:rPr>
        <w:t>72.8 ק"ג</w:t>
      </w:r>
      <w:r w:rsidRPr="009C70CF">
        <w:rPr>
          <w:rtl/>
        </w:rPr>
        <w:t xml:space="preserve">. בית המשפט קבע </w:t>
      </w:r>
      <w:r w:rsidRPr="009C70CF">
        <w:rPr>
          <w:b/>
          <w:bCs/>
          <w:rtl/>
        </w:rPr>
        <w:t>מתחם עונש הנע בין 22 ועד ל-46 חודשי מאסר בפועל</w:t>
      </w:r>
      <w:r w:rsidRPr="009C70CF">
        <w:rPr>
          <w:rtl/>
        </w:rPr>
        <w:t xml:space="preserve"> והשית על הנאשם עונש של </w:t>
      </w:r>
      <w:r w:rsidRPr="009C70CF">
        <w:rPr>
          <w:b/>
          <w:bCs/>
          <w:rtl/>
        </w:rPr>
        <w:t>27 חודשי מאסר בפועל</w:t>
      </w:r>
      <w:r w:rsidRPr="009C70CF">
        <w:rPr>
          <w:rtl/>
        </w:rPr>
        <w:t xml:space="preserve"> לצד ענישה נלווית. </w:t>
      </w:r>
    </w:p>
    <w:p w14:paraId="25E32240"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31" w:history="1">
        <w:r w:rsidR="00011D22" w:rsidRPr="00011D22">
          <w:rPr>
            <w:color w:val="0000FF"/>
            <w:u w:val="single"/>
            <w:rtl/>
          </w:rPr>
          <w:t>ת"פ (מח' מרכז-לוד) 14578-04-19</w:t>
        </w:r>
      </w:hyperlink>
      <w:r w:rsidRPr="009C70CF">
        <w:rPr>
          <w:rtl/>
        </w:rPr>
        <w:t xml:space="preserve"> </w:t>
      </w:r>
      <w:r w:rsidRPr="009C70CF">
        <w:rPr>
          <w:b/>
          <w:bCs/>
          <w:rtl/>
        </w:rPr>
        <w:t>מדינת ישראל נ' אברג'יל</w:t>
      </w:r>
      <w:r w:rsidRPr="009C70CF">
        <w:rPr>
          <w:rtl/>
        </w:rPr>
        <w:t xml:space="preserve"> (18.12.19), הורשע נאשם על פי הודאתו בעבירות של ייצור, הכנה והפקת סם והחזקת סם שלא לצריכה עצמית. הנאשם הקים בדירה מעבדה לגידול סם מסוג קנאביס, לשם כך צייד את הדירה בציוד רלוונטי. בדירה נמצאו סמים מסוג קנאביס במשקל של </w:t>
      </w:r>
      <w:r w:rsidRPr="009C70CF">
        <w:rPr>
          <w:b/>
          <w:bCs/>
          <w:rtl/>
        </w:rPr>
        <w:t>80 ק"ג</w:t>
      </w:r>
      <w:r w:rsidRPr="009C70CF">
        <w:rPr>
          <w:rtl/>
        </w:rPr>
        <w:t xml:space="preserve">. בית המשפט קבע </w:t>
      </w:r>
      <w:r w:rsidRPr="009C70CF">
        <w:rPr>
          <w:b/>
          <w:bCs/>
          <w:rtl/>
        </w:rPr>
        <w:t>מתחם עונש הנע בין 22 ועד ל-46 חודשי מאסר בפועל</w:t>
      </w:r>
      <w:r w:rsidRPr="009C70CF">
        <w:rPr>
          <w:rtl/>
        </w:rPr>
        <w:t xml:space="preserve"> והשית על הנאשם עונש של</w:t>
      </w:r>
      <w:r w:rsidRPr="009C70CF">
        <w:rPr>
          <w:b/>
          <w:bCs/>
          <w:rtl/>
        </w:rPr>
        <w:t xml:space="preserve"> 26 חודשי מאסר בפועל </w:t>
      </w:r>
      <w:r w:rsidRPr="009C70CF">
        <w:rPr>
          <w:rtl/>
        </w:rPr>
        <w:t xml:space="preserve">לצד ענישה נלווית. </w:t>
      </w:r>
    </w:p>
    <w:p w14:paraId="15A5C506"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32" w:history="1">
        <w:r w:rsidR="00011D22" w:rsidRPr="00011D22">
          <w:rPr>
            <w:color w:val="0000FF"/>
            <w:u w:val="single"/>
            <w:rtl/>
          </w:rPr>
          <w:t>ת"פ (מח' מרכז-לוד) 25458-11-18</w:t>
        </w:r>
      </w:hyperlink>
      <w:r w:rsidRPr="009C70CF">
        <w:rPr>
          <w:rtl/>
        </w:rPr>
        <w:t xml:space="preserve"> </w:t>
      </w:r>
      <w:r w:rsidRPr="009C70CF">
        <w:rPr>
          <w:b/>
          <w:bCs/>
          <w:rtl/>
        </w:rPr>
        <w:t>מדינת ישראל נ' אליאב</w:t>
      </w:r>
      <w:r w:rsidRPr="009C70CF">
        <w:rPr>
          <w:rtl/>
        </w:rPr>
        <w:t xml:space="preserve"> (19.9.19), הורשע נאשם על פי הודאתו בעבירות של ייצור, הכנה והפקת סם ועבירות נלוות. הנאשם התגורר בדירה שכורה והקים בבית מעבדה לגידול קנאביס. לשם כך הכניס הנאשם לבית ציוד בהיקף נרחב. בנוסף חיבר את הבית באופן פיראטי ללוח החשמל לשם גניבת חשמל. בבית נמצא סם מסוג קנאביס במשקל של </w:t>
      </w:r>
      <w:r w:rsidRPr="009C70CF">
        <w:rPr>
          <w:b/>
          <w:bCs/>
          <w:rtl/>
        </w:rPr>
        <w:t>80.3 ק"ג</w:t>
      </w:r>
      <w:r w:rsidRPr="009C70CF">
        <w:rPr>
          <w:rtl/>
        </w:rPr>
        <w:t xml:space="preserve">. לחובת הנאשם הרשעה אחת בעבירת מרמה. בית המשפט קבע </w:t>
      </w:r>
      <w:r w:rsidRPr="009C70CF">
        <w:rPr>
          <w:b/>
          <w:bCs/>
          <w:rtl/>
        </w:rPr>
        <w:t>מתחם עונש הנע בין 22 ועד ל-46 חודשי מאסר בפועל</w:t>
      </w:r>
      <w:r w:rsidRPr="009C70CF">
        <w:rPr>
          <w:rtl/>
        </w:rPr>
        <w:t xml:space="preserve"> והשית על הנאשם עונש של </w:t>
      </w:r>
      <w:r w:rsidRPr="009C70CF">
        <w:rPr>
          <w:b/>
          <w:bCs/>
          <w:rtl/>
        </w:rPr>
        <w:t>25 חודשי מאסר בפועל</w:t>
      </w:r>
      <w:r w:rsidRPr="009C70CF">
        <w:rPr>
          <w:rtl/>
        </w:rPr>
        <w:t xml:space="preserve"> לצד ענישה נלווית. </w:t>
      </w:r>
    </w:p>
    <w:p w14:paraId="13842D81"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33" w:history="1">
        <w:r w:rsidR="00011D22" w:rsidRPr="00011D22">
          <w:rPr>
            <w:color w:val="0000FF"/>
            <w:u w:val="single"/>
            <w:rtl/>
          </w:rPr>
          <w:t>ת"פ (מח' מרכז-לוד) 69569-11-17</w:t>
        </w:r>
      </w:hyperlink>
      <w:r w:rsidRPr="009C70CF">
        <w:rPr>
          <w:rtl/>
        </w:rPr>
        <w:t xml:space="preserve"> </w:t>
      </w:r>
      <w:r w:rsidRPr="009C70CF">
        <w:rPr>
          <w:b/>
          <w:bCs/>
          <w:rtl/>
        </w:rPr>
        <w:t>מדינת ישראל נ' זרחי</w:t>
      </w:r>
      <w:r w:rsidRPr="009C70CF">
        <w:rPr>
          <w:rtl/>
        </w:rPr>
        <w:t xml:space="preserve"> (29.11.18), הורשע נאשם על פי הודאתו בעבירות של ייצור, הכנה והפקת סם ונטילת חשמל. הנאשם הקים בדירה שכורה, מעבדה לגידול סם מסוג קנאביס ולשם כך הכניס לבית ציוד רלוונטי ונטל חשמל שלא כדין. בדירה נמצא סם מסוג קנאביס במשקל של </w:t>
      </w:r>
      <w:r w:rsidRPr="009C70CF">
        <w:rPr>
          <w:b/>
          <w:bCs/>
          <w:rtl/>
        </w:rPr>
        <w:t>86.9 ק"ג</w:t>
      </w:r>
      <w:r w:rsidRPr="009C70CF">
        <w:rPr>
          <w:rtl/>
        </w:rPr>
        <w:t xml:space="preserve">. בית המשפט קבע </w:t>
      </w:r>
      <w:r w:rsidRPr="009C70CF">
        <w:rPr>
          <w:b/>
          <w:bCs/>
          <w:rtl/>
        </w:rPr>
        <w:t>מתחם עונש הנע בין 24 ועד ל-48 חודשי מאסר בפועל</w:t>
      </w:r>
      <w:r w:rsidRPr="009C70CF">
        <w:rPr>
          <w:rtl/>
        </w:rPr>
        <w:t xml:space="preserve"> והשית על הנאשם, צעיר ללא עבר פלילי, עונש של</w:t>
      </w:r>
      <w:r w:rsidRPr="009C70CF">
        <w:rPr>
          <w:b/>
          <w:bCs/>
          <w:rtl/>
        </w:rPr>
        <w:t xml:space="preserve"> 25 חודשי מאסר בפועל</w:t>
      </w:r>
      <w:r w:rsidRPr="009C70CF">
        <w:rPr>
          <w:rtl/>
        </w:rPr>
        <w:t xml:space="preserve"> לצד ענישה נלווית. </w:t>
      </w:r>
    </w:p>
    <w:p w14:paraId="50D27BCA" w14:textId="77777777" w:rsidR="002A5CDF" w:rsidRPr="009C70CF" w:rsidRDefault="002A5CDF" w:rsidP="002A5CDF">
      <w:pPr>
        <w:numPr>
          <w:ilvl w:val="1"/>
          <w:numId w:val="1"/>
        </w:numPr>
        <w:tabs>
          <w:tab w:val="clear" w:pos="1620"/>
          <w:tab w:val="num" w:pos="1286"/>
        </w:tabs>
        <w:spacing w:after="120" w:line="360" w:lineRule="auto"/>
        <w:ind w:left="1286" w:hanging="540"/>
        <w:jc w:val="both"/>
      </w:pPr>
      <w:r w:rsidRPr="009C70CF">
        <w:rPr>
          <w:rtl/>
        </w:rPr>
        <w:t>ב</w:t>
      </w:r>
      <w:hyperlink r:id="rId34" w:history="1">
        <w:r w:rsidR="00011D22" w:rsidRPr="00011D22">
          <w:rPr>
            <w:color w:val="0000FF"/>
            <w:u w:val="single"/>
            <w:rtl/>
          </w:rPr>
          <w:t>ת"פ 4460-04-18</w:t>
        </w:r>
      </w:hyperlink>
      <w:r w:rsidRPr="009C70CF">
        <w:rPr>
          <w:rtl/>
        </w:rPr>
        <w:t xml:space="preserve"> (מח' מרכז-לוד) </w:t>
      </w:r>
      <w:r w:rsidRPr="009C70CF">
        <w:rPr>
          <w:b/>
          <w:bCs/>
          <w:rtl/>
        </w:rPr>
        <w:t>מדינת ישראל נ' ברבי</w:t>
      </w:r>
      <w:r w:rsidRPr="009C70CF">
        <w:rPr>
          <w:rtl/>
        </w:rPr>
        <w:t xml:space="preserve"> (28.5.19), הורשע הנאשם 2 על פי הודאתו בעבירה של ייצור סמים וגניבת חשמל. הנאשם שכר בית והקים מעבדה לגידול סמים ובה נתפסו 334 שתילי </w:t>
      </w:r>
      <w:r w:rsidRPr="009C70CF">
        <w:rPr>
          <w:b/>
          <w:bCs/>
          <w:rtl/>
        </w:rPr>
        <w:t>קנביס במשקל נטו של 73.6 ק"ג.</w:t>
      </w:r>
      <w:r w:rsidRPr="009C70CF">
        <w:rPr>
          <w:rtl/>
        </w:rPr>
        <w:t xml:space="preserve"> נאשם ללא עבר פלילי עם המלצה חיובית של שירות המבחן. בית המשפט קבע </w:t>
      </w:r>
      <w:r w:rsidRPr="009C70CF">
        <w:rPr>
          <w:b/>
          <w:bCs/>
          <w:rtl/>
        </w:rPr>
        <w:t xml:space="preserve">מתחם שבין 20 ל-46 חודשי מאסר בפועל, </w:t>
      </w:r>
      <w:r w:rsidRPr="009C70CF">
        <w:rPr>
          <w:rtl/>
        </w:rPr>
        <w:t xml:space="preserve">והשית על הנאשם </w:t>
      </w:r>
      <w:r w:rsidRPr="009C70CF">
        <w:rPr>
          <w:b/>
          <w:bCs/>
          <w:rtl/>
        </w:rPr>
        <w:t>20 חודשי מאסר בפועל</w:t>
      </w:r>
      <w:r w:rsidRPr="009C70CF">
        <w:rPr>
          <w:rtl/>
        </w:rPr>
        <w:t>.</w:t>
      </w:r>
    </w:p>
    <w:p w14:paraId="35E3CAA0"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בהתאם לתיקון 113 ל</w:t>
      </w:r>
      <w:hyperlink r:id="rId35" w:history="1">
        <w:r w:rsidR="00011D22" w:rsidRPr="00011D22">
          <w:rPr>
            <w:rFonts w:ascii="David" w:hAnsi="David"/>
            <w:color w:val="0000FF"/>
            <w:u w:val="single"/>
            <w:rtl/>
          </w:rPr>
          <w:t>חוק העונשין</w:t>
        </w:r>
      </w:hyperlink>
      <w:r w:rsidRPr="009C70CF">
        <w:rPr>
          <w:rFonts w:ascii="David" w:hAnsi="David"/>
          <w:color w:val="000000"/>
          <w:rtl/>
        </w:rPr>
        <w:t xml:space="preserve"> (</w:t>
      </w:r>
      <w:hyperlink r:id="rId36" w:history="1">
        <w:r w:rsidR="00AA3ED9" w:rsidRPr="00AA3ED9">
          <w:rPr>
            <w:rFonts w:ascii="David" w:hAnsi="David"/>
            <w:color w:val="0000FF"/>
            <w:u w:val="single"/>
            <w:rtl/>
          </w:rPr>
          <w:t>סעיף 40 יג</w:t>
        </w:r>
      </w:hyperlink>
      <w:r w:rsidRPr="009C70CF">
        <w:rPr>
          <w:rFonts w:ascii="David" w:hAnsi="David"/>
          <w:color w:val="000000"/>
          <w:rtl/>
        </w:rPr>
        <w:t xml:space="preserve">'), אני קובע כי </w:t>
      </w:r>
      <w:r w:rsidRPr="009C70CF">
        <w:rPr>
          <w:rFonts w:ascii="David" w:hAnsi="David"/>
          <w:b/>
          <w:bCs/>
          <w:color w:val="000000"/>
          <w:rtl/>
        </w:rPr>
        <w:t>מתחם העונש ההולם</w:t>
      </w:r>
      <w:r w:rsidRPr="009C70CF">
        <w:rPr>
          <w:rFonts w:ascii="David" w:hAnsi="David"/>
          <w:color w:val="000000"/>
          <w:rtl/>
        </w:rPr>
        <w:t xml:space="preserve"> הוא </w:t>
      </w:r>
      <w:r w:rsidRPr="009C70CF">
        <w:rPr>
          <w:rFonts w:ascii="David" w:hAnsi="David"/>
          <w:b/>
          <w:bCs/>
          <w:color w:val="000000"/>
          <w:rtl/>
        </w:rPr>
        <w:t>החל מ-22 ועד ל-46 חודשי מאסר בפועל</w:t>
      </w:r>
      <w:r w:rsidRPr="009C70CF">
        <w:rPr>
          <w:rFonts w:ascii="David" w:hAnsi="David"/>
          <w:color w:val="000000"/>
          <w:rtl/>
        </w:rPr>
        <w:t xml:space="preserve">.   </w:t>
      </w:r>
    </w:p>
    <w:p w14:paraId="7EE13895"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במקרה דנן, לא קיימים שיקולים אשר מצדיקים חריגה מהמתחם, לחומרה או לקולה. </w:t>
      </w:r>
    </w:p>
    <w:p w14:paraId="2144B1E1" w14:textId="77777777" w:rsidR="002A5CDF" w:rsidRPr="009C70CF" w:rsidRDefault="002A5CDF" w:rsidP="002A5CDF">
      <w:pPr>
        <w:spacing w:after="120" w:line="360" w:lineRule="auto"/>
        <w:jc w:val="both"/>
        <w:rPr>
          <w:bCs/>
          <w:u w:val="single"/>
          <w:lang w:eastAsia="he-IL"/>
        </w:rPr>
      </w:pPr>
      <w:r w:rsidRPr="009C70CF">
        <w:rPr>
          <w:bCs/>
          <w:u w:val="single"/>
          <w:rtl/>
          <w:lang w:eastAsia="he-IL"/>
        </w:rPr>
        <w:t>גזירת העונש המתאים לנאשם</w:t>
      </w:r>
    </w:p>
    <w:p w14:paraId="6368C10E"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color w:val="000000"/>
          <w:rtl/>
        </w:rPr>
        <w:t xml:space="preserve">בגזירת העונש המתאים לנאשם, בגדרי מתחם העונש ההולם, יש להתחשב </w:t>
      </w:r>
      <w:r w:rsidRPr="009C70CF">
        <w:rPr>
          <w:rFonts w:ascii="David" w:hAnsi="David"/>
          <w:b/>
          <w:bCs/>
          <w:color w:val="000000"/>
          <w:rtl/>
        </w:rPr>
        <w:t>בנסיבות שאינן קשורות בביצוע העבירה</w:t>
      </w:r>
      <w:r w:rsidRPr="009C70CF">
        <w:rPr>
          <w:rFonts w:ascii="David" w:hAnsi="David"/>
          <w:color w:val="000000"/>
          <w:rtl/>
        </w:rPr>
        <w:t xml:space="preserve"> (</w:t>
      </w:r>
      <w:hyperlink r:id="rId37" w:history="1">
        <w:r w:rsidR="00AA3ED9" w:rsidRPr="00AA3ED9">
          <w:rPr>
            <w:rStyle w:val="Hyperlink"/>
            <w:rFonts w:ascii="David" w:hAnsi="David"/>
            <w:color w:val="0000FF"/>
            <w:rtl/>
          </w:rPr>
          <w:t>סעיף 40 יא</w:t>
        </w:r>
      </w:hyperlink>
      <w:r w:rsidRPr="009C70CF">
        <w:rPr>
          <w:rFonts w:ascii="David" w:hAnsi="David"/>
          <w:color w:val="000000"/>
          <w:rtl/>
        </w:rPr>
        <w:t xml:space="preserve">'). במסגרת זו </w:t>
      </w:r>
      <w:r w:rsidRPr="009C70CF">
        <w:rPr>
          <w:color w:val="000000"/>
          <w:rtl/>
        </w:rPr>
        <w:t xml:space="preserve">מן הראוי לתת את הדעת לכך שהנאשם בן 36, גרוש ואב לשני ילדים, אשר מגיל צעיר חבר לחברה שולית, צרך סמים והיה מעורב בפלילים. לאורך השנים סיגל נורמות התנהגות עברייניות. הנאשם טופל במשך מספר שנים בטיפול תרופתי בשל דיכאון, אולם בעת מעצרו הנוכחי הפסיק ליטול את הטיפול התרופתי והוא שולל קשיים סביב מצבו הנפשי. </w:t>
      </w:r>
      <w:r w:rsidRPr="009C70CF">
        <w:rPr>
          <w:rFonts w:ascii="David" w:hAnsi="David"/>
          <w:color w:val="000000"/>
          <w:rtl/>
        </w:rPr>
        <w:t>מובן כי עונש מאסר ממושך יקשה על הנאשם ומשפחתו ובפרט על ילדיו הצעירים, הגם שמדובר במי שנשא בעברו בעונשי מאסר ממושכים. הנאשם הודה ונטל אחריות לביצוע העבירה, אף שהסבירה על רקע לחץ כלכלי שחווה ורצון להסדיר חובותיו, באופן שמפחית ממידת נטילת האחריות. לאורך השנים ניסיונות לטיפול ושיקום של הנאשם כשלו ואת העבירה הנוכחית ביצע בהיותו בתוכנית שיקום לאחר שחרורו מריצוי עונש מאסר קודם. כיום מבטא נכונות להשתלב בטיפול ואולם הוא שולל קיומה של בעיית התמכרות לחומרים. לנאשם עבר פלילי משמעותי הכולל שמונה הרשעות קודמות בין השנים 2017-2000 בגין ביצוע מגוון עבירות רכוש, סמים, נהיגה בפסילה ושוד מזויין. בגין הרשעותיו אלה ריצה עונשי מאסר בפועל, שהארוך שבהם למשך 5 שנים. הנאשם שוחרר ממאסרו האחרון בחודש נובמבר 2018, כשלושה חודשים לפני ביצוע העבירה הנוכחית.</w:t>
      </w:r>
    </w:p>
    <w:p w14:paraId="44C31864" w14:textId="77777777" w:rsidR="002A5CDF" w:rsidRPr="009C70CF" w:rsidRDefault="002A5CDF" w:rsidP="002A5CDF">
      <w:pPr>
        <w:numPr>
          <w:ilvl w:val="0"/>
          <w:numId w:val="1"/>
        </w:numPr>
        <w:spacing w:after="120" w:line="360" w:lineRule="auto"/>
        <w:jc w:val="both"/>
        <w:rPr>
          <w:color w:val="000000"/>
        </w:rPr>
      </w:pPr>
      <w:r w:rsidRPr="009C70CF">
        <w:rPr>
          <w:rFonts w:ascii="David" w:hAnsi="David"/>
          <w:color w:val="000000"/>
          <w:rtl/>
        </w:rPr>
        <w:t xml:space="preserve">עוד יש לתת את הדעת לשיקול </w:t>
      </w:r>
      <w:r w:rsidRPr="009C70CF">
        <w:rPr>
          <w:rFonts w:ascii="David" w:hAnsi="David"/>
          <w:b/>
          <w:bCs/>
          <w:color w:val="000000"/>
          <w:rtl/>
        </w:rPr>
        <w:t>הרתעת היחיד</w:t>
      </w:r>
      <w:r w:rsidRPr="009C70CF">
        <w:rPr>
          <w:rFonts w:ascii="David" w:hAnsi="David"/>
          <w:color w:val="000000"/>
          <w:rtl/>
        </w:rPr>
        <w:t xml:space="preserve"> בגדרו של המתחם, וזאת בשים לב לעברו הפלילי של הנאשם ולכך שהעונשים שהושתו עליו לאורך השנים כמו גם עונש המאסר המותנה התלוי ועומד כנגדו, לא מנעו ממנו לשוב ולבצע עבירות. כמו כן יש לתת משקל להערכת שירות המבחן לקיומו של סיכון משמעותי להמשך התנהלות שולית והתמכרותית. </w:t>
      </w:r>
    </w:p>
    <w:p w14:paraId="0B8B9A29" w14:textId="77777777" w:rsidR="002A5CDF" w:rsidRPr="009C70CF" w:rsidRDefault="002A5CDF" w:rsidP="002A5CDF">
      <w:pPr>
        <w:spacing w:after="120" w:line="360" w:lineRule="auto"/>
        <w:ind w:left="720"/>
        <w:jc w:val="both"/>
        <w:rPr>
          <w:color w:val="000000"/>
          <w:rtl/>
        </w:rPr>
      </w:pPr>
      <w:r w:rsidRPr="009C70CF">
        <w:rPr>
          <w:color w:val="000000"/>
          <w:rtl/>
        </w:rPr>
        <w:t>בכל הנוגע לשיקול ההרתעה בעניינו של הנאשם, ראוי לשוב ולעיין בדברים שקבע כב' השופט ג' קרא בעת שגזר את דינו של נאשם זה ל-5 שנות מאסר בגין עבירה של שוד בנסיבות מחמירות ב</w:t>
      </w:r>
      <w:hyperlink r:id="rId38" w:history="1">
        <w:r w:rsidR="00011D22" w:rsidRPr="00011D22">
          <w:rPr>
            <w:color w:val="0000FF"/>
            <w:u w:val="single"/>
            <w:rtl/>
          </w:rPr>
          <w:t>ת"פ (מח' ת"א) 40127/06</w:t>
        </w:r>
      </w:hyperlink>
      <w:r w:rsidRPr="009C70CF">
        <w:rPr>
          <w:color w:val="000000"/>
          <w:rtl/>
        </w:rPr>
        <w:t xml:space="preserve"> </w:t>
      </w:r>
      <w:r w:rsidRPr="009C70CF">
        <w:rPr>
          <w:b/>
          <w:bCs/>
          <w:color w:val="000000"/>
          <w:rtl/>
        </w:rPr>
        <w:t>מדינת ישראל נ' יניב סויסה</w:t>
      </w:r>
      <w:r w:rsidRPr="009C70CF">
        <w:rPr>
          <w:color w:val="000000"/>
          <w:rtl/>
        </w:rPr>
        <w:t xml:space="preserve"> [14.3.02]):</w:t>
      </w:r>
    </w:p>
    <w:p w14:paraId="05A5C49B" w14:textId="77777777" w:rsidR="002A5CDF" w:rsidRPr="009C70CF" w:rsidRDefault="002A5CDF" w:rsidP="002A5CDF">
      <w:pPr>
        <w:spacing w:after="120" w:line="360" w:lineRule="auto"/>
        <w:ind w:left="1133" w:right="567"/>
        <w:jc w:val="both"/>
        <w:rPr>
          <w:rFonts w:ascii="David" w:hAnsi="David"/>
          <w:rtl/>
        </w:rPr>
      </w:pPr>
      <w:r w:rsidRPr="009C70CF">
        <w:rPr>
          <w:rFonts w:ascii="David" w:hAnsi="David"/>
          <w:rtl/>
        </w:rPr>
        <w:t xml:space="preserve">"ידוע הוא, שכל עבריין במיוחד זה המבצע עבירת רכוש, בטרם החליט על ביצועה, עושה בינו לבינו את חשבון הרווח והפסד, הצפוי לו מן הביצוע האמור. משלטעמי, חלפו להם הימים שבהם ביצע עבריין עבירה מתוך רעב לפת לחם או לבגד חם. משהיום, עבריינים מבצעים עבירות מתוך כוונה להעשיר את הכיס, וכדרך חיים ופרנסה. </w:t>
      </w:r>
    </w:p>
    <w:p w14:paraId="43741A24" w14:textId="77777777" w:rsidR="002A5CDF" w:rsidRPr="009C70CF" w:rsidRDefault="002A5CDF" w:rsidP="002A5CDF">
      <w:pPr>
        <w:spacing w:after="120" w:line="360" w:lineRule="auto"/>
        <w:ind w:left="1133" w:right="567"/>
        <w:jc w:val="both"/>
        <w:rPr>
          <w:rFonts w:ascii="David" w:hAnsi="David"/>
          <w:rtl/>
        </w:rPr>
      </w:pPr>
      <w:r w:rsidRPr="009C70CF">
        <w:rPr>
          <w:rFonts w:ascii="David" w:hAnsi="David"/>
          <w:rtl/>
        </w:rPr>
        <w:t>מטרת הענישה בעבירות מן הסוג האמור, היא לגרום לכך שהיא "לא תשתלם" למבצעה. כך שההפסד בצד ביצועה יעלה על כל סיכוי לרווח עתידי.</w:t>
      </w:r>
    </w:p>
    <w:p w14:paraId="581BBAE2" w14:textId="77777777" w:rsidR="002A5CDF" w:rsidRPr="009C70CF" w:rsidRDefault="002A5CDF" w:rsidP="002A5CDF">
      <w:pPr>
        <w:spacing w:after="120" w:line="360" w:lineRule="auto"/>
        <w:ind w:left="1133" w:right="567"/>
        <w:jc w:val="both"/>
        <w:rPr>
          <w:rFonts w:ascii="David" w:hAnsi="David"/>
          <w:rtl/>
        </w:rPr>
      </w:pPr>
      <w:r w:rsidRPr="009C70CF">
        <w:rPr>
          <w:rFonts w:ascii="David" w:hAnsi="David"/>
          <w:rtl/>
        </w:rPr>
        <w:t>לאחר ששקלתי בנסיבות החומרא והקולא, החלטתי בסופו של יום להעדיף את האינטרס הציבורי שבהרחקת העבריין הספציפי מאחורי סורג ובריח, לתקופה ממושכת על פני כל אינטרס אחר שלו, כאשר יש בענישה האמורה, כדי להרתיע את העבריין וזה שבפוטנציה".</w:t>
      </w:r>
    </w:p>
    <w:p w14:paraId="3ADD47D8" w14:textId="77777777" w:rsidR="002A5CDF" w:rsidRPr="009C70CF" w:rsidRDefault="002A5CDF" w:rsidP="002A5CDF">
      <w:pPr>
        <w:spacing w:after="120" w:line="360" w:lineRule="auto"/>
        <w:ind w:left="720"/>
        <w:jc w:val="both"/>
        <w:rPr>
          <w:sz w:val="20"/>
          <w:rtl/>
        </w:rPr>
      </w:pPr>
      <w:r w:rsidRPr="009C70CF">
        <w:rPr>
          <w:sz w:val="20"/>
          <w:rtl/>
        </w:rPr>
        <w:t xml:space="preserve">דברים נכוחים אלה של כב' השופט קרא בדבר הצורך להרתיע את הנאשם מלשוב ולבצע עבירות למען בצע כסף – לא היה בהם כדי למנוע מנאשם זה מלשוב לסורו, פעם אחר פעם. לפיכך, יש לשוב ולהעניק משקל משמעותי לשיקול הרתעת היחיד בעניינו של הנאשם. </w:t>
      </w:r>
    </w:p>
    <w:p w14:paraId="5619F7D8" w14:textId="77777777" w:rsidR="002A5CDF" w:rsidRPr="009C70CF" w:rsidRDefault="002A5CDF" w:rsidP="002A5CDF">
      <w:pPr>
        <w:spacing w:after="120" w:line="360" w:lineRule="auto"/>
        <w:ind w:left="720"/>
        <w:jc w:val="both"/>
        <w:rPr>
          <w:sz w:val="20"/>
          <w:rtl/>
        </w:rPr>
      </w:pPr>
      <w:r w:rsidRPr="009C70CF">
        <w:rPr>
          <w:sz w:val="20"/>
          <w:rtl/>
        </w:rPr>
        <w:t>בנסיבות אלה, יש אף להורות על הפעלת המאסר על תנאי, אשר תלוי ועומד נגד הנאשם, במצטבר לעונש שמוטל עליו. אמנם, המאסר על תנאי של שישה חודשים הוטל על הנאשם בתיק קודם בגין החזקת סם מסוג חשיש במשקל נמוך של 12 גרם בלבד (לצד עבירות רכוש משמעותיות), ואולם אין בכך כדי להצדיק את הפעלת התנאי בחופף, וזאת לנוכח העובדה שלא היה במאסר על תנאי כדי להרתיע את הנאשם מלבצע את העבירה הנוכחית זמן קצר לאחר ששוחרר ממאסרו הקודם. בנסיבות המקרה דנן, לא קיימים טעמים להצדיק את הפעלת המאסר על תנאי בחופף.</w:t>
      </w:r>
    </w:p>
    <w:p w14:paraId="3D45F329" w14:textId="77777777" w:rsidR="002A5CDF" w:rsidRPr="009C70CF" w:rsidRDefault="002A5CDF" w:rsidP="002A5CDF">
      <w:pPr>
        <w:numPr>
          <w:ilvl w:val="0"/>
          <w:numId w:val="1"/>
        </w:numPr>
        <w:spacing w:after="120" w:line="360" w:lineRule="auto"/>
        <w:jc w:val="both"/>
        <w:rPr>
          <w:color w:val="000000"/>
          <w:rtl/>
        </w:rPr>
      </w:pPr>
      <w:r w:rsidRPr="009C70CF">
        <w:rPr>
          <w:color w:val="000000"/>
          <w:rtl/>
        </w:rPr>
        <w:t xml:space="preserve">באיזון בין השיקולים השונים, סבורני כי יש לגזור על הנאשם עונש נמוך במעט ממחצית המתחם. כמו כן הואיל ומדובר בעבירה שבוצעה למטרה כלכלית, סבורני כי יש להשית על הנאשם אף קנס כספי משמעותי, תוך התחשבות במצבו הכלכלי ובתקופת המאסר שנגזרת עליו. </w:t>
      </w:r>
    </w:p>
    <w:p w14:paraId="3F8E2FA1" w14:textId="77777777" w:rsidR="002A5CDF" w:rsidRPr="009C70CF" w:rsidRDefault="002A5CDF" w:rsidP="002A5CDF">
      <w:pPr>
        <w:spacing w:after="120" w:line="360" w:lineRule="auto"/>
        <w:jc w:val="both"/>
        <w:rPr>
          <w:b/>
          <w:bCs/>
          <w:u w:val="single"/>
          <w:rtl/>
        </w:rPr>
      </w:pPr>
      <w:r w:rsidRPr="009C70CF">
        <w:rPr>
          <w:b/>
          <w:bCs/>
          <w:u w:val="single"/>
          <w:rtl/>
        </w:rPr>
        <w:t>סוף דבר</w:t>
      </w:r>
    </w:p>
    <w:p w14:paraId="4CC6151F" w14:textId="77777777" w:rsidR="002A5CDF" w:rsidRPr="009C70CF" w:rsidRDefault="002A5CDF" w:rsidP="002A5CDF">
      <w:pPr>
        <w:numPr>
          <w:ilvl w:val="0"/>
          <w:numId w:val="1"/>
        </w:numPr>
        <w:spacing w:after="120" w:line="360" w:lineRule="auto"/>
        <w:jc w:val="both"/>
        <w:rPr>
          <w:rFonts w:ascii="David" w:hAnsi="David"/>
          <w:color w:val="000000"/>
        </w:rPr>
      </w:pPr>
      <w:r w:rsidRPr="009C70CF">
        <w:rPr>
          <w:rFonts w:ascii="David" w:hAnsi="David"/>
          <w:b/>
          <w:bCs/>
          <w:color w:val="000000"/>
          <w:u w:val="single"/>
          <w:rtl/>
        </w:rPr>
        <w:t>אשר על-כן, הנני גוזר על הנאשם את העונשים הבאים</w:t>
      </w:r>
      <w:r w:rsidRPr="009C70CF">
        <w:rPr>
          <w:rFonts w:ascii="David" w:hAnsi="David"/>
          <w:color w:val="000000"/>
          <w:rtl/>
        </w:rPr>
        <w:t>:</w:t>
      </w:r>
    </w:p>
    <w:p w14:paraId="662513BC" w14:textId="77777777" w:rsidR="002A5CDF" w:rsidRPr="009C70CF" w:rsidRDefault="002A5CDF" w:rsidP="002A5CDF">
      <w:pPr>
        <w:numPr>
          <w:ilvl w:val="1"/>
          <w:numId w:val="1"/>
        </w:numPr>
        <w:tabs>
          <w:tab w:val="clear" w:pos="1620"/>
          <w:tab w:val="num" w:pos="1286"/>
        </w:tabs>
        <w:spacing w:after="120" w:line="360" w:lineRule="auto"/>
        <w:ind w:left="1287" w:hanging="539"/>
        <w:jc w:val="both"/>
      </w:pPr>
      <w:r w:rsidRPr="009C70CF">
        <w:rPr>
          <w:b/>
          <w:bCs/>
          <w:rtl/>
        </w:rPr>
        <w:t>30 חודשי מאסר בפועל</w:t>
      </w:r>
      <w:r w:rsidRPr="009C70CF">
        <w:rPr>
          <w:rtl/>
        </w:rPr>
        <w:t xml:space="preserve"> אשר מניינם מיום מעצרו 9.2.19.</w:t>
      </w:r>
    </w:p>
    <w:p w14:paraId="37730C75" w14:textId="77777777" w:rsidR="002A5CDF" w:rsidRPr="009C70CF" w:rsidRDefault="002A5CDF" w:rsidP="002A5CDF">
      <w:pPr>
        <w:numPr>
          <w:ilvl w:val="1"/>
          <w:numId w:val="1"/>
        </w:numPr>
        <w:tabs>
          <w:tab w:val="clear" w:pos="1620"/>
          <w:tab w:val="num" w:pos="1286"/>
        </w:tabs>
        <w:spacing w:after="120" w:line="360" w:lineRule="auto"/>
        <w:ind w:left="1287" w:hanging="539"/>
        <w:jc w:val="both"/>
      </w:pPr>
      <w:r w:rsidRPr="009C70CF">
        <w:rPr>
          <w:rtl/>
        </w:rPr>
        <w:t>הפעלת עונש מאסר על תנאי של 6 חודשים אשר ניתן ב</w:t>
      </w:r>
      <w:hyperlink r:id="rId39" w:history="1">
        <w:r w:rsidR="00011D22" w:rsidRPr="00011D22">
          <w:rPr>
            <w:color w:val="0000FF"/>
            <w:u w:val="single"/>
            <w:rtl/>
          </w:rPr>
          <w:t>ת"פ 45984-01-14</w:t>
        </w:r>
      </w:hyperlink>
      <w:r w:rsidRPr="009C70CF">
        <w:rPr>
          <w:rtl/>
        </w:rPr>
        <w:t xml:space="preserve"> במצטבר לעונש שמוטל בגין תיק זה, ובסך הכל </w:t>
      </w:r>
      <w:r w:rsidRPr="009C70CF">
        <w:rPr>
          <w:b/>
          <w:bCs/>
          <w:rtl/>
        </w:rPr>
        <w:t>יישא בעונש מאסר בפועל של 36 חודשים מיום מעצרו</w:t>
      </w:r>
      <w:r w:rsidRPr="009C70CF">
        <w:rPr>
          <w:rtl/>
        </w:rPr>
        <w:t xml:space="preserve">. </w:t>
      </w:r>
    </w:p>
    <w:p w14:paraId="53B1B354" w14:textId="77777777" w:rsidR="002A5CDF" w:rsidRPr="009C70CF" w:rsidRDefault="002A5CDF" w:rsidP="002A5CDF">
      <w:pPr>
        <w:numPr>
          <w:ilvl w:val="1"/>
          <w:numId w:val="1"/>
        </w:numPr>
        <w:tabs>
          <w:tab w:val="clear" w:pos="1620"/>
          <w:tab w:val="num" w:pos="1286"/>
        </w:tabs>
        <w:spacing w:after="120" w:line="360" w:lineRule="auto"/>
        <w:ind w:left="1287" w:hanging="540"/>
        <w:jc w:val="both"/>
      </w:pPr>
      <w:r w:rsidRPr="009C70CF">
        <w:rPr>
          <w:rtl/>
        </w:rPr>
        <w:t xml:space="preserve">12 חודשי מאסר על תנאי, לבל יעבור הנאשם במשך 3 שנים מיום שחרורו ממאסר  כל עבירת סמים מסוג פשע. </w:t>
      </w:r>
    </w:p>
    <w:p w14:paraId="63397AA6" w14:textId="77777777" w:rsidR="002A5CDF" w:rsidRPr="009C70CF" w:rsidRDefault="002A5CDF" w:rsidP="002A5CDF">
      <w:pPr>
        <w:numPr>
          <w:ilvl w:val="1"/>
          <w:numId w:val="1"/>
        </w:numPr>
        <w:tabs>
          <w:tab w:val="clear" w:pos="1620"/>
          <w:tab w:val="num" w:pos="1286"/>
        </w:tabs>
        <w:spacing w:after="120" w:line="360" w:lineRule="auto"/>
        <w:ind w:left="1287" w:hanging="540"/>
        <w:jc w:val="both"/>
        <w:rPr>
          <w:lang w:eastAsia="he-IL"/>
        </w:rPr>
      </w:pPr>
      <w:r w:rsidRPr="009C70CF">
        <w:rPr>
          <w:rtl/>
        </w:rPr>
        <w:t>קנס כספי בסך של 20,000 ₪ או 120 ימי מאסר תמורתו. הקנס ישולם ב-20 תשלומים חודשיים שווים</w:t>
      </w:r>
      <w:r w:rsidRPr="009C70CF">
        <w:rPr>
          <w:rtl/>
          <w:lang w:eastAsia="he-IL"/>
        </w:rPr>
        <w:t xml:space="preserve"> ורצופים, שהראשון שבהם ביום 1.1.21. אם לא ישולם תשלום כלשהו במועדו, תעמוד היתרה לפירעון מיידי.</w:t>
      </w:r>
    </w:p>
    <w:p w14:paraId="2F232A0B" w14:textId="77777777" w:rsidR="002A5CDF" w:rsidRPr="009C70CF" w:rsidRDefault="002A5CDF" w:rsidP="002A5CDF">
      <w:pPr>
        <w:numPr>
          <w:ilvl w:val="1"/>
          <w:numId w:val="1"/>
        </w:numPr>
        <w:tabs>
          <w:tab w:val="clear" w:pos="1620"/>
          <w:tab w:val="num" w:pos="1286"/>
        </w:tabs>
        <w:spacing w:after="120" w:line="360" w:lineRule="auto"/>
        <w:ind w:left="1287" w:hanging="540"/>
        <w:jc w:val="both"/>
        <w:rPr>
          <w:lang w:eastAsia="he-IL"/>
        </w:rPr>
      </w:pPr>
      <w:r w:rsidRPr="009C70CF">
        <w:rPr>
          <w:rtl/>
          <w:lang w:eastAsia="he-IL"/>
        </w:rPr>
        <w:t xml:space="preserve">ציוד המעבדה יחולט או יושמד על פי שיקול דעת הקצין הממונה. הסמים יושמדו. מכשיר הטלפון הנייד של הנאשם יושב לו או למי מטעמו. </w:t>
      </w:r>
    </w:p>
    <w:p w14:paraId="7310A582" w14:textId="77777777" w:rsidR="002A5CDF" w:rsidRPr="009C70CF" w:rsidRDefault="002A5CDF" w:rsidP="002A5CDF">
      <w:pPr>
        <w:spacing w:after="120" w:line="360" w:lineRule="auto"/>
        <w:ind w:left="720"/>
        <w:jc w:val="both"/>
        <w:rPr>
          <w:rFonts w:ascii="David" w:hAnsi="David"/>
          <w:color w:val="000000"/>
          <w:rtl/>
          <w:lang w:eastAsia="he-IL"/>
        </w:rPr>
      </w:pPr>
    </w:p>
    <w:p w14:paraId="60AA714C" w14:textId="77777777" w:rsidR="002A5CDF" w:rsidRPr="009C70CF" w:rsidRDefault="002A5CDF" w:rsidP="002A5CDF">
      <w:pPr>
        <w:spacing w:after="120" w:line="360" w:lineRule="auto"/>
        <w:ind w:left="720"/>
        <w:jc w:val="both"/>
        <w:rPr>
          <w:rFonts w:ascii="David" w:hAnsi="David"/>
          <w:color w:val="000000"/>
          <w:rtl/>
          <w:lang w:eastAsia="he-IL"/>
        </w:rPr>
      </w:pPr>
      <w:r w:rsidRPr="009C70CF">
        <w:rPr>
          <w:rFonts w:ascii="David" w:hAnsi="David"/>
          <w:color w:val="000000"/>
          <w:rtl/>
          <w:lang w:eastAsia="he-IL"/>
        </w:rPr>
        <w:t>מזכירות בית המשפט תמציא העתק גזר דין לשירות המבחן.</w:t>
      </w:r>
    </w:p>
    <w:p w14:paraId="05C9613B" w14:textId="77777777" w:rsidR="002A5CDF" w:rsidRPr="009C70CF" w:rsidRDefault="002A5CDF" w:rsidP="002A5CDF">
      <w:pPr>
        <w:spacing w:after="120" w:line="360" w:lineRule="auto"/>
        <w:ind w:firstLine="360"/>
        <w:jc w:val="both"/>
        <w:rPr>
          <w:rtl/>
          <w:lang w:eastAsia="he-IL"/>
        </w:rPr>
      </w:pPr>
      <w:r w:rsidRPr="009C70CF">
        <w:rPr>
          <w:rtl/>
          <w:lang w:eastAsia="he-IL"/>
        </w:rPr>
        <w:tab/>
        <w:t xml:space="preserve">זכות ערעור לבית-המשפט העליון תוך 45 ימים. </w:t>
      </w:r>
    </w:p>
    <w:p w14:paraId="19A3C823" w14:textId="77777777" w:rsidR="002A5CDF" w:rsidRPr="009C70CF" w:rsidRDefault="002A5CDF" w:rsidP="002A5CDF">
      <w:pPr>
        <w:jc w:val="both"/>
        <w:rPr>
          <w:rFonts w:cs="Times New Roman"/>
        </w:rPr>
      </w:pPr>
    </w:p>
    <w:p w14:paraId="3B41A6EE" w14:textId="77777777" w:rsidR="002A5CDF" w:rsidRPr="009C70CF" w:rsidRDefault="002A5CDF" w:rsidP="002A5CDF">
      <w:pPr>
        <w:rPr>
          <w:rtl/>
        </w:rPr>
      </w:pPr>
    </w:p>
    <w:p w14:paraId="60ADC57C" w14:textId="77777777" w:rsidR="002A5CDF" w:rsidRPr="00B05847" w:rsidRDefault="002A5CDF" w:rsidP="002A5CDF">
      <w:pPr>
        <w:rPr>
          <w:rtl/>
        </w:rPr>
      </w:pPr>
    </w:p>
    <w:p w14:paraId="057E1BC3" w14:textId="77777777" w:rsidR="002A5CDF" w:rsidRPr="00B05847" w:rsidRDefault="002A5CDF" w:rsidP="002A5CDF">
      <w:pPr>
        <w:rPr>
          <w:rtl/>
        </w:rPr>
      </w:pPr>
    </w:p>
    <w:p w14:paraId="51FBC907" w14:textId="77777777" w:rsidR="002A5CDF" w:rsidRPr="00B05847" w:rsidRDefault="002A5CDF" w:rsidP="002A5CDF">
      <w:pPr>
        <w:rPr>
          <w:rtl/>
        </w:rPr>
      </w:pPr>
    </w:p>
    <w:p w14:paraId="435BEC6E" w14:textId="77777777" w:rsidR="002A5CDF" w:rsidRPr="00B05847" w:rsidRDefault="002A5CDF" w:rsidP="002A5CDF">
      <w:pPr>
        <w:rPr>
          <w:rtl/>
        </w:rPr>
      </w:pPr>
    </w:p>
    <w:p w14:paraId="388A1E77" w14:textId="77777777" w:rsidR="002A5CDF" w:rsidRPr="00B05847" w:rsidRDefault="002A5CDF" w:rsidP="002A5CDF">
      <w:pPr>
        <w:rPr>
          <w:rtl/>
        </w:rPr>
      </w:pPr>
    </w:p>
    <w:p w14:paraId="25BF814A" w14:textId="77777777" w:rsidR="002A5CDF" w:rsidRPr="00B05847" w:rsidRDefault="002A5CDF" w:rsidP="002A5CDF">
      <w:pPr>
        <w:rPr>
          <w:rtl/>
        </w:rPr>
      </w:pPr>
    </w:p>
    <w:p w14:paraId="3ECFC75A" w14:textId="77777777" w:rsidR="002A5CDF" w:rsidRPr="00011D22" w:rsidRDefault="00011D22" w:rsidP="002A5CDF">
      <w:pPr>
        <w:rPr>
          <w:color w:val="FFFFFF"/>
          <w:sz w:val="2"/>
          <w:szCs w:val="2"/>
          <w:rtl/>
        </w:rPr>
      </w:pPr>
      <w:r w:rsidRPr="00011D22">
        <w:rPr>
          <w:color w:val="FFFFFF"/>
          <w:sz w:val="2"/>
          <w:szCs w:val="2"/>
          <w:rtl/>
        </w:rPr>
        <w:t>5129371</w:t>
      </w:r>
    </w:p>
    <w:p w14:paraId="441FAEDF" w14:textId="77777777" w:rsidR="002A5CDF" w:rsidRPr="009C70CF" w:rsidRDefault="00011D22" w:rsidP="002A5CDF">
      <w:pPr>
        <w:rPr>
          <w:rFonts w:cs="FrankRuehl"/>
          <w:sz w:val="28"/>
          <w:szCs w:val="28"/>
          <w:rtl/>
        </w:rPr>
      </w:pPr>
      <w:bookmarkStart w:id="8" w:name="Nitan"/>
      <w:r w:rsidRPr="00011D22">
        <w:rPr>
          <w:rFonts w:ascii="Arial" w:hAnsi="Arial"/>
          <w:color w:val="FFFFFF"/>
          <w:sz w:val="2"/>
          <w:szCs w:val="2"/>
          <w:rtl/>
        </w:rPr>
        <w:t>54678313</w:t>
      </w:r>
      <w:r>
        <w:rPr>
          <w:rFonts w:ascii="Arial" w:hAnsi="Arial"/>
          <w:rtl/>
        </w:rPr>
        <w:t xml:space="preserve">ניתן היום,  כ"ה טבת תש"פ, 22 ינואר 2020, בנוכחות הצדדים. </w:t>
      </w:r>
      <w:bookmarkEnd w:id="8"/>
    </w:p>
    <w:p w14:paraId="0E847F6D" w14:textId="77777777" w:rsidR="002A5CDF" w:rsidRDefault="002A5CDF" w:rsidP="00011D2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C1926FB" w14:textId="77777777" w:rsidR="002A5CDF" w:rsidRDefault="002A5CDF" w:rsidP="002A5CDF">
      <w:pPr>
        <w:jc w:val="center"/>
        <w:rPr>
          <w:rFonts w:ascii="Arial" w:hAnsi="Arial" w:cs="FrankRuehl"/>
          <w:sz w:val="28"/>
          <w:szCs w:val="28"/>
          <w:rtl/>
        </w:rPr>
      </w:pPr>
    </w:p>
    <w:p w14:paraId="3BF92F5E" w14:textId="77777777" w:rsidR="002A5CDF" w:rsidRDefault="002A5CDF" w:rsidP="002A5CDF">
      <w:pPr>
        <w:rPr>
          <w:rFonts w:cs="FrankRuehl"/>
          <w:sz w:val="28"/>
          <w:szCs w:val="28"/>
          <w:rtl/>
        </w:rPr>
      </w:pPr>
    </w:p>
    <w:p w14:paraId="619B0E3A" w14:textId="77777777" w:rsidR="002A5CDF" w:rsidRDefault="002A5CDF" w:rsidP="002A5CDF">
      <w:pPr>
        <w:pStyle w:val="a4"/>
        <w:jc w:val="center"/>
        <w:rPr>
          <w:rtl/>
        </w:rPr>
      </w:pPr>
    </w:p>
    <w:p w14:paraId="147DA230" w14:textId="77777777" w:rsidR="009B7EA8" w:rsidRPr="00011D22" w:rsidRDefault="009B7EA8" w:rsidP="00011D22">
      <w:pPr>
        <w:keepNext/>
        <w:rPr>
          <w:rFonts w:ascii="David" w:hAnsi="David"/>
          <w:color w:val="000000"/>
          <w:sz w:val="22"/>
          <w:szCs w:val="22"/>
          <w:rtl/>
        </w:rPr>
      </w:pPr>
    </w:p>
    <w:p w14:paraId="32C3BA1E" w14:textId="77777777" w:rsidR="00011D22" w:rsidRPr="00011D22" w:rsidRDefault="00011D22" w:rsidP="00011D22">
      <w:pPr>
        <w:keepNext/>
        <w:rPr>
          <w:rFonts w:ascii="David" w:hAnsi="David"/>
          <w:color w:val="000000"/>
          <w:sz w:val="22"/>
          <w:szCs w:val="22"/>
          <w:rtl/>
        </w:rPr>
      </w:pPr>
      <w:r w:rsidRPr="00011D22">
        <w:rPr>
          <w:rFonts w:ascii="David" w:hAnsi="David"/>
          <w:color w:val="000000"/>
          <w:sz w:val="22"/>
          <w:szCs w:val="22"/>
          <w:rtl/>
        </w:rPr>
        <w:t>עמי קובו 54678313</w:t>
      </w:r>
    </w:p>
    <w:p w14:paraId="19C7F0F6" w14:textId="77777777" w:rsidR="00011D22" w:rsidRDefault="00011D22" w:rsidP="00011D22">
      <w:r w:rsidRPr="00011D22">
        <w:rPr>
          <w:color w:val="000000"/>
          <w:rtl/>
        </w:rPr>
        <w:t>נוסח מסמך זה כפוף לשינויי ניסוח ועריכה</w:t>
      </w:r>
    </w:p>
    <w:p w14:paraId="2673BB9A" w14:textId="77777777" w:rsidR="00011D22" w:rsidRDefault="00011D22" w:rsidP="00011D22">
      <w:pPr>
        <w:rPr>
          <w:rtl/>
        </w:rPr>
      </w:pPr>
    </w:p>
    <w:p w14:paraId="40F0B932" w14:textId="77777777" w:rsidR="00011D22" w:rsidRDefault="00011D22" w:rsidP="00011D2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DFD7A1E" w14:textId="77777777" w:rsidR="00011D22" w:rsidRPr="00011D22" w:rsidRDefault="00011D22" w:rsidP="00011D22">
      <w:pPr>
        <w:jc w:val="center"/>
        <w:rPr>
          <w:color w:val="0000FF"/>
          <w:u w:val="single"/>
        </w:rPr>
      </w:pPr>
    </w:p>
    <w:sectPr w:rsidR="00011D22" w:rsidRPr="00011D22" w:rsidSect="00011D2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02528" w14:textId="77777777" w:rsidR="00481572" w:rsidRDefault="00481572" w:rsidP="00E810D4">
      <w:r>
        <w:separator/>
      </w:r>
    </w:p>
  </w:endnote>
  <w:endnote w:type="continuationSeparator" w:id="0">
    <w:p w14:paraId="28899550" w14:textId="77777777" w:rsidR="00481572" w:rsidRDefault="00481572" w:rsidP="00E8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BCF58" w14:textId="77777777" w:rsidR="00011D22" w:rsidRDefault="00011D22" w:rsidP="00011D2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EE2CA0" w14:textId="77777777" w:rsidR="00B51FD9" w:rsidRPr="00011D22" w:rsidRDefault="00011D22" w:rsidP="00011D2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EC605" w14:textId="77777777" w:rsidR="00011D22" w:rsidRDefault="00011D22" w:rsidP="00011D2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4A9A">
      <w:rPr>
        <w:rFonts w:ascii="FrankRuehl" w:hAnsi="FrankRuehl" w:cs="FrankRuehl"/>
        <w:noProof/>
        <w:rtl/>
      </w:rPr>
      <w:t>1</w:t>
    </w:r>
    <w:r>
      <w:rPr>
        <w:rFonts w:ascii="FrankRuehl" w:hAnsi="FrankRuehl" w:cs="FrankRuehl"/>
        <w:rtl/>
      </w:rPr>
      <w:fldChar w:fldCharType="end"/>
    </w:r>
  </w:p>
  <w:p w14:paraId="158F77D9" w14:textId="77777777" w:rsidR="00B51FD9" w:rsidRPr="00011D22" w:rsidRDefault="00011D22" w:rsidP="00011D2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88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0C35D" w14:textId="77777777" w:rsidR="00481572" w:rsidRDefault="00481572" w:rsidP="00E810D4">
      <w:r>
        <w:separator/>
      </w:r>
    </w:p>
  </w:footnote>
  <w:footnote w:type="continuationSeparator" w:id="0">
    <w:p w14:paraId="7EE8A64E" w14:textId="77777777" w:rsidR="00481572" w:rsidRDefault="00481572" w:rsidP="00E81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3212B" w14:textId="77777777" w:rsidR="00011D22" w:rsidRPr="00011D22" w:rsidRDefault="00011D22" w:rsidP="00011D2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45480-02-19</w:t>
    </w:r>
    <w:r>
      <w:rPr>
        <w:rFonts w:ascii="David" w:hAnsi="David"/>
        <w:color w:val="000000"/>
        <w:sz w:val="22"/>
        <w:szCs w:val="22"/>
        <w:rtl/>
      </w:rPr>
      <w:tab/>
      <w:t xml:space="preserve"> מדינת ישראל נ' יניב בן דוד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C558B" w14:textId="77777777" w:rsidR="00011D22" w:rsidRPr="00011D22" w:rsidRDefault="00011D22" w:rsidP="00011D2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45480-02-19</w:t>
    </w:r>
    <w:r>
      <w:rPr>
        <w:rFonts w:ascii="David" w:hAnsi="David"/>
        <w:color w:val="000000"/>
        <w:sz w:val="22"/>
        <w:szCs w:val="22"/>
        <w:rtl/>
      </w:rPr>
      <w:tab/>
      <w:t xml:space="preserve"> מדינת ישראל נ' יניב בן דוד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9744A986"/>
    <w:lvl w:ilvl="0" w:tplc="51CA0740">
      <w:start w:val="1"/>
      <w:numFmt w:val="decimal"/>
      <w:pStyle w:val="a"/>
      <w:lvlText w:val="%1."/>
      <w:lvlJc w:val="left"/>
      <w:pPr>
        <w:tabs>
          <w:tab w:val="num" w:pos="720"/>
        </w:tabs>
        <w:ind w:left="720" w:hanging="720"/>
      </w:pPr>
      <w:rPr>
        <w:rFonts w:cs="Times New Roman" w:hint="default"/>
      </w:rPr>
    </w:lvl>
    <w:lvl w:ilvl="1" w:tplc="F8DA8B74">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34290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5CDF"/>
    <w:rsid w:val="00011D22"/>
    <w:rsid w:val="002A5CDF"/>
    <w:rsid w:val="00481572"/>
    <w:rsid w:val="008E526C"/>
    <w:rsid w:val="00934A9A"/>
    <w:rsid w:val="009731E4"/>
    <w:rsid w:val="009B7EA8"/>
    <w:rsid w:val="00AA3ED9"/>
    <w:rsid w:val="00B51FD9"/>
    <w:rsid w:val="00CB63BD"/>
    <w:rsid w:val="00E810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C2C646"/>
  <w15:chartTrackingRefBased/>
  <w15:docId w15:val="{0ADA1CDF-72BB-4DD8-9ABD-5B1C33B6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A5CDF"/>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A5CDF"/>
    <w:pPr>
      <w:tabs>
        <w:tab w:val="center" w:pos="4153"/>
        <w:tab w:val="right" w:pos="8306"/>
      </w:tabs>
    </w:pPr>
  </w:style>
  <w:style w:type="character" w:customStyle="1" w:styleId="a5">
    <w:name w:val="כותרת עליונה תו"/>
    <w:link w:val="a4"/>
    <w:rsid w:val="002A5CDF"/>
    <w:rPr>
      <w:rFonts w:ascii="Times New Roman" w:eastAsia="Times New Roman" w:hAnsi="Times New Roman" w:cs="David"/>
      <w:sz w:val="24"/>
      <w:szCs w:val="24"/>
    </w:rPr>
  </w:style>
  <w:style w:type="paragraph" w:styleId="a6">
    <w:name w:val="footer"/>
    <w:basedOn w:val="a0"/>
    <w:link w:val="a7"/>
    <w:rsid w:val="002A5CDF"/>
    <w:pPr>
      <w:tabs>
        <w:tab w:val="center" w:pos="4153"/>
        <w:tab w:val="right" w:pos="8306"/>
      </w:tabs>
    </w:pPr>
  </w:style>
  <w:style w:type="character" w:customStyle="1" w:styleId="a7">
    <w:name w:val="כותרת תחתונה תו"/>
    <w:link w:val="a6"/>
    <w:rsid w:val="002A5CDF"/>
    <w:rPr>
      <w:rFonts w:ascii="Times New Roman" w:eastAsia="Times New Roman" w:hAnsi="Times New Roman" w:cs="David"/>
      <w:sz w:val="24"/>
      <w:szCs w:val="24"/>
    </w:rPr>
  </w:style>
  <w:style w:type="table" w:styleId="a8">
    <w:name w:val="Table Grid"/>
    <w:basedOn w:val="a2"/>
    <w:rsid w:val="002A5C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2A5CDF"/>
  </w:style>
  <w:style w:type="paragraph" w:customStyle="1" w:styleId="a">
    <w:name w:val="ממוספר"/>
    <w:basedOn w:val="a0"/>
    <w:rsid w:val="002A5CDF"/>
    <w:pPr>
      <w:numPr>
        <w:numId w:val="1"/>
      </w:numPr>
      <w:spacing w:after="120" w:line="360" w:lineRule="auto"/>
    </w:pPr>
    <w:rPr>
      <w:rFonts w:ascii="David" w:hAnsi="David"/>
      <w:color w:val="000000"/>
    </w:rPr>
  </w:style>
  <w:style w:type="character" w:styleId="Hyperlink">
    <w:name w:val="Hyperlink"/>
    <w:rsid w:val="00011D2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0008894" TargetMode="External"/><Relationship Id="rId39" Type="http://schemas.openxmlformats.org/officeDocument/2006/relationships/hyperlink" Target="http://www.nevo.co.il/case/11265857"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3840868"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02351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3602844" TargetMode="External"/><Relationship Id="rId32" Type="http://schemas.openxmlformats.org/officeDocument/2006/relationships/hyperlink" Target="http://www.nevo.co.il/case/25135813"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22745354"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560197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2326873"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case/22527622"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3602843" TargetMode="External"/><Relationship Id="rId33" Type="http://schemas.openxmlformats.org/officeDocument/2006/relationships/hyperlink" Target="http://www.nevo.co.il/case/23299816" TargetMode="External"/><Relationship Id="rId38" Type="http://schemas.openxmlformats.org/officeDocument/2006/relationships/hyperlink" Target="http://www.nevo.co.il/case/526622" TargetMode="External"/><Relationship Id="rId46" Type="http://schemas.openxmlformats.org/officeDocument/2006/relationships/theme" Target="theme/theme1.xml"/><Relationship Id="rId20" Type="http://schemas.openxmlformats.org/officeDocument/2006/relationships/hyperlink" Target="http://www.nevo.co.il/case/2284141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3996</Words>
  <Characters>19985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23934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3342459</vt:i4>
      </vt:variant>
      <vt:variant>
        <vt:i4>96</vt:i4>
      </vt:variant>
      <vt:variant>
        <vt:i4>0</vt:i4>
      </vt:variant>
      <vt:variant>
        <vt:i4>5</vt:i4>
      </vt:variant>
      <vt:variant>
        <vt:lpwstr>http://www.nevo.co.il/case/11265857</vt:lpwstr>
      </vt:variant>
      <vt:variant>
        <vt:lpwstr/>
      </vt:variant>
      <vt:variant>
        <vt:i4>65600</vt:i4>
      </vt:variant>
      <vt:variant>
        <vt:i4>93</vt:i4>
      </vt:variant>
      <vt:variant>
        <vt:i4>0</vt:i4>
      </vt:variant>
      <vt:variant>
        <vt:i4>5</vt:i4>
      </vt:variant>
      <vt:variant>
        <vt:lpwstr>http://www.nevo.co.il/case/526622</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3932283</vt:i4>
      </vt:variant>
      <vt:variant>
        <vt:i4>81</vt:i4>
      </vt:variant>
      <vt:variant>
        <vt:i4>0</vt:i4>
      </vt:variant>
      <vt:variant>
        <vt:i4>5</vt:i4>
      </vt:variant>
      <vt:variant>
        <vt:lpwstr>http://www.nevo.co.il/case/23840868</vt:lpwstr>
      </vt:variant>
      <vt:variant>
        <vt:lpwstr/>
      </vt:variant>
      <vt:variant>
        <vt:i4>3670134</vt:i4>
      </vt:variant>
      <vt:variant>
        <vt:i4>78</vt:i4>
      </vt:variant>
      <vt:variant>
        <vt:i4>0</vt:i4>
      </vt:variant>
      <vt:variant>
        <vt:i4>5</vt:i4>
      </vt:variant>
      <vt:variant>
        <vt:lpwstr>http://www.nevo.co.il/case/23299816</vt:lpwstr>
      </vt:variant>
      <vt:variant>
        <vt:lpwstr/>
      </vt:variant>
      <vt:variant>
        <vt:i4>3604602</vt:i4>
      </vt:variant>
      <vt:variant>
        <vt:i4>75</vt:i4>
      </vt:variant>
      <vt:variant>
        <vt:i4>0</vt:i4>
      </vt:variant>
      <vt:variant>
        <vt:i4>5</vt:i4>
      </vt:variant>
      <vt:variant>
        <vt:lpwstr>http://www.nevo.co.il/case/25135813</vt:lpwstr>
      </vt:variant>
      <vt:variant>
        <vt:lpwstr/>
      </vt:variant>
      <vt:variant>
        <vt:i4>3276920</vt:i4>
      </vt:variant>
      <vt:variant>
        <vt:i4>72</vt:i4>
      </vt:variant>
      <vt:variant>
        <vt:i4>0</vt:i4>
      </vt:variant>
      <vt:variant>
        <vt:i4>5</vt:i4>
      </vt:variant>
      <vt:variant>
        <vt:lpwstr>http://www.nevo.co.il/case/25601971</vt:lpwstr>
      </vt:variant>
      <vt:variant>
        <vt:lpwstr/>
      </vt:variant>
      <vt:variant>
        <vt:i4>3276914</vt:i4>
      </vt:variant>
      <vt:variant>
        <vt:i4>69</vt:i4>
      </vt:variant>
      <vt:variant>
        <vt:i4>0</vt:i4>
      </vt:variant>
      <vt:variant>
        <vt:i4>5</vt:i4>
      </vt:variant>
      <vt:variant>
        <vt:lpwstr>http://www.nevo.co.il/case/22527622</vt:lpwstr>
      </vt:variant>
      <vt:variant>
        <vt:lpwstr/>
      </vt:variant>
      <vt:variant>
        <vt:i4>3932278</vt:i4>
      </vt:variant>
      <vt:variant>
        <vt:i4>66</vt:i4>
      </vt:variant>
      <vt:variant>
        <vt:i4>0</vt:i4>
      </vt:variant>
      <vt:variant>
        <vt:i4>5</vt:i4>
      </vt:variant>
      <vt:variant>
        <vt:lpwstr>http://www.nevo.co.il/case/20235191</vt:lpwstr>
      </vt:variant>
      <vt:variant>
        <vt:lpwstr/>
      </vt:variant>
      <vt:variant>
        <vt:i4>3473521</vt:i4>
      </vt:variant>
      <vt:variant>
        <vt:i4>63</vt:i4>
      </vt:variant>
      <vt:variant>
        <vt:i4>0</vt:i4>
      </vt:variant>
      <vt:variant>
        <vt:i4>5</vt:i4>
      </vt:variant>
      <vt:variant>
        <vt:lpwstr>http://www.nevo.co.il/case/22745354</vt:lpwstr>
      </vt:variant>
      <vt:variant>
        <vt:lpwstr/>
      </vt:variant>
      <vt:variant>
        <vt:i4>3801206</vt:i4>
      </vt:variant>
      <vt:variant>
        <vt:i4>60</vt:i4>
      </vt:variant>
      <vt:variant>
        <vt:i4>0</vt:i4>
      </vt:variant>
      <vt:variant>
        <vt:i4>5</vt:i4>
      </vt:variant>
      <vt:variant>
        <vt:lpwstr>http://www.nevo.co.il/case/22841413</vt:lpwstr>
      </vt:variant>
      <vt:variant>
        <vt:lpwstr/>
      </vt:variant>
      <vt:variant>
        <vt:i4>3342460</vt:i4>
      </vt:variant>
      <vt:variant>
        <vt:i4>57</vt:i4>
      </vt:variant>
      <vt:variant>
        <vt:i4>0</vt:i4>
      </vt:variant>
      <vt:variant>
        <vt:i4>5</vt:i4>
      </vt:variant>
      <vt:variant>
        <vt:lpwstr>http://www.nevo.co.il/case/20008894</vt:lpwstr>
      </vt:variant>
      <vt:variant>
        <vt:lpwstr/>
      </vt:variant>
      <vt:variant>
        <vt:i4>3276927</vt:i4>
      </vt:variant>
      <vt:variant>
        <vt:i4>54</vt:i4>
      </vt:variant>
      <vt:variant>
        <vt:i4>0</vt:i4>
      </vt:variant>
      <vt:variant>
        <vt:i4>5</vt:i4>
      </vt:variant>
      <vt:variant>
        <vt:lpwstr>http://www.nevo.co.il/case/23602843</vt:lpwstr>
      </vt:variant>
      <vt:variant>
        <vt:lpwstr/>
      </vt:variant>
      <vt:variant>
        <vt:i4>3276927</vt:i4>
      </vt:variant>
      <vt:variant>
        <vt:i4>51</vt:i4>
      </vt:variant>
      <vt:variant>
        <vt:i4>0</vt:i4>
      </vt:variant>
      <vt:variant>
        <vt:i4>5</vt:i4>
      </vt:variant>
      <vt:variant>
        <vt:lpwstr>http://www.nevo.co.il/case/23602844</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3145852</vt:i4>
      </vt:variant>
      <vt:variant>
        <vt:i4>45</vt:i4>
      </vt:variant>
      <vt:variant>
        <vt:i4>0</vt:i4>
      </vt:variant>
      <vt:variant>
        <vt:i4>5</vt:i4>
      </vt:variant>
      <vt:variant>
        <vt:lpwstr>http://www.nevo.co.il/case/22326873</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3801206</vt:i4>
      </vt:variant>
      <vt:variant>
        <vt:i4>39</vt:i4>
      </vt:variant>
      <vt:variant>
        <vt:i4>0</vt:i4>
      </vt:variant>
      <vt:variant>
        <vt:i4>5</vt:i4>
      </vt:variant>
      <vt:variant>
        <vt:lpwstr>http://www.nevo.co.il/case/22841413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45480</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יניב בן דוד סויסה</vt:lpwstr>
  </property>
  <property fmtid="{D5CDD505-2E9C-101B-9397-08002B2CF9AE}" pid="10" name="LAWYER">
    <vt:lpwstr>איריס פיקר;יעקב מלול</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20200122</vt:lpwstr>
  </property>
  <property fmtid="{D5CDD505-2E9C-101B-9397-08002B2CF9AE}" pid="14" name="TYPE_N_DATE">
    <vt:lpwstr>39020200122</vt:lpwstr>
  </property>
  <property fmtid="{D5CDD505-2E9C-101B-9397-08002B2CF9AE}" pid="15" name="CASESLISTTMP1">
    <vt:lpwstr>23827604;22841413:2;22326873;21644133;23602844;23602843;20008894;22745354;20235191;22527622;25601971;25135813;23299816;23840868;526622;11265857</vt:lpwstr>
  </property>
  <property fmtid="{D5CDD505-2E9C-101B-9397-08002B2CF9AE}" pid="16" name="WORDNUMPAGES">
    <vt:lpwstr>11</vt:lpwstr>
  </property>
  <property fmtid="{D5CDD505-2E9C-101B-9397-08002B2CF9AE}" pid="17" name="TYPE_ABS_DATE">
    <vt:lpwstr>390020200122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vt:lpwstr>
  </property>
  <property fmtid="{D5CDD505-2E9C-101B-9397-08002B2CF9AE}" pid="37" name="LAWLISTTMP2">
    <vt:lpwstr>70301/040i;40jc;40ja</vt:lpwstr>
  </property>
</Properties>
</file>