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101B28" w:rsidRPr="00DC7B9D" w14:paraId="0FAB63A5" w14:textId="77777777" w:rsidTr="00FD1968">
        <w:trPr>
          <w:trHeight w:hRule="exact" w:val="418"/>
          <w:jc w:val="center"/>
        </w:trPr>
        <w:tc>
          <w:tcPr>
            <w:tcW w:w="8721" w:type="dxa"/>
            <w:gridSpan w:val="2"/>
          </w:tcPr>
          <w:p w14:paraId="0474CB64" w14:textId="77777777" w:rsidR="00101B28" w:rsidRPr="00DC7B9D" w:rsidRDefault="00101B28" w:rsidP="00102424">
            <w:pPr>
              <w:pStyle w:val="a3"/>
              <w:jc w:val="center"/>
              <w:rPr>
                <w:rFonts w:ascii="Tahoma" w:hAnsi="Tahoma"/>
                <w:color w:val="000080"/>
                <w:sz w:val="32"/>
                <w:szCs w:val="32"/>
                <w:rtl/>
              </w:rPr>
            </w:pPr>
            <w:bookmarkStart w:id="0" w:name="LastJudge"/>
            <w:r w:rsidRPr="00DC7B9D">
              <w:rPr>
                <w:rFonts w:ascii="Tahoma" w:hAnsi="Tahoma"/>
                <w:b/>
                <w:bCs/>
                <w:color w:val="000080"/>
                <w:sz w:val="32"/>
                <w:szCs w:val="32"/>
                <w:rtl/>
              </w:rPr>
              <w:t>בית המשפט המחוזי בתל אביב - יפו</w:t>
            </w:r>
          </w:p>
        </w:tc>
      </w:tr>
      <w:tr w:rsidR="00101B28" w:rsidRPr="00DC7B9D" w14:paraId="1A014CE6" w14:textId="77777777" w:rsidTr="00FD1968">
        <w:trPr>
          <w:trHeight w:val="337"/>
          <w:jc w:val="center"/>
        </w:trPr>
        <w:tc>
          <w:tcPr>
            <w:tcW w:w="5052" w:type="dxa"/>
          </w:tcPr>
          <w:p w14:paraId="3D1A59C7" w14:textId="77777777" w:rsidR="00101B28" w:rsidRPr="00DC7B9D" w:rsidRDefault="00101B28" w:rsidP="00102424">
            <w:pPr>
              <w:rPr>
                <w:sz w:val="26"/>
                <w:szCs w:val="26"/>
                <w:rtl/>
              </w:rPr>
            </w:pPr>
            <w:r w:rsidRPr="00DC7B9D">
              <w:rPr>
                <w:sz w:val="26"/>
                <w:szCs w:val="26"/>
                <w:rtl/>
              </w:rPr>
              <w:t>ת"פ</w:t>
            </w:r>
            <w:r w:rsidRPr="00DC7B9D">
              <w:rPr>
                <w:rFonts w:hint="cs"/>
                <w:sz w:val="26"/>
                <w:szCs w:val="26"/>
                <w:rtl/>
              </w:rPr>
              <w:t xml:space="preserve"> </w:t>
            </w:r>
            <w:r w:rsidRPr="00DC7B9D">
              <w:rPr>
                <w:sz w:val="26"/>
                <w:szCs w:val="26"/>
                <w:rtl/>
              </w:rPr>
              <w:t>49034-02-19</w:t>
            </w:r>
            <w:r w:rsidRPr="00DC7B9D">
              <w:rPr>
                <w:rFonts w:hint="cs"/>
                <w:sz w:val="26"/>
                <w:szCs w:val="26"/>
                <w:rtl/>
              </w:rPr>
              <w:t xml:space="preserve"> </w:t>
            </w:r>
            <w:r w:rsidRPr="00DC7B9D">
              <w:rPr>
                <w:sz w:val="26"/>
                <w:szCs w:val="26"/>
                <w:rtl/>
              </w:rPr>
              <w:t>מדינת ישראל נ' אוחיון(עצור/אסיר בפיקוח)</w:t>
            </w:r>
          </w:p>
          <w:p w14:paraId="36F300E8" w14:textId="77777777" w:rsidR="00101B28" w:rsidRPr="00DC7B9D" w:rsidRDefault="00101B28" w:rsidP="00102424">
            <w:pPr>
              <w:pStyle w:val="a3"/>
              <w:rPr>
                <w:rFonts w:cs="FrankRuehl"/>
                <w:sz w:val="28"/>
                <w:szCs w:val="28"/>
                <w:rtl/>
              </w:rPr>
            </w:pPr>
          </w:p>
        </w:tc>
        <w:tc>
          <w:tcPr>
            <w:tcW w:w="3669" w:type="dxa"/>
          </w:tcPr>
          <w:p w14:paraId="2376A76A" w14:textId="77777777" w:rsidR="00101B28" w:rsidRPr="00DC7B9D" w:rsidRDefault="00101B28" w:rsidP="00102424">
            <w:pPr>
              <w:pStyle w:val="a3"/>
              <w:jc w:val="right"/>
              <w:rPr>
                <w:rFonts w:cs="FrankRuehl"/>
                <w:sz w:val="28"/>
                <w:szCs w:val="28"/>
                <w:rtl/>
              </w:rPr>
            </w:pPr>
            <w:r w:rsidRPr="00DC7B9D">
              <w:rPr>
                <w:rFonts w:cs="FrankRuehl" w:hint="cs"/>
                <w:sz w:val="28"/>
                <w:szCs w:val="28"/>
                <w:rtl/>
              </w:rPr>
              <w:t>07.01.2020</w:t>
            </w:r>
          </w:p>
        </w:tc>
      </w:tr>
    </w:tbl>
    <w:p w14:paraId="3EEFE0A8" w14:textId="77777777" w:rsidR="00101B28" w:rsidRPr="00DC7B9D" w:rsidRDefault="00101B28" w:rsidP="00101B28">
      <w:pPr>
        <w:pStyle w:val="a3"/>
        <w:rPr>
          <w:rtl/>
        </w:rPr>
      </w:pPr>
      <w:r w:rsidRPr="00DC7B9D">
        <w:rPr>
          <w:rFonts w:hint="cs"/>
          <w:rtl/>
        </w:rPr>
        <w:t xml:space="preserve"> </w:t>
      </w:r>
    </w:p>
    <w:p w14:paraId="138A635A" w14:textId="77777777" w:rsidR="00101B28" w:rsidRPr="00DC7B9D" w:rsidRDefault="00101B28" w:rsidP="00101B28">
      <w:pPr>
        <w:rPr>
          <w:rtl/>
        </w:rPr>
      </w:pPr>
    </w:p>
    <w:p w14:paraId="3F1230C3" w14:textId="77777777" w:rsidR="00101B28" w:rsidRPr="00DC7B9D" w:rsidRDefault="00101B28" w:rsidP="00101B2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75"/>
        <w:gridCol w:w="3350"/>
      </w:tblGrid>
      <w:tr w:rsidR="00101B28" w:rsidRPr="00DC7B9D" w14:paraId="14F7FCC4" w14:textId="77777777" w:rsidTr="00101B28">
        <w:trPr>
          <w:trHeight w:val="295"/>
          <w:jc w:val="center"/>
        </w:trPr>
        <w:tc>
          <w:tcPr>
            <w:tcW w:w="598" w:type="dxa"/>
            <w:tcBorders>
              <w:top w:val="nil"/>
              <w:left w:val="nil"/>
              <w:bottom w:val="nil"/>
              <w:right w:val="nil"/>
            </w:tcBorders>
            <w:shd w:val="clear" w:color="auto" w:fill="auto"/>
          </w:tcPr>
          <w:p w14:paraId="37E5841A" w14:textId="77777777" w:rsidR="00101B28" w:rsidRPr="00DC7B9D" w:rsidRDefault="00101B28" w:rsidP="00101B28">
            <w:pPr>
              <w:jc w:val="both"/>
              <w:rPr>
                <w:rFonts w:ascii="Arial" w:hAnsi="Arial"/>
                <w:b/>
                <w:bCs/>
                <w:sz w:val="26"/>
                <w:szCs w:val="26"/>
              </w:rPr>
            </w:pPr>
            <w:r w:rsidRPr="00DC7B9D">
              <w:rPr>
                <w:rFonts w:ascii="Arial" w:hAnsi="Arial" w:hint="cs"/>
                <w:b/>
                <w:bCs/>
                <w:sz w:val="26"/>
                <w:szCs w:val="26"/>
                <w:rtl/>
              </w:rPr>
              <w:t>ל</w:t>
            </w:r>
            <w:r w:rsidRPr="00DC7B9D">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7B09BC6C" w14:textId="77777777" w:rsidR="00101B28" w:rsidRPr="00DC7B9D" w:rsidRDefault="00101B28" w:rsidP="00102424">
            <w:pPr>
              <w:rPr>
                <w:rFonts w:ascii="Arial" w:hAnsi="Arial"/>
                <w:b/>
                <w:bCs/>
                <w:sz w:val="26"/>
                <w:szCs w:val="26"/>
                <w:rtl/>
              </w:rPr>
            </w:pPr>
            <w:r w:rsidRPr="00DC7B9D">
              <w:rPr>
                <w:rFonts w:ascii="Arial" w:hAnsi="Arial" w:hint="cs"/>
                <w:b/>
                <w:bCs/>
                <w:sz w:val="26"/>
                <w:szCs w:val="26"/>
                <w:rtl/>
              </w:rPr>
              <w:t>כבוד ה</w:t>
            </w:r>
            <w:r w:rsidRPr="00DC7B9D">
              <w:rPr>
                <w:rFonts w:ascii="Arial" w:hAnsi="Arial"/>
                <w:b/>
                <w:bCs/>
                <w:sz w:val="26"/>
                <w:szCs w:val="26"/>
                <w:rtl/>
              </w:rPr>
              <w:t>שופט עמית</w:t>
            </w:r>
            <w:r w:rsidRPr="00DC7B9D">
              <w:rPr>
                <w:rFonts w:ascii="Arial" w:hAnsi="Arial" w:hint="cs"/>
                <w:b/>
                <w:bCs/>
                <w:sz w:val="26"/>
                <w:szCs w:val="26"/>
                <w:rtl/>
              </w:rPr>
              <w:t xml:space="preserve">  </w:t>
            </w:r>
            <w:r w:rsidRPr="00DC7B9D">
              <w:rPr>
                <w:rFonts w:ascii="Arial" w:hAnsi="Arial"/>
                <w:b/>
                <w:bCs/>
                <w:sz w:val="26"/>
                <w:szCs w:val="26"/>
                <w:rtl/>
              </w:rPr>
              <w:t>צבי גורפינקל</w:t>
            </w:r>
          </w:p>
          <w:p w14:paraId="3F8E796A" w14:textId="77777777" w:rsidR="00101B28" w:rsidRPr="00DC7B9D" w:rsidRDefault="00101B28" w:rsidP="00102424">
            <w:pPr>
              <w:rPr>
                <w:sz w:val="26"/>
                <w:szCs w:val="26"/>
                <w:rtl/>
              </w:rPr>
            </w:pPr>
          </w:p>
          <w:p w14:paraId="57D4ACDA" w14:textId="77777777" w:rsidR="00101B28" w:rsidRPr="00DC7B9D" w:rsidRDefault="00101B28" w:rsidP="00101B28">
            <w:pPr>
              <w:jc w:val="both"/>
              <w:rPr>
                <w:rFonts w:ascii="Arial" w:hAnsi="Arial"/>
                <w:sz w:val="26"/>
                <w:szCs w:val="26"/>
              </w:rPr>
            </w:pPr>
          </w:p>
        </w:tc>
      </w:tr>
      <w:tr w:rsidR="00101B28" w:rsidRPr="00DC7B9D" w14:paraId="4610A0AB" w14:textId="77777777" w:rsidTr="00101B28">
        <w:trPr>
          <w:trHeight w:val="355"/>
          <w:jc w:val="center"/>
        </w:trPr>
        <w:tc>
          <w:tcPr>
            <w:tcW w:w="598" w:type="dxa"/>
            <w:tcBorders>
              <w:top w:val="nil"/>
              <w:left w:val="nil"/>
              <w:bottom w:val="nil"/>
              <w:right w:val="nil"/>
            </w:tcBorders>
            <w:shd w:val="clear" w:color="auto" w:fill="auto"/>
          </w:tcPr>
          <w:p w14:paraId="08A8AF51" w14:textId="77777777" w:rsidR="00101B28" w:rsidRPr="00DC7B9D" w:rsidRDefault="00101B28" w:rsidP="00101B28">
            <w:pPr>
              <w:jc w:val="both"/>
              <w:rPr>
                <w:rFonts w:ascii="Arial" w:hAnsi="Arial"/>
                <w:b/>
                <w:bCs/>
                <w:sz w:val="26"/>
                <w:szCs w:val="26"/>
              </w:rPr>
            </w:pPr>
            <w:bookmarkStart w:id="1" w:name="FirstAppellant"/>
            <w:bookmarkStart w:id="2" w:name="FirstLawyer"/>
            <w:r w:rsidRPr="00DC7B9D">
              <w:rPr>
                <w:rFonts w:ascii="Arial" w:hAnsi="Arial" w:hint="cs"/>
                <w:sz w:val="26"/>
                <w:szCs w:val="26"/>
                <w:rtl/>
              </w:rPr>
              <w:t>ה</w:t>
            </w:r>
            <w:r w:rsidRPr="00DC7B9D">
              <w:rPr>
                <w:rFonts w:ascii="Arial" w:hAnsi="Arial"/>
                <w:sz w:val="26"/>
                <w:szCs w:val="26"/>
                <w:rtl/>
              </w:rPr>
              <w:t>מאשימה</w:t>
            </w:r>
          </w:p>
        </w:tc>
        <w:tc>
          <w:tcPr>
            <w:tcW w:w="4565" w:type="dxa"/>
            <w:tcBorders>
              <w:top w:val="nil"/>
              <w:left w:val="nil"/>
              <w:bottom w:val="nil"/>
              <w:right w:val="nil"/>
            </w:tcBorders>
            <w:shd w:val="clear" w:color="auto" w:fill="auto"/>
          </w:tcPr>
          <w:p w14:paraId="4A5A6E2C" w14:textId="77777777" w:rsidR="00101B28" w:rsidRPr="00DC7B9D" w:rsidRDefault="00101B28" w:rsidP="00102424">
            <w:pPr>
              <w:rPr>
                <w:sz w:val="26"/>
                <w:szCs w:val="26"/>
                <w:rtl/>
              </w:rPr>
            </w:pPr>
            <w:r w:rsidRPr="00DC7B9D">
              <w:rPr>
                <w:rFonts w:ascii="Arial" w:hAnsi="Arial"/>
                <w:sz w:val="26"/>
                <w:szCs w:val="26"/>
                <w:rtl/>
              </w:rPr>
              <w:t>מדינת ישראל</w:t>
            </w:r>
          </w:p>
          <w:p w14:paraId="0A416D39" w14:textId="77777777" w:rsidR="00101B28" w:rsidRPr="00DC7B9D" w:rsidRDefault="00101B28" w:rsidP="00102424">
            <w:pPr>
              <w:rPr>
                <w:sz w:val="26"/>
                <w:szCs w:val="26"/>
                <w:rtl/>
              </w:rPr>
            </w:pPr>
            <w:r w:rsidRPr="00DC7B9D">
              <w:rPr>
                <w:rFonts w:hint="cs"/>
                <w:sz w:val="26"/>
                <w:szCs w:val="26"/>
                <w:rtl/>
              </w:rPr>
              <w:t>ע"י ב"כ עו"ד רוני מודריק</w:t>
            </w:r>
          </w:p>
        </w:tc>
        <w:tc>
          <w:tcPr>
            <w:tcW w:w="3657" w:type="dxa"/>
            <w:tcBorders>
              <w:top w:val="nil"/>
              <w:left w:val="nil"/>
              <w:bottom w:val="nil"/>
              <w:right w:val="nil"/>
            </w:tcBorders>
            <w:shd w:val="clear" w:color="auto" w:fill="auto"/>
          </w:tcPr>
          <w:p w14:paraId="0B07D204" w14:textId="77777777" w:rsidR="00101B28" w:rsidRPr="00DC7B9D" w:rsidRDefault="00101B28" w:rsidP="00101B28">
            <w:pPr>
              <w:jc w:val="both"/>
              <w:rPr>
                <w:rFonts w:ascii="Arial" w:hAnsi="Arial"/>
                <w:sz w:val="26"/>
                <w:szCs w:val="26"/>
              </w:rPr>
            </w:pPr>
          </w:p>
        </w:tc>
      </w:tr>
      <w:bookmarkEnd w:id="1"/>
      <w:bookmarkEnd w:id="2"/>
      <w:tr w:rsidR="00101B28" w:rsidRPr="00DC7B9D" w14:paraId="0306A6FA" w14:textId="77777777" w:rsidTr="00101B28">
        <w:trPr>
          <w:trHeight w:val="355"/>
          <w:jc w:val="center"/>
        </w:trPr>
        <w:tc>
          <w:tcPr>
            <w:tcW w:w="598" w:type="dxa"/>
            <w:tcBorders>
              <w:top w:val="nil"/>
              <w:left w:val="nil"/>
              <w:bottom w:val="nil"/>
              <w:right w:val="nil"/>
            </w:tcBorders>
            <w:shd w:val="clear" w:color="auto" w:fill="auto"/>
          </w:tcPr>
          <w:p w14:paraId="06F0A953" w14:textId="77777777" w:rsidR="00101B28" w:rsidRPr="00DC7B9D" w:rsidRDefault="00101B28" w:rsidP="00101B28">
            <w:pPr>
              <w:jc w:val="both"/>
              <w:rPr>
                <w:rFonts w:ascii="Arial" w:hAnsi="Arial"/>
                <w:sz w:val="26"/>
                <w:szCs w:val="26"/>
                <w:rtl/>
              </w:rPr>
            </w:pPr>
          </w:p>
        </w:tc>
        <w:tc>
          <w:tcPr>
            <w:tcW w:w="4565" w:type="dxa"/>
            <w:tcBorders>
              <w:top w:val="nil"/>
              <w:left w:val="nil"/>
              <w:bottom w:val="nil"/>
              <w:right w:val="nil"/>
            </w:tcBorders>
            <w:shd w:val="clear" w:color="auto" w:fill="auto"/>
          </w:tcPr>
          <w:p w14:paraId="599C8987" w14:textId="77777777" w:rsidR="00101B28" w:rsidRPr="00DC7B9D" w:rsidRDefault="00101B28" w:rsidP="00102424">
            <w:pPr>
              <w:rPr>
                <w:rFonts w:ascii="Arial" w:hAnsi="Arial"/>
                <w:sz w:val="26"/>
                <w:szCs w:val="26"/>
                <w:rtl/>
              </w:rPr>
            </w:pPr>
          </w:p>
        </w:tc>
        <w:tc>
          <w:tcPr>
            <w:tcW w:w="3657" w:type="dxa"/>
            <w:tcBorders>
              <w:top w:val="nil"/>
              <w:left w:val="nil"/>
              <w:bottom w:val="nil"/>
              <w:right w:val="nil"/>
            </w:tcBorders>
            <w:shd w:val="clear" w:color="auto" w:fill="auto"/>
          </w:tcPr>
          <w:p w14:paraId="6554D89B" w14:textId="77777777" w:rsidR="00101B28" w:rsidRPr="00DC7B9D" w:rsidRDefault="00101B28" w:rsidP="00101B28">
            <w:pPr>
              <w:jc w:val="right"/>
              <w:rPr>
                <w:rFonts w:ascii="Arial" w:hAnsi="Arial"/>
                <w:sz w:val="26"/>
                <w:szCs w:val="26"/>
                <w:rtl/>
              </w:rPr>
            </w:pPr>
          </w:p>
        </w:tc>
      </w:tr>
      <w:tr w:rsidR="00101B28" w:rsidRPr="00DC7B9D" w14:paraId="5E9E291F" w14:textId="77777777" w:rsidTr="00101B28">
        <w:trPr>
          <w:trHeight w:val="355"/>
          <w:jc w:val="center"/>
        </w:trPr>
        <w:tc>
          <w:tcPr>
            <w:tcW w:w="598" w:type="dxa"/>
            <w:tcBorders>
              <w:top w:val="nil"/>
              <w:left w:val="nil"/>
              <w:bottom w:val="nil"/>
              <w:right w:val="nil"/>
            </w:tcBorders>
            <w:shd w:val="clear" w:color="auto" w:fill="auto"/>
          </w:tcPr>
          <w:p w14:paraId="3140712E" w14:textId="77777777" w:rsidR="00101B28" w:rsidRPr="00DC7B9D" w:rsidRDefault="00101B28" w:rsidP="00101B28">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1042B993" w14:textId="77777777" w:rsidR="00101B28" w:rsidRPr="00DC7B9D" w:rsidRDefault="00101B28" w:rsidP="00101B28">
            <w:pPr>
              <w:jc w:val="center"/>
              <w:rPr>
                <w:rFonts w:ascii="Arial" w:hAnsi="Arial"/>
                <w:b/>
                <w:bCs/>
                <w:sz w:val="26"/>
                <w:szCs w:val="26"/>
                <w:rtl/>
              </w:rPr>
            </w:pPr>
          </w:p>
          <w:p w14:paraId="6AD5E7EF" w14:textId="77777777" w:rsidR="00101B28" w:rsidRPr="00DC7B9D" w:rsidRDefault="00101B28" w:rsidP="00101B28">
            <w:pPr>
              <w:jc w:val="center"/>
              <w:rPr>
                <w:rFonts w:ascii="Arial" w:hAnsi="Arial"/>
                <w:b/>
                <w:bCs/>
                <w:sz w:val="26"/>
                <w:szCs w:val="26"/>
                <w:rtl/>
              </w:rPr>
            </w:pPr>
            <w:r w:rsidRPr="00DC7B9D">
              <w:rPr>
                <w:rFonts w:ascii="Arial" w:hAnsi="Arial"/>
                <w:b/>
                <w:bCs/>
                <w:sz w:val="26"/>
                <w:szCs w:val="26"/>
                <w:rtl/>
              </w:rPr>
              <w:t>נגד</w:t>
            </w:r>
          </w:p>
          <w:p w14:paraId="2B2FAA1F" w14:textId="77777777" w:rsidR="00101B28" w:rsidRPr="00DC7B9D" w:rsidRDefault="00101B28" w:rsidP="00101B28">
            <w:pPr>
              <w:jc w:val="both"/>
              <w:rPr>
                <w:rFonts w:ascii="Arial" w:hAnsi="Arial"/>
                <w:sz w:val="26"/>
                <w:szCs w:val="26"/>
              </w:rPr>
            </w:pPr>
          </w:p>
        </w:tc>
      </w:tr>
      <w:tr w:rsidR="00101B28" w:rsidRPr="00DC7B9D" w14:paraId="75CC19E7" w14:textId="77777777" w:rsidTr="00101B28">
        <w:trPr>
          <w:trHeight w:val="355"/>
          <w:jc w:val="center"/>
        </w:trPr>
        <w:tc>
          <w:tcPr>
            <w:tcW w:w="598" w:type="dxa"/>
            <w:tcBorders>
              <w:top w:val="nil"/>
              <w:left w:val="nil"/>
              <w:bottom w:val="nil"/>
              <w:right w:val="nil"/>
            </w:tcBorders>
            <w:shd w:val="clear" w:color="auto" w:fill="auto"/>
          </w:tcPr>
          <w:p w14:paraId="749C7D80" w14:textId="77777777" w:rsidR="00101B28" w:rsidRPr="00DC7B9D" w:rsidRDefault="00101B28" w:rsidP="00102424">
            <w:pPr>
              <w:rPr>
                <w:rFonts w:ascii="Arial" w:hAnsi="Arial"/>
                <w:sz w:val="26"/>
                <w:szCs w:val="26"/>
                <w:rtl/>
              </w:rPr>
            </w:pPr>
            <w:r w:rsidRPr="00DC7B9D">
              <w:rPr>
                <w:rFonts w:ascii="Arial" w:hAnsi="Arial" w:hint="cs"/>
                <w:sz w:val="26"/>
                <w:szCs w:val="26"/>
                <w:rtl/>
              </w:rPr>
              <w:t>ה</w:t>
            </w:r>
            <w:r w:rsidRPr="00DC7B9D">
              <w:rPr>
                <w:rFonts w:ascii="Arial" w:hAnsi="Arial"/>
                <w:sz w:val="26"/>
                <w:szCs w:val="26"/>
                <w:rtl/>
              </w:rPr>
              <w:t>נאשם</w:t>
            </w:r>
          </w:p>
        </w:tc>
        <w:tc>
          <w:tcPr>
            <w:tcW w:w="4565" w:type="dxa"/>
            <w:tcBorders>
              <w:top w:val="nil"/>
              <w:left w:val="nil"/>
              <w:bottom w:val="nil"/>
              <w:right w:val="nil"/>
            </w:tcBorders>
            <w:shd w:val="clear" w:color="auto" w:fill="auto"/>
          </w:tcPr>
          <w:p w14:paraId="32877F47" w14:textId="77777777" w:rsidR="00101B28" w:rsidRPr="00DC7B9D" w:rsidRDefault="00101B28" w:rsidP="00102424">
            <w:pPr>
              <w:rPr>
                <w:sz w:val="26"/>
                <w:szCs w:val="26"/>
                <w:rtl/>
              </w:rPr>
            </w:pPr>
            <w:r w:rsidRPr="00DC7B9D">
              <w:rPr>
                <w:rFonts w:ascii="Arial" w:hAnsi="Arial"/>
                <w:sz w:val="26"/>
                <w:szCs w:val="26"/>
                <w:rtl/>
              </w:rPr>
              <w:t>ליאב משה אוחיון (עצור/אסיר בפיקוח)</w:t>
            </w:r>
          </w:p>
          <w:p w14:paraId="132A904D" w14:textId="77777777" w:rsidR="00101B28" w:rsidRPr="00DC7B9D" w:rsidRDefault="00101B28" w:rsidP="00102424">
            <w:pPr>
              <w:rPr>
                <w:sz w:val="26"/>
                <w:szCs w:val="26"/>
                <w:rtl/>
              </w:rPr>
            </w:pPr>
            <w:r w:rsidRPr="00DC7B9D">
              <w:rPr>
                <w:rFonts w:hint="cs"/>
                <w:sz w:val="26"/>
                <w:szCs w:val="26"/>
                <w:rtl/>
              </w:rPr>
              <w:t>ע"י ב"כ עוה"ד מיכאל סיבוני ורותם כהן</w:t>
            </w:r>
          </w:p>
        </w:tc>
        <w:tc>
          <w:tcPr>
            <w:tcW w:w="3657" w:type="dxa"/>
            <w:tcBorders>
              <w:top w:val="nil"/>
              <w:left w:val="nil"/>
              <w:bottom w:val="nil"/>
              <w:right w:val="nil"/>
            </w:tcBorders>
            <w:shd w:val="clear" w:color="auto" w:fill="auto"/>
          </w:tcPr>
          <w:p w14:paraId="62EE94B7" w14:textId="77777777" w:rsidR="00101B28" w:rsidRPr="00DC7B9D" w:rsidRDefault="00101B28" w:rsidP="00101B28">
            <w:pPr>
              <w:jc w:val="right"/>
              <w:rPr>
                <w:rFonts w:ascii="Arial" w:hAnsi="Arial"/>
                <w:sz w:val="26"/>
                <w:szCs w:val="26"/>
              </w:rPr>
            </w:pPr>
          </w:p>
        </w:tc>
      </w:tr>
      <w:tr w:rsidR="00101B28" w:rsidRPr="00DC7B9D" w14:paraId="468B8A2D" w14:textId="77777777" w:rsidTr="00101B28">
        <w:trPr>
          <w:trHeight w:val="355"/>
          <w:jc w:val="center"/>
        </w:trPr>
        <w:tc>
          <w:tcPr>
            <w:tcW w:w="598" w:type="dxa"/>
            <w:tcBorders>
              <w:top w:val="nil"/>
              <w:left w:val="nil"/>
              <w:bottom w:val="nil"/>
              <w:right w:val="nil"/>
            </w:tcBorders>
            <w:shd w:val="clear" w:color="auto" w:fill="auto"/>
          </w:tcPr>
          <w:p w14:paraId="320AA290" w14:textId="77777777" w:rsidR="00101B28" w:rsidRPr="00DC7B9D" w:rsidRDefault="00101B28" w:rsidP="00101B28">
            <w:pPr>
              <w:jc w:val="both"/>
              <w:rPr>
                <w:rFonts w:ascii="Arial" w:hAnsi="Arial"/>
                <w:sz w:val="26"/>
                <w:szCs w:val="26"/>
                <w:rtl/>
              </w:rPr>
            </w:pPr>
          </w:p>
        </w:tc>
        <w:tc>
          <w:tcPr>
            <w:tcW w:w="4565" w:type="dxa"/>
            <w:tcBorders>
              <w:top w:val="nil"/>
              <w:left w:val="nil"/>
              <w:bottom w:val="nil"/>
              <w:right w:val="nil"/>
            </w:tcBorders>
            <w:shd w:val="clear" w:color="auto" w:fill="auto"/>
          </w:tcPr>
          <w:p w14:paraId="5D0B3AAA" w14:textId="77777777" w:rsidR="00101B28" w:rsidRPr="00DC7B9D" w:rsidRDefault="00101B28" w:rsidP="00102424">
            <w:pPr>
              <w:rPr>
                <w:rFonts w:ascii="Arial" w:hAnsi="Arial"/>
                <w:sz w:val="26"/>
                <w:szCs w:val="26"/>
              </w:rPr>
            </w:pPr>
          </w:p>
        </w:tc>
        <w:tc>
          <w:tcPr>
            <w:tcW w:w="3657" w:type="dxa"/>
            <w:tcBorders>
              <w:top w:val="nil"/>
              <w:left w:val="nil"/>
              <w:bottom w:val="nil"/>
              <w:right w:val="nil"/>
            </w:tcBorders>
            <w:shd w:val="clear" w:color="auto" w:fill="auto"/>
          </w:tcPr>
          <w:p w14:paraId="12D6691F" w14:textId="77777777" w:rsidR="00101B28" w:rsidRPr="00DC7B9D" w:rsidRDefault="00101B28" w:rsidP="00101B28">
            <w:pPr>
              <w:jc w:val="right"/>
              <w:rPr>
                <w:rFonts w:ascii="Arial" w:hAnsi="Arial"/>
                <w:sz w:val="26"/>
                <w:szCs w:val="26"/>
              </w:rPr>
            </w:pPr>
          </w:p>
        </w:tc>
      </w:tr>
    </w:tbl>
    <w:p w14:paraId="7240B7DC" w14:textId="77777777" w:rsidR="00DC7B9D" w:rsidRPr="00DC7B9D" w:rsidRDefault="00DC7B9D" w:rsidP="00DC7B9D">
      <w:pPr>
        <w:spacing w:before="120" w:after="120" w:line="240" w:lineRule="exact"/>
        <w:ind w:left="283" w:hanging="283"/>
        <w:jc w:val="both"/>
        <w:rPr>
          <w:rFonts w:ascii="FrankRuehl" w:hAnsi="FrankRuehl" w:cs="FrankRuehl"/>
          <w:rtl/>
        </w:rPr>
      </w:pPr>
    </w:p>
    <w:p w14:paraId="37DA791F" w14:textId="77777777" w:rsidR="00DC7B9D" w:rsidRPr="00DC7B9D" w:rsidRDefault="00DC7B9D" w:rsidP="00DC7B9D">
      <w:pPr>
        <w:rPr>
          <w:rtl/>
        </w:rPr>
      </w:pPr>
    </w:p>
    <w:p w14:paraId="53655A06" w14:textId="77777777" w:rsidR="00FD1968" w:rsidRPr="00FD1968" w:rsidRDefault="00FD1968" w:rsidP="00FD1968">
      <w:pPr>
        <w:spacing w:before="120" w:after="120" w:line="240" w:lineRule="exact"/>
        <w:ind w:left="283" w:hanging="283"/>
        <w:jc w:val="both"/>
        <w:rPr>
          <w:rFonts w:ascii="FrankRuehl" w:hAnsi="FrankRuehl" w:cs="FrankRuehl"/>
        </w:rPr>
      </w:pPr>
      <w:bookmarkStart w:id="3" w:name="LawTable"/>
      <w:bookmarkEnd w:id="3"/>
      <w:r w:rsidRPr="00FD1968">
        <w:rPr>
          <w:rFonts w:ascii="FrankRuehl" w:hAnsi="FrankRuehl" w:cs="FrankRuehl"/>
          <w:rtl/>
        </w:rPr>
        <w:t xml:space="preserve">חקיקה שאוזכרה: </w:t>
      </w:r>
    </w:p>
    <w:p w14:paraId="723B881F" w14:textId="77777777" w:rsidR="00FD1968" w:rsidRPr="00FD1968" w:rsidRDefault="00FD1968" w:rsidP="00FD1968">
      <w:pPr>
        <w:spacing w:before="120" w:after="120" w:line="240" w:lineRule="exact"/>
        <w:ind w:left="283" w:hanging="283"/>
        <w:jc w:val="both"/>
        <w:rPr>
          <w:rFonts w:ascii="FrankRuehl" w:hAnsi="FrankRuehl" w:cs="FrankRuehl"/>
        </w:rPr>
      </w:pPr>
      <w:hyperlink r:id="rId6" w:history="1">
        <w:r w:rsidRPr="00FD1968">
          <w:rPr>
            <w:rFonts w:ascii="FrankRuehl" w:hAnsi="FrankRuehl" w:cs="FrankRuehl"/>
            <w:color w:val="0000FF"/>
            <w:u w:val="single"/>
            <w:rtl/>
          </w:rPr>
          <w:t>פקודת הסמים המסוכנים [נוסח חדש], תשל"ג-1973</w:t>
        </w:r>
      </w:hyperlink>
      <w:r w:rsidRPr="00FD1968">
        <w:rPr>
          <w:rFonts w:ascii="FrankRuehl" w:hAnsi="FrankRuehl" w:cs="FrankRuehl"/>
        </w:rPr>
        <w:t xml:space="preserve">: </w:t>
      </w:r>
      <w:r w:rsidRPr="00FD1968">
        <w:rPr>
          <w:rFonts w:ascii="FrankRuehl" w:hAnsi="FrankRuehl" w:cs="FrankRuehl"/>
          <w:rtl/>
        </w:rPr>
        <w:t>סע</w:t>
      </w:r>
      <w:r w:rsidRPr="00FD1968">
        <w:rPr>
          <w:rFonts w:ascii="FrankRuehl" w:hAnsi="FrankRuehl" w:cs="FrankRuehl"/>
        </w:rPr>
        <w:t xml:space="preserve">'  </w:t>
      </w:r>
      <w:hyperlink r:id="rId7" w:history="1">
        <w:r w:rsidRPr="00FD1968">
          <w:rPr>
            <w:rFonts w:ascii="FrankRuehl" w:hAnsi="FrankRuehl" w:cs="FrankRuehl"/>
            <w:color w:val="0000FF"/>
            <w:u w:val="single"/>
          </w:rPr>
          <w:t>6</w:t>
        </w:r>
      </w:hyperlink>
      <w:r w:rsidRPr="00FD1968">
        <w:rPr>
          <w:rFonts w:ascii="FrankRuehl" w:hAnsi="FrankRuehl" w:cs="FrankRuehl"/>
        </w:rPr>
        <w:t xml:space="preserve">, </w:t>
      </w:r>
      <w:hyperlink r:id="rId8" w:history="1">
        <w:r w:rsidRPr="00FD1968">
          <w:rPr>
            <w:rFonts w:ascii="FrankRuehl" w:hAnsi="FrankRuehl" w:cs="FrankRuehl"/>
            <w:color w:val="0000FF"/>
            <w:u w:val="single"/>
          </w:rPr>
          <w:t>7.</w:t>
        </w:r>
        <w:r w:rsidRPr="00FD1968">
          <w:rPr>
            <w:rFonts w:ascii="FrankRuehl" w:hAnsi="FrankRuehl" w:cs="FrankRuehl"/>
            <w:color w:val="0000FF"/>
            <w:u w:val="single"/>
            <w:rtl/>
          </w:rPr>
          <w:t>א</w:t>
        </w:r>
        <w:r w:rsidRPr="00FD1968">
          <w:rPr>
            <w:rFonts w:ascii="FrankRuehl" w:hAnsi="FrankRuehl" w:cs="FrankRuehl"/>
            <w:color w:val="0000FF"/>
            <w:u w:val="single"/>
          </w:rPr>
          <w:t>.</w:t>
        </w:r>
      </w:hyperlink>
      <w:r w:rsidRPr="00FD1968">
        <w:rPr>
          <w:rFonts w:ascii="FrankRuehl" w:hAnsi="FrankRuehl" w:cs="FrankRuehl"/>
        </w:rPr>
        <w:t xml:space="preserve">, </w:t>
      </w:r>
      <w:hyperlink r:id="rId9" w:history="1">
        <w:r w:rsidRPr="00FD1968">
          <w:rPr>
            <w:rFonts w:ascii="FrankRuehl" w:hAnsi="FrankRuehl" w:cs="FrankRuehl"/>
            <w:color w:val="0000FF"/>
            <w:u w:val="single"/>
          </w:rPr>
          <w:t>7.</w:t>
        </w:r>
        <w:r w:rsidRPr="00FD1968">
          <w:rPr>
            <w:rFonts w:ascii="FrankRuehl" w:hAnsi="FrankRuehl" w:cs="FrankRuehl"/>
            <w:color w:val="0000FF"/>
            <w:u w:val="single"/>
            <w:rtl/>
          </w:rPr>
          <w:t>ג</w:t>
        </w:r>
      </w:hyperlink>
      <w:r w:rsidRPr="00FD1968">
        <w:rPr>
          <w:rFonts w:ascii="FrankRuehl" w:hAnsi="FrankRuehl" w:cs="FrankRuehl"/>
        </w:rPr>
        <w:t xml:space="preserve">, </w:t>
      </w:r>
      <w:hyperlink r:id="rId10" w:history="1">
        <w:r w:rsidRPr="00FD1968">
          <w:rPr>
            <w:rFonts w:ascii="FrankRuehl" w:hAnsi="FrankRuehl" w:cs="FrankRuehl"/>
            <w:color w:val="0000FF"/>
            <w:u w:val="single"/>
          </w:rPr>
          <w:t>9</w:t>
        </w:r>
      </w:hyperlink>
      <w:r w:rsidRPr="00FD1968">
        <w:rPr>
          <w:rFonts w:ascii="FrankRuehl" w:hAnsi="FrankRuehl" w:cs="FrankRuehl"/>
        </w:rPr>
        <w:t xml:space="preserve">, </w:t>
      </w:r>
      <w:hyperlink r:id="rId11" w:history="1">
        <w:r w:rsidRPr="00FD1968">
          <w:rPr>
            <w:rFonts w:ascii="FrankRuehl" w:hAnsi="FrankRuehl" w:cs="FrankRuehl"/>
            <w:color w:val="0000FF"/>
            <w:u w:val="single"/>
          </w:rPr>
          <w:t>10</w:t>
        </w:r>
      </w:hyperlink>
    </w:p>
    <w:p w14:paraId="70E1F556" w14:textId="77777777" w:rsidR="00FD1968" w:rsidRPr="00FD1968" w:rsidRDefault="00FD1968" w:rsidP="00FD1968">
      <w:pPr>
        <w:spacing w:before="120" w:after="120" w:line="240" w:lineRule="exact"/>
        <w:ind w:left="283" w:hanging="283"/>
        <w:jc w:val="both"/>
        <w:rPr>
          <w:rFonts w:ascii="FrankRuehl" w:hAnsi="FrankRuehl" w:cs="FrankRuehl"/>
        </w:rPr>
      </w:pPr>
      <w:hyperlink r:id="rId12" w:history="1">
        <w:r w:rsidRPr="00FD1968">
          <w:rPr>
            <w:rFonts w:ascii="FrankRuehl" w:hAnsi="FrankRuehl" w:cs="FrankRuehl"/>
            <w:color w:val="0000FF"/>
            <w:u w:val="single"/>
            <w:rtl/>
          </w:rPr>
          <w:t>חוק העונשין, תשל"ז-1977</w:t>
        </w:r>
      </w:hyperlink>
      <w:r w:rsidRPr="00FD1968">
        <w:rPr>
          <w:rFonts w:ascii="FrankRuehl" w:hAnsi="FrankRuehl" w:cs="FrankRuehl"/>
        </w:rPr>
        <w:t xml:space="preserve">: </w:t>
      </w:r>
      <w:r w:rsidRPr="00FD1968">
        <w:rPr>
          <w:rFonts w:ascii="FrankRuehl" w:hAnsi="FrankRuehl" w:cs="FrankRuehl"/>
          <w:rtl/>
        </w:rPr>
        <w:t>סע</w:t>
      </w:r>
      <w:r w:rsidRPr="00FD1968">
        <w:rPr>
          <w:rFonts w:ascii="FrankRuehl" w:hAnsi="FrankRuehl" w:cs="FrankRuehl"/>
        </w:rPr>
        <w:t xml:space="preserve">'  </w:t>
      </w:r>
      <w:hyperlink r:id="rId13" w:history="1">
        <w:r w:rsidRPr="00FD1968">
          <w:rPr>
            <w:rFonts w:ascii="FrankRuehl" w:hAnsi="FrankRuehl" w:cs="FrankRuehl"/>
            <w:color w:val="0000FF"/>
            <w:u w:val="single"/>
          </w:rPr>
          <w:t>400</w:t>
        </w:r>
      </w:hyperlink>
    </w:p>
    <w:p w14:paraId="278DC99F" w14:textId="77777777" w:rsidR="00101B28" w:rsidRPr="00FD1968" w:rsidRDefault="00101B28" w:rsidP="00FD196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1B28" w14:paraId="69F00320" w14:textId="77777777" w:rsidTr="00101B28">
        <w:trPr>
          <w:trHeight w:val="355"/>
          <w:jc w:val="center"/>
        </w:trPr>
        <w:tc>
          <w:tcPr>
            <w:tcW w:w="8820" w:type="dxa"/>
            <w:tcBorders>
              <w:top w:val="nil"/>
              <w:left w:val="nil"/>
              <w:bottom w:val="nil"/>
              <w:right w:val="nil"/>
            </w:tcBorders>
            <w:shd w:val="clear" w:color="auto" w:fill="auto"/>
          </w:tcPr>
          <w:p w14:paraId="057CA977" w14:textId="77777777" w:rsidR="00DC7B9D" w:rsidRPr="00DC7B9D" w:rsidRDefault="00DC7B9D" w:rsidP="00DC7B9D">
            <w:pPr>
              <w:jc w:val="center"/>
              <w:rPr>
                <w:rFonts w:ascii="Arial" w:hAnsi="Arial"/>
                <w:b/>
                <w:bCs/>
                <w:sz w:val="28"/>
                <w:szCs w:val="28"/>
                <w:u w:val="single"/>
                <w:rtl/>
              </w:rPr>
            </w:pPr>
            <w:bookmarkStart w:id="5" w:name="PsakDin" w:colFirst="0" w:colLast="0"/>
            <w:bookmarkEnd w:id="0"/>
            <w:r w:rsidRPr="00DC7B9D">
              <w:rPr>
                <w:rFonts w:ascii="Arial" w:hAnsi="Arial"/>
                <w:b/>
                <w:bCs/>
                <w:sz w:val="28"/>
                <w:szCs w:val="28"/>
                <w:u w:val="single"/>
                <w:rtl/>
              </w:rPr>
              <w:t>גזר דין</w:t>
            </w:r>
          </w:p>
          <w:p w14:paraId="1A7DDF66" w14:textId="77777777" w:rsidR="00101B28" w:rsidRPr="00DC7B9D" w:rsidRDefault="00101B28" w:rsidP="00DC7B9D">
            <w:pPr>
              <w:jc w:val="center"/>
              <w:rPr>
                <w:rFonts w:ascii="Arial" w:hAnsi="Arial"/>
                <w:bCs/>
                <w:sz w:val="28"/>
                <w:szCs w:val="28"/>
                <w:u w:val="single"/>
                <w:rtl/>
              </w:rPr>
            </w:pPr>
          </w:p>
        </w:tc>
      </w:tr>
      <w:bookmarkEnd w:id="5"/>
    </w:tbl>
    <w:p w14:paraId="37B4CFDF" w14:textId="77777777" w:rsidR="00101B28" w:rsidRPr="00B05847" w:rsidRDefault="00101B28" w:rsidP="00101B28">
      <w:pPr>
        <w:rPr>
          <w:rFonts w:ascii="Arial" w:hAnsi="Arial"/>
          <w:rtl/>
        </w:rPr>
      </w:pPr>
    </w:p>
    <w:p w14:paraId="2E977169" w14:textId="77777777" w:rsidR="00101B28" w:rsidRPr="00B05847" w:rsidRDefault="00101B28" w:rsidP="00101B28">
      <w:pPr>
        <w:spacing w:line="360" w:lineRule="auto"/>
        <w:rPr>
          <w:rFonts w:ascii="Arial" w:hAnsi="Arial"/>
          <w:rtl/>
        </w:rPr>
      </w:pPr>
    </w:p>
    <w:p w14:paraId="02E682FE" w14:textId="77777777" w:rsidR="00101B28" w:rsidRDefault="00101B28" w:rsidP="00101B28">
      <w:pPr>
        <w:spacing w:line="360" w:lineRule="auto"/>
        <w:rPr>
          <w:rtl/>
        </w:rPr>
      </w:pPr>
      <w:bookmarkStart w:id="6" w:name="ABSTRACT_START"/>
      <w:bookmarkEnd w:id="6"/>
      <w:r>
        <w:rPr>
          <w:rFonts w:hint="cs"/>
          <w:rtl/>
        </w:rPr>
        <w:t xml:space="preserve">ביום 1.12.17 שכר הנאשם בית צמוד קרקע עם מרתף ושלושה חדרים הפרושים על פני שלוש קומות בתל אביב, לצורך הקמת מעבדה לגידול סם מסוכן מסוג קנאבוס. </w:t>
      </w:r>
    </w:p>
    <w:p w14:paraId="603C0670" w14:textId="77777777" w:rsidR="00101B28" w:rsidRDefault="00101B28" w:rsidP="00101B28">
      <w:pPr>
        <w:spacing w:line="360" w:lineRule="auto"/>
        <w:rPr>
          <w:rtl/>
        </w:rPr>
      </w:pPr>
    </w:p>
    <w:p w14:paraId="79CFF16B" w14:textId="77777777" w:rsidR="00101B28" w:rsidRDefault="00101B28" w:rsidP="00101B28">
      <w:pPr>
        <w:spacing w:line="360" w:lineRule="auto"/>
        <w:rPr>
          <w:rtl/>
        </w:rPr>
      </w:pPr>
      <w:r>
        <w:rPr>
          <w:rFonts w:hint="cs"/>
          <w:rtl/>
        </w:rPr>
        <w:t xml:space="preserve">הנאשם התקין יחד עם אחרים שזהותם אינה ידועה במרתף הבית ובשלושת חדריו ציוד רב שכלל מנורות, מזגנים, מאווררים, חומרי דישון, מפוחים, בלוני גז, וביום שנכנסו חוקרי המשטרה לבית נמצאו 725 שתילים של צמח קנאבוס. </w:t>
      </w:r>
    </w:p>
    <w:p w14:paraId="396D9AF2" w14:textId="77777777" w:rsidR="00101B28" w:rsidRDefault="00101B28" w:rsidP="00101B28">
      <w:pPr>
        <w:spacing w:line="360" w:lineRule="auto"/>
        <w:rPr>
          <w:rtl/>
        </w:rPr>
      </w:pPr>
    </w:p>
    <w:p w14:paraId="3CDE002B" w14:textId="77777777" w:rsidR="00101B28" w:rsidRDefault="00101B28" w:rsidP="00101B28">
      <w:pPr>
        <w:spacing w:line="360" w:lineRule="auto"/>
        <w:rPr>
          <w:rtl/>
        </w:rPr>
      </w:pPr>
      <w:r>
        <w:rPr>
          <w:rFonts w:hint="cs"/>
          <w:rtl/>
        </w:rPr>
        <w:t xml:space="preserve">לצורך תפעול המעבדה נטלו הנאשם והאחרים חשמל מבלי שהיו זכאים לו, על ידי כך שחיברו את </w:t>
      </w:r>
      <w:bookmarkStart w:id="7" w:name="ABSTRACT_END"/>
      <w:bookmarkEnd w:id="7"/>
      <w:r>
        <w:rPr>
          <w:rFonts w:hint="cs"/>
          <w:rtl/>
        </w:rPr>
        <w:t xml:space="preserve">הבית ישירות לארון הנתיכים הראשי של הבניין ללא חיבור תקני, ללא מונה וללא רישום צריכת החשמל בפועל. </w:t>
      </w:r>
    </w:p>
    <w:p w14:paraId="2BB94BB0" w14:textId="77777777" w:rsidR="00101B28" w:rsidRDefault="00101B28" w:rsidP="00101B28">
      <w:pPr>
        <w:spacing w:line="360" w:lineRule="auto"/>
        <w:rPr>
          <w:rtl/>
        </w:rPr>
      </w:pPr>
    </w:p>
    <w:p w14:paraId="7E995F26" w14:textId="77777777" w:rsidR="00101B28" w:rsidRDefault="00101B28" w:rsidP="00101B28">
      <w:pPr>
        <w:spacing w:line="360" w:lineRule="auto"/>
        <w:rPr>
          <w:rtl/>
        </w:rPr>
      </w:pPr>
      <w:r>
        <w:rPr>
          <w:rFonts w:hint="cs"/>
          <w:rtl/>
        </w:rPr>
        <w:lastRenderedPageBreak/>
        <w:t xml:space="preserve">בתקופה שבה החזיק הנאשם יחד עם האחרים בבית, הוא הפיק סם מסוכן מסוג קנאבוס במשקל כולל של 114 ק"ג. </w:t>
      </w:r>
    </w:p>
    <w:p w14:paraId="5CE42831" w14:textId="77777777" w:rsidR="00101B28" w:rsidRDefault="00101B28" w:rsidP="00101B28">
      <w:pPr>
        <w:spacing w:line="360" w:lineRule="auto"/>
        <w:rPr>
          <w:rtl/>
        </w:rPr>
      </w:pPr>
    </w:p>
    <w:p w14:paraId="37E6D584" w14:textId="77777777" w:rsidR="00101B28" w:rsidRDefault="00101B28" w:rsidP="00101B28">
      <w:pPr>
        <w:spacing w:line="360" w:lineRule="auto"/>
        <w:rPr>
          <w:rtl/>
        </w:rPr>
      </w:pPr>
      <w:r>
        <w:rPr>
          <w:rFonts w:hint="cs"/>
          <w:rtl/>
        </w:rPr>
        <w:t xml:space="preserve">בגין נסיבות אלה הורשע הנאשם על פי הודאתו בעבירות של ייצור, הכנה והפקת סמים מסוכנים לפי </w:t>
      </w:r>
      <w:hyperlink r:id="rId14" w:history="1">
        <w:r w:rsidR="00FD1968" w:rsidRPr="00FD1968">
          <w:rPr>
            <w:color w:val="0000FF"/>
            <w:u w:val="single"/>
            <w:rtl/>
          </w:rPr>
          <w:t>סעיף 6</w:t>
        </w:r>
      </w:hyperlink>
      <w:r>
        <w:rPr>
          <w:rFonts w:hint="cs"/>
          <w:rtl/>
        </w:rPr>
        <w:t xml:space="preserve"> ל</w:t>
      </w:r>
      <w:hyperlink r:id="rId15" w:history="1">
        <w:r w:rsidR="00DC7B9D" w:rsidRPr="00DC7B9D">
          <w:rPr>
            <w:color w:val="0000FF"/>
            <w:u w:val="single"/>
            <w:rtl/>
          </w:rPr>
          <w:t>פקודת הסמים המסוכנים</w:t>
        </w:r>
      </w:hyperlink>
      <w:r>
        <w:rPr>
          <w:rFonts w:hint="cs"/>
          <w:rtl/>
        </w:rPr>
        <w:t xml:space="preserve"> (נוסח חדש) תשל"ג-1973, החזקת סם שלא לצריכה עצמית לפי סעיף </w:t>
      </w:r>
      <w:hyperlink r:id="rId16" w:history="1">
        <w:r w:rsidR="00FD1968" w:rsidRPr="00FD1968">
          <w:rPr>
            <w:color w:val="0000FF"/>
            <w:u w:val="single"/>
            <w:rtl/>
          </w:rPr>
          <w:t>7 (א) + (ג)</w:t>
        </w:r>
      </w:hyperlink>
      <w:r>
        <w:rPr>
          <w:rFonts w:hint="cs"/>
          <w:rtl/>
        </w:rPr>
        <w:t xml:space="preserve"> רישא לפקודת הסמים, החזקת כלים המשמשים להכנת סם מסוכן או לצריכתו לפי </w:t>
      </w:r>
      <w:hyperlink r:id="rId17" w:history="1">
        <w:r w:rsidR="00FD1968" w:rsidRPr="00FD1968">
          <w:rPr>
            <w:color w:val="0000FF"/>
            <w:u w:val="single"/>
            <w:rtl/>
          </w:rPr>
          <w:t>סעיף 10</w:t>
        </w:r>
      </w:hyperlink>
      <w:r>
        <w:rPr>
          <w:rFonts w:hint="cs"/>
          <w:rtl/>
        </w:rPr>
        <w:t xml:space="preserve"> רישא לפקודת הסמים, החזקת חצרים לפי </w:t>
      </w:r>
      <w:hyperlink r:id="rId18" w:history="1">
        <w:r w:rsidR="00FD1968" w:rsidRPr="00FD1968">
          <w:rPr>
            <w:color w:val="0000FF"/>
            <w:u w:val="single"/>
            <w:rtl/>
          </w:rPr>
          <w:t>סעיף 9</w:t>
        </w:r>
      </w:hyperlink>
      <w:r>
        <w:rPr>
          <w:rFonts w:hint="cs"/>
          <w:rtl/>
        </w:rPr>
        <w:t xml:space="preserve"> לפקודת הסמים, וכן עבירה של נטילת חשמל שלא כדי לפי </w:t>
      </w:r>
      <w:hyperlink r:id="rId19" w:history="1">
        <w:r w:rsidR="00FD1968" w:rsidRPr="00FD1968">
          <w:rPr>
            <w:color w:val="0000FF"/>
            <w:u w:val="single"/>
            <w:rtl/>
          </w:rPr>
          <w:t>סעיף 400</w:t>
        </w:r>
      </w:hyperlink>
      <w:r>
        <w:rPr>
          <w:rFonts w:hint="cs"/>
          <w:rtl/>
        </w:rPr>
        <w:t xml:space="preserve"> ל</w:t>
      </w:r>
      <w:hyperlink r:id="rId20" w:history="1">
        <w:r w:rsidR="00DC7B9D" w:rsidRPr="00DC7B9D">
          <w:rPr>
            <w:color w:val="0000FF"/>
            <w:u w:val="single"/>
            <w:rtl/>
          </w:rPr>
          <w:t>חוק העונשין</w:t>
        </w:r>
      </w:hyperlink>
      <w:r>
        <w:rPr>
          <w:rFonts w:hint="cs"/>
          <w:rtl/>
        </w:rPr>
        <w:t xml:space="preserve"> תשל"ז-1977. </w:t>
      </w:r>
    </w:p>
    <w:p w14:paraId="2D99EA24" w14:textId="77777777" w:rsidR="00101B28" w:rsidRDefault="00101B28" w:rsidP="00101B28">
      <w:pPr>
        <w:spacing w:line="360" w:lineRule="auto"/>
        <w:rPr>
          <w:rtl/>
        </w:rPr>
      </w:pPr>
    </w:p>
    <w:p w14:paraId="04B841F8" w14:textId="77777777" w:rsidR="00101B28" w:rsidRDefault="00101B28" w:rsidP="00101B28">
      <w:pPr>
        <w:spacing w:line="360" w:lineRule="auto"/>
        <w:rPr>
          <w:rtl/>
        </w:rPr>
      </w:pPr>
      <w:r>
        <w:rPr>
          <w:rFonts w:hint="cs"/>
          <w:rtl/>
        </w:rPr>
        <w:t xml:space="preserve">כבר בחקירתו הודה הנאשם בביצוע המעשים המיוחסים לו בכתב האישום, ואף שטען כי נאלץ לעשות זאת עקב היותו שקוע בחובות בשל התמכרותו להימורים, והיה נתון לאיומים עליו ועל בנו בן ה-4, הוא לא מסר את שמות שולחיו. </w:t>
      </w:r>
    </w:p>
    <w:p w14:paraId="2BC7873C" w14:textId="77777777" w:rsidR="00101B28" w:rsidRDefault="00101B28" w:rsidP="00101B28">
      <w:pPr>
        <w:spacing w:line="360" w:lineRule="auto"/>
        <w:rPr>
          <w:rtl/>
        </w:rPr>
      </w:pPr>
    </w:p>
    <w:p w14:paraId="209BCEDB" w14:textId="77777777" w:rsidR="00101B28" w:rsidRDefault="00101B28" w:rsidP="00101B28">
      <w:pPr>
        <w:spacing w:line="360" w:lineRule="auto"/>
        <w:rPr>
          <w:rtl/>
        </w:rPr>
      </w:pPr>
      <w:r>
        <w:rPr>
          <w:rFonts w:hint="cs"/>
          <w:rtl/>
        </w:rPr>
        <w:t xml:space="preserve">לבקשת הנאשם הגיש שירות המבחן תסקיר קצין מבחן ובו נסקרו נסיבותיו של הנאשם. הוא בן 34 גרוש ואב לילד בן 4. </w:t>
      </w:r>
    </w:p>
    <w:p w14:paraId="145B7B08" w14:textId="77777777" w:rsidR="00101B28" w:rsidRDefault="00101B28" w:rsidP="00101B28">
      <w:pPr>
        <w:spacing w:line="360" w:lineRule="auto"/>
        <w:rPr>
          <w:rtl/>
        </w:rPr>
      </w:pPr>
    </w:p>
    <w:p w14:paraId="148BA2B9" w14:textId="77777777" w:rsidR="00101B28" w:rsidRDefault="00101B28" w:rsidP="00101B28">
      <w:pPr>
        <w:spacing w:line="360" w:lineRule="auto"/>
        <w:rPr>
          <w:rtl/>
        </w:rPr>
      </w:pPr>
      <w:r>
        <w:rPr>
          <w:rFonts w:hint="cs"/>
          <w:rtl/>
        </w:rPr>
        <w:t xml:space="preserve">עקב התמכרותו להימורים הוא התגרש ונכנס לחובות כבדים ועל כן הסתבך עם מלווים מהשוק האפור. בשנת 2014 הורשע הנאשם בגין עבירות אלימות, חבלה חמורה ואיומים ונידון למאסר לתקופה של חמישה חודשים בעבודות שירות וכן למאסר על תנאי ולקנס. </w:t>
      </w:r>
    </w:p>
    <w:p w14:paraId="4BEE4B41" w14:textId="77777777" w:rsidR="00101B28" w:rsidRDefault="00101B28" w:rsidP="00101B28">
      <w:pPr>
        <w:spacing w:line="360" w:lineRule="auto"/>
        <w:rPr>
          <w:rtl/>
        </w:rPr>
      </w:pPr>
    </w:p>
    <w:p w14:paraId="0FC9D15C" w14:textId="77777777" w:rsidR="00101B28" w:rsidRDefault="00101B28" w:rsidP="00101B28">
      <w:pPr>
        <w:spacing w:line="360" w:lineRule="auto"/>
        <w:rPr>
          <w:rtl/>
        </w:rPr>
      </w:pPr>
      <w:r>
        <w:rPr>
          <w:rFonts w:hint="cs"/>
          <w:rtl/>
        </w:rPr>
        <w:t xml:space="preserve">לאחר שהנאשם שוחרר ממעצר המליץ שירות המבחן לשלבו בהליך טיפולי בתחום ההתמכרויות ושירות המבחן התרשם כי הוא עשוי להיתרם מהליך הטיפולי ולפיכך התבקשה דחייה של שלושה חודשים במתן התסקיר. </w:t>
      </w:r>
    </w:p>
    <w:p w14:paraId="4C717A9B" w14:textId="77777777" w:rsidR="00101B28" w:rsidRDefault="00101B28" w:rsidP="00101B28">
      <w:pPr>
        <w:spacing w:line="360" w:lineRule="auto"/>
        <w:rPr>
          <w:rtl/>
        </w:rPr>
      </w:pPr>
    </w:p>
    <w:p w14:paraId="38797163" w14:textId="77777777" w:rsidR="00101B28" w:rsidRDefault="00101B28" w:rsidP="00101B28">
      <w:pPr>
        <w:spacing w:line="360" w:lineRule="auto"/>
        <w:rPr>
          <w:rtl/>
        </w:rPr>
      </w:pPr>
      <w:r>
        <w:rPr>
          <w:rFonts w:hint="cs"/>
          <w:rtl/>
        </w:rPr>
        <w:t xml:space="preserve">בתסקיר משלים ציין שירות המבחן כי יש צורך לשלב ענישה עם אפיק שיקומי מחוץ לכתלי בית הכלא ולפיכך המליץ שהמאסר שיוטל על הנאשם יהיה בעבודות שירות, לצד הטלת צו מבחן למשך שנה. </w:t>
      </w:r>
    </w:p>
    <w:p w14:paraId="25FFBE14" w14:textId="77777777" w:rsidR="00101B28" w:rsidRDefault="00101B28" w:rsidP="00101B28">
      <w:pPr>
        <w:spacing w:line="360" w:lineRule="auto"/>
        <w:rPr>
          <w:rtl/>
        </w:rPr>
      </w:pPr>
    </w:p>
    <w:p w14:paraId="5F2BDA4F" w14:textId="77777777" w:rsidR="00101B28" w:rsidRDefault="00101B28" w:rsidP="00101B28">
      <w:pPr>
        <w:spacing w:line="360" w:lineRule="auto"/>
        <w:rPr>
          <w:rtl/>
        </w:rPr>
      </w:pPr>
      <w:r>
        <w:rPr>
          <w:rFonts w:hint="cs"/>
          <w:rtl/>
        </w:rPr>
        <w:t xml:space="preserve">העיקרון המנחה בענישה הוא קיומו של יחס הולם בין חומרת מעשה העבירה בנסיבותיו ומידת אשמו של הנאשם, ובין סוג במידת העונש המוטל. על בית המשפט לקבוע מתחם עונש הולם למעשה העבירה תוך התחשבות בערך החברתי שנפגע מביצוע העבירה, במידת הפגיעה בו, במדיניות הענישה הנהוגה ובנסיבות הקשורות לביצוע העבירה. </w:t>
      </w:r>
    </w:p>
    <w:p w14:paraId="3062E8C2" w14:textId="77777777" w:rsidR="00101B28" w:rsidRDefault="00101B28" w:rsidP="00101B28">
      <w:pPr>
        <w:spacing w:line="360" w:lineRule="auto"/>
        <w:rPr>
          <w:rtl/>
        </w:rPr>
      </w:pPr>
    </w:p>
    <w:p w14:paraId="5D882F12" w14:textId="77777777" w:rsidR="00101B28" w:rsidRDefault="00101B28" w:rsidP="00101B28">
      <w:pPr>
        <w:spacing w:line="360" w:lineRule="auto"/>
        <w:rPr>
          <w:rtl/>
        </w:rPr>
      </w:pPr>
      <w:r>
        <w:rPr>
          <w:rFonts w:hint="cs"/>
          <w:rtl/>
        </w:rPr>
        <w:t xml:space="preserve">בית המשפט רשאי להחמיר בעונש כאשר יש חשש שהנאשם יחזור על מעשיו או אי החמרה בעונשו והרחקתו מהציבור נדרשים כדי להגן על שלום הציבור. </w:t>
      </w:r>
    </w:p>
    <w:p w14:paraId="4C82A226" w14:textId="77777777" w:rsidR="00101B28" w:rsidRDefault="00101B28" w:rsidP="00101B28">
      <w:pPr>
        <w:spacing w:line="360" w:lineRule="auto"/>
        <w:rPr>
          <w:rtl/>
        </w:rPr>
      </w:pPr>
    </w:p>
    <w:p w14:paraId="4A937920" w14:textId="77777777" w:rsidR="00101B28" w:rsidRDefault="00101B28" w:rsidP="00101B28">
      <w:pPr>
        <w:spacing w:line="360" w:lineRule="auto"/>
        <w:rPr>
          <w:rtl/>
        </w:rPr>
      </w:pPr>
      <w:r>
        <w:rPr>
          <w:rFonts w:hint="cs"/>
          <w:rtl/>
        </w:rPr>
        <w:t xml:space="preserve">כמו כן יש לשקול את הצורך בהרתעת הנאשם או בהרתעת הרבים מפני ביצוע עבירה מסוג העבירה שביצע הנאשם. </w:t>
      </w:r>
    </w:p>
    <w:p w14:paraId="169A9AFE" w14:textId="77777777" w:rsidR="00101B28" w:rsidRDefault="00101B28" w:rsidP="00101B28">
      <w:pPr>
        <w:spacing w:line="360" w:lineRule="auto"/>
        <w:rPr>
          <w:rtl/>
        </w:rPr>
      </w:pPr>
    </w:p>
    <w:p w14:paraId="4438B7FF" w14:textId="77777777" w:rsidR="00101B28" w:rsidRDefault="00101B28" w:rsidP="00101B28">
      <w:pPr>
        <w:spacing w:line="360" w:lineRule="auto"/>
        <w:rPr>
          <w:rtl/>
        </w:rPr>
      </w:pPr>
      <w:r>
        <w:rPr>
          <w:rFonts w:hint="cs"/>
          <w:rtl/>
        </w:rPr>
        <w:t xml:space="preserve">כמו כן יש להתחשב בתכנון שקדם לביצוע העבירה, בחלקו היחסי של הנאשם בביצועה, בנזק שהיה צפוי להיגרם מביצוע העבירה, בסיבות שהביאו את הנאשם לבצע את העבירה במצוקתו הנפשית. לקולא ניתן להתחשב בפגיעה של העונש בנאשם לרבות בשל גילו, הפגיעה במשפחתו וכן יש לשקול את עובדת נטילת האחריות של הנאשם על מעשיו ומאמציו לחזור למוטב. </w:t>
      </w:r>
    </w:p>
    <w:p w14:paraId="4EF7948B" w14:textId="77777777" w:rsidR="00101B28" w:rsidRDefault="00101B28" w:rsidP="00101B28">
      <w:pPr>
        <w:spacing w:line="360" w:lineRule="auto"/>
        <w:rPr>
          <w:rtl/>
        </w:rPr>
      </w:pPr>
    </w:p>
    <w:p w14:paraId="0B0A6959" w14:textId="77777777" w:rsidR="00101B28" w:rsidRDefault="00101B28" w:rsidP="00101B28">
      <w:pPr>
        <w:spacing w:line="360" w:lineRule="auto"/>
        <w:rPr>
          <w:rtl/>
        </w:rPr>
      </w:pPr>
      <w:r>
        <w:rPr>
          <w:rFonts w:hint="cs"/>
          <w:rtl/>
        </w:rPr>
        <w:t xml:space="preserve">עוד יש לשקול את שיתוף הפעולה עם רשויות אכיפת החוק. </w:t>
      </w:r>
    </w:p>
    <w:p w14:paraId="29782E6F" w14:textId="77777777" w:rsidR="00101B28" w:rsidRDefault="00101B28" w:rsidP="00101B28">
      <w:pPr>
        <w:spacing w:line="360" w:lineRule="auto"/>
        <w:rPr>
          <w:rtl/>
        </w:rPr>
      </w:pPr>
    </w:p>
    <w:p w14:paraId="029A2D86" w14:textId="77777777" w:rsidR="00101B28" w:rsidRDefault="00101B28" w:rsidP="00101B28">
      <w:pPr>
        <w:spacing w:line="360" w:lineRule="auto"/>
        <w:rPr>
          <w:rtl/>
        </w:rPr>
      </w:pPr>
      <w:r>
        <w:rPr>
          <w:rFonts w:hint="cs"/>
          <w:rtl/>
        </w:rPr>
        <w:t xml:space="preserve">בטיעוניה לעונש הפנתה התביעה לפסקי דין בהם נפסקו עונשי מאסר ממושכים וביקשה לקבוע מתחם עונש שבין 3 ל-4.5 שנות מאסר ולגזור את עונשו של הנאשם ברף הגבוה. </w:t>
      </w:r>
    </w:p>
    <w:p w14:paraId="6FD10EF2" w14:textId="77777777" w:rsidR="00101B28" w:rsidRDefault="00101B28" w:rsidP="00101B28">
      <w:pPr>
        <w:spacing w:line="360" w:lineRule="auto"/>
        <w:rPr>
          <w:rtl/>
        </w:rPr>
      </w:pPr>
    </w:p>
    <w:p w14:paraId="42374CA2" w14:textId="77777777" w:rsidR="00101B28" w:rsidRDefault="00101B28" w:rsidP="00101B28">
      <w:pPr>
        <w:spacing w:line="360" w:lineRule="auto"/>
        <w:rPr>
          <w:rtl/>
        </w:rPr>
      </w:pPr>
      <w:r>
        <w:rPr>
          <w:rFonts w:hint="cs"/>
          <w:rtl/>
        </w:rPr>
        <w:t xml:space="preserve">הסניגור מצידו הציג פסיקה שבגין עובדות דומות נגזרו עונשי מאסר נמוכים יותר, ואף מאסר בעבודות שירות בלבד. </w:t>
      </w:r>
    </w:p>
    <w:p w14:paraId="5E83B0DA" w14:textId="77777777" w:rsidR="00101B28" w:rsidRDefault="00101B28" w:rsidP="00101B28">
      <w:pPr>
        <w:spacing w:line="360" w:lineRule="auto"/>
        <w:rPr>
          <w:rtl/>
        </w:rPr>
      </w:pPr>
    </w:p>
    <w:p w14:paraId="7D247867" w14:textId="77777777" w:rsidR="00101B28" w:rsidRDefault="00101B28" w:rsidP="00101B28">
      <w:pPr>
        <w:spacing w:line="360" w:lineRule="auto"/>
        <w:rPr>
          <w:rtl/>
        </w:rPr>
      </w:pPr>
      <w:r>
        <w:rPr>
          <w:rFonts w:hint="cs"/>
          <w:rtl/>
        </w:rPr>
        <w:t xml:space="preserve">אין להכביר מילים על חומרת העבירה כאשר הנאשם שיתף עצמו במערכת של קבוצה עבריינית שהקימה מעבדה לייצור סמים ואין להכביר מילים על הנזק שהסמים המופצים גורמים לאלה המשתמשים בהם. </w:t>
      </w:r>
    </w:p>
    <w:p w14:paraId="7B2C061E" w14:textId="77777777" w:rsidR="00101B28" w:rsidRDefault="00101B28" w:rsidP="00101B28">
      <w:pPr>
        <w:spacing w:line="360" w:lineRule="auto"/>
        <w:rPr>
          <w:rtl/>
        </w:rPr>
      </w:pPr>
    </w:p>
    <w:p w14:paraId="62F3B318" w14:textId="77777777" w:rsidR="00101B28" w:rsidRDefault="00101B28" w:rsidP="00101B28">
      <w:pPr>
        <w:spacing w:line="360" w:lineRule="auto"/>
        <w:rPr>
          <w:rtl/>
        </w:rPr>
      </w:pPr>
      <w:r>
        <w:rPr>
          <w:rFonts w:hint="cs"/>
          <w:rtl/>
        </w:rPr>
        <w:t xml:space="preserve">העובדה שהנאשם הודה מיד בחלקו ונטל אחריות על מעשיו תשמש נסיבה מרכזית להקלה בעונשו אולם כנגד זאת אין להשלים עם מצב שבו מוקמת מעבדת סמים, מי ששוכר את המקום ומפעיל אותו הוא שליח בלבד, אולם אינו מוכן למסור את שם שולחיו והמפעילים אותו, גם אם הדבר נעשה מחמת חשש לחייו או איומים המופעלים כלפיו. </w:t>
      </w:r>
    </w:p>
    <w:p w14:paraId="3A2A85D9" w14:textId="77777777" w:rsidR="00101B28" w:rsidRDefault="00101B28" w:rsidP="00101B28">
      <w:pPr>
        <w:spacing w:line="360" w:lineRule="auto"/>
        <w:rPr>
          <w:rtl/>
        </w:rPr>
      </w:pPr>
    </w:p>
    <w:p w14:paraId="0C5D9F6A" w14:textId="77777777" w:rsidR="00101B28" w:rsidRDefault="00101B28" w:rsidP="00101B28">
      <w:pPr>
        <w:spacing w:line="360" w:lineRule="auto"/>
        <w:rPr>
          <w:rtl/>
        </w:rPr>
      </w:pPr>
      <w:r>
        <w:rPr>
          <w:rFonts w:hint="cs"/>
          <w:rtl/>
        </w:rPr>
        <w:t xml:space="preserve">לא ניתן להשלים עם מצב שבו מעשה עבירה ישאר ללא עונש ממשי שמצד אחד העברייניים העיקריים אינם נתפסים מאחר שנאשם מסיבותיו אינו מוכן לגלות את זהותם, ומצד שני מבקש להקל בעונשו עקב היותו שליח ופועל תחת איומים. </w:t>
      </w:r>
    </w:p>
    <w:p w14:paraId="7EB96737" w14:textId="77777777" w:rsidR="00101B28" w:rsidRDefault="00101B28" w:rsidP="00101B28">
      <w:pPr>
        <w:spacing w:line="360" w:lineRule="auto"/>
        <w:rPr>
          <w:rtl/>
        </w:rPr>
      </w:pPr>
    </w:p>
    <w:p w14:paraId="29B9B4A6" w14:textId="77777777" w:rsidR="00101B28" w:rsidRDefault="00101B28" w:rsidP="00101B28">
      <w:pPr>
        <w:spacing w:line="360" w:lineRule="auto"/>
        <w:rPr>
          <w:rtl/>
        </w:rPr>
      </w:pPr>
      <w:r>
        <w:rPr>
          <w:rFonts w:hint="cs"/>
          <w:rtl/>
        </w:rPr>
        <w:t xml:space="preserve">זה המקום לצטט מתוך </w:t>
      </w:r>
      <w:hyperlink r:id="rId21" w:history="1">
        <w:r w:rsidR="00DC7B9D" w:rsidRPr="00DC7B9D">
          <w:rPr>
            <w:color w:val="0000FF"/>
            <w:u w:val="single"/>
            <w:rtl/>
          </w:rPr>
          <w:t>ע.פ 2596/18</w:t>
        </w:r>
      </w:hyperlink>
      <w:r>
        <w:rPr>
          <w:rFonts w:hint="cs"/>
          <w:rtl/>
        </w:rPr>
        <w:t xml:space="preserve"> ו</w:t>
      </w:r>
      <w:hyperlink r:id="rId22" w:history="1">
        <w:r w:rsidR="00DC7B9D" w:rsidRPr="00DC7B9D">
          <w:rPr>
            <w:color w:val="0000FF"/>
            <w:u w:val="single"/>
            <w:rtl/>
          </w:rPr>
          <w:t>ע.פ 2656/18</w:t>
        </w:r>
      </w:hyperlink>
      <w:r>
        <w:rPr>
          <w:rFonts w:hint="cs"/>
          <w:rtl/>
        </w:rPr>
        <w:t xml:space="preserve"> כפיר זנזורי נ' מדינת ישראל, שם הורשע נאשם בהסדר טיעון בעבירה דומה של הקמת מעבדה לגידול קנאביס נקבע כי מתחם העונש ההולם הינו בין 36 ל-56 חודשי מאסר, אולם בשל הסיכוי הממשי לשיקום הועמד עונשו על 26 חודשי מאסר בפועל, מאסר על תנאי וקנס בסך 7,000 ₪. </w:t>
      </w:r>
    </w:p>
    <w:p w14:paraId="54540DF5" w14:textId="77777777" w:rsidR="00101B28" w:rsidRDefault="00101B28" w:rsidP="00101B28">
      <w:pPr>
        <w:spacing w:line="360" w:lineRule="auto"/>
        <w:rPr>
          <w:rtl/>
        </w:rPr>
      </w:pPr>
    </w:p>
    <w:p w14:paraId="37A85F0C" w14:textId="77777777" w:rsidR="00101B28" w:rsidRDefault="00101B28" w:rsidP="00101B28">
      <w:pPr>
        <w:spacing w:line="360" w:lineRule="auto"/>
        <w:rPr>
          <w:rtl/>
        </w:rPr>
      </w:pPr>
      <w:r>
        <w:rPr>
          <w:rFonts w:hint="cs"/>
          <w:rtl/>
        </w:rPr>
        <w:t xml:space="preserve">בית המשפט העליון דחה את ערעור הנאשם על חומרת העונש ואת ערעור המדינה על קולתו, קבע שהעבירה של ייצור והפקת סם מסוכן בכמות כה משמעותית היא עבירה חמורה, ומגמת הענישה ביחס לעבירות אלה היא של החמרה והרתעה. </w:t>
      </w:r>
    </w:p>
    <w:p w14:paraId="5153308A" w14:textId="77777777" w:rsidR="00101B28" w:rsidRDefault="00101B28" w:rsidP="00101B28">
      <w:pPr>
        <w:spacing w:line="360" w:lineRule="auto"/>
        <w:rPr>
          <w:rtl/>
        </w:rPr>
      </w:pPr>
    </w:p>
    <w:p w14:paraId="7F7A0E86" w14:textId="77777777" w:rsidR="00101B28" w:rsidRDefault="00101B28" w:rsidP="00101B28">
      <w:pPr>
        <w:spacing w:line="360" w:lineRule="auto"/>
        <w:rPr>
          <w:rtl/>
        </w:rPr>
      </w:pPr>
      <w:r>
        <w:rPr>
          <w:rFonts w:hint="cs"/>
          <w:rtl/>
        </w:rPr>
        <w:t xml:space="preserve">בסיום גזר דינו הזהיר בית המשפט מפני ריבוי המקרים המובאים לדיון בעבירות של גידול, ייצור והפקת קנאבוס לשם הפצה ומכירה, ורבים לוקחים על עצמם סיכון להסתבך בעולם הפלילי ולהפוך למגדלי סמים מתוך תפיסה שגויה כי מדובר בסמים קלים. בית המשפט הבהיר כי מדיניות הענישה לא השתנתה ובית המשפט רואה בחומרה עבירות של סחר והפצה של סמים מסוכנים, גם סמים קלים תוך הטלת ענישה משמעותית ומרתיעה. </w:t>
      </w:r>
    </w:p>
    <w:p w14:paraId="088C1635" w14:textId="77777777" w:rsidR="00101B28" w:rsidRDefault="00101B28" w:rsidP="00101B28">
      <w:pPr>
        <w:spacing w:line="360" w:lineRule="auto"/>
        <w:rPr>
          <w:rtl/>
        </w:rPr>
      </w:pPr>
    </w:p>
    <w:p w14:paraId="013C958C" w14:textId="77777777" w:rsidR="00101B28" w:rsidRDefault="00101B28" w:rsidP="00101B28">
      <w:pPr>
        <w:spacing w:line="360" w:lineRule="auto"/>
        <w:rPr>
          <w:rtl/>
        </w:rPr>
      </w:pPr>
      <w:r>
        <w:rPr>
          <w:rFonts w:hint="cs"/>
          <w:rtl/>
        </w:rPr>
        <w:t xml:space="preserve">מתוך הפסיקה שהובאה יש לקבוע כי הדרך הנכונה ללכת בעקבותיה היא הנחיית בית המשפט העליון בערעורים פליליים 2596/18 ו-2656/18 כפי שצוטטו לעיל. </w:t>
      </w:r>
    </w:p>
    <w:p w14:paraId="0C41C85F" w14:textId="77777777" w:rsidR="00101B28" w:rsidRDefault="00101B28" w:rsidP="00101B28">
      <w:pPr>
        <w:spacing w:line="360" w:lineRule="auto"/>
        <w:rPr>
          <w:rtl/>
        </w:rPr>
      </w:pPr>
    </w:p>
    <w:p w14:paraId="52B093F1" w14:textId="77777777" w:rsidR="00101B28" w:rsidRDefault="00101B28" w:rsidP="00101B28">
      <w:pPr>
        <w:spacing w:line="360" w:lineRule="auto"/>
        <w:rPr>
          <w:rtl/>
        </w:rPr>
      </w:pPr>
      <w:r>
        <w:rPr>
          <w:rFonts w:hint="cs"/>
          <w:rtl/>
        </w:rPr>
        <w:t xml:space="preserve">לא אתעלם מנסיבותיו האישיות של הנאשם, מהודאתו המידית באשמה הן בחקירתו והן בבית המשפט ולקיחת אחריות על מעשיו. כמו כן לא אתעלם מהמלצת שירות המבחן, אולם לאור חומרת העבירה ונסיבותיה והרוח בזרם המרכזי של הפסיקה, לא ניתן להסתפק בגזירת עונשו של הנאשם למאסר בעבודות שירות בלבד. </w:t>
      </w:r>
    </w:p>
    <w:p w14:paraId="5B286911" w14:textId="77777777" w:rsidR="00101B28" w:rsidRDefault="00101B28" w:rsidP="00101B28">
      <w:pPr>
        <w:spacing w:line="360" w:lineRule="auto"/>
        <w:rPr>
          <w:rtl/>
        </w:rPr>
      </w:pPr>
    </w:p>
    <w:p w14:paraId="38539189" w14:textId="77777777" w:rsidR="00101B28" w:rsidRDefault="00101B28" w:rsidP="00101B28">
      <w:pPr>
        <w:spacing w:line="360" w:lineRule="auto"/>
        <w:rPr>
          <w:rtl/>
        </w:rPr>
      </w:pPr>
      <w:r>
        <w:rPr>
          <w:rFonts w:hint="cs"/>
          <w:rtl/>
        </w:rPr>
        <w:t xml:space="preserve">אני קובע כי מתחם העונש בגין מעשיו של הנאשם הינו בין 18 ל-40 חודשי מאסר. </w:t>
      </w:r>
    </w:p>
    <w:p w14:paraId="7902FEDF" w14:textId="77777777" w:rsidR="00101B28" w:rsidRDefault="00101B28" w:rsidP="00101B28">
      <w:pPr>
        <w:spacing w:line="360" w:lineRule="auto"/>
        <w:rPr>
          <w:rtl/>
        </w:rPr>
      </w:pPr>
    </w:p>
    <w:p w14:paraId="02F8A382" w14:textId="77777777" w:rsidR="00101B28" w:rsidRDefault="00101B28" w:rsidP="00101B28">
      <w:pPr>
        <w:spacing w:line="360" w:lineRule="auto"/>
        <w:rPr>
          <w:rtl/>
        </w:rPr>
      </w:pPr>
      <w:r>
        <w:rPr>
          <w:rFonts w:hint="cs"/>
          <w:rtl/>
        </w:rPr>
        <w:t xml:space="preserve">אלמלא הודאתו של הנאשם , לקיחת אחריות על מעשיו והירתמותו של הליך שיקום, היה עונשו של הנאשם נגזר לשלוש שנות מאסר בפועל, מאסר על תנאי וקנס. אולם בשל הנסיבות המקלות שלא ניתן להתעלם מהם מצד אחד, והצורך להחמיר בעבירות סמים ולהרתיע אחרים, מצד שני, החלטתי לגזור על הנאשם עונש של 20 חודשי מאסר בפועל בניכוי ימי מעצרו מיום 13.2.19 עד 14.3.19, כמו כן אני מטיל על הנאשם שנה מאסר על תנאי שלא יעבור תוך 3 שנים עבירה בניגוד </w:t>
      </w:r>
      <w:hyperlink r:id="rId23" w:history="1">
        <w:r w:rsidR="00DC7B9D" w:rsidRPr="00DC7B9D">
          <w:rPr>
            <w:color w:val="0000FF"/>
            <w:u w:val="single"/>
            <w:rtl/>
          </w:rPr>
          <w:t>פקודת הסמים המסוכנים</w:t>
        </w:r>
      </w:hyperlink>
      <w:r>
        <w:rPr>
          <w:rFonts w:hint="cs"/>
          <w:rtl/>
        </w:rPr>
        <w:t xml:space="preserve"> ומטיל עליו קנס בסך 6,000 ₪ שישולם עד ליום 31.3.20 או 3 חודשי מאסר אם הקנס לא ישולם. </w:t>
      </w:r>
    </w:p>
    <w:p w14:paraId="17A55452" w14:textId="77777777" w:rsidR="00101B28" w:rsidRDefault="00101B28" w:rsidP="00101B28">
      <w:pPr>
        <w:spacing w:line="360" w:lineRule="auto"/>
        <w:rPr>
          <w:rtl/>
        </w:rPr>
      </w:pPr>
    </w:p>
    <w:p w14:paraId="3CA09A12" w14:textId="77777777" w:rsidR="00101B28" w:rsidRPr="009B1E80" w:rsidRDefault="00101B28" w:rsidP="00101B28">
      <w:pPr>
        <w:spacing w:line="360" w:lineRule="auto"/>
        <w:rPr>
          <w:b/>
          <w:bCs/>
          <w:u w:val="single"/>
          <w:rtl/>
        </w:rPr>
      </w:pPr>
      <w:r w:rsidRPr="009B1E80">
        <w:rPr>
          <w:rFonts w:hint="cs"/>
          <w:b/>
          <w:bCs/>
          <w:u w:val="single"/>
          <w:rtl/>
        </w:rPr>
        <w:t>זכות ערעור תוך 45 ימים.</w:t>
      </w:r>
    </w:p>
    <w:p w14:paraId="78436B91" w14:textId="77777777" w:rsidR="00101B28" w:rsidRDefault="00101B28" w:rsidP="00101B28">
      <w:pPr>
        <w:spacing w:line="360" w:lineRule="auto"/>
        <w:rPr>
          <w:rtl/>
        </w:rPr>
      </w:pPr>
    </w:p>
    <w:p w14:paraId="4D82A15F" w14:textId="77777777" w:rsidR="00101B28" w:rsidRPr="00B05847" w:rsidRDefault="00101B28" w:rsidP="00101B28">
      <w:pPr>
        <w:rPr>
          <w:rtl/>
        </w:rPr>
      </w:pPr>
    </w:p>
    <w:p w14:paraId="2775918E" w14:textId="77777777" w:rsidR="00101B28" w:rsidRPr="009B1E80" w:rsidRDefault="00DC7B9D" w:rsidP="00101B28">
      <w:pPr>
        <w:rPr>
          <w:rtl/>
        </w:rPr>
      </w:pPr>
      <w:bookmarkStart w:id="8" w:name="Nitan"/>
      <w:r>
        <w:rPr>
          <w:rFonts w:ascii="Arial" w:hAnsi="Arial"/>
          <w:rtl/>
        </w:rPr>
        <w:t xml:space="preserve">ניתן והודע היום,  י' טבת תש"פ, 07 ינואר 2020, במעמד הצדדים. </w:t>
      </w:r>
      <w:bookmarkEnd w:id="8"/>
    </w:p>
    <w:p w14:paraId="645DB878" w14:textId="77777777" w:rsidR="00101B28" w:rsidRPr="00DC7B9D" w:rsidRDefault="00DC7B9D" w:rsidP="00DC7B9D">
      <w:pPr>
        <w:jc w:val="center"/>
        <w:rPr>
          <w:color w:val="FFFFFF"/>
          <w:sz w:val="2"/>
          <w:szCs w:val="2"/>
        </w:rPr>
      </w:pPr>
      <w:r w:rsidRPr="00DC7B9D">
        <w:rPr>
          <w:color w:val="FFFFFF"/>
          <w:sz w:val="2"/>
          <w:szCs w:val="2"/>
          <w:rtl/>
        </w:rPr>
        <w:t>5129371</w:t>
      </w:r>
      <w:r w:rsidR="00101B28" w:rsidRPr="00DC7B9D">
        <w:rPr>
          <w:rFonts w:hint="cs"/>
          <w:color w:val="FFFFFF"/>
          <w:sz w:val="2"/>
          <w:szCs w:val="2"/>
          <w:rtl/>
        </w:rPr>
        <w:t xml:space="preserve">   </w:t>
      </w:r>
      <w:r w:rsidR="00101B28" w:rsidRPr="00DC7B9D">
        <w:rPr>
          <w:rFonts w:hint="cs"/>
          <w:color w:val="FFFFFF"/>
          <w:sz w:val="2"/>
          <w:szCs w:val="2"/>
          <w:rtl/>
        </w:rPr>
        <w:tab/>
      </w:r>
      <w:r w:rsidR="00101B28" w:rsidRPr="00DC7B9D">
        <w:rPr>
          <w:rFonts w:hint="cs"/>
          <w:color w:val="FFFFFF"/>
          <w:sz w:val="2"/>
          <w:szCs w:val="2"/>
          <w:rtl/>
        </w:rPr>
        <w:tab/>
      </w:r>
      <w:r w:rsidR="00101B28" w:rsidRPr="00DC7B9D">
        <w:rPr>
          <w:rFonts w:hint="cs"/>
          <w:color w:val="FFFFFF"/>
          <w:sz w:val="2"/>
          <w:szCs w:val="2"/>
          <w:rtl/>
        </w:rPr>
        <w:tab/>
      </w:r>
      <w:r w:rsidR="00101B28" w:rsidRPr="00DC7B9D">
        <w:rPr>
          <w:rFonts w:hint="cs"/>
          <w:color w:val="FFFFFF"/>
          <w:sz w:val="2"/>
          <w:szCs w:val="2"/>
          <w:rtl/>
        </w:rPr>
        <w:tab/>
      </w:r>
      <w:r w:rsidR="00101B28" w:rsidRPr="00DC7B9D">
        <w:rPr>
          <w:rFonts w:hint="cs"/>
          <w:color w:val="FFFFFF"/>
          <w:sz w:val="2"/>
          <w:szCs w:val="2"/>
          <w:rtl/>
        </w:rPr>
        <w:tab/>
      </w:r>
    </w:p>
    <w:p w14:paraId="7A7AC329" w14:textId="77777777" w:rsidR="00101B28" w:rsidRPr="00DC7B9D" w:rsidRDefault="00DC7B9D" w:rsidP="00101B28">
      <w:pPr>
        <w:jc w:val="center"/>
        <w:rPr>
          <w:rFonts w:ascii="Arial" w:hAnsi="Arial"/>
          <w:color w:val="FFFFFF"/>
          <w:sz w:val="2"/>
          <w:szCs w:val="2"/>
          <w:rtl/>
        </w:rPr>
      </w:pPr>
      <w:r w:rsidRPr="00DC7B9D">
        <w:rPr>
          <w:rFonts w:ascii="Arial" w:hAnsi="Arial"/>
          <w:color w:val="FFFFFF"/>
          <w:sz w:val="2"/>
          <w:szCs w:val="2"/>
          <w:rtl/>
        </w:rPr>
        <w:t>54678313</w:t>
      </w:r>
    </w:p>
    <w:p w14:paraId="529DE77E" w14:textId="77777777" w:rsidR="00101B28" w:rsidRPr="00250B83" w:rsidRDefault="00101B28" w:rsidP="00101B28">
      <w:pPr>
        <w:rPr>
          <w:rtl/>
        </w:rPr>
      </w:pPr>
    </w:p>
    <w:p w14:paraId="0EC6A052" w14:textId="77777777" w:rsidR="00101B28" w:rsidRDefault="00101B28" w:rsidP="00101B28">
      <w:pPr>
        <w:pStyle w:val="a3"/>
        <w:jc w:val="center"/>
        <w:rPr>
          <w:rtl/>
        </w:rPr>
      </w:pPr>
    </w:p>
    <w:p w14:paraId="75013191" w14:textId="77777777" w:rsidR="00101B28" w:rsidRDefault="00101B28" w:rsidP="00101B28">
      <w:pPr>
        <w:pStyle w:val="a3"/>
        <w:jc w:val="center"/>
        <w:rPr>
          <w:rtl/>
        </w:rPr>
      </w:pPr>
      <w:r>
        <w:rPr>
          <w:rtl/>
        </w:rPr>
        <w:tab/>
      </w:r>
      <w:r>
        <w:rPr>
          <w:rFonts w:hint="cs"/>
          <w:rtl/>
        </w:rPr>
        <w:t>_________________</w:t>
      </w:r>
    </w:p>
    <w:p w14:paraId="49D78854" w14:textId="77777777" w:rsidR="00101B28" w:rsidRDefault="00FD1968" w:rsidP="00101B28">
      <w:pPr>
        <w:pStyle w:val="a3"/>
        <w:jc w:val="center"/>
        <w:rPr>
          <w:rtl/>
        </w:rPr>
      </w:pPr>
      <w:r w:rsidRPr="00FD1968">
        <w:rPr>
          <w:color w:val="FFFFFF"/>
          <w:sz w:val="2"/>
          <w:szCs w:val="2"/>
          <w:rtl/>
        </w:rPr>
        <w:t>5129371</w:t>
      </w:r>
      <w:r w:rsidR="00101B28">
        <w:rPr>
          <w:rtl/>
        </w:rPr>
        <w:tab/>
      </w:r>
      <w:r w:rsidR="00101B28">
        <w:rPr>
          <w:rFonts w:hint="cs"/>
          <w:rtl/>
        </w:rPr>
        <w:t>צבי גורפינקל, שופט עמית</w:t>
      </w:r>
    </w:p>
    <w:p w14:paraId="6C95D3B5" w14:textId="77777777" w:rsidR="00085FF1" w:rsidRPr="00FD1968" w:rsidRDefault="00FD1968" w:rsidP="00DC7B9D">
      <w:pPr>
        <w:keepNext/>
        <w:rPr>
          <w:rFonts w:ascii="David" w:hAnsi="David"/>
          <w:color w:val="FFFFFF"/>
          <w:sz w:val="2"/>
          <w:szCs w:val="2"/>
          <w:rtl/>
        </w:rPr>
      </w:pPr>
      <w:r w:rsidRPr="00FD1968">
        <w:rPr>
          <w:rFonts w:ascii="David" w:hAnsi="David"/>
          <w:color w:val="FFFFFF"/>
          <w:sz w:val="2"/>
          <w:szCs w:val="2"/>
          <w:rtl/>
        </w:rPr>
        <w:t>54678313</w:t>
      </w:r>
    </w:p>
    <w:p w14:paraId="4AE7B4C0" w14:textId="77777777" w:rsidR="00DC7B9D" w:rsidRDefault="00DC7B9D" w:rsidP="00DC7B9D">
      <w:pPr>
        <w:rPr>
          <w:rtl/>
        </w:rPr>
      </w:pPr>
    </w:p>
    <w:p w14:paraId="360DF61A" w14:textId="77777777" w:rsidR="00DC7B9D" w:rsidRDefault="00DC7B9D" w:rsidP="00DC7B9D">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50A720CE" w14:textId="77777777" w:rsidR="00FD1968" w:rsidRPr="00FD1968" w:rsidRDefault="00FD1968" w:rsidP="00FD1968">
      <w:pPr>
        <w:keepNext/>
        <w:rPr>
          <w:rFonts w:ascii="David" w:hAnsi="David"/>
          <w:color w:val="000000"/>
          <w:sz w:val="22"/>
          <w:szCs w:val="22"/>
          <w:rtl/>
        </w:rPr>
      </w:pPr>
    </w:p>
    <w:p w14:paraId="36A2651D" w14:textId="77777777" w:rsidR="00FD1968" w:rsidRPr="00FD1968" w:rsidRDefault="00FD1968" w:rsidP="00FD1968">
      <w:pPr>
        <w:keepNext/>
        <w:rPr>
          <w:rFonts w:ascii="David" w:hAnsi="David"/>
          <w:color w:val="000000"/>
          <w:sz w:val="22"/>
          <w:szCs w:val="22"/>
          <w:rtl/>
        </w:rPr>
      </w:pPr>
      <w:r w:rsidRPr="00FD1968">
        <w:rPr>
          <w:rFonts w:ascii="David" w:hAnsi="David"/>
          <w:color w:val="000000"/>
          <w:sz w:val="22"/>
          <w:szCs w:val="22"/>
          <w:rtl/>
        </w:rPr>
        <w:t>עמית צבי גורפינקל 54678313-/</w:t>
      </w:r>
    </w:p>
    <w:p w14:paraId="0F0DE10E" w14:textId="77777777" w:rsidR="00DC7B9D" w:rsidRPr="00DC7B9D" w:rsidRDefault="00FD1968" w:rsidP="00FD1968">
      <w:pPr>
        <w:rPr>
          <w:color w:val="0000FF"/>
          <w:u w:val="single"/>
        </w:rPr>
      </w:pPr>
      <w:r w:rsidRPr="00FD1968">
        <w:rPr>
          <w:color w:val="000000"/>
          <w:u w:val="single"/>
          <w:rtl/>
        </w:rPr>
        <w:t>נוסח מסמך זה כפוף לשינויי ניסוח ועריכה</w:t>
      </w:r>
    </w:p>
    <w:sectPr w:rsidR="00DC7B9D" w:rsidRPr="00DC7B9D" w:rsidSect="00FD1968">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8F7D6" w14:textId="77777777" w:rsidR="00B1585E" w:rsidRDefault="00B1585E" w:rsidP="004F3983">
      <w:r>
        <w:separator/>
      </w:r>
    </w:p>
  </w:endnote>
  <w:endnote w:type="continuationSeparator" w:id="0">
    <w:p w14:paraId="56BFF011" w14:textId="77777777" w:rsidR="00B1585E" w:rsidRDefault="00B1585E" w:rsidP="004F3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50C76" w14:textId="77777777" w:rsidR="00FD1968" w:rsidRDefault="00FD1968" w:rsidP="00FD19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0BF257" w14:textId="77777777" w:rsidR="00102424" w:rsidRPr="00FD1968" w:rsidRDefault="00FD1968" w:rsidP="00FD1968">
    <w:pPr>
      <w:pStyle w:val="a5"/>
      <w:pBdr>
        <w:top w:val="single" w:sz="4" w:space="1" w:color="auto"/>
        <w:between w:val="single" w:sz="4" w:space="0" w:color="auto"/>
      </w:pBdr>
      <w:spacing w:after="60"/>
      <w:jc w:val="center"/>
      <w:rPr>
        <w:rFonts w:ascii="FrankRuehl" w:hAnsi="FrankRuehl" w:cs="FrankRuehl"/>
        <w:color w:val="000000"/>
      </w:rPr>
    </w:pPr>
    <w:r w:rsidRPr="00FD19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1E7F5" w14:textId="77777777" w:rsidR="00FD1968" w:rsidRDefault="00FD1968" w:rsidP="00FD19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0593">
      <w:rPr>
        <w:rFonts w:ascii="FrankRuehl" w:hAnsi="FrankRuehl" w:cs="FrankRuehl"/>
        <w:noProof/>
        <w:rtl/>
      </w:rPr>
      <w:t>1</w:t>
    </w:r>
    <w:r>
      <w:rPr>
        <w:rFonts w:ascii="FrankRuehl" w:hAnsi="FrankRuehl" w:cs="FrankRuehl"/>
        <w:rtl/>
      </w:rPr>
      <w:fldChar w:fldCharType="end"/>
    </w:r>
  </w:p>
  <w:p w14:paraId="62CC89ED" w14:textId="77777777" w:rsidR="00102424" w:rsidRPr="00FD1968" w:rsidRDefault="00FD1968" w:rsidP="00FD1968">
    <w:pPr>
      <w:pStyle w:val="a5"/>
      <w:pBdr>
        <w:top w:val="single" w:sz="4" w:space="1" w:color="auto"/>
        <w:between w:val="single" w:sz="4" w:space="0" w:color="auto"/>
      </w:pBdr>
      <w:spacing w:after="60"/>
      <w:jc w:val="center"/>
      <w:rPr>
        <w:rFonts w:ascii="FrankRuehl" w:hAnsi="FrankRuehl" w:cs="FrankRuehl"/>
        <w:color w:val="000000"/>
      </w:rPr>
    </w:pPr>
    <w:r w:rsidRPr="00FD1968">
      <w:rPr>
        <w:rFonts w:ascii="FrankRuehl" w:hAnsi="FrankRuehl" w:cs="FrankRuehl"/>
        <w:color w:val="000000"/>
      </w:rPr>
      <w:pict w14:anchorId="23FF4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320A4" w14:textId="77777777" w:rsidR="00B1585E" w:rsidRDefault="00B1585E" w:rsidP="004F3983">
      <w:r>
        <w:separator/>
      </w:r>
    </w:p>
  </w:footnote>
  <w:footnote w:type="continuationSeparator" w:id="0">
    <w:p w14:paraId="4FAC7BA2" w14:textId="77777777" w:rsidR="00B1585E" w:rsidRDefault="00B1585E" w:rsidP="004F3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1E606" w14:textId="77777777" w:rsidR="00DC7B9D" w:rsidRPr="00FD1968" w:rsidRDefault="00FD1968" w:rsidP="00FD19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49034-02-19</w:t>
    </w:r>
    <w:r>
      <w:rPr>
        <w:rFonts w:ascii="David" w:hAnsi="David"/>
        <w:color w:val="000000"/>
        <w:sz w:val="22"/>
        <w:szCs w:val="22"/>
        <w:rtl/>
      </w:rPr>
      <w:tab/>
      <w:t xml:space="preserve"> מדינת ישראל נ' ליאב משה אוחיון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3CE8C" w14:textId="77777777" w:rsidR="00DC7B9D" w:rsidRPr="00FD1968" w:rsidRDefault="00FD1968" w:rsidP="00FD19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49034-02-19</w:t>
    </w:r>
    <w:r>
      <w:rPr>
        <w:rFonts w:ascii="David" w:hAnsi="David"/>
        <w:color w:val="000000"/>
        <w:sz w:val="22"/>
        <w:szCs w:val="22"/>
        <w:rtl/>
      </w:rPr>
      <w:tab/>
      <w:t xml:space="preserve"> מדינת ישראל נ' ליאב משה אוחיון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1B28"/>
    <w:rsid w:val="00085FF1"/>
    <w:rsid w:val="00101B28"/>
    <w:rsid w:val="00102424"/>
    <w:rsid w:val="004C0593"/>
    <w:rsid w:val="004F3983"/>
    <w:rsid w:val="00A265B8"/>
    <w:rsid w:val="00B1585E"/>
    <w:rsid w:val="00B30401"/>
    <w:rsid w:val="00CB63BD"/>
    <w:rsid w:val="00DC7B9D"/>
    <w:rsid w:val="00FD19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865E63"/>
  <w15:chartTrackingRefBased/>
  <w15:docId w15:val="{CFD156DC-1449-434A-A49E-142B227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1B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1B28"/>
    <w:pPr>
      <w:tabs>
        <w:tab w:val="center" w:pos="4153"/>
        <w:tab w:val="right" w:pos="8306"/>
      </w:tabs>
    </w:pPr>
  </w:style>
  <w:style w:type="character" w:customStyle="1" w:styleId="a4">
    <w:name w:val="כותרת עליונה תו"/>
    <w:link w:val="a3"/>
    <w:rsid w:val="00101B28"/>
    <w:rPr>
      <w:rFonts w:ascii="Times New Roman" w:eastAsia="Times New Roman" w:hAnsi="Times New Roman" w:cs="David"/>
      <w:sz w:val="24"/>
      <w:szCs w:val="24"/>
    </w:rPr>
  </w:style>
  <w:style w:type="paragraph" w:styleId="a5">
    <w:name w:val="footer"/>
    <w:basedOn w:val="a"/>
    <w:link w:val="a6"/>
    <w:rsid w:val="00101B28"/>
    <w:pPr>
      <w:tabs>
        <w:tab w:val="center" w:pos="4153"/>
        <w:tab w:val="right" w:pos="8306"/>
      </w:tabs>
    </w:pPr>
  </w:style>
  <w:style w:type="character" w:customStyle="1" w:styleId="a6">
    <w:name w:val="כותרת תחתונה תו"/>
    <w:link w:val="a5"/>
    <w:rsid w:val="00101B28"/>
    <w:rPr>
      <w:rFonts w:ascii="Times New Roman" w:eastAsia="Times New Roman" w:hAnsi="Times New Roman" w:cs="David"/>
      <w:sz w:val="24"/>
      <w:szCs w:val="24"/>
    </w:rPr>
  </w:style>
  <w:style w:type="table" w:styleId="a7">
    <w:name w:val="Table Grid"/>
    <w:basedOn w:val="a1"/>
    <w:rsid w:val="00101B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1B28"/>
  </w:style>
  <w:style w:type="character" w:styleId="Hyperlink">
    <w:name w:val="Hyperlink"/>
    <w:rsid w:val="00DC7B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0" TargetMode="External"/><Relationship Id="rId18" Type="http://schemas.openxmlformats.org/officeDocument/2006/relationships/hyperlink" Target="http://www.nevo.co.il/law/4216/9"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23827604" TargetMode="External"/><Relationship Id="rId7" Type="http://schemas.openxmlformats.org/officeDocument/2006/relationships/hyperlink" Target="http://www.nevo.co.il/law/4216/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4216/7.a.;7.c" TargetMode="External"/><Relationship Id="rId20" Type="http://schemas.openxmlformats.org/officeDocument/2006/relationships/hyperlink" Target="http://www.nevo.co.il/law/7030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9" TargetMode="External"/><Relationship Id="rId19" Type="http://schemas.openxmlformats.org/officeDocument/2006/relationships/hyperlink" Target="http://www.nevo.co.il/law/70301/400"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3831718"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7276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3801203</vt:i4>
      </vt:variant>
      <vt:variant>
        <vt:i4>48</vt:i4>
      </vt:variant>
      <vt:variant>
        <vt:i4>0</vt:i4>
      </vt:variant>
      <vt:variant>
        <vt:i4>5</vt:i4>
      </vt:variant>
      <vt:variant>
        <vt:lpwstr>http://www.nevo.co.il/case/23831718</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4653130</vt:i4>
      </vt:variant>
      <vt:variant>
        <vt:i4>36</vt:i4>
      </vt:variant>
      <vt:variant>
        <vt:i4>0</vt:i4>
      </vt:variant>
      <vt:variant>
        <vt:i4>5</vt:i4>
      </vt:variant>
      <vt:variant>
        <vt:lpwstr>http://www.nevo.co.il/law/4216/9</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4653130</vt:i4>
      </vt:variant>
      <vt:variant>
        <vt:i4>12</vt:i4>
      </vt:variant>
      <vt:variant>
        <vt:i4>0</vt:i4>
      </vt:variant>
      <vt:variant>
        <vt:i4>5</vt:i4>
      </vt:variant>
      <vt:variant>
        <vt:lpwstr>http://www.nevo.co.il/law/4216/9</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49034</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ליאב משה אוחיון </vt:lpwstr>
  </property>
  <property fmtid="{D5CDD505-2E9C-101B-9397-08002B2CF9AE}" pid="10" name="LAWYER">
    <vt:lpwstr>רוני מודריק;מיכאל סיבוני;רותם כהן</vt:lpwstr>
  </property>
  <property fmtid="{D5CDD505-2E9C-101B-9397-08002B2CF9AE}" pid="11" name="JUDGE">
    <vt:lpwstr>עמית צבי גורפינקל</vt:lpwstr>
  </property>
  <property fmtid="{D5CDD505-2E9C-101B-9397-08002B2CF9AE}" pid="12" name="CITY">
    <vt:lpwstr>ת"א</vt:lpwstr>
  </property>
  <property fmtid="{D5CDD505-2E9C-101B-9397-08002B2CF9AE}" pid="13" name="DATE">
    <vt:lpwstr>20200107</vt:lpwstr>
  </property>
  <property fmtid="{D5CDD505-2E9C-101B-9397-08002B2CF9AE}" pid="14" name="TYPE_N_DATE">
    <vt:lpwstr>39020200107</vt:lpwstr>
  </property>
  <property fmtid="{D5CDD505-2E9C-101B-9397-08002B2CF9AE}" pid="15" name="CASESLISTTMP1">
    <vt:lpwstr>23827604;23831718</vt:lpwstr>
  </property>
  <property fmtid="{D5CDD505-2E9C-101B-9397-08002B2CF9AE}" pid="16" name="WORDNUMPAGES">
    <vt:lpwstr>5</vt:lpwstr>
  </property>
  <property fmtid="{D5CDD505-2E9C-101B-9397-08002B2CF9AE}" pid="17" name="TYPE_ABS_DATE">
    <vt:lpwstr>390020200107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4216/006;007.a;007.c;010;009</vt:lpwstr>
  </property>
  <property fmtid="{D5CDD505-2E9C-101B-9397-08002B2CF9AE}" pid="37" name="LAWLISTTMP2">
    <vt:lpwstr>70301/400</vt:lpwstr>
  </property>
</Properties>
</file>