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20519" w:rsidRPr="003E7813" w14:paraId="63E2599D" w14:textId="77777777" w:rsidTr="00011B2C">
        <w:trPr>
          <w:trHeight w:hRule="exact" w:val="418"/>
          <w:jc w:val="center"/>
        </w:trPr>
        <w:tc>
          <w:tcPr>
            <w:tcW w:w="8721" w:type="dxa"/>
            <w:gridSpan w:val="2"/>
          </w:tcPr>
          <w:p w14:paraId="5812CA29" w14:textId="77777777" w:rsidR="00620519" w:rsidRPr="003E7813" w:rsidRDefault="00620519" w:rsidP="00E157B5">
            <w:pPr>
              <w:pStyle w:val="a4"/>
              <w:jc w:val="center"/>
              <w:rPr>
                <w:rFonts w:ascii="Tahoma" w:hAnsi="Tahoma" w:cs="Tahoma"/>
                <w:color w:val="000080"/>
                <w:rtl/>
              </w:rPr>
            </w:pPr>
            <w:bookmarkStart w:id="0" w:name="LastJudge"/>
            <w:r w:rsidRPr="003E7813">
              <w:rPr>
                <w:rFonts w:ascii="Tahoma" w:hAnsi="Tahoma" w:cs="Tahoma"/>
                <w:b/>
                <w:bCs/>
                <w:color w:val="000080"/>
                <w:rtl/>
              </w:rPr>
              <w:t>בית המשפט המחוזי מרכז-לוד</w:t>
            </w:r>
          </w:p>
        </w:tc>
      </w:tr>
      <w:tr w:rsidR="00620519" w:rsidRPr="003E7813" w14:paraId="60E6BFDE" w14:textId="77777777" w:rsidTr="00011B2C">
        <w:trPr>
          <w:trHeight w:val="337"/>
          <w:jc w:val="center"/>
        </w:trPr>
        <w:tc>
          <w:tcPr>
            <w:tcW w:w="5059" w:type="dxa"/>
          </w:tcPr>
          <w:p w14:paraId="7D94CA40" w14:textId="77777777" w:rsidR="00620519" w:rsidRPr="003E7813" w:rsidRDefault="00620519" w:rsidP="00E157B5">
            <w:pPr>
              <w:rPr>
                <w:rFonts w:cs="FrankRuehl"/>
                <w:sz w:val="28"/>
                <w:szCs w:val="28"/>
                <w:rtl/>
              </w:rPr>
            </w:pPr>
            <w:r w:rsidRPr="003E7813">
              <w:rPr>
                <w:rFonts w:cs="FrankRuehl"/>
                <w:sz w:val="28"/>
                <w:szCs w:val="28"/>
                <w:rtl/>
              </w:rPr>
              <w:t>ת"פ</w:t>
            </w:r>
            <w:r w:rsidRPr="003E7813">
              <w:rPr>
                <w:rFonts w:cs="FrankRuehl" w:hint="cs"/>
                <w:sz w:val="28"/>
                <w:szCs w:val="28"/>
                <w:rtl/>
              </w:rPr>
              <w:t xml:space="preserve"> </w:t>
            </w:r>
            <w:r w:rsidRPr="003E7813">
              <w:rPr>
                <w:rFonts w:cs="FrankRuehl"/>
                <w:sz w:val="28"/>
                <w:szCs w:val="28"/>
                <w:rtl/>
              </w:rPr>
              <w:t>14578-04-19</w:t>
            </w:r>
            <w:r w:rsidRPr="003E7813">
              <w:rPr>
                <w:rFonts w:cs="FrankRuehl" w:hint="cs"/>
                <w:sz w:val="28"/>
                <w:szCs w:val="28"/>
                <w:rtl/>
              </w:rPr>
              <w:t xml:space="preserve"> </w:t>
            </w:r>
            <w:r w:rsidRPr="003E7813">
              <w:rPr>
                <w:rFonts w:cs="FrankRuehl"/>
                <w:sz w:val="28"/>
                <w:szCs w:val="28"/>
                <w:rtl/>
              </w:rPr>
              <w:t>מדינת ישראל נ' אברגיל(עציר) ואח'</w:t>
            </w:r>
          </w:p>
          <w:p w14:paraId="502000DF" w14:textId="77777777" w:rsidR="00620519" w:rsidRPr="003E7813" w:rsidRDefault="00620519" w:rsidP="00E157B5">
            <w:pPr>
              <w:pStyle w:val="a4"/>
              <w:rPr>
                <w:rFonts w:cs="FrankRuehl"/>
                <w:sz w:val="28"/>
                <w:szCs w:val="28"/>
                <w:rtl/>
              </w:rPr>
            </w:pPr>
          </w:p>
        </w:tc>
        <w:tc>
          <w:tcPr>
            <w:tcW w:w="3662" w:type="dxa"/>
          </w:tcPr>
          <w:p w14:paraId="76CE3C28" w14:textId="77777777" w:rsidR="00620519" w:rsidRPr="003E7813" w:rsidRDefault="00620519" w:rsidP="00E157B5">
            <w:pPr>
              <w:pStyle w:val="a4"/>
              <w:jc w:val="right"/>
              <w:rPr>
                <w:rFonts w:cs="FrankRuehl"/>
                <w:sz w:val="28"/>
                <w:szCs w:val="28"/>
                <w:rtl/>
              </w:rPr>
            </w:pPr>
          </w:p>
        </w:tc>
      </w:tr>
    </w:tbl>
    <w:p w14:paraId="0F5B92E0" w14:textId="77777777" w:rsidR="00620519" w:rsidRPr="003E7813" w:rsidRDefault="00620519" w:rsidP="00620519">
      <w:pPr>
        <w:pStyle w:val="a4"/>
        <w:rPr>
          <w:rtl/>
        </w:rPr>
      </w:pPr>
      <w:r w:rsidRPr="003E7813">
        <w:rPr>
          <w:rFonts w:hint="cs"/>
          <w:rtl/>
        </w:rPr>
        <w:t xml:space="preserve"> </w:t>
      </w:r>
    </w:p>
    <w:p w14:paraId="471E4C14" w14:textId="77777777" w:rsidR="00620519" w:rsidRPr="003E7813" w:rsidRDefault="00620519" w:rsidP="00620519">
      <w:pPr>
        <w:rPr>
          <w:rtl/>
        </w:rPr>
      </w:pPr>
    </w:p>
    <w:p w14:paraId="705977A6" w14:textId="77777777" w:rsidR="00620519" w:rsidRPr="003E7813" w:rsidRDefault="00620519" w:rsidP="006205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20519" w:rsidRPr="003E7813" w14:paraId="231C15D2" w14:textId="77777777" w:rsidTr="00620519">
        <w:trPr>
          <w:trHeight w:val="295"/>
          <w:jc w:val="center"/>
        </w:trPr>
        <w:tc>
          <w:tcPr>
            <w:tcW w:w="923" w:type="dxa"/>
            <w:tcBorders>
              <w:top w:val="nil"/>
              <w:left w:val="nil"/>
              <w:bottom w:val="nil"/>
              <w:right w:val="nil"/>
            </w:tcBorders>
            <w:shd w:val="clear" w:color="auto" w:fill="auto"/>
          </w:tcPr>
          <w:p w14:paraId="33501A16" w14:textId="77777777" w:rsidR="00620519" w:rsidRPr="003E7813" w:rsidRDefault="00620519" w:rsidP="00620519">
            <w:pPr>
              <w:jc w:val="both"/>
              <w:rPr>
                <w:rFonts w:ascii="Arial" w:hAnsi="Arial" w:cs="FrankRuehl"/>
                <w:sz w:val="28"/>
                <w:szCs w:val="28"/>
              </w:rPr>
            </w:pPr>
            <w:r w:rsidRPr="003E7813">
              <w:rPr>
                <w:rFonts w:ascii="Arial" w:hAnsi="Arial" w:cs="FrankRuehl" w:hint="cs"/>
                <w:sz w:val="28"/>
                <w:szCs w:val="28"/>
                <w:rtl/>
              </w:rPr>
              <w:t>ב</w:t>
            </w:r>
            <w:r w:rsidRPr="003E7813">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3057E5C" w14:textId="77777777" w:rsidR="00620519" w:rsidRPr="003E7813" w:rsidRDefault="00620519" w:rsidP="00E157B5">
            <w:pPr>
              <w:rPr>
                <w:rFonts w:ascii="Arial" w:hAnsi="Arial"/>
                <w:b/>
                <w:bCs/>
                <w:rtl/>
              </w:rPr>
            </w:pPr>
            <w:r w:rsidRPr="003E7813">
              <w:rPr>
                <w:rFonts w:ascii="Arial" w:hAnsi="Arial" w:hint="cs"/>
                <w:b/>
                <w:bCs/>
                <w:rtl/>
              </w:rPr>
              <w:t>כבוד ה</w:t>
            </w:r>
            <w:r w:rsidRPr="003E7813">
              <w:rPr>
                <w:rFonts w:ascii="Arial" w:hAnsi="Arial"/>
                <w:b/>
                <w:bCs/>
                <w:rtl/>
              </w:rPr>
              <w:t>שופט</w:t>
            </w:r>
            <w:r w:rsidRPr="003E7813">
              <w:rPr>
                <w:rFonts w:ascii="Arial" w:hAnsi="Arial" w:hint="cs"/>
                <w:b/>
                <w:bCs/>
                <w:rtl/>
              </w:rPr>
              <w:t xml:space="preserve">  </w:t>
            </w:r>
            <w:r w:rsidRPr="003E7813">
              <w:rPr>
                <w:rFonts w:ascii="Arial" w:hAnsi="Arial"/>
                <w:b/>
                <w:bCs/>
                <w:rtl/>
              </w:rPr>
              <w:t>עמי קובו</w:t>
            </w:r>
          </w:p>
          <w:p w14:paraId="24CD4406" w14:textId="77777777" w:rsidR="00620519" w:rsidRPr="003E7813" w:rsidRDefault="00620519" w:rsidP="00E157B5">
            <w:pPr>
              <w:rPr>
                <w:rtl/>
              </w:rPr>
            </w:pPr>
          </w:p>
          <w:p w14:paraId="71B76149" w14:textId="77777777" w:rsidR="00620519" w:rsidRPr="003E7813" w:rsidRDefault="00620519" w:rsidP="00620519">
            <w:pPr>
              <w:jc w:val="both"/>
              <w:rPr>
                <w:rFonts w:ascii="Arial" w:hAnsi="Arial" w:cs="FrankRuehl"/>
                <w:sz w:val="28"/>
                <w:szCs w:val="28"/>
              </w:rPr>
            </w:pPr>
          </w:p>
        </w:tc>
      </w:tr>
      <w:tr w:rsidR="00620519" w:rsidRPr="003E7813" w14:paraId="49EEB306" w14:textId="77777777" w:rsidTr="00620519">
        <w:trPr>
          <w:trHeight w:val="355"/>
          <w:jc w:val="center"/>
        </w:trPr>
        <w:tc>
          <w:tcPr>
            <w:tcW w:w="923" w:type="dxa"/>
            <w:tcBorders>
              <w:top w:val="nil"/>
              <w:left w:val="nil"/>
              <w:bottom w:val="nil"/>
              <w:right w:val="nil"/>
            </w:tcBorders>
            <w:shd w:val="clear" w:color="auto" w:fill="auto"/>
          </w:tcPr>
          <w:p w14:paraId="077DED23" w14:textId="77777777" w:rsidR="00620519" w:rsidRPr="003E7813" w:rsidRDefault="00620519" w:rsidP="00620519">
            <w:pPr>
              <w:jc w:val="both"/>
              <w:rPr>
                <w:rFonts w:ascii="Arial" w:hAnsi="Arial" w:cs="FrankRuehl"/>
                <w:sz w:val="28"/>
                <w:szCs w:val="28"/>
              </w:rPr>
            </w:pPr>
            <w:bookmarkStart w:id="1" w:name="FirstAppellant"/>
            <w:r w:rsidRPr="003E7813">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4FF1503" w14:textId="77777777" w:rsidR="00620519" w:rsidRPr="003E7813" w:rsidRDefault="00620519" w:rsidP="00E157B5">
            <w:r w:rsidRPr="003E7813">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48D5B788" w14:textId="77777777" w:rsidR="00620519" w:rsidRPr="003E7813" w:rsidRDefault="00620519" w:rsidP="00620519">
            <w:pPr>
              <w:jc w:val="both"/>
              <w:rPr>
                <w:rFonts w:ascii="Arial" w:hAnsi="Arial" w:cs="FrankRuehl"/>
                <w:sz w:val="28"/>
                <w:szCs w:val="28"/>
              </w:rPr>
            </w:pPr>
          </w:p>
        </w:tc>
      </w:tr>
      <w:bookmarkEnd w:id="1"/>
      <w:tr w:rsidR="00620519" w:rsidRPr="003E7813" w14:paraId="39E64444" w14:textId="77777777" w:rsidTr="00620519">
        <w:trPr>
          <w:trHeight w:val="355"/>
          <w:jc w:val="center"/>
        </w:trPr>
        <w:tc>
          <w:tcPr>
            <w:tcW w:w="923" w:type="dxa"/>
            <w:tcBorders>
              <w:top w:val="nil"/>
              <w:left w:val="nil"/>
              <w:bottom w:val="nil"/>
              <w:right w:val="nil"/>
            </w:tcBorders>
            <w:shd w:val="clear" w:color="auto" w:fill="auto"/>
          </w:tcPr>
          <w:p w14:paraId="6556C61E" w14:textId="77777777" w:rsidR="00620519" w:rsidRPr="003E7813" w:rsidRDefault="00620519" w:rsidP="006205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CFB5E0A" w14:textId="77777777" w:rsidR="00620519" w:rsidRPr="003E7813" w:rsidRDefault="00620519" w:rsidP="00620519">
            <w:pPr>
              <w:jc w:val="both"/>
              <w:rPr>
                <w:rtl/>
              </w:rPr>
            </w:pPr>
          </w:p>
        </w:tc>
        <w:tc>
          <w:tcPr>
            <w:tcW w:w="3771" w:type="dxa"/>
            <w:tcBorders>
              <w:top w:val="nil"/>
              <w:left w:val="nil"/>
              <w:bottom w:val="nil"/>
              <w:right w:val="nil"/>
            </w:tcBorders>
            <w:shd w:val="clear" w:color="auto" w:fill="auto"/>
          </w:tcPr>
          <w:p w14:paraId="62538A1C" w14:textId="77777777" w:rsidR="00620519" w:rsidRPr="003E7813" w:rsidRDefault="00620519" w:rsidP="00620519">
            <w:pPr>
              <w:jc w:val="right"/>
              <w:rPr>
                <w:rFonts w:ascii="Arial" w:hAnsi="Arial" w:cs="FrankRuehl"/>
                <w:sz w:val="28"/>
                <w:szCs w:val="28"/>
                <w:rtl/>
              </w:rPr>
            </w:pPr>
            <w:r w:rsidRPr="003E7813">
              <w:rPr>
                <w:rFonts w:ascii="Arial" w:hAnsi="Arial" w:cs="FrankRuehl" w:hint="cs"/>
                <w:sz w:val="28"/>
                <w:szCs w:val="28"/>
                <w:rtl/>
              </w:rPr>
              <w:t>ה</w:t>
            </w:r>
            <w:r w:rsidRPr="003E7813">
              <w:rPr>
                <w:rFonts w:ascii="Arial" w:hAnsi="Arial" w:cs="FrankRuehl"/>
                <w:sz w:val="28"/>
                <w:szCs w:val="28"/>
                <w:rtl/>
              </w:rPr>
              <w:t>מאשימה</w:t>
            </w:r>
          </w:p>
        </w:tc>
      </w:tr>
      <w:tr w:rsidR="00620519" w:rsidRPr="003E7813" w14:paraId="08EC6100" w14:textId="77777777" w:rsidTr="00620519">
        <w:trPr>
          <w:trHeight w:val="355"/>
          <w:jc w:val="center"/>
        </w:trPr>
        <w:tc>
          <w:tcPr>
            <w:tcW w:w="923" w:type="dxa"/>
            <w:tcBorders>
              <w:top w:val="nil"/>
              <w:left w:val="nil"/>
              <w:bottom w:val="nil"/>
              <w:right w:val="nil"/>
            </w:tcBorders>
            <w:shd w:val="clear" w:color="auto" w:fill="auto"/>
          </w:tcPr>
          <w:p w14:paraId="51D5B45A" w14:textId="77777777" w:rsidR="00620519" w:rsidRPr="003E7813" w:rsidRDefault="00620519" w:rsidP="00620519">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E74BDC2" w14:textId="77777777" w:rsidR="00620519" w:rsidRPr="003E7813" w:rsidRDefault="00620519" w:rsidP="00620519">
            <w:pPr>
              <w:jc w:val="center"/>
              <w:rPr>
                <w:rFonts w:ascii="Arial" w:hAnsi="Arial" w:cs="FrankRuehl"/>
                <w:b/>
                <w:bCs/>
                <w:sz w:val="28"/>
                <w:szCs w:val="28"/>
                <w:rtl/>
              </w:rPr>
            </w:pPr>
          </w:p>
          <w:p w14:paraId="2FA085E2" w14:textId="77777777" w:rsidR="00620519" w:rsidRPr="003E7813" w:rsidRDefault="00620519" w:rsidP="00620519">
            <w:pPr>
              <w:jc w:val="center"/>
              <w:rPr>
                <w:rFonts w:ascii="Arial" w:hAnsi="Arial" w:cs="FrankRuehl"/>
                <w:b/>
                <w:bCs/>
                <w:sz w:val="28"/>
                <w:szCs w:val="28"/>
                <w:rtl/>
              </w:rPr>
            </w:pPr>
            <w:r w:rsidRPr="003E7813">
              <w:rPr>
                <w:rFonts w:ascii="Arial" w:hAnsi="Arial" w:cs="FrankRuehl"/>
                <w:b/>
                <w:bCs/>
                <w:sz w:val="28"/>
                <w:szCs w:val="28"/>
                <w:rtl/>
              </w:rPr>
              <w:t>נגד</w:t>
            </w:r>
          </w:p>
          <w:p w14:paraId="3C3CF0BD" w14:textId="77777777" w:rsidR="00620519" w:rsidRPr="003E7813" w:rsidRDefault="00620519" w:rsidP="00620519">
            <w:pPr>
              <w:jc w:val="both"/>
              <w:rPr>
                <w:rFonts w:ascii="Arial" w:hAnsi="Arial" w:cs="FrankRuehl"/>
                <w:sz w:val="28"/>
                <w:szCs w:val="28"/>
              </w:rPr>
            </w:pPr>
          </w:p>
        </w:tc>
      </w:tr>
      <w:tr w:rsidR="00620519" w:rsidRPr="003E7813" w14:paraId="7959AFC7" w14:textId="77777777" w:rsidTr="00620519">
        <w:trPr>
          <w:trHeight w:val="355"/>
          <w:jc w:val="center"/>
        </w:trPr>
        <w:tc>
          <w:tcPr>
            <w:tcW w:w="923" w:type="dxa"/>
            <w:tcBorders>
              <w:top w:val="nil"/>
              <w:left w:val="nil"/>
              <w:bottom w:val="nil"/>
              <w:right w:val="nil"/>
            </w:tcBorders>
            <w:shd w:val="clear" w:color="auto" w:fill="auto"/>
          </w:tcPr>
          <w:p w14:paraId="6F51E469" w14:textId="77777777" w:rsidR="00620519" w:rsidRPr="003E7813" w:rsidRDefault="00620519" w:rsidP="00E157B5">
            <w:pPr>
              <w:rPr>
                <w:rFonts w:ascii="Arial" w:hAnsi="Arial" w:cs="FrankRuehl"/>
                <w:sz w:val="28"/>
                <w:szCs w:val="28"/>
                <w:rtl/>
              </w:rPr>
            </w:pPr>
          </w:p>
        </w:tc>
        <w:tc>
          <w:tcPr>
            <w:tcW w:w="4126" w:type="dxa"/>
            <w:tcBorders>
              <w:top w:val="nil"/>
              <w:left w:val="nil"/>
              <w:bottom w:val="nil"/>
              <w:right w:val="nil"/>
            </w:tcBorders>
            <w:shd w:val="clear" w:color="auto" w:fill="auto"/>
          </w:tcPr>
          <w:p w14:paraId="33B47ED1" w14:textId="77777777" w:rsidR="00620519" w:rsidRPr="003E7813" w:rsidRDefault="00620519" w:rsidP="00E157B5">
            <w:pPr>
              <w:rPr>
                <w:rtl/>
              </w:rPr>
            </w:pPr>
            <w:r w:rsidRPr="003E7813">
              <w:rPr>
                <w:rFonts w:ascii="Arial" w:hAnsi="Arial" w:cs="FrankRuehl"/>
                <w:sz w:val="28"/>
                <w:szCs w:val="28"/>
                <w:rtl/>
              </w:rPr>
              <w:t>1</w:t>
            </w:r>
            <w:r w:rsidRPr="003E7813">
              <w:rPr>
                <w:rFonts w:ascii="Arial" w:hAnsi="Arial" w:cs="FrankRuehl" w:hint="cs"/>
                <w:sz w:val="28"/>
                <w:szCs w:val="28"/>
                <w:rtl/>
              </w:rPr>
              <w:t>.</w:t>
            </w:r>
            <w:r w:rsidRPr="003E7813">
              <w:rPr>
                <w:rFonts w:ascii="Arial" w:hAnsi="Arial" w:cs="FrankRuehl"/>
                <w:sz w:val="28"/>
                <w:szCs w:val="28"/>
                <w:rtl/>
              </w:rPr>
              <w:t>אברהם אברגיל (עציר)</w:t>
            </w:r>
          </w:p>
          <w:p w14:paraId="2E71D658" w14:textId="77777777" w:rsidR="00620519" w:rsidRPr="003E7813" w:rsidRDefault="00620519" w:rsidP="00E157B5">
            <w:pPr>
              <w:rPr>
                <w:rtl/>
              </w:rPr>
            </w:pPr>
          </w:p>
        </w:tc>
        <w:tc>
          <w:tcPr>
            <w:tcW w:w="3771" w:type="dxa"/>
            <w:tcBorders>
              <w:top w:val="nil"/>
              <w:left w:val="nil"/>
              <w:bottom w:val="nil"/>
              <w:right w:val="nil"/>
            </w:tcBorders>
            <w:shd w:val="clear" w:color="auto" w:fill="auto"/>
          </w:tcPr>
          <w:p w14:paraId="6038AD35" w14:textId="77777777" w:rsidR="00620519" w:rsidRPr="003E7813" w:rsidRDefault="00620519" w:rsidP="00620519">
            <w:pPr>
              <w:jc w:val="right"/>
              <w:rPr>
                <w:rFonts w:ascii="Arial" w:hAnsi="Arial" w:cs="FrankRuehl"/>
                <w:sz w:val="28"/>
                <w:szCs w:val="28"/>
              </w:rPr>
            </w:pPr>
          </w:p>
        </w:tc>
      </w:tr>
      <w:tr w:rsidR="00620519" w:rsidRPr="003E7813" w14:paraId="79190B19" w14:textId="77777777" w:rsidTr="00620519">
        <w:trPr>
          <w:trHeight w:val="355"/>
          <w:jc w:val="center"/>
        </w:trPr>
        <w:tc>
          <w:tcPr>
            <w:tcW w:w="923" w:type="dxa"/>
            <w:tcBorders>
              <w:top w:val="nil"/>
              <w:left w:val="nil"/>
              <w:bottom w:val="nil"/>
              <w:right w:val="nil"/>
            </w:tcBorders>
            <w:shd w:val="clear" w:color="auto" w:fill="auto"/>
          </w:tcPr>
          <w:p w14:paraId="00B96A38" w14:textId="77777777" w:rsidR="00620519" w:rsidRPr="003E7813" w:rsidRDefault="00620519" w:rsidP="00620519">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42CA2CF" w14:textId="77777777" w:rsidR="00620519" w:rsidRPr="003E7813" w:rsidRDefault="00620519" w:rsidP="00620519">
            <w:pPr>
              <w:jc w:val="both"/>
              <w:rPr>
                <w:rtl/>
              </w:rPr>
            </w:pPr>
          </w:p>
        </w:tc>
        <w:tc>
          <w:tcPr>
            <w:tcW w:w="3771" w:type="dxa"/>
            <w:tcBorders>
              <w:top w:val="nil"/>
              <w:left w:val="nil"/>
              <w:bottom w:val="nil"/>
              <w:right w:val="nil"/>
            </w:tcBorders>
            <w:shd w:val="clear" w:color="auto" w:fill="auto"/>
          </w:tcPr>
          <w:p w14:paraId="1F6ECF72" w14:textId="77777777" w:rsidR="00620519" w:rsidRPr="003E7813" w:rsidRDefault="00620519" w:rsidP="00620519">
            <w:pPr>
              <w:jc w:val="right"/>
              <w:rPr>
                <w:rFonts w:ascii="Arial" w:hAnsi="Arial" w:cs="FrankRuehl"/>
                <w:sz w:val="28"/>
                <w:szCs w:val="28"/>
              </w:rPr>
            </w:pPr>
            <w:r w:rsidRPr="003E7813">
              <w:rPr>
                <w:rFonts w:ascii="Arial" w:hAnsi="Arial" w:cs="FrankRuehl" w:hint="cs"/>
                <w:sz w:val="28"/>
                <w:szCs w:val="28"/>
                <w:rtl/>
              </w:rPr>
              <w:t>ה</w:t>
            </w:r>
            <w:r w:rsidRPr="003E7813">
              <w:rPr>
                <w:rFonts w:ascii="Arial" w:hAnsi="Arial" w:cs="FrankRuehl"/>
                <w:sz w:val="28"/>
                <w:szCs w:val="28"/>
                <w:rtl/>
              </w:rPr>
              <w:t>נאשם</w:t>
            </w:r>
          </w:p>
        </w:tc>
      </w:tr>
    </w:tbl>
    <w:p w14:paraId="50CBB13F" w14:textId="77777777" w:rsidR="00620519" w:rsidRPr="003E7813" w:rsidRDefault="00620519" w:rsidP="00620519">
      <w:pPr>
        <w:rPr>
          <w:rtl/>
        </w:rPr>
      </w:pPr>
      <w:bookmarkStart w:id="2" w:name="FirstLawyer"/>
      <w:r w:rsidRPr="003E7813">
        <w:rPr>
          <w:rFonts w:hint="cs"/>
          <w:rtl/>
        </w:rPr>
        <w:t>ב"כ</w:t>
      </w:r>
      <w:bookmarkEnd w:id="2"/>
      <w:r w:rsidRPr="003E7813">
        <w:rPr>
          <w:rFonts w:hint="cs"/>
          <w:rtl/>
        </w:rPr>
        <w:t xml:space="preserve"> המאשימה: עו"ד גבי פאר</w:t>
      </w:r>
    </w:p>
    <w:p w14:paraId="315B9EC5" w14:textId="77777777" w:rsidR="003E7813" w:rsidRPr="003E7813" w:rsidRDefault="00620519" w:rsidP="003E7813">
      <w:pPr>
        <w:spacing w:after="120" w:line="240" w:lineRule="exact"/>
        <w:ind w:left="283" w:hanging="283"/>
        <w:jc w:val="both"/>
        <w:rPr>
          <w:rFonts w:ascii="FrankRuehl" w:hAnsi="FrankRuehl" w:cs="FrankRuehl"/>
          <w:rtl/>
        </w:rPr>
      </w:pPr>
      <w:r w:rsidRPr="003E7813">
        <w:rPr>
          <w:rFonts w:hint="cs"/>
          <w:rtl/>
        </w:rPr>
        <w:t>ב"כ הנאשם: עו"ד שחר חצרוני</w:t>
      </w:r>
    </w:p>
    <w:p w14:paraId="22E6C016" w14:textId="77777777" w:rsidR="003E7813" w:rsidRPr="003E7813" w:rsidRDefault="003E7813" w:rsidP="003E7813">
      <w:pPr>
        <w:rPr>
          <w:rtl/>
        </w:rPr>
      </w:pPr>
    </w:p>
    <w:p w14:paraId="0963E1A4" w14:textId="77777777" w:rsidR="00011B2C" w:rsidRPr="00011B2C" w:rsidRDefault="00011B2C" w:rsidP="00011B2C">
      <w:pPr>
        <w:spacing w:before="120" w:after="120" w:line="240" w:lineRule="exact"/>
        <w:ind w:left="283" w:hanging="283"/>
        <w:jc w:val="both"/>
        <w:rPr>
          <w:rFonts w:ascii="FrankRuehl" w:hAnsi="FrankRuehl" w:cs="FrankRuehl"/>
          <w:rtl/>
        </w:rPr>
      </w:pPr>
      <w:bookmarkStart w:id="3" w:name="LawTable"/>
      <w:bookmarkEnd w:id="3"/>
      <w:r w:rsidRPr="00011B2C">
        <w:rPr>
          <w:rFonts w:ascii="FrankRuehl" w:hAnsi="FrankRuehl" w:cs="FrankRuehl"/>
          <w:rtl/>
        </w:rPr>
        <w:t xml:space="preserve">חקיקה שאוזכרה: </w:t>
      </w:r>
    </w:p>
    <w:p w14:paraId="57D3F54B" w14:textId="77777777" w:rsidR="00011B2C" w:rsidRPr="00011B2C" w:rsidRDefault="00011B2C" w:rsidP="00011B2C">
      <w:pPr>
        <w:spacing w:before="120" w:after="120" w:line="240" w:lineRule="exact"/>
        <w:ind w:left="283" w:hanging="283"/>
        <w:jc w:val="both"/>
        <w:rPr>
          <w:rFonts w:ascii="FrankRuehl" w:hAnsi="FrankRuehl" w:cs="FrankRuehl"/>
          <w:rtl/>
        </w:rPr>
      </w:pPr>
      <w:hyperlink r:id="rId7" w:history="1">
        <w:r w:rsidRPr="00011B2C">
          <w:rPr>
            <w:rFonts w:ascii="FrankRuehl" w:hAnsi="FrankRuehl" w:cs="FrankRuehl"/>
            <w:color w:val="0000FF"/>
            <w:u w:val="single"/>
            <w:rtl/>
          </w:rPr>
          <w:t>פקודת הסמים המסוכנים [נוסח חדש], תשל"ג-1973</w:t>
        </w:r>
      </w:hyperlink>
      <w:r w:rsidRPr="00011B2C">
        <w:rPr>
          <w:rFonts w:ascii="FrankRuehl" w:hAnsi="FrankRuehl" w:cs="FrankRuehl"/>
          <w:rtl/>
        </w:rPr>
        <w:t xml:space="preserve">: סע'  </w:t>
      </w:r>
      <w:hyperlink r:id="rId8" w:history="1">
        <w:r w:rsidRPr="00011B2C">
          <w:rPr>
            <w:rFonts w:ascii="FrankRuehl" w:hAnsi="FrankRuehl" w:cs="FrankRuehl"/>
            <w:color w:val="0000FF"/>
            <w:u w:val="single"/>
            <w:rtl/>
          </w:rPr>
          <w:t>6</w:t>
        </w:r>
      </w:hyperlink>
      <w:r w:rsidRPr="00011B2C">
        <w:rPr>
          <w:rFonts w:ascii="FrankRuehl" w:hAnsi="FrankRuehl" w:cs="FrankRuehl"/>
          <w:rtl/>
        </w:rPr>
        <w:t xml:space="preserve">, </w:t>
      </w:r>
      <w:hyperlink r:id="rId9" w:history="1">
        <w:r w:rsidRPr="00011B2C">
          <w:rPr>
            <w:rFonts w:ascii="FrankRuehl" w:hAnsi="FrankRuehl" w:cs="FrankRuehl"/>
            <w:color w:val="0000FF"/>
            <w:u w:val="single"/>
            <w:rtl/>
          </w:rPr>
          <w:t>7.א.</w:t>
        </w:r>
      </w:hyperlink>
      <w:r w:rsidRPr="00011B2C">
        <w:rPr>
          <w:rFonts w:ascii="FrankRuehl" w:hAnsi="FrankRuehl" w:cs="FrankRuehl"/>
          <w:rtl/>
        </w:rPr>
        <w:t xml:space="preserve">, </w:t>
      </w:r>
      <w:hyperlink r:id="rId10" w:history="1">
        <w:r w:rsidRPr="00011B2C">
          <w:rPr>
            <w:rFonts w:ascii="FrankRuehl" w:hAnsi="FrankRuehl" w:cs="FrankRuehl"/>
            <w:color w:val="0000FF"/>
            <w:u w:val="single"/>
            <w:rtl/>
          </w:rPr>
          <w:t>7.ג</w:t>
        </w:r>
      </w:hyperlink>
    </w:p>
    <w:p w14:paraId="7976183B" w14:textId="77777777" w:rsidR="00011B2C" w:rsidRPr="00011B2C" w:rsidRDefault="00011B2C" w:rsidP="00011B2C">
      <w:pPr>
        <w:spacing w:before="120" w:after="120" w:line="240" w:lineRule="exact"/>
        <w:ind w:left="283" w:hanging="283"/>
        <w:jc w:val="both"/>
        <w:rPr>
          <w:rFonts w:ascii="FrankRuehl" w:hAnsi="FrankRuehl" w:cs="FrankRuehl"/>
          <w:rtl/>
        </w:rPr>
      </w:pPr>
      <w:hyperlink r:id="rId11" w:history="1">
        <w:r w:rsidRPr="00011B2C">
          <w:rPr>
            <w:rFonts w:ascii="FrankRuehl" w:hAnsi="FrankRuehl" w:cs="FrankRuehl"/>
            <w:color w:val="0000FF"/>
            <w:u w:val="single"/>
            <w:rtl/>
          </w:rPr>
          <w:t>חוק העונשין, תשל"ז-1977</w:t>
        </w:r>
      </w:hyperlink>
      <w:r w:rsidRPr="00011B2C">
        <w:rPr>
          <w:rFonts w:ascii="FrankRuehl" w:hAnsi="FrankRuehl" w:cs="FrankRuehl"/>
          <w:rtl/>
        </w:rPr>
        <w:t xml:space="preserve">: סע'  </w:t>
      </w:r>
      <w:hyperlink r:id="rId12" w:history="1">
        <w:r w:rsidRPr="00011B2C">
          <w:rPr>
            <w:rFonts w:ascii="FrankRuehl" w:hAnsi="FrankRuehl" w:cs="FrankRuehl"/>
            <w:color w:val="0000FF"/>
            <w:u w:val="single"/>
            <w:rtl/>
          </w:rPr>
          <w:t>40 ט'</w:t>
        </w:r>
      </w:hyperlink>
      <w:r w:rsidRPr="00011B2C">
        <w:rPr>
          <w:rFonts w:ascii="FrankRuehl" w:hAnsi="FrankRuehl" w:cs="FrankRuehl"/>
          <w:rtl/>
        </w:rPr>
        <w:t xml:space="preserve">, </w:t>
      </w:r>
      <w:hyperlink r:id="rId13" w:history="1">
        <w:r w:rsidRPr="00011B2C">
          <w:rPr>
            <w:rFonts w:ascii="FrankRuehl" w:hAnsi="FrankRuehl" w:cs="FrankRuehl"/>
            <w:color w:val="0000FF"/>
            <w:u w:val="single"/>
            <w:rtl/>
          </w:rPr>
          <w:t>40 יא'</w:t>
        </w:r>
      </w:hyperlink>
      <w:r w:rsidRPr="00011B2C">
        <w:rPr>
          <w:rFonts w:ascii="FrankRuehl" w:hAnsi="FrankRuehl" w:cs="FrankRuehl"/>
          <w:rtl/>
        </w:rPr>
        <w:t xml:space="preserve">, </w:t>
      </w:r>
      <w:hyperlink r:id="rId14" w:history="1">
        <w:r w:rsidRPr="00011B2C">
          <w:rPr>
            <w:rFonts w:ascii="FrankRuehl" w:hAnsi="FrankRuehl" w:cs="FrankRuehl"/>
            <w:color w:val="0000FF"/>
            <w:u w:val="single"/>
            <w:rtl/>
          </w:rPr>
          <w:t>40 יג'</w:t>
        </w:r>
      </w:hyperlink>
    </w:p>
    <w:p w14:paraId="428C9568" w14:textId="77777777" w:rsidR="00620519" w:rsidRPr="00011B2C" w:rsidRDefault="00620519" w:rsidP="00011B2C">
      <w:pPr>
        <w:rPr>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20519" w14:paraId="78708165" w14:textId="77777777" w:rsidTr="00620519">
        <w:trPr>
          <w:trHeight w:val="355"/>
          <w:jc w:val="center"/>
        </w:trPr>
        <w:tc>
          <w:tcPr>
            <w:tcW w:w="8820" w:type="dxa"/>
            <w:tcBorders>
              <w:top w:val="nil"/>
              <w:left w:val="nil"/>
              <w:bottom w:val="nil"/>
              <w:right w:val="nil"/>
            </w:tcBorders>
            <w:shd w:val="clear" w:color="auto" w:fill="auto"/>
          </w:tcPr>
          <w:p w14:paraId="264C87EE" w14:textId="77777777" w:rsidR="003E7813" w:rsidRPr="003E7813" w:rsidRDefault="003E7813" w:rsidP="003E7813">
            <w:pPr>
              <w:jc w:val="center"/>
              <w:rPr>
                <w:rFonts w:ascii="Arial" w:hAnsi="Arial" w:cs="FrankRuehl"/>
                <w:b/>
                <w:bCs/>
                <w:sz w:val="32"/>
                <w:szCs w:val="32"/>
                <w:u w:val="single"/>
                <w:rtl/>
              </w:rPr>
            </w:pPr>
            <w:bookmarkStart w:id="5" w:name="PsakDin" w:colFirst="0" w:colLast="0"/>
            <w:bookmarkEnd w:id="0"/>
            <w:r w:rsidRPr="003E7813">
              <w:rPr>
                <w:rFonts w:ascii="Arial" w:hAnsi="Arial" w:cs="FrankRuehl"/>
                <w:b/>
                <w:bCs/>
                <w:sz w:val="32"/>
                <w:szCs w:val="32"/>
                <w:u w:val="single"/>
                <w:rtl/>
              </w:rPr>
              <w:t>גזר דין</w:t>
            </w:r>
          </w:p>
          <w:p w14:paraId="6107846F" w14:textId="77777777" w:rsidR="00620519" w:rsidRPr="003E7813" w:rsidRDefault="00620519" w:rsidP="003E7813">
            <w:pPr>
              <w:jc w:val="center"/>
              <w:rPr>
                <w:rFonts w:ascii="Arial" w:hAnsi="Arial" w:cs="FrankRuehl"/>
                <w:bCs/>
                <w:sz w:val="32"/>
                <w:szCs w:val="32"/>
                <w:u w:val="single"/>
                <w:rtl/>
              </w:rPr>
            </w:pPr>
          </w:p>
        </w:tc>
      </w:tr>
      <w:bookmarkEnd w:id="5"/>
    </w:tbl>
    <w:p w14:paraId="0F20EF30" w14:textId="77777777" w:rsidR="00620519" w:rsidRPr="00B05847" w:rsidRDefault="00620519" w:rsidP="00620519">
      <w:pPr>
        <w:rPr>
          <w:rFonts w:ascii="Arial" w:hAnsi="Arial"/>
          <w:rtl/>
        </w:rPr>
      </w:pPr>
    </w:p>
    <w:p w14:paraId="7D84C2B3" w14:textId="77777777" w:rsidR="00620519" w:rsidRPr="00B05847" w:rsidRDefault="00620519" w:rsidP="00620519">
      <w:pPr>
        <w:rPr>
          <w:rtl/>
        </w:rPr>
      </w:pPr>
    </w:p>
    <w:p w14:paraId="692E4B0E" w14:textId="77777777" w:rsidR="00620519" w:rsidRPr="00DD6107" w:rsidRDefault="00620519" w:rsidP="00620519">
      <w:pPr>
        <w:spacing w:after="120" w:line="360" w:lineRule="auto"/>
        <w:jc w:val="both"/>
        <w:rPr>
          <w:bCs/>
          <w:u w:val="single"/>
          <w:rtl/>
          <w:lang w:eastAsia="he-IL"/>
        </w:rPr>
      </w:pPr>
      <w:r w:rsidRPr="00DD6107">
        <w:rPr>
          <w:bCs/>
          <w:u w:val="single"/>
          <w:rtl/>
          <w:lang w:eastAsia="he-IL"/>
        </w:rPr>
        <w:t>רקע</w:t>
      </w:r>
    </w:p>
    <w:p w14:paraId="30024602" w14:textId="77777777" w:rsidR="00620519" w:rsidRPr="00DD6107" w:rsidRDefault="00620519" w:rsidP="00620519">
      <w:pPr>
        <w:numPr>
          <w:ilvl w:val="0"/>
          <w:numId w:val="1"/>
        </w:numPr>
        <w:spacing w:after="120" w:line="360" w:lineRule="auto"/>
        <w:jc w:val="both"/>
        <w:rPr>
          <w:rFonts w:ascii="David" w:hAnsi="David"/>
          <w:color w:val="000000"/>
        </w:rPr>
      </w:pPr>
      <w:bookmarkStart w:id="6" w:name="ABSTRACT_START"/>
      <w:bookmarkEnd w:id="6"/>
      <w:r w:rsidRPr="00DD6107">
        <w:rPr>
          <w:rFonts w:ascii="David" w:hAnsi="David"/>
          <w:color w:val="000000"/>
          <w:rtl/>
        </w:rPr>
        <w:t>הנאשם 1 (להלן: "הנאשם") הורשע בהתאם להודאתו בעובדות כתב האישום המתוקן בעבירות כדלקמן:</w:t>
      </w:r>
    </w:p>
    <w:p w14:paraId="6244801C" w14:textId="77777777" w:rsidR="00620519" w:rsidRPr="00DD6107" w:rsidRDefault="00620519" w:rsidP="00620519">
      <w:pPr>
        <w:numPr>
          <w:ilvl w:val="1"/>
          <w:numId w:val="1"/>
        </w:numPr>
        <w:tabs>
          <w:tab w:val="clear" w:pos="1620"/>
          <w:tab w:val="num" w:pos="1274"/>
        </w:tabs>
        <w:spacing w:after="120" w:line="360" w:lineRule="auto"/>
        <w:ind w:left="1274" w:hanging="567"/>
        <w:jc w:val="both"/>
        <w:rPr>
          <w:rFonts w:ascii="David" w:hAnsi="David"/>
          <w:color w:val="000000"/>
          <w:rtl/>
        </w:rPr>
      </w:pPr>
      <w:r w:rsidRPr="00DD6107">
        <w:rPr>
          <w:rFonts w:ascii="David" w:hAnsi="David"/>
          <w:b/>
          <w:bCs/>
          <w:color w:val="000000"/>
          <w:rtl/>
        </w:rPr>
        <w:t>ייצור, הכנה והפקה של סם מסוכן</w:t>
      </w:r>
      <w:r w:rsidRPr="00DD6107">
        <w:rPr>
          <w:rFonts w:ascii="David" w:hAnsi="David"/>
          <w:color w:val="000000"/>
          <w:rtl/>
        </w:rPr>
        <w:t xml:space="preserve">, עבירה לפי </w:t>
      </w:r>
      <w:hyperlink r:id="rId15" w:history="1">
        <w:r w:rsidR="00011B2C" w:rsidRPr="00011B2C">
          <w:rPr>
            <w:rFonts w:ascii="David" w:hAnsi="David"/>
            <w:color w:val="0000FF"/>
            <w:u w:val="single"/>
            <w:rtl/>
          </w:rPr>
          <w:t>סעיף 6</w:t>
        </w:r>
      </w:hyperlink>
      <w:r w:rsidRPr="00DD6107">
        <w:rPr>
          <w:rFonts w:ascii="David" w:hAnsi="David"/>
          <w:color w:val="000000"/>
          <w:rtl/>
        </w:rPr>
        <w:t xml:space="preserve"> ל</w:t>
      </w:r>
      <w:hyperlink r:id="rId16" w:history="1">
        <w:r w:rsidR="003E7813" w:rsidRPr="003E7813">
          <w:rPr>
            <w:rFonts w:ascii="David" w:hAnsi="David"/>
            <w:color w:val="0000FF"/>
            <w:u w:val="single"/>
            <w:rtl/>
          </w:rPr>
          <w:t>פקודת הסמים המסוכנים</w:t>
        </w:r>
      </w:hyperlink>
      <w:r w:rsidRPr="00DD6107">
        <w:rPr>
          <w:rFonts w:ascii="David" w:hAnsi="David"/>
          <w:color w:val="000000"/>
          <w:rtl/>
        </w:rPr>
        <w:t xml:space="preserve"> [נוסח חדש], תשל"ג-1973 (להלן: "הפקודה"). </w:t>
      </w:r>
    </w:p>
    <w:p w14:paraId="78F393A7" w14:textId="77777777" w:rsidR="00620519" w:rsidRPr="00DD6107" w:rsidRDefault="00620519" w:rsidP="00620519">
      <w:pPr>
        <w:numPr>
          <w:ilvl w:val="1"/>
          <w:numId w:val="1"/>
        </w:numPr>
        <w:tabs>
          <w:tab w:val="clear" w:pos="1620"/>
          <w:tab w:val="num" w:pos="1274"/>
        </w:tabs>
        <w:spacing w:after="120" w:line="360" w:lineRule="auto"/>
        <w:ind w:left="1274" w:hanging="567"/>
        <w:jc w:val="both"/>
        <w:rPr>
          <w:rFonts w:ascii="David" w:hAnsi="David"/>
          <w:color w:val="000000"/>
        </w:rPr>
      </w:pPr>
      <w:r w:rsidRPr="00DD6107">
        <w:rPr>
          <w:rFonts w:ascii="David" w:hAnsi="David"/>
          <w:b/>
          <w:bCs/>
          <w:color w:val="000000"/>
          <w:rtl/>
        </w:rPr>
        <w:t>החזקת סם מסוכן שלא לצריכה עצמית</w:t>
      </w:r>
      <w:r w:rsidRPr="00DD6107">
        <w:rPr>
          <w:rFonts w:ascii="David" w:hAnsi="David"/>
          <w:color w:val="000000"/>
          <w:rtl/>
        </w:rPr>
        <w:t xml:space="preserve">, עבירה לפי סעיף </w:t>
      </w:r>
      <w:hyperlink r:id="rId17" w:history="1">
        <w:r w:rsidR="00011B2C" w:rsidRPr="00011B2C">
          <w:rPr>
            <w:rFonts w:ascii="David" w:hAnsi="David"/>
            <w:color w:val="0000FF"/>
            <w:u w:val="single"/>
            <w:rtl/>
          </w:rPr>
          <w:t>7(א) ו-7(ג)</w:t>
        </w:r>
      </w:hyperlink>
      <w:r w:rsidRPr="00DD6107">
        <w:rPr>
          <w:rFonts w:ascii="David" w:hAnsi="David"/>
          <w:color w:val="000000"/>
          <w:rtl/>
        </w:rPr>
        <w:t xml:space="preserve"> רישא בפקודה. </w:t>
      </w:r>
    </w:p>
    <w:p w14:paraId="33745392" w14:textId="77777777" w:rsidR="00620519" w:rsidRPr="00DD6107" w:rsidRDefault="00620519" w:rsidP="00620519">
      <w:pPr>
        <w:numPr>
          <w:ilvl w:val="0"/>
          <w:numId w:val="1"/>
        </w:numPr>
        <w:spacing w:after="120" w:line="360" w:lineRule="auto"/>
        <w:jc w:val="both"/>
        <w:rPr>
          <w:rFonts w:ascii="David" w:hAnsi="David"/>
          <w:color w:val="000000"/>
        </w:rPr>
      </w:pPr>
      <w:bookmarkStart w:id="7" w:name="ABSTRACT_END"/>
      <w:bookmarkEnd w:id="7"/>
      <w:r w:rsidRPr="00DD6107">
        <w:rPr>
          <w:rFonts w:ascii="David" w:hAnsi="David"/>
          <w:color w:val="000000"/>
          <w:rtl/>
        </w:rPr>
        <w:t xml:space="preserve">על-פי המתואר בעובדות כתב האישום המתוקן, לאחר יום 15.11.18 ועובר ליום 3.2.19 (להלן: "מועד ההתחלה") </w:t>
      </w:r>
      <w:r w:rsidRPr="00DD6107">
        <w:rPr>
          <w:rFonts w:ascii="David" w:hAnsi="David"/>
          <w:b/>
          <w:bCs/>
          <w:color w:val="000000"/>
          <w:rtl/>
        </w:rPr>
        <w:t>הקים הנאשם בדירה בהוד השרון מעבדה לגידול סם מסוכן מסוג קנבוס</w:t>
      </w:r>
      <w:r w:rsidRPr="00DD6107">
        <w:rPr>
          <w:rFonts w:ascii="David" w:hAnsi="David"/>
          <w:color w:val="000000"/>
          <w:rtl/>
        </w:rPr>
        <w:t xml:space="preserve">. לשם כך צייד את הדירה בנורות, מאווררים, מזגנים, שנאים, מסנני פחם, מדי טמפרטורה, דשנים וצינורות השקיה (להלן: "הציוד"). </w:t>
      </w:r>
    </w:p>
    <w:p w14:paraId="10B6E315" w14:textId="77777777" w:rsidR="00620519" w:rsidRPr="00DD6107" w:rsidRDefault="00620519" w:rsidP="00620519">
      <w:pPr>
        <w:spacing w:after="120" w:line="360" w:lineRule="auto"/>
        <w:ind w:left="720"/>
        <w:jc w:val="both"/>
        <w:rPr>
          <w:rFonts w:ascii="David" w:hAnsi="David"/>
          <w:color w:val="000000"/>
        </w:rPr>
      </w:pPr>
      <w:r w:rsidRPr="00DD6107">
        <w:rPr>
          <w:rFonts w:ascii="David" w:hAnsi="David"/>
          <w:b/>
          <w:bCs/>
          <w:color w:val="000000"/>
          <w:rtl/>
        </w:rPr>
        <w:lastRenderedPageBreak/>
        <w:t>החל ממועד ההתחלה ועד לתאריך 27.3.19 (מועד מעצרו של הנאשם) גידל הנאשם בדירה מאות שתילים שהגיעו למשקל של 80 ק"ג סם מסוג קנבוס</w:t>
      </w:r>
      <w:r w:rsidRPr="00DD6107">
        <w:rPr>
          <w:rFonts w:ascii="David" w:hAnsi="David"/>
          <w:color w:val="000000"/>
          <w:rtl/>
        </w:rPr>
        <w:t xml:space="preserve">. </w:t>
      </w:r>
    </w:p>
    <w:p w14:paraId="53324457" w14:textId="77777777" w:rsidR="00620519" w:rsidRPr="00DD6107" w:rsidRDefault="00620519" w:rsidP="00620519">
      <w:pPr>
        <w:numPr>
          <w:ilvl w:val="0"/>
          <w:numId w:val="1"/>
        </w:numPr>
        <w:spacing w:after="120" w:line="360" w:lineRule="auto"/>
        <w:jc w:val="both"/>
        <w:rPr>
          <w:rFonts w:ascii="David" w:hAnsi="David"/>
          <w:color w:val="000000"/>
          <w:rtl/>
        </w:rPr>
      </w:pPr>
      <w:r w:rsidRPr="00DD6107">
        <w:rPr>
          <w:rFonts w:ascii="David" w:hAnsi="David"/>
          <w:color w:val="000000"/>
          <w:rtl/>
        </w:rPr>
        <w:t xml:space="preserve">הצדדים הגיעו להסדר טיעון, שלפיו הוסכם כי המאשימה תעתור לעונש ראוי של 27 חודשי מאסר, לצד מאסר על תנאי וקנס. כמו כן המאשימה תעתור לחילוט רכוש. ההגנה חופשיה בטיעוניה. בהסכמת הצדדים, הנאשם הוכרז סוחר סמים. בהמשך הסכימו הצדדים על חילוט הפריטים המפורטים בבקשת החילוט, זולת הרכב אשר שוחרר. </w:t>
      </w:r>
    </w:p>
    <w:p w14:paraId="4A74A1C9" w14:textId="77777777" w:rsidR="00620519" w:rsidRPr="00DD6107" w:rsidRDefault="00620519" w:rsidP="00620519">
      <w:pPr>
        <w:spacing w:after="120" w:line="360" w:lineRule="auto"/>
        <w:ind w:left="-1"/>
        <w:jc w:val="both"/>
        <w:rPr>
          <w:rFonts w:ascii="David" w:hAnsi="David"/>
          <w:b/>
          <w:bCs/>
          <w:color w:val="000000"/>
          <w:u w:val="single"/>
          <w:rtl/>
        </w:rPr>
      </w:pPr>
      <w:r w:rsidRPr="00DD6107">
        <w:rPr>
          <w:rFonts w:ascii="David" w:hAnsi="David"/>
          <w:b/>
          <w:bCs/>
          <w:color w:val="000000"/>
          <w:u w:val="single"/>
          <w:rtl/>
        </w:rPr>
        <w:t>ראיות לעונש</w:t>
      </w:r>
    </w:p>
    <w:p w14:paraId="776F703C" w14:textId="77777777" w:rsidR="00620519" w:rsidRPr="00DD6107" w:rsidRDefault="00620519" w:rsidP="00620519">
      <w:pPr>
        <w:numPr>
          <w:ilvl w:val="0"/>
          <w:numId w:val="1"/>
        </w:numPr>
        <w:spacing w:after="120" w:line="360" w:lineRule="auto"/>
        <w:jc w:val="both"/>
        <w:rPr>
          <w:rFonts w:ascii="David" w:hAnsi="David"/>
          <w:color w:val="000000"/>
          <w:lang w:eastAsia="he-IL"/>
        </w:rPr>
      </w:pPr>
      <w:r w:rsidRPr="00DD6107">
        <w:rPr>
          <w:rFonts w:ascii="David" w:hAnsi="David"/>
          <w:b/>
          <w:bCs/>
          <w:color w:val="000000"/>
          <w:rtl/>
          <w:lang w:eastAsia="he-IL"/>
        </w:rPr>
        <w:t>הוגש מכתב שכתבה רעייתו של הנאשם, גב' רותי אברג'יל</w:t>
      </w:r>
      <w:r w:rsidRPr="00DD6107">
        <w:rPr>
          <w:rFonts w:ascii="David" w:hAnsi="David"/>
          <w:color w:val="000000"/>
          <w:rtl/>
          <w:lang w:eastAsia="he-IL"/>
        </w:rPr>
        <w:t xml:space="preserve">, אשר ציינה כי היא נשואה לנאשם מזה 36 שנים, ויש להם שלושה בנים בגירים, ושתי נכדות. מדובר במשפחה חמה ומלוכדת, שעברה עליות וירידות. במהלך חייהם היו מספר פעמים שהנאשם "נפל לסמים" עקב דכאון או משברים שעבר, ובכל פעם התגייסה המשפחה לסייע לו להיגמל. בכל פעם הנאשם "קם על הרגליים" והשתקם. בשנים האחרונות הנאשם נמצא בטיפול אשר מסייע לו. הוא עבד בעסק שנסגר, ומשלא מצא עבודה אחרת נקלע למשבר, ושוב "נפל לסמים". המצב הבריאותי שלו הדרדר. כשהתקשרו אליה מהמשטרה לעדכן אותה שהוא נעצר, היא הרגישה הקלה בכך שידעה שהנאשם עצור ובהשגחה, והוא ייגמל מסמים, ובלבד שלא יהיה ברחוב ובסמים. מצבו הבריאותי של הנאשם קשה, הוא נמצא במעקב תקופתי וזקוק לטיפול בבית חולים. היום הנאשם נקי מסמים, ועובר בדיקות סמים בבית הסוהר, הוא נראה טוב יותר ומתחרט על מעשיו. ביקשה להתחשב במצבו (נ/1). </w:t>
      </w:r>
    </w:p>
    <w:p w14:paraId="0931B44C" w14:textId="77777777" w:rsidR="00620519" w:rsidRPr="00DD6107" w:rsidRDefault="00620519" w:rsidP="00620519">
      <w:pPr>
        <w:numPr>
          <w:ilvl w:val="0"/>
          <w:numId w:val="1"/>
        </w:numPr>
        <w:spacing w:after="120" w:line="360" w:lineRule="auto"/>
        <w:jc w:val="both"/>
        <w:rPr>
          <w:rFonts w:ascii="David" w:hAnsi="David"/>
          <w:color w:val="000000"/>
          <w:lang w:eastAsia="he-IL"/>
        </w:rPr>
      </w:pPr>
      <w:r w:rsidRPr="00DD6107">
        <w:rPr>
          <w:rFonts w:ascii="David" w:hAnsi="David"/>
          <w:b/>
          <w:bCs/>
          <w:color w:val="000000"/>
          <w:rtl/>
          <w:lang w:eastAsia="he-IL"/>
        </w:rPr>
        <w:t>העידה ד"ר אביבה וולף, פסיכיאטרית מומחית</w:t>
      </w:r>
      <w:r w:rsidRPr="00DD6107">
        <w:rPr>
          <w:rFonts w:ascii="David" w:hAnsi="David"/>
          <w:color w:val="000000"/>
          <w:rtl/>
          <w:lang w:eastAsia="he-IL"/>
        </w:rPr>
        <w:t xml:space="preserve">. לדבריה, היא מנהלת המרפאה במרכז לבריאות הנפש נס ציונה, ומנהלת מערך של תחלואה כפולה. תפקידה לקדם טיפול בהתמכרויות. היא מכירה את הנאשם כ-9 שנים. נפגשו לראשונה כשהוא הגיע למרפאה וביקש להיגמל. הוא היה מכור להרואין, והחל בטיפול תרופתי אשר הפסיק את השימוש בסם. הנאשם ביקש שימשיכו לקיים שיחות אחת לשבוע, והם עשו זאת כ-9 שנים, תחילה אחת לשבוע, ובהמשך כל פעם שהנאשם היה במשבר, לאו דווקא על רקע שימוש בסמים. היא ראתה אדם רגיש. בארבעת החודשים שלפני המעצר ראתה שמשהו אינו כשורה. לנאשם יש התקפי חרדה ואירועים של מצבי רוח. הנאשם מאובחן כלוקה בחרדות, אך אינו סובל מתחלואה כפולה. הוא מאובחן כסובל מהפרעות התנהגות כתוצאה משימוש בסמים. בתקופה האחרונה היו סימנים של דיכאון. כשהלכה לפגוש אותו בבית המעצר, הוא סיפר לה על כך שהיה במשבר, ועל כך שהוא מתחרט על מעשיו, וכבר נקי מסמים. </w:t>
      </w:r>
    </w:p>
    <w:p w14:paraId="52DE7CE2" w14:textId="77777777" w:rsidR="00620519" w:rsidRPr="00DD6107" w:rsidRDefault="00620519" w:rsidP="00620519">
      <w:pPr>
        <w:numPr>
          <w:ilvl w:val="0"/>
          <w:numId w:val="1"/>
        </w:numPr>
        <w:spacing w:after="120" w:line="360" w:lineRule="auto"/>
        <w:jc w:val="both"/>
        <w:rPr>
          <w:rFonts w:ascii="David" w:hAnsi="David"/>
          <w:color w:val="000000"/>
          <w:rtl/>
          <w:lang w:eastAsia="he-IL"/>
        </w:rPr>
      </w:pPr>
      <w:r w:rsidRPr="00DD6107">
        <w:rPr>
          <w:rFonts w:ascii="David" w:hAnsi="David"/>
          <w:b/>
          <w:bCs/>
          <w:color w:val="000000"/>
          <w:rtl/>
          <w:lang w:eastAsia="he-IL"/>
        </w:rPr>
        <w:t>הוגשו ממסמכים רפואיים על אודות מצבו של הנאשם (נ/2)</w:t>
      </w:r>
      <w:r w:rsidRPr="00DD6107">
        <w:rPr>
          <w:rFonts w:ascii="David" w:hAnsi="David"/>
          <w:color w:val="000000"/>
          <w:rtl/>
          <w:lang w:eastAsia="he-IL"/>
        </w:rPr>
        <w:t xml:space="preserve">. </w:t>
      </w:r>
    </w:p>
    <w:p w14:paraId="3C69C990" w14:textId="77777777" w:rsidR="00620519" w:rsidRPr="00DD6107" w:rsidRDefault="00620519" w:rsidP="00620519">
      <w:pPr>
        <w:spacing w:after="120" w:line="360" w:lineRule="auto"/>
        <w:jc w:val="both"/>
        <w:rPr>
          <w:bCs/>
          <w:u w:val="single"/>
          <w:rtl/>
          <w:lang w:eastAsia="he-IL"/>
        </w:rPr>
      </w:pPr>
      <w:r w:rsidRPr="00DD6107">
        <w:rPr>
          <w:bCs/>
          <w:u w:val="single"/>
          <w:rtl/>
          <w:lang w:eastAsia="he-IL"/>
        </w:rPr>
        <w:t>טיעוני הצדדים</w:t>
      </w:r>
    </w:p>
    <w:p w14:paraId="41665C86"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לטענת ב"כ המאשימה, עו"ד גבי פאר, הנאשם הקים מעבדת סמים בדירה, צייד אותה בציוד מתאים, וגידל סמים שהגיעו למשקל של 80 ק"ג, בעוד הנאשם 2 סייע לו. מדברי </w:t>
      </w:r>
      <w:r w:rsidRPr="00DD6107">
        <w:rPr>
          <w:rFonts w:ascii="David" w:hAnsi="David"/>
          <w:color w:val="000000"/>
          <w:rtl/>
        </w:rPr>
        <w:lastRenderedPageBreak/>
        <w:t>הפסיכיאטרית המטפלת, ד"ר וולף, אנו למדים שהנאשם ביצע את העבירה כשהוא היה מצוי בעיצומו של הליך טיפולי בבעיית ההתמכרויות שלו, במשך תשע שנים. כלומר, דבריו אל הפסיכיאטרית היו מהשפה אל החוץ. מבחינת הערכים החברתיים שנפגעו, מדובר בהגנה על הציבור מפני נזקי הסמים. מידת הפגיעה בערך המוגן היא ברף בינוני עד גבוה, בשים לב לשכירת הדירה, לכמות הסם ולהכנת הציוד הרב הנלווה. לכך, מתווספת עבירה נוספת של החזקת סמים שלא לצריכה עצמית. לא בכדי קבע המחוקק לצד עבירת הגידול עונש מרבי של 20 שנות מאסר, וגם לעניין החזקת סמים שלא לצריכה עצמית. בית המשפט העליון קבע שתופעת המעבדות הפכה לתופעה נפוצה שטמון בחובה פוטנציאל נזק רב, בין היתר בשל החשש שהסם יתגלגל לגורמים עברייניים ומשם לציבור. מי שמורשע בביצוע עבירה כזו, דינו אחד, למאסר מאחורי סורג ובריח לתקופה משמעותית. דברים אלה נכונים לגבי נאשמים חסרי עבר פלילי, ומקל וחומר כשמדובר בנאשם זה. יש להעדיף את שיקולי ההרתעה בעבירות סמים, וזאת בשל העובדה שמדובר בתופעה נרחבת.  בתי המשפט לאורך השנים שבו והוציא תחת ידם מסר מאוד ברור במקרים אלה. לצורך ביצוע העבירה קדם תכנון מוקדם. הנאשם שכר את הבית, קנה את הציוד, הרכיב אותו בבית וגידל את הסמים. אמנם על הנאשם 2 נגזר עונש מאסר בפועל של שישה חודשים ויום, אך לא ניתן ללמוד גזירה שווה מעניינו לעניין הנאשם. כתב האישום יוצר הפרדה משמעותית מבחינת התפקיד של כל אחד, והדומיננטיות. הנזק הפוטנציאלי הוא רב, והעבירה בוצעה ממניע כלכלי של הפקת רווח קל. המאשימה עתרה למתחם שנע בין 24 ל-48 חודשי מאסר בפועל.</w:t>
      </w:r>
    </w:p>
    <w:p w14:paraId="0EF857E6" w14:textId="77777777" w:rsidR="00620519" w:rsidRPr="00DD6107" w:rsidRDefault="00620519" w:rsidP="00620519">
      <w:pPr>
        <w:spacing w:after="120" w:line="360" w:lineRule="auto"/>
        <w:ind w:left="720"/>
        <w:jc w:val="both"/>
        <w:rPr>
          <w:rFonts w:ascii="David" w:hAnsi="David"/>
          <w:color w:val="000000"/>
          <w:rtl/>
        </w:rPr>
      </w:pPr>
      <w:r w:rsidRPr="00DD6107">
        <w:rPr>
          <w:rFonts w:ascii="David" w:hAnsi="David"/>
          <w:color w:val="000000"/>
          <w:rtl/>
        </w:rPr>
        <w:t xml:space="preserve">מבחינת הנסיבות שאינן קשורות בביצוע העבירה, מדובר בנאשם רצידיוויסט בכלל ובעבירות סמים בפרט. העובדה שמדובר במי שמכור לסמים, מהווה נסיבה לחומרה ולא לקולה. מדובר במי שהפך את הסמים לעסק כלכלי. הנאשם בן 56, לחובתו 20 הרשעות קודמות במגוון עבירות, לרבות נשק, התחזות, הפרעה לשוטר, זיוף ומרמה, בריחה ממעצר, שבל"ר וגניבה. לחובתו 10 הרשעות קודמות בעבירות סמים. כל אלה, כמו גם הטיפול הנפשי שעבר במשך 9 שנים, לא מנעו ממנו לבצע את העבירה. מדובר במי שנשא במצטבר עונש כולל של 11 שנים וחצי בבתי סוהר. הנאשם הודה וחסך זמן שיפוטי. לפיכך, עתרה המאשימה להשית על הנאשם 27 חודשי מאסר בפועל, מאסר על תנאי ארוך ומרתיע, קנס משמעותי וחילוט. </w:t>
      </w:r>
    </w:p>
    <w:p w14:paraId="6850D683" w14:textId="77777777" w:rsidR="00620519" w:rsidRPr="00DD6107" w:rsidRDefault="00620519" w:rsidP="00620519">
      <w:pPr>
        <w:numPr>
          <w:ilvl w:val="0"/>
          <w:numId w:val="1"/>
        </w:numPr>
        <w:spacing w:after="120" w:line="360" w:lineRule="auto"/>
        <w:jc w:val="both"/>
        <w:rPr>
          <w:color w:val="000000"/>
        </w:rPr>
      </w:pPr>
      <w:r w:rsidRPr="00DD6107">
        <w:rPr>
          <w:rFonts w:ascii="David" w:hAnsi="David"/>
          <w:color w:val="000000"/>
          <w:rtl/>
        </w:rPr>
        <w:t xml:space="preserve">לטענת ב"כ הנאשם, עו"ד שחר חצרוני, מקרה זה שונה ממקרים אחרים של תיקי מעבדות. העבירה בוצעה לפני כשנה, הוא שוהה במעצר של ממש מאז שנעצר, ותנאי המעצר קשים מתנאי מאסר. כמות השתילים בכתב האישום המתוקן נרשמה כ"מאות שתילים" ויש לפרש זאת לקולה, כמאות ברף הנמוך. העבירה העיקרית היא ייצור הסם, ועבירת ההחזקה היא עבירה נלווית בלבד. </w:t>
      </w:r>
      <w:r w:rsidRPr="00DD6107">
        <w:rPr>
          <w:color w:val="000000"/>
          <w:rtl/>
        </w:rPr>
        <w:t xml:space="preserve">לנאשם עצמו לא הייתה היכולת הכלכלית לקיים את המיזם. הנאשם בן 57, שהה בעברו תקופה ממושכת בבתי סוהר. היה מכור לסמים קשים במשך תקופה ארוכה בחייו. הנאשם נשוי, אב ל-3 ילדים בוגרים, וסב לנכדים. הוא נולד למשפחה קשת יום, גדל בתנאים של עוני והזנחה, סיים שש שנות לימוד בלבד, ובגיל צעיר נאלץ לסייע לאביו בעבודה. שניים מאחיו נפטרו, אחד נרצח. עברו הפלילי התיישן בשנת 2018, ולכן יש לתת לעברו משקל נמוך. הנאשם נעצר והסתבך לראשונה עם החוק בשנת 1976, בגין 13. הורשע לראשונה בשנת 1981, בגיל 18. במקום להתגייס הוא החל לרצות 5 חודשי מאסר על עבירות רכוש. מאז היו לו רצף הסתבכויות פליליות, לרבות מאסר בפועל, כמעט על בסיס קבוע עד שנת 2004. הוא ריצה מעל 12 שנות מאסר. שם משפחתו של הנאשם עמד לו לרועץ כל שנות חייו. בנו של הנאשם, אשר היו לו נתונים גבוהים בגיוס לצה"ל, נפגע אף הוא מהרקע המשפחתי, אך הוא לומד כיום באוניברסיטה. הנאשם היה מכור במשך שנים לסמים, וההתמכרות הובילה אותו להסתבכויות ולבית האסורים. אך אז חלה תפנית שהחזיקה מעמד עד להסתבכות האחרונה עם החוק. הנאשם השתחרר ממאסר בשנת 2008, ומאז הצליח במשך 11 שנים להישאר נקי מסמים ולא לחזור לבית המשפט. הוא ניהל מאז אורח חיים נורמטיבי, ועבד בעבודה מסודרת כדי לפרנס את משפחתו. הייתה התדרדרות מספר חודשים לפני המאסר בשל העובדה שמקום העבודה שלו נסגר. כיום, במהלך המעצר, הנאשם הפסיק להשתמש בסמים, מוסר בדיקות שתן נקיות ומצבו השתפר, והוא הצליח לגמול את עצמו מסמים. 10 שנים הנאשם היה נקי מסמים, ולא היו לו הרשעות. יש לחרוג לקולה מהמתחם משום שהנאשם עבר הליך שיקום בכלא, והוא מקבל תחליפי סם. קיימת אינדיקציה מבית המעצר לגבי ניקיונו מסמים, ולכן יש להידרש לכך. תקופת המעצר היא קשה יותר מתקופת מאסר. הנאשם בן 57, מצבו הרפואי קשה ביותר היה מכור לסמים במשך שנים רבות, סובל מתחלואות שונות, לרבות מחלת ריאות כרונית, זקוק לאינהלציה במעצר, וכן מבעיית עיכול חמורה. השב"ס אינו יכול להעניק לו טיפול רפואי הולם. מצב רפואי קשה מצדיק הקלה בעונש, גם תוך חריגה מהמתחם. </w:t>
      </w:r>
    </w:p>
    <w:p w14:paraId="00425621" w14:textId="77777777" w:rsidR="00620519" w:rsidRPr="00DD6107" w:rsidRDefault="00620519" w:rsidP="00620519">
      <w:pPr>
        <w:spacing w:after="120" w:line="360" w:lineRule="auto"/>
        <w:ind w:left="720"/>
        <w:jc w:val="both"/>
        <w:rPr>
          <w:color w:val="000000"/>
        </w:rPr>
      </w:pPr>
      <w:r w:rsidRPr="00DD6107">
        <w:rPr>
          <w:color w:val="000000"/>
          <w:rtl/>
        </w:rPr>
        <w:t xml:space="preserve">ב"כ הנאשם טען כי לאור גזר הדין בעניין הנאשם 2, אשר נדון בגין עבירת הסיוע, לעונש של שישה חודשי מאסר ויום, ולאור הוראת החוק אשר קובעת שעונשו של מסייע צריך להיות מחצית מהעונש שנקבע למבצע העיקרי, שיש להקל בעונשו של הנאשם. לכן, אין מקום להטיל על הנאשם עונש שהוא גבוה ממכפלת העונש שנגזרה על הנאשם 2, המסייע. לפיכך, עתר ב"כ הנאשם להספק בתקופת מעצרו. </w:t>
      </w:r>
    </w:p>
    <w:p w14:paraId="0BEEF11B"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הנאשם מסר כי הוא השתחרר ממאסר לפני 12 שנים, היה נקי מסמים, וטיפל בהתמכרות שלו עם המטפלת. הוא מצא עבודה, שילם מיסים ועבד במשך שנתיים. אחר כך, העסק נסגר, והוא מצא עצמו ללא עבודה, ללא פרנסה ובבטלה. בעקבות זאת, החל שוב לצרוך סמים קשים, התנתק מהטיפול, היה לוקח כסף מבני המשפחה. היה זקוק לסמים, והסוחרים לא נתנו לו סמים באשראי, ואז הציעו לו לעבוד עמם. כך הוא מצא עצמו בביצוע העבירה. הוא מודה בעבירה, אשר בוצעה עקב מצב ההתמכרות שלו לסמים. היום הוא במצב שבו הוא לא יאפשר שהדבר יחזור על עצמו. העבירה לא הייתה אם הוא לא היה "נופל" חזרה לסם. </w:t>
      </w:r>
    </w:p>
    <w:p w14:paraId="68A4465D" w14:textId="77777777" w:rsidR="00620519" w:rsidRPr="00DD6107" w:rsidRDefault="00620519" w:rsidP="00620519">
      <w:pPr>
        <w:spacing w:after="120" w:line="360" w:lineRule="auto"/>
        <w:jc w:val="both"/>
        <w:rPr>
          <w:bCs/>
          <w:u w:val="single"/>
          <w:lang w:eastAsia="he-IL"/>
        </w:rPr>
      </w:pPr>
      <w:r w:rsidRPr="00DD6107">
        <w:rPr>
          <w:bCs/>
          <w:u w:val="single"/>
          <w:rtl/>
          <w:lang w:eastAsia="he-IL"/>
        </w:rPr>
        <w:t>דיון - קביעת מתחם העונש ההולם</w:t>
      </w:r>
    </w:p>
    <w:p w14:paraId="012C56CA"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כתב האישום מתאר אירוע אחד, ומכאן שיש לקבוע בגינו </w:t>
      </w:r>
      <w:r w:rsidRPr="00DD6107">
        <w:rPr>
          <w:rFonts w:ascii="David" w:hAnsi="David"/>
          <w:b/>
          <w:bCs/>
          <w:color w:val="000000"/>
          <w:rtl/>
        </w:rPr>
        <w:t>מתחם עונש הולם אחד</w:t>
      </w:r>
      <w:r w:rsidRPr="00DD6107">
        <w:rPr>
          <w:rFonts w:ascii="David" w:hAnsi="David"/>
          <w:color w:val="000000"/>
          <w:rtl/>
        </w:rPr>
        <w:t xml:space="preserve">. </w:t>
      </w:r>
    </w:p>
    <w:p w14:paraId="1D0A34FD"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במקרה דנן,</w:t>
      </w:r>
      <w:r w:rsidRPr="00DD6107">
        <w:rPr>
          <w:rFonts w:ascii="David" w:hAnsi="David"/>
          <w:b/>
          <w:bCs/>
          <w:color w:val="000000"/>
          <w:rtl/>
        </w:rPr>
        <w:t xml:space="preserve"> הערכים החברתיים</w:t>
      </w:r>
      <w:r w:rsidRPr="00DD6107">
        <w:rPr>
          <w:rFonts w:ascii="David" w:hAnsi="David"/>
          <w:color w:val="000000"/>
          <w:rtl/>
        </w:rPr>
        <w:t xml:space="preserve"> אשר נפגעו הם הגנה על הציבור מפני הנזקים הישירים והעקיפים אשר נגרמים עקב השימוש בסמים. לעבירות הסמים פוטנציאל נזק גדול, שכן השימוש בסמים גורר במקרים רבים אף ביצוע עבירות נלוות, ולא בכדי קבע המחוקק לצד העבירה של גידול, הפקת והכנת סמים, עונש מרבי של עד עשרים שנות מאסר. עם זאת, מדובר בסם מסוג קנבוס, שהוא "סם קל" בהשוואה לסמים אחרים.</w:t>
      </w:r>
    </w:p>
    <w:p w14:paraId="2B9F8AD4" w14:textId="77777777" w:rsidR="00620519" w:rsidRPr="00DD6107" w:rsidRDefault="00620519" w:rsidP="00620519">
      <w:pPr>
        <w:spacing w:after="120" w:line="360" w:lineRule="auto"/>
        <w:ind w:left="720"/>
        <w:jc w:val="both"/>
        <w:rPr>
          <w:rFonts w:ascii="David" w:hAnsi="David"/>
          <w:color w:val="000000"/>
        </w:rPr>
      </w:pPr>
      <w:r w:rsidRPr="00DD6107">
        <w:rPr>
          <w:rFonts w:ascii="David" w:hAnsi="David"/>
          <w:color w:val="000000"/>
          <w:rtl/>
        </w:rPr>
        <w:t>תופעת המעבדות או המשתלות לגידול סמים הפכה בשנים האחרונות לתופעה נפוצה, אשר טמון בחובה פוטנציאל נזק רב, בשל החשש שהסם אשר מגודל במקום יתגלגל לשוק הסמים, לגורמים עבריינים ומשם לציבור. עם זאת, קיים שוני משמעותי בין תיקים שונים של גידול סמים, החל מהרף הנמוך של גידול עציצים בודדים של סם בביתו של אדם לצריכה עצמית, דרך הרף הבינוני של גידול מספר עשרות שתילים, במשקל של קילוגרמים בודדים, תוך שימוש באמצעי עזר לגידול שנרכשו לשם כך, דרך רף בינוני-גבוה של הקמת והחזקת מעבדות מתוחכמות לגידול סמים, בדירות ייעודיות שנשכרו למטרה זו, אשר כוללות ציוד בשווי רב, וכמות של עשרות קילוגרמים, ועד לרף הגבוה של גידול במעבדות מתוחכמות בבתים ייעודיים לכך, של מאות קילוגרמים ומאות שתילים של סם, כל זאת למטרות סחר בסמים ורווח כספי.</w:t>
      </w:r>
    </w:p>
    <w:p w14:paraId="229DBFD8" w14:textId="77777777" w:rsidR="00620519" w:rsidRPr="00DD6107" w:rsidRDefault="00620519" w:rsidP="00620519">
      <w:pPr>
        <w:spacing w:after="120" w:line="360" w:lineRule="auto"/>
        <w:ind w:left="720"/>
        <w:jc w:val="both"/>
        <w:rPr>
          <w:rFonts w:ascii="David" w:hAnsi="David"/>
          <w:color w:val="000000"/>
          <w:rtl/>
        </w:rPr>
      </w:pPr>
      <w:r w:rsidRPr="00DD6107">
        <w:rPr>
          <w:rFonts w:ascii="David" w:hAnsi="David"/>
          <w:color w:val="000000"/>
          <w:rtl/>
        </w:rPr>
        <w:t>לעניין זה ראו דבריו של כב' השופט י' עמית ב</w:t>
      </w:r>
      <w:hyperlink r:id="rId18" w:history="1">
        <w:r w:rsidR="003E7813" w:rsidRPr="003E7813">
          <w:rPr>
            <w:rFonts w:ascii="David" w:hAnsi="David"/>
            <w:color w:val="0000FF"/>
            <w:u w:val="single"/>
            <w:rtl/>
          </w:rPr>
          <w:t>ע"פ 2596/18</w:t>
        </w:r>
      </w:hyperlink>
      <w:r w:rsidRPr="00DD6107">
        <w:rPr>
          <w:rFonts w:ascii="David" w:hAnsi="David"/>
          <w:color w:val="000000"/>
          <w:rtl/>
        </w:rPr>
        <w:t xml:space="preserve"> </w:t>
      </w:r>
      <w:r w:rsidRPr="00DD6107">
        <w:rPr>
          <w:rFonts w:ascii="David" w:hAnsi="David"/>
          <w:b/>
          <w:bCs/>
          <w:color w:val="000000"/>
          <w:rtl/>
        </w:rPr>
        <w:t xml:space="preserve">זנזורי נ' מדינת ישראל </w:t>
      </w:r>
      <w:r w:rsidRPr="00DD6107">
        <w:rPr>
          <w:rFonts w:ascii="David" w:hAnsi="David"/>
          <w:color w:val="000000"/>
          <w:rtl/>
        </w:rPr>
        <w:t xml:space="preserve">(12.8.18), מדיניות הענישה בעבירה של גידול סמים, נותרה בעינה, גם כאשר מדובר בסם "קלים": </w:t>
      </w:r>
    </w:p>
    <w:p w14:paraId="18D594FB" w14:textId="77777777" w:rsidR="00620519" w:rsidRPr="00DD6107" w:rsidRDefault="00620519" w:rsidP="00620519">
      <w:pPr>
        <w:spacing w:after="120" w:line="360" w:lineRule="auto"/>
        <w:ind w:left="1133" w:right="567"/>
        <w:jc w:val="both"/>
        <w:rPr>
          <w:rFonts w:ascii="Century" w:hAnsi="Century"/>
          <w:sz w:val="20"/>
          <w:rtl/>
        </w:rPr>
      </w:pPr>
      <w:r w:rsidRPr="00DD6107">
        <w:rPr>
          <w:rFonts w:ascii="Century" w:hAnsi="Century"/>
          <w:sz w:val="20"/>
          <w:rtl/>
        </w:rPr>
        <w:t>"</w:t>
      </w:r>
      <w:r w:rsidRPr="00DD6107">
        <w:rPr>
          <w:rFonts w:ascii="Century" w:hAnsi="Century" w:hint="eastAsia"/>
          <w:sz w:val="20"/>
          <w:rtl/>
        </w:rPr>
        <w:t>ריבוי</w:t>
      </w:r>
      <w:r w:rsidRPr="00DD6107">
        <w:rPr>
          <w:rFonts w:ascii="Century" w:hAnsi="Century"/>
          <w:sz w:val="20"/>
          <w:rtl/>
        </w:rPr>
        <w:t xml:space="preserve"> </w:t>
      </w:r>
      <w:r w:rsidRPr="00DD6107">
        <w:rPr>
          <w:rFonts w:ascii="Century" w:hAnsi="Century" w:hint="eastAsia"/>
          <w:sz w:val="20"/>
          <w:rtl/>
        </w:rPr>
        <w:t>המקרים</w:t>
      </w:r>
      <w:r w:rsidRPr="00DD6107">
        <w:rPr>
          <w:rFonts w:ascii="Century" w:hAnsi="Century"/>
          <w:sz w:val="20"/>
          <w:rtl/>
        </w:rPr>
        <w:t xml:space="preserve"> </w:t>
      </w:r>
      <w:r w:rsidRPr="00DD6107">
        <w:rPr>
          <w:rFonts w:ascii="Century" w:hAnsi="Century" w:hint="eastAsia"/>
          <w:sz w:val="20"/>
          <w:rtl/>
        </w:rPr>
        <w:t>המובאים</w:t>
      </w:r>
      <w:r w:rsidRPr="00DD6107">
        <w:rPr>
          <w:rFonts w:ascii="Century" w:hAnsi="Century"/>
          <w:sz w:val="20"/>
          <w:rtl/>
        </w:rPr>
        <w:t xml:space="preserve"> </w:t>
      </w:r>
      <w:r w:rsidRPr="00DD6107">
        <w:rPr>
          <w:rFonts w:ascii="Century" w:hAnsi="Century" w:hint="eastAsia"/>
          <w:sz w:val="20"/>
          <w:rtl/>
        </w:rPr>
        <w:t>לפנינו</w:t>
      </w:r>
      <w:r w:rsidRPr="00DD6107">
        <w:rPr>
          <w:rFonts w:ascii="Century" w:hAnsi="Century"/>
          <w:sz w:val="20"/>
          <w:rtl/>
        </w:rPr>
        <w:t xml:space="preserve"> </w:t>
      </w:r>
      <w:r w:rsidRPr="00DD6107">
        <w:rPr>
          <w:rFonts w:ascii="Century" w:hAnsi="Century" w:hint="eastAsia"/>
          <w:sz w:val="20"/>
          <w:rtl/>
        </w:rPr>
        <w:t>בעת</w:t>
      </w:r>
      <w:r w:rsidRPr="00DD6107">
        <w:rPr>
          <w:rFonts w:ascii="Century" w:hAnsi="Century"/>
          <w:sz w:val="20"/>
          <w:rtl/>
        </w:rPr>
        <w:t xml:space="preserve"> </w:t>
      </w:r>
      <w:r w:rsidRPr="00DD6107">
        <w:rPr>
          <w:rFonts w:ascii="Century" w:hAnsi="Century" w:hint="eastAsia"/>
          <w:sz w:val="20"/>
          <w:rtl/>
        </w:rPr>
        <w:t>האחרונה</w:t>
      </w:r>
      <w:r w:rsidRPr="00DD6107">
        <w:rPr>
          <w:rFonts w:ascii="Century" w:hAnsi="Century"/>
          <w:sz w:val="20"/>
          <w:rtl/>
        </w:rPr>
        <w:t xml:space="preserve"> – </w:t>
      </w:r>
      <w:r w:rsidRPr="00DD6107">
        <w:rPr>
          <w:rFonts w:ascii="Century" w:hAnsi="Century" w:hint="eastAsia"/>
          <w:sz w:val="20"/>
          <w:rtl/>
        </w:rPr>
        <w:t>של</w:t>
      </w:r>
      <w:r w:rsidRPr="00DD6107">
        <w:rPr>
          <w:rFonts w:ascii="Century" w:hAnsi="Century"/>
          <w:sz w:val="20"/>
          <w:rtl/>
        </w:rPr>
        <w:t xml:space="preserve"> </w:t>
      </w:r>
      <w:r w:rsidRPr="00DD6107">
        <w:rPr>
          <w:rFonts w:ascii="Century" w:hAnsi="Century" w:hint="eastAsia"/>
          <w:sz w:val="20"/>
          <w:rtl/>
        </w:rPr>
        <w:t>גידול</w:t>
      </w:r>
      <w:r w:rsidRPr="00DD6107">
        <w:rPr>
          <w:rFonts w:ascii="Century" w:hAnsi="Century"/>
          <w:sz w:val="20"/>
          <w:rtl/>
        </w:rPr>
        <w:t xml:space="preserve">, </w:t>
      </w:r>
      <w:r w:rsidRPr="00DD6107">
        <w:rPr>
          <w:rFonts w:ascii="Century" w:hAnsi="Century" w:hint="eastAsia"/>
          <w:sz w:val="20"/>
          <w:rtl/>
        </w:rPr>
        <w:t>ייצור</w:t>
      </w:r>
      <w:r w:rsidRPr="00DD6107">
        <w:rPr>
          <w:rFonts w:ascii="Century" w:hAnsi="Century"/>
          <w:sz w:val="20"/>
          <w:rtl/>
        </w:rPr>
        <w:t xml:space="preserve"> </w:t>
      </w:r>
      <w:r w:rsidRPr="00DD6107">
        <w:rPr>
          <w:rFonts w:ascii="Century" w:hAnsi="Century" w:hint="eastAsia"/>
          <w:sz w:val="20"/>
          <w:rtl/>
        </w:rPr>
        <w:t>והפקת</w:t>
      </w:r>
      <w:r w:rsidRPr="00DD6107">
        <w:rPr>
          <w:rFonts w:ascii="Century" w:hAnsi="Century"/>
          <w:sz w:val="20"/>
          <w:rtl/>
        </w:rPr>
        <w:t xml:space="preserve"> </w:t>
      </w:r>
      <w:r w:rsidRPr="00DD6107">
        <w:rPr>
          <w:rFonts w:ascii="Century" w:hAnsi="Century" w:hint="eastAsia"/>
          <w:sz w:val="20"/>
          <w:rtl/>
        </w:rPr>
        <w:t>קנבוס</w:t>
      </w:r>
      <w:r w:rsidRPr="00DD6107">
        <w:rPr>
          <w:rFonts w:ascii="Century" w:hAnsi="Century"/>
          <w:sz w:val="20"/>
          <w:rtl/>
        </w:rPr>
        <w:t xml:space="preserve"> </w:t>
      </w:r>
      <w:r w:rsidRPr="00DD6107">
        <w:rPr>
          <w:rFonts w:ascii="Century" w:hAnsi="Century" w:hint="eastAsia"/>
          <w:sz w:val="20"/>
          <w:rtl/>
        </w:rPr>
        <w:t>לשם</w:t>
      </w:r>
      <w:r w:rsidRPr="00DD6107">
        <w:rPr>
          <w:rFonts w:ascii="Century" w:hAnsi="Century"/>
          <w:sz w:val="20"/>
          <w:rtl/>
        </w:rPr>
        <w:t xml:space="preserve"> </w:t>
      </w:r>
      <w:r w:rsidRPr="00DD6107">
        <w:rPr>
          <w:rFonts w:ascii="Century" w:hAnsi="Century" w:hint="eastAsia"/>
          <w:sz w:val="20"/>
          <w:rtl/>
        </w:rPr>
        <w:t>הפצה</w:t>
      </w:r>
      <w:r w:rsidRPr="00DD6107">
        <w:rPr>
          <w:rFonts w:ascii="Century" w:hAnsi="Century"/>
          <w:sz w:val="20"/>
          <w:rtl/>
        </w:rPr>
        <w:t xml:space="preserve"> </w:t>
      </w:r>
      <w:r w:rsidRPr="00DD6107">
        <w:rPr>
          <w:rFonts w:ascii="Century" w:hAnsi="Century" w:hint="eastAsia"/>
          <w:sz w:val="20"/>
          <w:rtl/>
        </w:rPr>
        <w:t>ומכירה</w:t>
      </w:r>
      <w:r w:rsidRPr="00DD6107">
        <w:rPr>
          <w:rFonts w:ascii="Century" w:hAnsi="Century"/>
          <w:sz w:val="20"/>
          <w:rtl/>
        </w:rPr>
        <w:t xml:space="preserve">, </w:t>
      </w:r>
      <w:r w:rsidRPr="00DD6107">
        <w:rPr>
          <w:rFonts w:ascii="Century" w:hAnsi="Century" w:hint="eastAsia"/>
          <w:sz w:val="20"/>
          <w:rtl/>
        </w:rPr>
        <w:t>כמו</w:t>
      </w:r>
      <w:r w:rsidRPr="00DD6107">
        <w:rPr>
          <w:rFonts w:ascii="Century" w:hAnsi="Century"/>
          <w:sz w:val="20"/>
          <w:rtl/>
        </w:rPr>
        <w:t xml:space="preserve"> </w:t>
      </w:r>
      <w:r w:rsidRPr="00DD6107">
        <w:rPr>
          <w:rFonts w:ascii="Century" w:hAnsi="Century" w:hint="eastAsia"/>
          <w:sz w:val="20"/>
          <w:rtl/>
        </w:rPr>
        <w:t>גם</w:t>
      </w:r>
      <w:r w:rsidRPr="00DD6107">
        <w:rPr>
          <w:rFonts w:ascii="Century" w:hAnsi="Century"/>
          <w:sz w:val="20"/>
          <w:rtl/>
        </w:rPr>
        <w:t xml:space="preserve"> </w:t>
      </w:r>
      <w:r w:rsidRPr="00DD6107">
        <w:rPr>
          <w:rFonts w:ascii="Century" w:hAnsi="Century" w:hint="eastAsia"/>
          <w:sz w:val="20"/>
          <w:rtl/>
        </w:rPr>
        <w:t>הפצה</w:t>
      </w:r>
      <w:r w:rsidRPr="00DD6107">
        <w:rPr>
          <w:rFonts w:ascii="Century" w:hAnsi="Century"/>
          <w:sz w:val="20"/>
          <w:rtl/>
        </w:rPr>
        <w:t xml:space="preserve"> </w:t>
      </w:r>
      <w:r w:rsidRPr="00DD6107">
        <w:rPr>
          <w:rFonts w:ascii="Century" w:hAnsi="Century" w:hint="eastAsia"/>
          <w:sz w:val="20"/>
          <w:rtl/>
        </w:rPr>
        <w:t>ומכירה</w:t>
      </w:r>
      <w:r w:rsidRPr="00DD6107">
        <w:rPr>
          <w:rFonts w:ascii="Century" w:hAnsi="Century"/>
          <w:sz w:val="20"/>
          <w:rtl/>
        </w:rPr>
        <w:t xml:space="preserve"> </w:t>
      </w:r>
      <w:r w:rsidRPr="00DD6107">
        <w:rPr>
          <w:rFonts w:ascii="Century" w:hAnsi="Century" w:hint="eastAsia"/>
          <w:sz w:val="20"/>
          <w:rtl/>
        </w:rPr>
        <w:t>של</w:t>
      </w:r>
      <w:r w:rsidRPr="00DD6107">
        <w:rPr>
          <w:rFonts w:ascii="Century" w:hAnsi="Century"/>
          <w:sz w:val="20"/>
          <w:rtl/>
        </w:rPr>
        <w:t xml:space="preserve"> </w:t>
      </w:r>
      <w:r w:rsidRPr="00DD6107">
        <w:rPr>
          <w:rFonts w:ascii="Century" w:hAnsi="Century" w:hint="eastAsia"/>
          <w:sz w:val="20"/>
          <w:rtl/>
        </w:rPr>
        <w:t>קנבוס</w:t>
      </w:r>
      <w:r w:rsidRPr="00DD6107">
        <w:rPr>
          <w:rFonts w:ascii="Century" w:hAnsi="Century"/>
          <w:sz w:val="20"/>
          <w:rtl/>
        </w:rPr>
        <w:t xml:space="preserve"> </w:t>
      </w:r>
      <w:r w:rsidRPr="00DD6107">
        <w:rPr>
          <w:rFonts w:ascii="Century" w:hAnsi="Century" w:hint="eastAsia"/>
          <w:sz w:val="20"/>
          <w:rtl/>
        </w:rPr>
        <w:t>תוך</w:t>
      </w:r>
      <w:r w:rsidRPr="00DD6107">
        <w:rPr>
          <w:rFonts w:ascii="Century" w:hAnsi="Century"/>
          <w:sz w:val="20"/>
          <w:rtl/>
        </w:rPr>
        <w:t xml:space="preserve"> </w:t>
      </w:r>
      <w:r w:rsidRPr="00DD6107">
        <w:rPr>
          <w:rFonts w:ascii="Century" w:hAnsi="Century" w:hint="eastAsia"/>
          <w:sz w:val="20"/>
          <w:rtl/>
        </w:rPr>
        <w:t>שימוש</w:t>
      </w:r>
      <w:r w:rsidRPr="00DD6107">
        <w:rPr>
          <w:rFonts w:ascii="Century" w:hAnsi="Century"/>
          <w:sz w:val="20"/>
          <w:rtl/>
        </w:rPr>
        <w:t xml:space="preserve"> </w:t>
      </w:r>
      <w:r w:rsidRPr="00DD6107">
        <w:rPr>
          <w:rFonts w:ascii="Century" w:hAnsi="Century" w:hint="eastAsia"/>
          <w:sz w:val="20"/>
          <w:rtl/>
        </w:rPr>
        <w:t>באפליקציית</w:t>
      </w:r>
      <w:r w:rsidRPr="00DD6107">
        <w:rPr>
          <w:rFonts w:ascii="Century" w:hAnsi="Century"/>
          <w:sz w:val="20"/>
          <w:rtl/>
        </w:rPr>
        <w:t xml:space="preserve"> </w:t>
      </w:r>
      <w:r w:rsidRPr="00DD6107">
        <w:rPr>
          <w:rFonts w:ascii="Century" w:hAnsi="Century" w:hint="eastAsia"/>
          <w:sz w:val="20"/>
          <w:rtl/>
        </w:rPr>
        <w:t>ה</w:t>
      </w:r>
      <w:r w:rsidRPr="00DD6107">
        <w:rPr>
          <w:rFonts w:ascii="Century" w:hAnsi="Century"/>
          <w:sz w:val="20"/>
          <w:rtl/>
        </w:rPr>
        <w:t>'</w:t>
      </w:r>
      <w:r w:rsidRPr="00DD6107">
        <w:rPr>
          <w:rFonts w:ascii="Century" w:hAnsi="Century" w:hint="eastAsia"/>
          <w:sz w:val="20"/>
          <w:rtl/>
        </w:rPr>
        <w:t>טלגראס</w:t>
      </w:r>
      <w:r w:rsidRPr="00DD6107">
        <w:rPr>
          <w:rFonts w:ascii="Century" w:hAnsi="Century"/>
          <w:sz w:val="20"/>
          <w:rtl/>
        </w:rPr>
        <w:t xml:space="preserve">', </w:t>
      </w:r>
      <w:r w:rsidRPr="00DD6107">
        <w:rPr>
          <w:rFonts w:ascii="Century" w:hAnsi="Century" w:hint="eastAsia"/>
          <w:sz w:val="20"/>
          <w:rtl/>
        </w:rPr>
        <w:t>מעוררים</w:t>
      </w:r>
      <w:r w:rsidRPr="00DD6107">
        <w:rPr>
          <w:rFonts w:ascii="Century" w:hAnsi="Century"/>
          <w:sz w:val="20"/>
          <w:rtl/>
        </w:rPr>
        <w:t xml:space="preserve"> </w:t>
      </w:r>
      <w:r w:rsidRPr="00DD6107">
        <w:rPr>
          <w:rFonts w:ascii="Century" w:hAnsi="Century" w:hint="eastAsia"/>
          <w:sz w:val="20"/>
          <w:rtl/>
        </w:rPr>
        <w:t>את</w:t>
      </w:r>
      <w:r w:rsidRPr="00DD6107">
        <w:rPr>
          <w:rFonts w:ascii="Century" w:hAnsi="Century"/>
          <w:sz w:val="20"/>
          <w:rtl/>
        </w:rPr>
        <w:t xml:space="preserve"> </w:t>
      </w:r>
      <w:r w:rsidRPr="00DD6107">
        <w:rPr>
          <w:rFonts w:ascii="Century" w:hAnsi="Century" w:hint="eastAsia"/>
          <w:sz w:val="20"/>
          <w:rtl/>
        </w:rPr>
        <w:t>התחושה</w:t>
      </w:r>
      <w:r w:rsidRPr="00DD6107">
        <w:rPr>
          <w:rFonts w:ascii="Century" w:hAnsi="Century"/>
          <w:sz w:val="20"/>
          <w:rtl/>
        </w:rPr>
        <w:t xml:space="preserve">, </w:t>
      </w:r>
      <w:r w:rsidRPr="00DD6107">
        <w:rPr>
          <w:rFonts w:ascii="Century" w:hAnsi="Century" w:hint="eastAsia"/>
          <w:sz w:val="20"/>
          <w:rtl/>
        </w:rPr>
        <w:t>הגם</w:t>
      </w:r>
      <w:r w:rsidRPr="00DD6107">
        <w:rPr>
          <w:rFonts w:ascii="Century" w:hAnsi="Century"/>
          <w:sz w:val="20"/>
          <w:rtl/>
        </w:rPr>
        <w:t xml:space="preserve"> </w:t>
      </w:r>
      <w:r w:rsidRPr="00DD6107">
        <w:rPr>
          <w:rFonts w:ascii="Century" w:hAnsi="Century" w:hint="eastAsia"/>
          <w:sz w:val="20"/>
          <w:rtl/>
        </w:rPr>
        <w:t>שאינה</w:t>
      </w:r>
      <w:r w:rsidRPr="00DD6107">
        <w:rPr>
          <w:rFonts w:ascii="Century" w:hAnsi="Century"/>
          <w:sz w:val="20"/>
          <w:rtl/>
        </w:rPr>
        <w:t xml:space="preserve"> </w:t>
      </w:r>
      <w:r w:rsidRPr="00DD6107">
        <w:rPr>
          <w:rFonts w:ascii="Century" w:hAnsi="Century" w:hint="eastAsia"/>
          <w:sz w:val="20"/>
          <w:rtl/>
        </w:rPr>
        <w:t>מגובה</w:t>
      </w:r>
      <w:r w:rsidRPr="00DD6107">
        <w:rPr>
          <w:rFonts w:ascii="Century" w:hAnsi="Century"/>
          <w:sz w:val="20"/>
          <w:rtl/>
        </w:rPr>
        <w:t xml:space="preserve"> </w:t>
      </w:r>
      <w:r w:rsidRPr="00DD6107">
        <w:rPr>
          <w:rFonts w:ascii="Century" w:hAnsi="Century" w:hint="eastAsia"/>
          <w:sz w:val="20"/>
          <w:rtl/>
        </w:rPr>
        <w:t>בסטטיסטיקה</w:t>
      </w:r>
      <w:r w:rsidRPr="00DD6107">
        <w:rPr>
          <w:rFonts w:ascii="Century" w:hAnsi="Century"/>
          <w:sz w:val="20"/>
          <w:rtl/>
        </w:rPr>
        <w:t xml:space="preserve"> </w:t>
      </w:r>
      <w:r w:rsidRPr="00DD6107">
        <w:rPr>
          <w:rFonts w:ascii="Century" w:hAnsi="Century" w:hint="eastAsia"/>
          <w:sz w:val="20"/>
          <w:rtl/>
        </w:rPr>
        <w:t>או</w:t>
      </w:r>
      <w:r w:rsidRPr="00DD6107">
        <w:rPr>
          <w:rFonts w:ascii="Century" w:hAnsi="Century"/>
          <w:sz w:val="20"/>
          <w:rtl/>
        </w:rPr>
        <w:t xml:space="preserve"> </w:t>
      </w:r>
      <w:r w:rsidRPr="00DD6107">
        <w:rPr>
          <w:rFonts w:ascii="Century" w:hAnsi="Century" w:hint="eastAsia"/>
          <w:sz w:val="20"/>
          <w:rtl/>
        </w:rPr>
        <w:t>במחקר</w:t>
      </w:r>
      <w:r w:rsidRPr="00DD6107">
        <w:rPr>
          <w:rFonts w:ascii="Century" w:hAnsi="Century"/>
          <w:sz w:val="20"/>
          <w:rtl/>
        </w:rPr>
        <w:t xml:space="preserve"> </w:t>
      </w:r>
      <w:r w:rsidRPr="00DD6107">
        <w:rPr>
          <w:rFonts w:ascii="Century" w:hAnsi="Century" w:hint="eastAsia"/>
          <w:sz w:val="20"/>
          <w:rtl/>
        </w:rPr>
        <w:t>אמפירי</w:t>
      </w:r>
      <w:r w:rsidRPr="00DD6107">
        <w:rPr>
          <w:rFonts w:ascii="Century" w:hAnsi="Century"/>
          <w:sz w:val="20"/>
          <w:rtl/>
        </w:rPr>
        <w:t xml:space="preserve">, </w:t>
      </w:r>
      <w:r w:rsidRPr="00DD6107">
        <w:rPr>
          <w:rFonts w:ascii="Century" w:hAnsi="Century" w:hint="eastAsia"/>
          <w:sz w:val="20"/>
          <w:rtl/>
        </w:rPr>
        <w:t>כי</w:t>
      </w:r>
      <w:r w:rsidRPr="00DD6107">
        <w:rPr>
          <w:rFonts w:ascii="Century" w:hAnsi="Century"/>
          <w:sz w:val="20"/>
          <w:rtl/>
        </w:rPr>
        <w:t xml:space="preserve"> </w:t>
      </w:r>
      <w:r w:rsidRPr="00DD6107">
        <w:rPr>
          <w:rFonts w:ascii="Century" w:hAnsi="Century" w:hint="eastAsia"/>
          <w:sz w:val="20"/>
          <w:rtl/>
        </w:rPr>
        <w:t>המדיניות</w:t>
      </w:r>
      <w:r w:rsidRPr="00DD6107">
        <w:rPr>
          <w:rFonts w:ascii="Century" w:hAnsi="Century"/>
          <w:sz w:val="20"/>
          <w:rtl/>
        </w:rPr>
        <w:t xml:space="preserve"> </w:t>
      </w:r>
      <w:r w:rsidRPr="00DD6107">
        <w:rPr>
          <w:rFonts w:ascii="Century" w:hAnsi="Century" w:hint="eastAsia"/>
          <w:sz w:val="20"/>
          <w:rtl/>
        </w:rPr>
        <w:t>שבאה</w:t>
      </w:r>
      <w:r w:rsidRPr="00DD6107">
        <w:rPr>
          <w:rFonts w:ascii="Century" w:hAnsi="Century"/>
          <w:sz w:val="20"/>
          <w:rtl/>
        </w:rPr>
        <w:t xml:space="preserve"> </w:t>
      </w:r>
      <w:r w:rsidRPr="00DD6107">
        <w:rPr>
          <w:rFonts w:ascii="Century" w:hAnsi="Century" w:hint="eastAsia"/>
          <w:sz w:val="20"/>
          <w:rtl/>
        </w:rPr>
        <w:t>לידי</w:t>
      </w:r>
      <w:r w:rsidRPr="00DD6107">
        <w:rPr>
          <w:rFonts w:ascii="Century" w:hAnsi="Century"/>
          <w:sz w:val="20"/>
          <w:rtl/>
        </w:rPr>
        <w:t xml:space="preserve"> </w:t>
      </w:r>
      <w:r w:rsidRPr="00DD6107">
        <w:rPr>
          <w:rFonts w:ascii="Century" w:hAnsi="Century" w:hint="eastAsia"/>
          <w:sz w:val="20"/>
          <w:rtl/>
        </w:rPr>
        <w:t>ביטוי</w:t>
      </w:r>
      <w:r w:rsidRPr="00DD6107">
        <w:rPr>
          <w:rFonts w:ascii="Century" w:hAnsi="Century"/>
          <w:sz w:val="20"/>
          <w:rtl/>
        </w:rPr>
        <w:t xml:space="preserve"> </w:t>
      </w:r>
      <w:r w:rsidRPr="00DD6107">
        <w:rPr>
          <w:rFonts w:ascii="Century" w:hAnsi="Century" w:hint="eastAsia"/>
          <w:sz w:val="20"/>
          <w:rtl/>
        </w:rPr>
        <w:t>בחוק</w:t>
      </w:r>
      <w:r w:rsidRPr="00DD6107">
        <w:rPr>
          <w:rFonts w:ascii="Century" w:hAnsi="Century"/>
          <w:sz w:val="20"/>
          <w:rtl/>
        </w:rPr>
        <w:t xml:space="preserve"> </w:t>
      </w:r>
      <w:r w:rsidRPr="00DD6107">
        <w:rPr>
          <w:rFonts w:ascii="Century" w:hAnsi="Century" w:hint="eastAsia"/>
          <w:sz w:val="20"/>
          <w:rtl/>
        </w:rPr>
        <w:t>הסמים</w:t>
      </w:r>
      <w:r w:rsidRPr="00DD6107">
        <w:rPr>
          <w:rFonts w:ascii="Century" w:hAnsi="Century"/>
          <w:sz w:val="20"/>
          <w:rtl/>
        </w:rPr>
        <w:t xml:space="preserve"> </w:t>
      </w:r>
      <w:r w:rsidRPr="00DD6107">
        <w:rPr>
          <w:rFonts w:ascii="Century" w:hAnsi="Century" w:hint="eastAsia"/>
          <w:sz w:val="20"/>
          <w:rtl/>
        </w:rPr>
        <w:t>המסוכנים</w:t>
      </w:r>
      <w:r w:rsidRPr="00DD6107">
        <w:rPr>
          <w:rFonts w:ascii="Century" w:hAnsi="Century"/>
          <w:sz w:val="20"/>
          <w:rtl/>
        </w:rPr>
        <w:t xml:space="preserve"> (</w:t>
      </w:r>
      <w:r w:rsidRPr="00DD6107">
        <w:rPr>
          <w:rFonts w:ascii="Century" w:hAnsi="Century" w:hint="eastAsia"/>
          <w:sz w:val="20"/>
          <w:rtl/>
        </w:rPr>
        <w:t>עבירת</w:t>
      </w:r>
      <w:r w:rsidRPr="00DD6107">
        <w:rPr>
          <w:rFonts w:ascii="Century" w:hAnsi="Century"/>
          <w:sz w:val="20"/>
          <w:rtl/>
        </w:rPr>
        <w:t xml:space="preserve"> </w:t>
      </w:r>
      <w:r w:rsidRPr="00DD6107">
        <w:rPr>
          <w:rFonts w:ascii="Century" w:hAnsi="Century" w:hint="eastAsia"/>
          <w:sz w:val="20"/>
          <w:rtl/>
        </w:rPr>
        <w:t>קנס</w:t>
      </w:r>
      <w:r w:rsidRPr="00DD6107">
        <w:rPr>
          <w:rFonts w:ascii="Century" w:hAnsi="Century"/>
          <w:sz w:val="20"/>
          <w:rtl/>
        </w:rPr>
        <w:t xml:space="preserve"> </w:t>
      </w:r>
      <w:r w:rsidRPr="00DD6107">
        <w:rPr>
          <w:rFonts w:ascii="Century" w:hAnsi="Century" w:hint="eastAsia"/>
          <w:sz w:val="20"/>
          <w:rtl/>
        </w:rPr>
        <w:t>מיוחדת</w:t>
      </w:r>
      <w:r w:rsidRPr="00DD6107">
        <w:rPr>
          <w:rFonts w:ascii="Century" w:hAnsi="Century"/>
          <w:sz w:val="20"/>
          <w:rtl/>
        </w:rPr>
        <w:t xml:space="preserve"> – </w:t>
      </w:r>
      <w:r w:rsidRPr="00DD6107">
        <w:rPr>
          <w:rFonts w:ascii="Century" w:hAnsi="Century" w:hint="eastAsia"/>
          <w:sz w:val="20"/>
          <w:rtl/>
        </w:rPr>
        <w:t>הוראת</w:t>
      </w:r>
      <w:r w:rsidRPr="00DD6107">
        <w:rPr>
          <w:rFonts w:ascii="Century" w:hAnsi="Century"/>
          <w:sz w:val="20"/>
          <w:rtl/>
        </w:rPr>
        <w:t xml:space="preserve"> </w:t>
      </w:r>
      <w:r w:rsidRPr="00DD6107">
        <w:rPr>
          <w:rFonts w:ascii="Century" w:hAnsi="Century" w:hint="eastAsia"/>
          <w:sz w:val="20"/>
          <w:rtl/>
        </w:rPr>
        <w:t>שעה</w:t>
      </w:r>
      <w:r w:rsidRPr="00DD6107">
        <w:rPr>
          <w:rFonts w:ascii="Century" w:hAnsi="Century"/>
          <w:sz w:val="20"/>
          <w:rtl/>
        </w:rPr>
        <w:t xml:space="preserve">), </w:t>
      </w:r>
      <w:r w:rsidRPr="00DD6107">
        <w:rPr>
          <w:rFonts w:ascii="Century" w:hAnsi="Century" w:hint="eastAsia"/>
          <w:sz w:val="20"/>
          <w:rtl/>
        </w:rPr>
        <w:t>התשע</w:t>
      </w:r>
      <w:r w:rsidRPr="00DD6107">
        <w:rPr>
          <w:rFonts w:ascii="Century" w:hAnsi="Century"/>
          <w:sz w:val="20"/>
          <w:rtl/>
        </w:rPr>
        <w:t>"</w:t>
      </w:r>
      <w:r w:rsidRPr="00DD6107">
        <w:rPr>
          <w:rFonts w:ascii="Century" w:hAnsi="Century" w:hint="eastAsia"/>
          <w:sz w:val="20"/>
          <w:rtl/>
        </w:rPr>
        <w:t>ח</w:t>
      </w:r>
      <w:r w:rsidRPr="00DD6107">
        <w:rPr>
          <w:rFonts w:ascii="Century" w:hAnsi="Century"/>
          <w:sz w:val="20"/>
          <w:rtl/>
        </w:rPr>
        <w:t>-2018 (</w:t>
      </w:r>
      <w:r w:rsidRPr="00DD6107">
        <w:rPr>
          <w:rFonts w:ascii="Century" w:hAnsi="Century" w:hint="eastAsia"/>
          <w:sz w:val="20"/>
          <w:rtl/>
        </w:rPr>
        <w:t>שתחולתו</w:t>
      </w:r>
      <w:r w:rsidRPr="00DD6107">
        <w:rPr>
          <w:rFonts w:ascii="Century" w:hAnsi="Century"/>
          <w:sz w:val="20"/>
          <w:rtl/>
        </w:rPr>
        <w:t xml:space="preserve"> </w:t>
      </w:r>
      <w:r w:rsidRPr="00DD6107">
        <w:rPr>
          <w:rFonts w:ascii="Century" w:hAnsi="Century" w:hint="eastAsia"/>
          <w:sz w:val="20"/>
          <w:rtl/>
        </w:rPr>
        <w:t>ביום</w:t>
      </w:r>
      <w:r w:rsidRPr="00DD6107">
        <w:rPr>
          <w:rFonts w:ascii="Century" w:hAnsi="Century"/>
          <w:sz w:val="20"/>
          <w:rtl/>
        </w:rPr>
        <w:t xml:space="preserve"> 1.4.2019) – </w:t>
      </w:r>
      <w:r w:rsidRPr="00DD6107">
        <w:rPr>
          <w:rFonts w:ascii="Century" w:hAnsi="Century" w:hint="eastAsia"/>
          <w:sz w:val="20"/>
          <w:rtl/>
        </w:rPr>
        <w:t>זלגה</w:t>
      </w:r>
      <w:r w:rsidRPr="00DD6107">
        <w:rPr>
          <w:rFonts w:ascii="Century" w:hAnsi="Century"/>
          <w:sz w:val="20"/>
          <w:rtl/>
        </w:rPr>
        <w:t xml:space="preserve"> </w:t>
      </w:r>
      <w:r w:rsidRPr="00DD6107">
        <w:rPr>
          <w:rFonts w:ascii="Century" w:hAnsi="Century" w:hint="eastAsia"/>
          <w:sz w:val="20"/>
          <w:rtl/>
        </w:rPr>
        <w:t>שלא</w:t>
      </w:r>
      <w:r w:rsidRPr="00DD6107">
        <w:rPr>
          <w:rFonts w:ascii="Century" w:hAnsi="Century"/>
          <w:sz w:val="20"/>
          <w:rtl/>
        </w:rPr>
        <w:t xml:space="preserve"> </w:t>
      </w:r>
      <w:r w:rsidRPr="00DD6107">
        <w:rPr>
          <w:rFonts w:ascii="Century" w:hAnsi="Century" w:hint="eastAsia"/>
          <w:sz w:val="20"/>
          <w:rtl/>
        </w:rPr>
        <w:t>בטובתה</w:t>
      </w:r>
      <w:r w:rsidRPr="00DD6107">
        <w:rPr>
          <w:rFonts w:ascii="Century" w:hAnsi="Century"/>
          <w:sz w:val="20"/>
          <w:rtl/>
        </w:rPr>
        <w:t xml:space="preserve"> </w:t>
      </w:r>
      <w:r w:rsidRPr="00DD6107">
        <w:rPr>
          <w:rFonts w:ascii="Century" w:hAnsi="Century" w:hint="eastAsia"/>
          <w:sz w:val="20"/>
          <w:rtl/>
        </w:rPr>
        <w:t>למחוזות</w:t>
      </w:r>
      <w:r w:rsidRPr="00DD6107">
        <w:rPr>
          <w:rFonts w:ascii="Century" w:hAnsi="Century"/>
          <w:sz w:val="20"/>
          <w:rtl/>
        </w:rPr>
        <w:t xml:space="preserve"> </w:t>
      </w:r>
      <w:r w:rsidRPr="00DD6107">
        <w:rPr>
          <w:rFonts w:ascii="Century" w:hAnsi="Century" w:hint="eastAsia"/>
          <w:sz w:val="20"/>
          <w:rtl/>
        </w:rPr>
        <w:t>אחרים</w:t>
      </w:r>
      <w:r w:rsidRPr="00DD6107">
        <w:rPr>
          <w:rFonts w:ascii="Century" w:hAnsi="Century"/>
          <w:sz w:val="20"/>
          <w:rtl/>
        </w:rPr>
        <w:t xml:space="preserve">. </w:t>
      </w:r>
      <w:r w:rsidRPr="00DD6107">
        <w:rPr>
          <w:rFonts w:ascii="Calibri" w:hAnsi="Calibri" w:hint="eastAsia"/>
          <w:sz w:val="20"/>
          <w:rtl/>
        </w:rPr>
        <w:t>צרכנים</w:t>
      </w:r>
      <w:r w:rsidRPr="00DD6107">
        <w:rPr>
          <w:rFonts w:ascii="Calibri" w:hAnsi="Calibri"/>
          <w:sz w:val="20"/>
          <w:rtl/>
        </w:rPr>
        <w:t xml:space="preserve"> </w:t>
      </w:r>
      <w:r w:rsidRPr="00DD6107">
        <w:rPr>
          <w:rFonts w:ascii="Calibri" w:hAnsi="Calibri" w:hint="eastAsia"/>
          <w:sz w:val="20"/>
          <w:rtl/>
        </w:rPr>
        <w:t>ומשתמשים</w:t>
      </w:r>
      <w:r w:rsidRPr="00DD6107">
        <w:rPr>
          <w:rFonts w:ascii="Calibri" w:hAnsi="Calibri"/>
          <w:sz w:val="20"/>
          <w:rtl/>
        </w:rPr>
        <w:t xml:space="preserve"> </w:t>
      </w:r>
      <w:r w:rsidRPr="00DD6107">
        <w:rPr>
          <w:rFonts w:ascii="Calibri" w:hAnsi="Calibri" w:hint="eastAsia"/>
          <w:sz w:val="20"/>
          <w:rtl/>
        </w:rPr>
        <w:t>ואנשים</w:t>
      </w:r>
      <w:r w:rsidRPr="00DD6107">
        <w:rPr>
          <w:rFonts w:ascii="Calibri" w:hAnsi="Calibri"/>
          <w:sz w:val="20"/>
          <w:rtl/>
        </w:rPr>
        <w:t xml:space="preserve"> </w:t>
      </w:r>
      <w:r w:rsidRPr="00DD6107">
        <w:rPr>
          <w:rFonts w:ascii="Calibri" w:hAnsi="Calibri" w:hint="eastAsia"/>
          <w:sz w:val="20"/>
          <w:rtl/>
        </w:rPr>
        <w:t>נורמטיביים</w:t>
      </w:r>
      <w:r w:rsidRPr="00DD6107">
        <w:rPr>
          <w:rFonts w:ascii="Calibri" w:hAnsi="Calibri"/>
          <w:sz w:val="20"/>
          <w:rtl/>
        </w:rPr>
        <w:t xml:space="preserve">, </w:t>
      </w:r>
      <w:r w:rsidRPr="00DD6107">
        <w:rPr>
          <w:rFonts w:ascii="Calibri" w:hAnsi="Calibri" w:hint="eastAsia"/>
          <w:sz w:val="20"/>
          <w:rtl/>
        </w:rPr>
        <w:t>שבעבר</w:t>
      </w:r>
      <w:r w:rsidRPr="00DD6107">
        <w:rPr>
          <w:rFonts w:ascii="Calibri" w:hAnsi="Calibri"/>
          <w:sz w:val="20"/>
          <w:rtl/>
        </w:rPr>
        <w:t xml:space="preserve"> </w:t>
      </w:r>
      <w:r w:rsidRPr="00DD6107">
        <w:rPr>
          <w:rFonts w:ascii="Calibri" w:hAnsi="Calibri" w:hint="eastAsia"/>
          <w:sz w:val="20"/>
          <w:rtl/>
        </w:rPr>
        <w:t>לא</w:t>
      </w:r>
      <w:r w:rsidRPr="00DD6107">
        <w:rPr>
          <w:rFonts w:ascii="Calibri" w:hAnsi="Calibri"/>
          <w:sz w:val="20"/>
          <w:rtl/>
        </w:rPr>
        <w:t xml:space="preserve"> </w:t>
      </w:r>
      <w:r w:rsidRPr="00DD6107">
        <w:rPr>
          <w:rFonts w:ascii="Calibri" w:hAnsi="Calibri" w:hint="eastAsia"/>
          <w:sz w:val="20"/>
          <w:rtl/>
        </w:rPr>
        <w:t>היו</w:t>
      </w:r>
      <w:r w:rsidRPr="00DD6107">
        <w:rPr>
          <w:rFonts w:ascii="Calibri" w:hAnsi="Calibri"/>
          <w:sz w:val="20"/>
          <w:rtl/>
        </w:rPr>
        <w:t xml:space="preserve"> </w:t>
      </w:r>
      <w:r w:rsidRPr="00DD6107">
        <w:rPr>
          <w:rFonts w:ascii="Calibri" w:hAnsi="Calibri" w:hint="eastAsia"/>
          <w:sz w:val="20"/>
          <w:rtl/>
        </w:rPr>
        <w:t>נכונים</w:t>
      </w:r>
      <w:r w:rsidRPr="00DD6107">
        <w:rPr>
          <w:rFonts w:ascii="Calibri" w:hAnsi="Calibri"/>
          <w:sz w:val="20"/>
          <w:rtl/>
        </w:rPr>
        <w:t xml:space="preserve"> </w:t>
      </w:r>
      <w:r w:rsidRPr="00DD6107">
        <w:rPr>
          <w:rFonts w:ascii="Calibri" w:hAnsi="Calibri" w:hint="eastAsia"/>
          <w:sz w:val="20"/>
          <w:rtl/>
        </w:rPr>
        <w:t>ליטול</w:t>
      </w:r>
      <w:r w:rsidRPr="00DD6107">
        <w:rPr>
          <w:rFonts w:ascii="Calibri" w:hAnsi="Calibri"/>
          <w:sz w:val="20"/>
          <w:rtl/>
        </w:rPr>
        <w:t xml:space="preserve"> </w:t>
      </w:r>
      <w:r w:rsidRPr="00DD6107">
        <w:rPr>
          <w:rFonts w:ascii="Calibri" w:hAnsi="Calibri" w:hint="eastAsia"/>
          <w:sz w:val="20"/>
          <w:rtl/>
        </w:rPr>
        <w:t>על</w:t>
      </w:r>
      <w:r w:rsidRPr="00DD6107">
        <w:rPr>
          <w:rFonts w:ascii="Calibri" w:hAnsi="Calibri"/>
          <w:sz w:val="20"/>
          <w:rtl/>
        </w:rPr>
        <w:t xml:space="preserve"> </w:t>
      </w:r>
      <w:r w:rsidRPr="00DD6107">
        <w:rPr>
          <w:rFonts w:ascii="Calibri" w:hAnsi="Calibri" w:hint="eastAsia"/>
          <w:sz w:val="20"/>
          <w:rtl/>
        </w:rPr>
        <w:t>עצמם</w:t>
      </w:r>
      <w:r w:rsidRPr="00DD6107">
        <w:rPr>
          <w:rFonts w:ascii="Calibri" w:hAnsi="Calibri"/>
          <w:sz w:val="20"/>
          <w:rtl/>
        </w:rPr>
        <w:t xml:space="preserve"> </w:t>
      </w:r>
      <w:r w:rsidRPr="00DD6107">
        <w:rPr>
          <w:rFonts w:ascii="Calibri" w:hAnsi="Calibri" w:hint="eastAsia"/>
          <w:sz w:val="20"/>
          <w:rtl/>
        </w:rPr>
        <w:t>סיכון</w:t>
      </w:r>
      <w:r w:rsidRPr="00DD6107">
        <w:rPr>
          <w:rFonts w:ascii="Calibri" w:hAnsi="Calibri"/>
          <w:sz w:val="20"/>
          <w:rtl/>
        </w:rPr>
        <w:t xml:space="preserve"> </w:t>
      </w:r>
      <w:r w:rsidRPr="00DD6107">
        <w:rPr>
          <w:rFonts w:ascii="Calibri" w:hAnsi="Calibri" w:hint="eastAsia"/>
          <w:sz w:val="20"/>
          <w:rtl/>
        </w:rPr>
        <w:t>להסתבך</w:t>
      </w:r>
      <w:r w:rsidRPr="00DD6107">
        <w:rPr>
          <w:rFonts w:ascii="Calibri" w:hAnsi="Calibri"/>
          <w:sz w:val="20"/>
          <w:rtl/>
        </w:rPr>
        <w:t xml:space="preserve"> </w:t>
      </w:r>
      <w:r w:rsidRPr="00DD6107">
        <w:rPr>
          <w:rFonts w:ascii="Calibri" w:hAnsi="Calibri" w:hint="eastAsia"/>
          <w:sz w:val="20"/>
          <w:rtl/>
        </w:rPr>
        <w:t>בעולם</w:t>
      </w:r>
      <w:r w:rsidRPr="00DD6107">
        <w:rPr>
          <w:rFonts w:ascii="Calibri" w:hAnsi="Calibri"/>
          <w:sz w:val="20"/>
          <w:rtl/>
        </w:rPr>
        <w:t xml:space="preserve"> </w:t>
      </w:r>
      <w:r w:rsidRPr="00DD6107">
        <w:rPr>
          <w:rFonts w:ascii="Calibri" w:hAnsi="Calibri" w:hint="eastAsia"/>
          <w:sz w:val="20"/>
          <w:rtl/>
        </w:rPr>
        <w:t>הפלילי</w:t>
      </w:r>
      <w:r w:rsidRPr="00DD6107">
        <w:rPr>
          <w:rFonts w:ascii="Calibri" w:hAnsi="Calibri"/>
          <w:sz w:val="20"/>
          <w:rtl/>
        </w:rPr>
        <w:t xml:space="preserve">, </w:t>
      </w:r>
      <w:r w:rsidRPr="00DD6107">
        <w:rPr>
          <w:rFonts w:ascii="Century" w:hAnsi="Century" w:hint="eastAsia"/>
          <w:sz w:val="20"/>
          <w:rtl/>
        </w:rPr>
        <w:t>נכונים</w:t>
      </w:r>
      <w:r w:rsidRPr="00DD6107">
        <w:rPr>
          <w:rFonts w:ascii="Century" w:hAnsi="Century"/>
          <w:sz w:val="20"/>
          <w:rtl/>
        </w:rPr>
        <w:t xml:space="preserve"> </w:t>
      </w:r>
      <w:r w:rsidRPr="00DD6107">
        <w:rPr>
          <w:rFonts w:ascii="Century" w:hAnsi="Century" w:hint="eastAsia"/>
          <w:sz w:val="20"/>
          <w:rtl/>
        </w:rPr>
        <w:t>כיום</w:t>
      </w:r>
      <w:r w:rsidRPr="00DD6107">
        <w:rPr>
          <w:rFonts w:ascii="Century" w:hAnsi="Century"/>
          <w:sz w:val="20"/>
          <w:rtl/>
        </w:rPr>
        <w:t xml:space="preserve"> </w:t>
      </w:r>
      <w:r w:rsidRPr="00DD6107">
        <w:rPr>
          <w:rFonts w:ascii="Century" w:hAnsi="Century" w:hint="eastAsia"/>
          <w:sz w:val="20"/>
          <w:rtl/>
        </w:rPr>
        <w:t>לילך</w:t>
      </w:r>
      <w:r w:rsidRPr="00DD6107">
        <w:rPr>
          <w:rFonts w:ascii="Century" w:hAnsi="Century"/>
          <w:sz w:val="20"/>
          <w:rtl/>
        </w:rPr>
        <w:t xml:space="preserve"> </w:t>
      </w:r>
      <w:r w:rsidRPr="00DD6107">
        <w:rPr>
          <w:rFonts w:ascii="Century" w:hAnsi="Century" w:hint="eastAsia"/>
          <w:sz w:val="20"/>
          <w:rtl/>
        </w:rPr>
        <w:t>צעד</w:t>
      </w:r>
      <w:r w:rsidRPr="00DD6107">
        <w:rPr>
          <w:rFonts w:ascii="Century" w:hAnsi="Century"/>
          <w:sz w:val="20"/>
          <w:rtl/>
        </w:rPr>
        <w:t xml:space="preserve"> </w:t>
      </w:r>
      <w:r w:rsidRPr="00DD6107">
        <w:rPr>
          <w:rFonts w:ascii="Century" w:hAnsi="Century" w:hint="eastAsia"/>
          <w:sz w:val="20"/>
          <w:rtl/>
        </w:rPr>
        <w:t>נוסף</w:t>
      </w:r>
      <w:r w:rsidRPr="00DD6107">
        <w:rPr>
          <w:rFonts w:ascii="Century" w:hAnsi="Century"/>
          <w:sz w:val="20"/>
          <w:rtl/>
        </w:rPr>
        <w:t xml:space="preserve"> </w:t>
      </w:r>
      <w:r w:rsidRPr="00DD6107">
        <w:rPr>
          <w:rFonts w:ascii="Century" w:hAnsi="Century" w:hint="eastAsia"/>
          <w:sz w:val="20"/>
          <w:rtl/>
        </w:rPr>
        <w:t>ולהפוך</w:t>
      </w:r>
      <w:r w:rsidRPr="00DD6107">
        <w:rPr>
          <w:rFonts w:ascii="Century" w:hAnsi="Century"/>
          <w:sz w:val="20"/>
          <w:rtl/>
        </w:rPr>
        <w:t xml:space="preserve"> </w:t>
      </w:r>
      <w:r w:rsidRPr="00DD6107">
        <w:rPr>
          <w:rFonts w:ascii="Century" w:hAnsi="Century" w:hint="eastAsia"/>
          <w:sz w:val="20"/>
          <w:rtl/>
        </w:rPr>
        <w:t>למגדלים</w:t>
      </w:r>
      <w:r w:rsidRPr="00DD6107">
        <w:rPr>
          <w:rFonts w:ascii="Century" w:hAnsi="Century"/>
          <w:sz w:val="20"/>
          <w:rtl/>
        </w:rPr>
        <w:t xml:space="preserve"> </w:t>
      </w:r>
      <w:r w:rsidRPr="00DD6107">
        <w:rPr>
          <w:rFonts w:ascii="Century" w:hAnsi="Century" w:hint="eastAsia"/>
          <w:sz w:val="20"/>
          <w:rtl/>
        </w:rPr>
        <w:t>ולסוחרים</w:t>
      </w:r>
      <w:r w:rsidRPr="00DD6107">
        <w:rPr>
          <w:rFonts w:ascii="Century" w:hAnsi="Century"/>
          <w:sz w:val="20"/>
          <w:rtl/>
        </w:rPr>
        <w:t xml:space="preserve"> </w:t>
      </w:r>
      <w:r w:rsidRPr="00DD6107">
        <w:rPr>
          <w:rFonts w:ascii="David" w:hAnsi="David"/>
          <w:color w:val="000000"/>
          <w:rtl/>
        </w:rPr>
        <w:t>בסם</w:t>
      </w:r>
      <w:r w:rsidRPr="00DD6107">
        <w:rPr>
          <w:rFonts w:ascii="Century" w:hAnsi="Century"/>
          <w:sz w:val="20"/>
          <w:rtl/>
        </w:rPr>
        <w:t xml:space="preserve">. </w:t>
      </w:r>
      <w:r w:rsidRPr="00DD6107">
        <w:rPr>
          <w:rFonts w:ascii="Century" w:hAnsi="Century" w:hint="eastAsia"/>
          <w:sz w:val="20"/>
          <w:rtl/>
        </w:rPr>
        <w:t>זאת</w:t>
      </w:r>
      <w:r w:rsidRPr="00DD6107">
        <w:rPr>
          <w:rFonts w:ascii="Century" w:hAnsi="Century"/>
          <w:sz w:val="20"/>
          <w:rtl/>
        </w:rPr>
        <w:t xml:space="preserve">, </w:t>
      </w:r>
      <w:r w:rsidRPr="00DD6107">
        <w:rPr>
          <w:rFonts w:ascii="Century" w:hAnsi="Century" w:hint="eastAsia"/>
          <w:sz w:val="20"/>
          <w:rtl/>
        </w:rPr>
        <w:t>מתוך</w:t>
      </w:r>
      <w:r w:rsidRPr="00DD6107">
        <w:rPr>
          <w:rFonts w:ascii="Century" w:hAnsi="Century"/>
          <w:sz w:val="20"/>
          <w:rtl/>
        </w:rPr>
        <w:t xml:space="preserve"> </w:t>
      </w:r>
      <w:r w:rsidRPr="00DD6107">
        <w:rPr>
          <w:rFonts w:ascii="Century" w:hAnsi="Century" w:hint="eastAsia"/>
          <w:sz w:val="20"/>
          <w:rtl/>
        </w:rPr>
        <w:t>תפיסה</w:t>
      </w:r>
      <w:r w:rsidRPr="00DD6107">
        <w:rPr>
          <w:rFonts w:ascii="Century" w:hAnsi="Century"/>
          <w:sz w:val="20"/>
          <w:rtl/>
        </w:rPr>
        <w:t xml:space="preserve"> </w:t>
      </w:r>
      <w:r w:rsidRPr="00DD6107">
        <w:rPr>
          <w:rFonts w:ascii="Century" w:hAnsi="Century" w:hint="eastAsia"/>
          <w:sz w:val="20"/>
          <w:rtl/>
        </w:rPr>
        <w:t>שגויה</w:t>
      </w:r>
      <w:r w:rsidRPr="00DD6107">
        <w:rPr>
          <w:rFonts w:ascii="Century" w:hAnsi="Century"/>
          <w:sz w:val="20"/>
          <w:rtl/>
        </w:rPr>
        <w:t xml:space="preserve"> </w:t>
      </w:r>
      <w:r w:rsidRPr="00DD6107">
        <w:rPr>
          <w:rFonts w:ascii="Century" w:hAnsi="Century" w:hint="eastAsia"/>
          <w:sz w:val="20"/>
          <w:rtl/>
        </w:rPr>
        <w:t>כי</w:t>
      </w:r>
      <w:r w:rsidRPr="00DD6107">
        <w:rPr>
          <w:rFonts w:ascii="Century" w:hAnsi="Century"/>
          <w:sz w:val="20"/>
          <w:rtl/>
        </w:rPr>
        <w:t xml:space="preserve"> </w:t>
      </w:r>
      <w:r w:rsidRPr="00DD6107">
        <w:rPr>
          <w:rFonts w:ascii="Century" w:hAnsi="Century" w:hint="eastAsia"/>
          <w:sz w:val="20"/>
          <w:rtl/>
        </w:rPr>
        <w:t>מדובר</w:t>
      </w:r>
      <w:r w:rsidRPr="00DD6107">
        <w:rPr>
          <w:rFonts w:ascii="Century" w:hAnsi="Century"/>
          <w:sz w:val="20"/>
          <w:rtl/>
        </w:rPr>
        <w:t xml:space="preserve"> </w:t>
      </w:r>
      <w:r w:rsidRPr="00DD6107">
        <w:rPr>
          <w:rFonts w:ascii="Century" w:hAnsi="Century" w:hint="eastAsia"/>
          <w:sz w:val="20"/>
          <w:rtl/>
        </w:rPr>
        <w:t>ב</w:t>
      </w:r>
      <w:r w:rsidRPr="00DD6107">
        <w:rPr>
          <w:rFonts w:ascii="Century" w:hAnsi="Century"/>
          <w:sz w:val="20"/>
          <w:rtl/>
        </w:rPr>
        <w:t>"</w:t>
      </w:r>
      <w:r w:rsidRPr="00DD6107">
        <w:rPr>
          <w:rFonts w:ascii="Century" w:hAnsi="Century" w:hint="eastAsia"/>
          <w:sz w:val="20"/>
          <w:rtl/>
        </w:rPr>
        <w:t>סמים</w:t>
      </w:r>
      <w:r w:rsidRPr="00DD6107">
        <w:rPr>
          <w:rFonts w:ascii="Century" w:hAnsi="Century"/>
          <w:sz w:val="20"/>
          <w:rtl/>
        </w:rPr>
        <w:t xml:space="preserve"> </w:t>
      </w:r>
      <w:r w:rsidRPr="00DD6107">
        <w:rPr>
          <w:rFonts w:ascii="Century" w:hAnsi="Century" w:hint="eastAsia"/>
          <w:sz w:val="20"/>
          <w:rtl/>
        </w:rPr>
        <w:t>קלים</w:t>
      </w:r>
      <w:r w:rsidRPr="00DD6107">
        <w:rPr>
          <w:rFonts w:ascii="Century" w:hAnsi="Century"/>
          <w:sz w:val="20"/>
          <w:rtl/>
        </w:rPr>
        <w:t xml:space="preserve">", </w:t>
      </w:r>
      <w:r w:rsidRPr="00DD6107">
        <w:rPr>
          <w:rFonts w:ascii="Century" w:hAnsi="Century" w:hint="eastAsia"/>
          <w:sz w:val="20"/>
          <w:rtl/>
        </w:rPr>
        <w:t>ובהינתן</w:t>
      </w:r>
      <w:r w:rsidRPr="00DD6107">
        <w:rPr>
          <w:rFonts w:ascii="Century" w:hAnsi="Century"/>
          <w:sz w:val="20"/>
          <w:rtl/>
        </w:rPr>
        <w:t xml:space="preserve"> </w:t>
      </w:r>
      <w:r w:rsidRPr="00DD6107">
        <w:rPr>
          <w:rFonts w:ascii="Century" w:hAnsi="Century" w:hint="eastAsia"/>
          <w:sz w:val="20"/>
          <w:rtl/>
        </w:rPr>
        <w:t>הטכנולוגיה</w:t>
      </w:r>
      <w:r w:rsidRPr="00DD6107">
        <w:rPr>
          <w:rFonts w:ascii="Century" w:hAnsi="Century"/>
          <w:sz w:val="20"/>
          <w:rtl/>
        </w:rPr>
        <w:t xml:space="preserve"> </w:t>
      </w:r>
      <w:r w:rsidRPr="00DD6107">
        <w:rPr>
          <w:rFonts w:ascii="Century" w:hAnsi="Century" w:hint="eastAsia"/>
          <w:sz w:val="20"/>
          <w:rtl/>
        </w:rPr>
        <w:t>המאפשרת</w:t>
      </w:r>
      <w:r w:rsidRPr="00DD6107">
        <w:rPr>
          <w:rFonts w:ascii="Century" w:hAnsi="Century"/>
          <w:sz w:val="20"/>
          <w:rtl/>
        </w:rPr>
        <w:t xml:space="preserve"> </w:t>
      </w:r>
      <w:r w:rsidRPr="00DD6107">
        <w:rPr>
          <w:rFonts w:ascii="Century" w:hAnsi="Century" w:hint="eastAsia"/>
          <w:sz w:val="20"/>
          <w:rtl/>
        </w:rPr>
        <w:t>מכירה</w:t>
      </w:r>
      <w:r w:rsidRPr="00DD6107">
        <w:rPr>
          <w:rFonts w:ascii="Century" w:hAnsi="Century"/>
          <w:sz w:val="20"/>
          <w:rtl/>
        </w:rPr>
        <w:t xml:space="preserve"> </w:t>
      </w:r>
      <w:r w:rsidRPr="00DD6107">
        <w:rPr>
          <w:rFonts w:ascii="Century" w:hAnsi="Century" w:hint="eastAsia"/>
          <w:sz w:val="20"/>
          <w:rtl/>
        </w:rPr>
        <w:t>והפצה</w:t>
      </w:r>
      <w:r w:rsidRPr="00DD6107">
        <w:rPr>
          <w:rFonts w:ascii="Century" w:hAnsi="Century"/>
          <w:sz w:val="20"/>
          <w:rtl/>
        </w:rPr>
        <w:t xml:space="preserve"> </w:t>
      </w:r>
      <w:r w:rsidRPr="00DD6107">
        <w:rPr>
          <w:rFonts w:ascii="Century" w:hAnsi="Century" w:hint="eastAsia"/>
          <w:sz w:val="20"/>
          <w:rtl/>
        </w:rPr>
        <w:t>קלה</w:t>
      </w:r>
      <w:r w:rsidRPr="00DD6107">
        <w:rPr>
          <w:rFonts w:ascii="Century" w:hAnsi="Century"/>
          <w:sz w:val="20"/>
          <w:rtl/>
        </w:rPr>
        <w:t xml:space="preserve"> </w:t>
      </w:r>
      <w:r w:rsidRPr="00DD6107">
        <w:rPr>
          <w:rFonts w:ascii="Century" w:hAnsi="Century" w:hint="eastAsia"/>
          <w:sz w:val="20"/>
          <w:rtl/>
        </w:rPr>
        <w:t>ו</w:t>
      </w:r>
      <w:r w:rsidRPr="00DD6107">
        <w:rPr>
          <w:rFonts w:ascii="Century" w:hAnsi="Century"/>
          <w:sz w:val="20"/>
          <w:rtl/>
        </w:rPr>
        <w:t>"</w:t>
      </w:r>
      <w:r w:rsidRPr="00DD6107">
        <w:rPr>
          <w:rFonts w:ascii="Century" w:hAnsi="Century" w:hint="eastAsia"/>
          <w:sz w:val="20"/>
          <w:rtl/>
        </w:rPr>
        <w:t>סטרילית</w:t>
      </w:r>
      <w:r w:rsidRPr="00DD6107">
        <w:rPr>
          <w:rFonts w:ascii="Century" w:hAnsi="Century"/>
          <w:sz w:val="20"/>
          <w:rtl/>
        </w:rPr>
        <w:t xml:space="preserve">" </w:t>
      </w:r>
      <w:r w:rsidRPr="00DD6107">
        <w:rPr>
          <w:rFonts w:ascii="Century" w:hAnsi="Century" w:hint="eastAsia"/>
          <w:sz w:val="20"/>
          <w:rtl/>
        </w:rPr>
        <w:t>של</w:t>
      </w:r>
      <w:r w:rsidRPr="00DD6107">
        <w:rPr>
          <w:rFonts w:ascii="Century" w:hAnsi="Century"/>
          <w:sz w:val="20"/>
          <w:rtl/>
        </w:rPr>
        <w:t xml:space="preserve"> </w:t>
      </w:r>
      <w:r w:rsidRPr="00DD6107">
        <w:rPr>
          <w:rFonts w:ascii="Century" w:hAnsi="Century" w:hint="eastAsia"/>
          <w:sz w:val="20"/>
          <w:rtl/>
        </w:rPr>
        <w:t>סמים</w:t>
      </w:r>
      <w:r w:rsidRPr="00DD6107">
        <w:rPr>
          <w:rFonts w:ascii="Century" w:hAnsi="Century"/>
          <w:sz w:val="20"/>
          <w:rtl/>
        </w:rPr>
        <w:t xml:space="preserve">. </w:t>
      </w:r>
      <w:r w:rsidRPr="00DD6107">
        <w:rPr>
          <w:rFonts w:ascii="Century" w:hAnsi="Century" w:hint="eastAsia"/>
          <w:sz w:val="20"/>
          <w:rtl/>
        </w:rPr>
        <w:t>ברם</w:t>
      </w:r>
      <w:r w:rsidRPr="00DD6107">
        <w:rPr>
          <w:rFonts w:ascii="Century" w:hAnsi="Century"/>
          <w:sz w:val="20"/>
          <w:rtl/>
        </w:rPr>
        <w:t xml:space="preserve">, </w:t>
      </w:r>
      <w:r w:rsidRPr="00DD6107">
        <w:rPr>
          <w:rFonts w:ascii="Century" w:hAnsi="Century" w:hint="eastAsia"/>
          <w:sz w:val="20"/>
          <w:rtl/>
        </w:rPr>
        <w:t>סחר</w:t>
      </w:r>
      <w:r w:rsidRPr="00DD6107">
        <w:rPr>
          <w:rFonts w:ascii="Century" w:hAnsi="Century"/>
          <w:sz w:val="20"/>
          <w:rtl/>
        </w:rPr>
        <w:t xml:space="preserve"> </w:t>
      </w:r>
      <w:r w:rsidRPr="00DD6107">
        <w:rPr>
          <w:rFonts w:ascii="Century" w:hAnsi="Century" w:hint="eastAsia"/>
          <w:sz w:val="20"/>
          <w:rtl/>
        </w:rPr>
        <w:t>בסמים</w:t>
      </w:r>
      <w:r w:rsidRPr="00DD6107">
        <w:rPr>
          <w:rFonts w:ascii="Century" w:hAnsi="Century"/>
          <w:sz w:val="20"/>
          <w:rtl/>
        </w:rPr>
        <w:t xml:space="preserve"> </w:t>
      </w:r>
      <w:r w:rsidRPr="00DD6107">
        <w:rPr>
          <w:rFonts w:ascii="Century" w:hAnsi="Century" w:hint="eastAsia"/>
          <w:sz w:val="20"/>
          <w:rtl/>
        </w:rPr>
        <w:t>הוא</w:t>
      </w:r>
      <w:r w:rsidRPr="00DD6107">
        <w:rPr>
          <w:rFonts w:ascii="Century" w:hAnsi="Century"/>
          <w:sz w:val="20"/>
          <w:rtl/>
        </w:rPr>
        <w:t xml:space="preserve"> </w:t>
      </w:r>
      <w:r w:rsidRPr="00DD6107">
        <w:rPr>
          <w:rFonts w:ascii="Century" w:hAnsi="Century" w:hint="eastAsia"/>
          <w:sz w:val="20"/>
          <w:rtl/>
        </w:rPr>
        <w:t>סחר</w:t>
      </w:r>
      <w:r w:rsidRPr="00DD6107">
        <w:rPr>
          <w:rFonts w:ascii="Century" w:hAnsi="Century"/>
          <w:sz w:val="20"/>
          <w:rtl/>
        </w:rPr>
        <w:t xml:space="preserve"> </w:t>
      </w:r>
      <w:r w:rsidRPr="00DD6107">
        <w:rPr>
          <w:rFonts w:ascii="Century" w:hAnsi="Century" w:hint="eastAsia"/>
          <w:sz w:val="20"/>
          <w:rtl/>
        </w:rPr>
        <w:t>בסמים</w:t>
      </w:r>
      <w:r w:rsidRPr="00DD6107">
        <w:rPr>
          <w:rFonts w:ascii="Century" w:hAnsi="Century"/>
          <w:sz w:val="20"/>
          <w:rtl/>
        </w:rPr>
        <w:t xml:space="preserve">. </w:t>
      </w:r>
      <w:r w:rsidRPr="00DD6107">
        <w:rPr>
          <w:rFonts w:ascii="Century" w:hAnsi="Century" w:hint="eastAsia"/>
          <w:sz w:val="20"/>
          <w:rtl/>
        </w:rPr>
        <w:t>ידע</w:t>
      </w:r>
      <w:r w:rsidRPr="00DD6107">
        <w:rPr>
          <w:rFonts w:ascii="Century" w:hAnsi="Century"/>
          <w:sz w:val="20"/>
          <w:rtl/>
        </w:rPr>
        <w:t xml:space="preserve"> </w:t>
      </w:r>
      <w:r w:rsidRPr="00DD6107">
        <w:rPr>
          <w:rFonts w:ascii="Century" w:hAnsi="Century" w:hint="eastAsia"/>
          <w:sz w:val="20"/>
          <w:rtl/>
        </w:rPr>
        <w:t>כל</w:t>
      </w:r>
      <w:r w:rsidRPr="00DD6107">
        <w:rPr>
          <w:rFonts w:ascii="Century" w:hAnsi="Century"/>
          <w:sz w:val="20"/>
          <w:rtl/>
        </w:rPr>
        <w:t xml:space="preserve"> </w:t>
      </w:r>
      <w:r w:rsidRPr="00DD6107">
        <w:rPr>
          <w:rFonts w:ascii="Century" w:hAnsi="Century" w:hint="eastAsia"/>
          <w:sz w:val="20"/>
          <w:rtl/>
        </w:rPr>
        <w:t>מי</w:t>
      </w:r>
      <w:r w:rsidRPr="00DD6107">
        <w:rPr>
          <w:rFonts w:ascii="Century" w:hAnsi="Century"/>
          <w:sz w:val="20"/>
          <w:rtl/>
        </w:rPr>
        <w:t xml:space="preserve"> </w:t>
      </w:r>
      <w:r w:rsidRPr="00DD6107">
        <w:rPr>
          <w:rFonts w:ascii="Century" w:hAnsi="Century" w:hint="eastAsia"/>
          <w:sz w:val="20"/>
          <w:rtl/>
        </w:rPr>
        <w:t>שמהרהר</w:t>
      </w:r>
      <w:r w:rsidRPr="00DD6107">
        <w:rPr>
          <w:rFonts w:ascii="Century" w:hAnsi="Century"/>
          <w:sz w:val="20"/>
          <w:rtl/>
        </w:rPr>
        <w:t xml:space="preserve"> </w:t>
      </w:r>
      <w:r w:rsidRPr="00DD6107">
        <w:rPr>
          <w:rFonts w:ascii="Century" w:hAnsi="Century" w:hint="eastAsia"/>
          <w:sz w:val="20"/>
          <w:rtl/>
        </w:rPr>
        <w:t>בדרכים</w:t>
      </w:r>
      <w:r w:rsidRPr="00DD6107">
        <w:rPr>
          <w:rFonts w:ascii="Century" w:hAnsi="Century"/>
          <w:sz w:val="20"/>
          <w:rtl/>
        </w:rPr>
        <w:t xml:space="preserve"> </w:t>
      </w:r>
      <w:r w:rsidRPr="00DD6107">
        <w:rPr>
          <w:rFonts w:ascii="Century" w:hAnsi="Century" w:hint="eastAsia"/>
          <w:sz w:val="20"/>
          <w:rtl/>
        </w:rPr>
        <w:t>לעשיית</w:t>
      </w:r>
      <w:r w:rsidRPr="00DD6107">
        <w:rPr>
          <w:rFonts w:ascii="Century" w:hAnsi="Century"/>
          <w:sz w:val="20"/>
          <w:rtl/>
        </w:rPr>
        <w:t xml:space="preserve"> </w:t>
      </w:r>
      <w:r w:rsidRPr="00DD6107">
        <w:rPr>
          <w:rFonts w:ascii="Century" w:hAnsi="Century" w:hint="eastAsia"/>
          <w:sz w:val="20"/>
          <w:rtl/>
        </w:rPr>
        <w:t>כסף</w:t>
      </w:r>
      <w:r w:rsidRPr="00DD6107">
        <w:rPr>
          <w:rFonts w:ascii="Century" w:hAnsi="Century"/>
          <w:sz w:val="20"/>
          <w:rtl/>
        </w:rPr>
        <w:t xml:space="preserve"> </w:t>
      </w:r>
      <w:r w:rsidRPr="00DD6107">
        <w:rPr>
          <w:rFonts w:ascii="Century" w:hAnsi="Century" w:hint="eastAsia"/>
          <w:sz w:val="20"/>
          <w:rtl/>
        </w:rPr>
        <w:t>קל</w:t>
      </w:r>
      <w:r w:rsidRPr="00DD6107">
        <w:rPr>
          <w:rFonts w:ascii="Century" w:hAnsi="Century"/>
          <w:sz w:val="20"/>
          <w:rtl/>
        </w:rPr>
        <w:t xml:space="preserve">, </w:t>
      </w:r>
      <w:r w:rsidRPr="00DD6107">
        <w:rPr>
          <w:rFonts w:ascii="Century" w:hAnsi="Century" w:hint="eastAsia"/>
          <w:sz w:val="20"/>
          <w:rtl/>
        </w:rPr>
        <w:t>כי</w:t>
      </w:r>
      <w:r w:rsidRPr="00DD6107">
        <w:rPr>
          <w:rFonts w:ascii="Century" w:hAnsi="Century"/>
          <w:sz w:val="20"/>
          <w:rtl/>
        </w:rPr>
        <w:t xml:space="preserve"> </w:t>
      </w:r>
      <w:r w:rsidRPr="00DD6107">
        <w:rPr>
          <w:rFonts w:ascii="Century" w:hAnsi="Century" w:hint="eastAsia"/>
          <w:sz w:val="20"/>
          <w:rtl/>
        </w:rPr>
        <w:t>מדיניות</w:t>
      </w:r>
      <w:r w:rsidRPr="00DD6107">
        <w:rPr>
          <w:rFonts w:ascii="Century" w:hAnsi="Century"/>
          <w:sz w:val="20"/>
          <w:rtl/>
        </w:rPr>
        <w:t xml:space="preserve"> </w:t>
      </w:r>
      <w:r w:rsidRPr="00DD6107">
        <w:rPr>
          <w:rFonts w:ascii="Century" w:hAnsi="Century" w:hint="eastAsia"/>
          <w:sz w:val="20"/>
          <w:rtl/>
        </w:rPr>
        <w:t>הענישה</w:t>
      </w:r>
      <w:r w:rsidRPr="00DD6107">
        <w:rPr>
          <w:rFonts w:ascii="Century" w:hAnsi="Century"/>
          <w:sz w:val="20"/>
          <w:rtl/>
        </w:rPr>
        <w:t xml:space="preserve"> </w:t>
      </w:r>
      <w:r w:rsidRPr="00DD6107">
        <w:rPr>
          <w:rFonts w:ascii="Century" w:hAnsi="Century" w:hint="eastAsia"/>
          <w:sz w:val="20"/>
          <w:rtl/>
        </w:rPr>
        <w:t>לא</w:t>
      </w:r>
      <w:r w:rsidRPr="00DD6107">
        <w:rPr>
          <w:rFonts w:ascii="Century" w:hAnsi="Century"/>
          <w:sz w:val="20"/>
          <w:rtl/>
        </w:rPr>
        <w:t xml:space="preserve"> </w:t>
      </w:r>
      <w:r w:rsidRPr="00DD6107">
        <w:rPr>
          <w:rFonts w:ascii="Century" w:hAnsi="Century" w:hint="eastAsia"/>
          <w:sz w:val="20"/>
          <w:rtl/>
        </w:rPr>
        <w:t>השתנתה</w:t>
      </w:r>
      <w:r w:rsidRPr="00DD6107">
        <w:rPr>
          <w:rFonts w:ascii="Century" w:hAnsi="Century"/>
          <w:sz w:val="20"/>
          <w:rtl/>
        </w:rPr>
        <w:t xml:space="preserve"> </w:t>
      </w:r>
      <w:r w:rsidRPr="00DD6107">
        <w:rPr>
          <w:rFonts w:ascii="Century" w:hAnsi="Century" w:hint="eastAsia"/>
          <w:sz w:val="20"/>
          <w:rtl/>
        </w:rPr>
        <w:t>ובית</w:t>
      </w:r>
      <w:r w:rsidRPr="00DD6107">
        <w:rPr>
          <w:rFonts w:ascii="Century" w:hAnsi="Century"/>
          <w:sz w:val="20"/>
          <w:rtl/>
        </w:rPr>
        <w:t xml:space="preserve"> </w:t>
      </w:r>
      <w:r w:rsidRPr="00DD6107">
        <w:rPr>
          <w:rFonts w:ascii="Century" w:hAnsi="Century" w:hint="eastAsia"/>
          <w:sz w:val="20"/>
          <w:rtl/>
        </w:rPr>
        <w:t>המשפט</w:t>
      </w:r>
      <w:r w:rsidRPr="00DD6107">
        <w:rPr>
          <w:rFonts w:ascii="Century" w:hAnsi="Century"/>
          <w:sz w:val="20"/>
          <w:rtl/>
        </w:rPr>
        <w:t xml:space="preserve"> </w:t>
      </w:r>
      <w:r w:rsidRPr="00DD6107">
        <w:rPr>
          <w:rFonts w:ascii="Century" w:hAnsi="Century" w:hint="eastAsia"/>
          <w:sz w:val="20"/>
          <w:rtl/>
        </w:rPr>
        <w:t>רואה</w:t>
      </w:r>
      <w:r w:rsidRPr="00DD6107">
        <w:rPr>
          <w:rFonts w:ascii="Century" w:hAnsi="Century"/>
          <w:sz w:val="20"/>
          <w:rtl/>
        </w:rPr>
        <w:t xml:space="preserve"> </w:t>
      </w:r>
      <w:r w:rsidRPr="00DD6107">
        <w:rPr>
          <w:rFonts w:ascii="Century" w:hAnsi="Century" w:hint="eastAsia"/>
          <w:sz w:val="20"/>
          <w:rtl/>
        </w:rPr>
        <w:t>בחומרה</w:t>
      </w:r>
      <w:r w:rsidRPr="00DD6107">
        <w:rPr>
          <w:rFonts w:ascii="Century" w:hAnsi="Century"/>
          <w:sz w:val="20"/>
          <w:rtl/>
        </w:rPr>
        <w:t xml:space="preserve"> </w:t>
      </w:r>
      <w:r w:rsidRPr="00DD6107">
        <w:rPr>
          <w:rFonts w:ascii="Century" w:hAnsi="Century" w:hint="eastAsia"/>
          <w:sz w:val="20"/>
          <w:rtl/>
        </w:rPr>
        <w:t>עבירות</w:t>
      </w:r>
      <w:r w:rsidRPr="00DD6107">
        <w:rPr>
          <w:rFonts w:ascii="Century" w:hAnsi="Century"/>
          <w:sz w:val="20"/>
          <w:rtl/>
        </w:rPr>
        <w:t xml:space="preserve"> </w:t>
      </w:r>
      <w:r w:rsidRPr="00DD6107">
        <w:rPr>
          <w:rFonts w:ascii="Century" w:hAnsi="Century" w:hint="eastAsia"/>
          <w:sz w:val="20"/>
          <w:rtl/>
        </w:rPr>
        <w:t>של</w:t>
      </w:r>
      <w:r w:rsidRPr="00DD6107">
        <w:rPr>
          <w:rFonts w:ascii="Century" w:hAnsi="Century"/>
          <w:sz w:val="20"/>
          <w:rtl/>
        </w:rPr>
        <w:t xml:space="preserve"> </w:t>
      </w:r>
      <w:r w:rsidRPr="00DD6107">
        <w:rPr>
          <w:rFonts w:ascii="Century" w:hAnsi="Century" w:hint="eastAsia"/>
          <w:sz w:val="20"/>
          <w:rtl/>
        </w:rPr>
        <w:t>סחר</w:t>
      </w:r>
      <w:r w:rsidRPr="00DD6107">
        <w:rPr>
          <w:rFonts w:ascii="Century" w:hAnsi="Century"/>
          <w:sz w:val="20"/>
          <w:rtl/>
        </w:rPr>
        <w:t xml:space="preserve"> </w:t>
      </w:r>
      <w:r w:rsidRPr="00DD6107">
        <w:rPr>
          <w:rFonts w:ascii="Century" w:hAnsi="Century" w:hint="eastAsia"/>
          <w:sz w:val="20"/>
          <w:rtl/>
        </w:rPr>
        <w:t>והפצה</w:t>
      </w:r>
      <w:r w:rsidRPr="00DD6107">
        <w:rPr>
          <w:rFonts w:ascii="Century" w:hAnsi="Century"/>
          <w:sz w:val="20"/>
          <w:rtl/>
        </w:rPr>
        <w:t xml:space="preserve"> </w:t>
      </w:r>
      <w:r w:rsidRPr="00DD6107">
        <w:rPr>
          <w:rFonts w:ascii="Century" w:hAnsi="Century" w:hint="eastAsia"/>
          <w:sz w:val="20"/>
          <w:rtl/>
        </w:rPr>
        <w:t>של</w:t>
      </w:r>
      <w:r w:rsidRPr="00DD6107">
        <w:rPr>
          <w:rFonts w:ascii="Century" w:hAnsi="Century"/>
          <w:sz w:val="20"/>
          <w:rtl/>
        </w:rPr>
        <w:t xml:space="preserve"> </w:t>
      </w:r>
      <w:r w:rsidRPr="00DD6107">
        <w:rPr>
          <w:rFonts w:ascii="Century" w:hAnsi="Century" w:hint="eastAsia"/>
          <w:sz w:val="20"/>
          <w:rtl/>
        </w:rPr>
        <w:t>סמים</w:t>
      </w:r>
      <w:r w:rsidRPr="00DD6107">
        <w:rPr>
          <w:rFonts w:ascii="Century" w:hAnsi="Century"/>
          <w:sz w:val="20"/>
          <w:rtl/>
        </w:rPr>
        <w:t xml:space="preserve"> </w:t>
      </w:r>
      <w:r w:rsidRPr="00DD6107">
        <w:rPr>
          <w:rFonts w:ascii="Century" w:hAnsi="Century" w:hint="eastAsia"/>
          <w:sz w:val="20"/>
          <w:rtl/>
        </w:rPr>
        <w:t>מסוכנים</w:t>
      </w:r>
      <w:r w:rsidRPr="00DD6107">
        <w:rPr>
          <w:rFonts w:ascii="Century" w:hAnsi="Century"/>
          <w:sz w:val="20"/>
          <w:rtl/>
        </w:rPr>
        <w:t xml:space="preserve">, </w:t>
      </w:r>
      <w:r w:rsidRPr="00DD6107">
        <w:rPr>
          <w:rFonts w:ascii="Century" w:hAnsi="Century" w:hint="eastAsia"/>
          <w:sz w:val="20"/>
          <w:rtl/>
        </w:rPr>
        <w:t>גם</w:t>
      </w:r>
      <w:r w:rsidRPr="00DD6107">
        <w:rPr>
          <w:rFonts w:ascii="Century" w:hAnsi="Century"/>
          <w:sz w:val="20"/>
          <w:rtl/>
        </w:rPr>
        <w:t xml:space="preserve"> </w:t>
      </w:r>
      <w:r w:rsidRPr="00DD6107">
        <w:rPr>
          <w:rFonts w:ascii="Century" w:hAnsi="Century" w:hint="eastAsia"/>
          <w:sz w:val="20"/>
          <w:rtl/>
        </w:rPr>
        <w:t>סמים</w:t>
      </w:r>
      <w:r w:rsidRPr="00DD6107">
        <w:rPr>
          <w:rFonts w:ascii="Century" w:hAnsi="Century"/>
          <w:sz w:val="20"/>
          <w:rtl/>
        </w:rPr>
        <w:t xml:space="preserve"> "</w:t>
      </w:r>
      <w:r w:rsidRPr="00DD6107">
        <w:rPr>
          <w:rFonts w:ascii="Century" w:hAnsi="Century" w:hint="eastAsia"/>
          <w:sz w:val="20"/>
          <w:rtl/>
        </w:rPr>
        <w:t>קלים</w:t>
      </w:r>
      <w:r w:rsidRPr="00DD6107">
        <w:rPr>
          <w:rFonts w:ascii="Century" w:hAnsi="Century"/>
          <w:sz w:val="20"/>
          <w:rtl/>
        </w:rPr>
        <w:t xml:space="preserve">", </w:t>
      </w:r>
      <w:r w:rsidRPr="00DD6107">
        <w:rPr>
          <w:rFonts w:ascii="Century" w:hAnsi="Century" w:hint="eastAsia"/>
          <w:sz w:val="20"/>
          <w:rtl/>
        </w:rPr>
        <w:t>תוך</w:t>
      </w:r>
      <w:r w:rsidRPr="00DD6107">
        <w:rPr>
          <w:rFonts w:ascii="Century" w:hAnsi="Century"/>
          <w:sz w:val="20"/>
          <w:rtl/>
        </w:rPr>
        <w:t xml:space="preserve"> </w:t>
      </w:r>
      <w:r w:rsidRPr="00DD6107">
        <w:rPr>
          <w:rFonts w:ascii="Century" w:hAnsi="Century" w:hint="eastAsia"/>
          <w:sz w:val="20"/>
          <w:rtl/>
        </w:rPr>
        <w:t>הטלת</w:t>
      </w:r>
      <w:r w:rsidRPr="00DD6107">
        <w:rPr>
          <w:rFonts w:ascii="Century" w:hAnsi="Century"/>
          <w:sz w:val="20"/>
          <w:rtl/>
        </w:rPr>
        <w:t xml:space="preserve"> </w:t>
      </w:r>
      <w:r w:rsidRPr="00DD6107">
        <w:rPr>
          <w:rFonts w:ascii="Century" w:hAnsi="Century" w:hint="eastAsia"/>
          <w:sz w:val="20"/>
          <w:rtl/>
        </w:rPr>
        <w:t>ענישה</w:t>
      </w:r>
      <w:r w:rsidRPr="00DD6107">
        <w:rPr>
          <w:rFonts w:ascii="Century" w:hAnsi="Century"/>
          <w:sz w:val="20"/>
          <w:rtl/>
        </w:rPr>
        <w:t xml:space="preserve"> </w:t>
      </w:r>
      <w:r w:rsidRPr="00DD6107">
        <w:rPr>
          <w:rFonts w:ascii="Century" w:hAnsi="Century" w:hint="eastAsia"/>
          <w:sz w:val="20"/>
          <w:rtl/>
        </w:rPr>
        <w:t>משמעותית</w:t>
      </w:r>
      <w:r w:rsidRPr="00DD6107">
        <w:rPr>
          <w:rFonts w:ascii="Century" w:hAnsi="Century"/>
          <w:sz w:val="20"/>
          <w:rtl/>
        </w:rPr>
        <w:t xml:space="preserve"> </w:t>
      </w:r>
      <w:r w:rsidRPr="00DD6107">
        <w:rPr>
          <w:rFonts w:ascii="Century" w:hAnsi="Century" w:hint="eastAsia"/>
          <w:sz w:val="20"/>
          <w:rtl/>
        </w:rPr>
        <w:t>ומרתיעה</w:t>
      </w:r>
      <w:r w:rsidRPr="00DD6107">
        <w:rPr>
          <w:rFonts w:ascii="Century" w:hAnsi="Century"/>
          <w:sz w:val="20"/>
          <w:rtl/>
        </w:rPr>
        <w:t xml:space="preserve">. </w:t>
      </w:r>
      <w:r w:rsidRPr="00DD6107">
        <w:rPr>
          <w:rFonts w:ascii="Century" w:hAnsi="Century" w:hint="eastAsia"/>
          <w:sz w:val="20"/>
          <w:rtl/>
        </w:rPr>
        <w:t>צרכנים</w:t>
      </w:r>
      <w:r w:rsidRPr="00DD6107">
        <w:rPr>
          <w:rFonts w:ascii="Century" w:hAnsi="Century"/>
          <w:sz w:val="20"/>
          <w:rtl/>
        </w:rPr>
        <w:t xml:space="preserve"> </w:t>
      </w:r>
      <w:r w:rsidRPr="00DD6107">
        <w:rPr>
          <w:rFonts w:ascii="Century" w:hAnsi="Century" w:hint="eastAsia"/>
          <w:sz w:val="20"/>
          <w:rtl/>
        </w:rPr>
        <w:t>ומשתמשים</w:t>
      </w:r>
      <w:r w:rsidRPr="00DD6107">
        <w:rPr>
          <w:rFonts w:ascii="Century" w:hAnsi="Century"/>
          <w:sz w:val="20"/>
          <w:rtl/>
        </w:rPr>
        <w:t xml:space="preserve"> – </w:t>
      </w:r>
      <w:r w:rsidRPr="00DD6107">
        <w:rPr>
          <w:rFonts w:ascii="Century" w:hAnsi="Century" w:hint="eastAsia"/>
          <w:sz w:val="20"/>
          <w:rtl/>
        </w:rPr>
        <w:t>ראו</w:t>
      </w:r>
      <w:r w:rsidRPr="00DD6107">
        <w:rPr>
          <w:rFonts w:ascii="Century" w:hAnsi="Century"/>
          <w:sz w:val="20"/>
          <w:rtl/>
        </w:rPr>
        <w:t xml:space="preserve"> </w:t>
      </w:r>
      <w:r w:rsidRPr="00DD6107">
        <w:rPr>
          <w:rFonts w:ascii="Century" w:hAnsi="Century" w:hint="eastAsia"/>
          <w:sz w:val="20"/>
          <w:rtl/>
        </w:rPr>
        <w:t>הוזהרתם</w:t>
      </w:r>
      <w:r w:rsidRPr="00DD6107">
        <w:rPr>
          <w:rFonts w:ascii="Century" w:hAnsi="Century"/>
          <w:sz w:val="20"/>
          <w:rtl/>
        </w:rPr>
        <w:t xml:space="preserve">". </w:t>
      </w:r>
    </w:p>
    <w:p w14:paraId="54C1124C" w14:textId="77777777" w:rsidR="00620519" w:rsidRPr="00DD6107" w:rsidRDefault="00620519" w:rsidP="00620519">
      <w:pPr>
        <w:spacing w:after="120" w:line="360" w:lineRule="auto"/>
        <w:ind w:left="720"/>
        <w:jc w:val="both"/>
        <w:rPr>
          <w:rFonts w:ascii="David" w:hAnsi="David"/>
          <w:color w:val="000000"/>
          <w:rtl/>
        </w:rPr>
      </w:pPr>
      <w:r w:rsidRPr="00DD6107">
        <w:rPr>
          <w:rFonts w:ascii="David" w:hAnsi="David"/>
          <w:color w:val="000000"/>
          <w:rtl/>
        </w:rPr>
        <w:t xml:space="preserve">דברים דומים נקבעו על ידי כב' השופט הנדל </w:t>
      </w:r>
      <w:r w:rsidRPr="00DD6107">
        <w:rPr>
          <w:rFonts w:ascii="David" w:hAnsi="David"/>
          <w:rtl/>
        </w:rPr>
        <w:t>ב</w:t>
      </w:r>
      <w:hyperlink r:id="rId19" w:history="1">
        <w:r w:rsidR="003E7813" w:rsidRPr="003E7813">
          <w:rPr>
            <w:rFonts w:ascii="David" w:hAnsi="David"/>
            <w:color w:val="0000FF"/>
            <w:u w:val="single"/>
            <w:rtl/>
          </w:rPr>
          <w:t>ע"פ 5807/17</w:t>
        </w:r>
      </w:hyperlink>
      <w:r w:rsidRPr="00DD6107">
        <w:rPr>
          <w:rFonts w:ascii="David" w:hAnsi="David"/>
          <w:color w:val="000000"/>
          <w:rtl/>
        </w:rPr>
        <w:t xml:space="preserve"> </w:t>
      </w:r>
      <w:r w:rsidRPr="00DD6107">
        <w:rPr>
          <w:rFonts w:ascii="David" w:hAnsi="David"/>
          <w:b/>
          <w:bCs/>
          <w:color w:val="000000"/>
          <w:rtl/>
        </w:rPr>
        <w:t xml:space="preserve">דרחי נ' מדינת ישראל </w:t>
      </w:r>
      <w:r w:rsidRPr="00DD6107">
        <w:rPr>
          <w:rFonts w:ascii="David" w:hAnsi="David"/>
          <w:color w:val="000000"/>
          <w:rtl/>
        </w:rPr>
        <w:t>(18.6.18):</w:t>
      </w:r>
    </w:p>
    <w:p w14:paraId="0DE7DD25" w14:textId="77777777" w:rsidR="00620519" w:rsidRPr="00DD6107" w:rsidRDefault="00620519" w:rsidP="00620519">
      <w:pPr>
        <w:spacing w:after="120" w:line="360" w:lineRule="auto"/>
        <w:ind w:left="1133" w:right="567"/>
        <w:jc w:val="both"/>
        <w:rPr>
          <w:rFonts w:ascii="David" w:hAnsi="David" w:cs="Times New Roman"/>
          <w:color w:val="000000"/>
          <w:rtl/>
        </w:rPr>
      </w:pPr>
      <w:r w:rsidRPr="00DD6107">
        <w:rPr>
          <w:rFonts w:ascii="David" w:hAnsi="David"/>
          <w:color w:val="000000"/>
          <w:rtl/>
        </w:rPr>
        <w:t>"מערער 1 הקים בית גידול לסמים, באופן המלמד על תכנון מוקדם משמעותי ועל כוונה להרחיב את שרשרת הפצת הסמים. כתב האישום מתייחס לכמות של כ-76 קילוגרם של סם מסוג קנבוס, אשר מערער 1 קשר קשר עם מערער 2 על מנת להפיצם. ללא התערבות גורמי אכיפת החוק, הנזק הפוטנציאלי ממעשיהם של המערערים עשוי היה להיות עצום, וכך גם הפגיעה בערכים המוגנים. וברקע, בצע כסף, נוכח מצבם הכלכלי. השימוש בדירה לצורך גידול סם, הוא כהכרזה כי מכאן יסופק סם בכמויות גדולות לציבור. ויוזכר כי לא מדובר בעסקה בודדת, אלא כוונה לפתוח עסק, הכולל, בין היתר, ייצור של החומר האסור".</w:t>
      </w:r>
      <w:r w:rsidRPr="00DD6107">
        <w:rPr>
          <w:rFonts w:ascii="David" w:hAnsi="David" w:cs="Times New Roman"/>
          <w:color w:val="000000"/>
          <w:rtl/>
        </w:rPr>
        <w:t xml:space="preserve"> </w:t>
      </w:r>
    </w:p>
    <w:p w14:paraId="131B830D"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בחינת </w:t>
      </w:r>
      <w:r w:rsidRPr="00DD6107">
        <w:rPr>
          <w:rFonts w:ascii="David" w:hAnsi="David"/>
          <w:b/>
          <w:bCs/>
          <w:color w:val="000000"/>
          <w:rtl/>
        </w:rPr>
        <w:t xml:space="preserve">מידת הפגיעה בערך המוגן </w:t>
      </w:r>
      <w:r w:rsidRPr="00DD6107">
        <w:rPr>
          <w:rFonts w:ascii="David" w:hAnsi="David"/>
          <w:color w:val="000000"/>
          <w:rtl/>
        </w:rPr>
        <w:t xml:space="preserve">מובילה למסקנה כי הפגיעה בערך המוגן הינה </w:t>
      </w:r>
      <w:r w:rsidRPr="00DD6107">
        <w:rPr>
          <w:rFonts w:ascii="David" w:hAnsi="David"/>
          <w:b/>
          <w:bCs/>
          <w:color w:val="000000"/>
          <w:rtl/>
        </w:rPr>
        <w:t>ברף בינוני עד גבוה</w:t>
      </w:r>
      <w:r w:rsidRPr="00DD6107">
        <w:rPr>
          <w:rFonts w:ascii="David" w:hAnsi="David"/>
          <w:color w:val="000000"/>
          <w:rtl/>
        </w:rPr>
        <w:t xml:space="preserve">. זאת בשים לב לכך שמדובר בגידול שתילי קנאביס בהיקף של </w:t>
      </w:r>
      <w:r w:rsidRPr="00DD6107">
        <w:rPr>
          <w:rFonts w:ascii="David" w:hAnsi="David"/>
          <w:b/>
          <w:bCs/>
          <w:color w:val="000000"/>
          <w:rtl/>
        </w:rPr>
        <w:t>80 ק"ג</w:t>
      </w:r>
      <w:r w:rsidRPr="00DD6107">
        <w:rPr>
          <w:rFonts w:ascii="David" w:hAnsi="David"/>
          <w:color w:val="000000"/>
          <w:rtl/>
        </w:rPr>
        <w:t xml:space="preserve">, אשר כולל </w:t>
      </w:r>
      <w:r w:rsidRPr="00DD6107">
        <w:rPr>
          <w:rFonts w:ascii="David" w:hAnsi="David"/>
          <w:b/>
          <w:bCs/>
          <w:color w:val="000000"/>
          <w:rtl/>
        </w:rPr>
        <w:t>מאות שתילים</w:t>
      </w:r>
      <w:r w:rsidRPr="00DD6107">
        <w:rPr>
          <w:rFonts w:ascii="David" w:hAnsi="David"/>
          <w:color w:val="000000"/>
          <w:rtl/>
        </w:rPr>
        <w:t>, לצד ציוד רב.</w:t>
      </w:r>
    </w:p>
    <w:p w14:paraId="217F3C74" w14:textId="77777777" w:rsidR="00620519" w:rsidRPr="00DD6107" w:rsidRDefault="00620519" w:rsidP="00620519">
      <w:pPr>
        <w:numPr>
          <w:ilvl w:val="0"/>
          <w:numId w:val="1"/>
        </w:numPr>
        <w:spacing w:after="120" w:line="360" w:lineRule="auto"/>
        <w:jc w:val="both"/>
        <w:rPr>
          <w:color w:val="000000"/>
        </w:rPr>
      </w:pPr>
      <w:r w:rsidRPr="00DD6107">
        <w:rPr>
          <w:rFonts w:ascii="David" w:hAnsi="David"/>
          <w:color w:val="000000"/>
          <w:rtl/>
        </w:rPr>
        <w:t xml:space="preserve">במסגרת </w:t>
      </w:r>
      <w:r w:rsidRPr="00DD6107">
        <w:rPr>
          <w:rFonts w:ascii="David" w:hAnsi="David"/>
          <w:b/>
          <w:bCs/>
          <w:color w:val="000000"/>
          <w:rtl/>
        </w:rPr>
        <w:t xml:space="preserve">הנסיבות הקשורות בביצוע העבירה </w:t>
      </w:r>
      <w:r w:rsidRPr="00DD6107">
        <w:rPr>
          <w:rFonts w:ascii="David" w:hAnsi="David"/>
          <w:color w:val="000000"/>
          <w:rtl/>
        </w:rPr>
        <w:t xml:space="preserve">(סעיף </w:t>
      </w:r>
      <w:hyperlink r:id="rId20" w:history="1">
        <w:r w:rsidR="00011B2C" w:rsidRPr="00011B2C">
          <w:rPr>
            <w:rStyle w:val="Hyperlink"/>
            <w:rFonts w:ascii="David" w:hAnsi="David"/>
            <w:color w:val="0000FF"/>
            <w:rtl/>
          </w:rPr>
          <w:t>40 ט'</w:t>
        </w:r>
      </w:hyperlink>
      <w:r w:rsidRPr="00DD6107">
        <w:rPr>
          <w:rFonts w:ascii="David" w:hAnsi="David"/>
          <w:color w:val="000000"/>
          <w:rtl/>
        </w:rPr>
        <w:t xml:space="preserve"> לחוק), יש לתת את הדעת </w:t>
      </w:r>
      <w:r w:rsidRPr="00DD6107">
        <w:rPr>
          <w:color w:val="000000"/>
          <w:rtl/>
        </w:rPr>
        <w:t xml:space="preserve">לכך שלעבירה קדם תכנון. </w:t>
      </w:r>
      <w:r w:rsidRPr="00DD6107">
        <w:rPr>
          <w:rFonts w:ascii="David" w:hAnsi="David"/>
          <w:color w:val="000000"/>
          <w:rtl/>
        </w:rPr>
        <w:t xml:space="preserve">הנאשם שכר את הדירה, צייד אותה בציוד מתאים להקמת המעבדה, וגידל את הסמים, בהיקף של מאות שתילים, ובמשקל של 80 ק"ג. חלקו היחסי של הנאשם בביצוע העבירה הוא ללא ספק המרכזי. הנאשם הוא המבצע העיקרי, ואילו נאשם 2 סייע לו. </w:t>
      </w:r>
      <w:r w:rsidRPr="00DD6107">
        <w:rPr>
          <w:color w:val="000000"/>
          <w:rtl/>
        </w:rPr>
        <w:t xml:space="preserve">הנזקים שצפויים היו להיגרם מביצוע העבירה נוגעים לחשש שהסמים יופצו בציבור. עבירות הסמים מסוג זה הן בגדר מחולל פשיעה. הסיבות שהביאו את הנאשם לבצע את העבירה הן הרקע ההתמכרותי שלו, לצד סיבות כלכליות. </w:t>
      </w:r>
    </w:p>
    <w:p w14:paraId="293EE07F"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בחינת </w:t>
      </w:r>
      <w:r w:rsidRPr="00DD6107">
        <w:rPr>
          <w:rFonts w:ascii="David" w:hAnsi="David"/>
          <w:b/>
          <w:bCs/>
          <w:color w:val="000000"/>
          <w:rtl/>
        </w:rPr>
        <w:t>מדיניות הענישה הנוהגת</w:t>
      </w:r>
      <w:r w:rsidRPr="00DD6107">
        <w:rPr>
          <w:rFonts w:ascii="David" w:hAnsi="David"/>
          <w:color w:val="000000"/>
          <w:rtl/>
        </w:rPr>
        <w:t xml:space="preserve"> מעלה כי במקרים דומים הוטלו על נאשמים עונשים במנעד רחב כמפורט להלן:</w:t>
      </w:r>
    </w:p>
    <w:p w14:paraId="6C371E02"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1" w:history="1">
        <w:r w:rsidR="003E7813" w:rsidRPr="003E7813">
          <w:rPr>
            <w:color w:val="0000FF"/>
            <w:u w:val="single"/>
            <w:rtl/>
          </w:rPr>
          <w:t>ע"פ 8988/16</w:t>
        </w:r>
      </w:hyperlink>
      <w:r w:rsidRPr="00DD6107">
        <w:rPr>
          <w:rtl/>
        </w:rPr>
        <w:t xml:space="preserve"> </w:t>
      </w:r>
      <w:r w:rsidRPr="00DD6107">
        <w:rPr>
          <w:b/>
          <w:bCs/>
          <w:rtl/>
        </w:rPr>
        <w:t>בן סימון נ' מדינת ישראל</w:t>
      </w:r>
      <w:r w:rsidRPr="00DD6107">
        <w:rPr>
          <w:rtl/>
        </w:rPr>
        <w:t xml:space="preserve"> (8.3.17) נדחה ערעורו של נאשם אשר הורשע לפי הודאתו בעבירות של ייצור הכנה והפקה של סם, סחר והספקת סם ונטילת חשמל. הנאשם הקים מעבדה לגידול סם מסוג קנבוס בביתו. גידל בה 282 שתילים, וגנב חשמל בשווי של עשרות אלפי ₪. הנאשם גידל כמות של </w:t>
      </w:r>
      <w:r w:rsidRPr="00DD6107">
        <w:rPr>
          <w:b/>
          <w:bCs/>
          <w:rtl/>
        </w:rPr>
        <w:t>87.25 ק"ג</w:t>
      </w:r>
      <w:r w:rsidRPr="00DD6107">
        <w:rPr>
          <w:rtl/>
        </w:rPr>
        <w:t xml:space="preserve">. נקבע </w:t>
      </w:r>
      <w:r w:rsidRPr="00DD6107">
        <w:rPr>
          <w:b/>
          <w:bCs/>
          <w:rtl/>
        </w:rPr>
        <w:t>מתחם שבין 28 ל- 48 חודשי מאסר בפועל</w:t>
      </w:r>
      <w:r w:rsidRPr="00DD6107">
        <w:rPr>
          <w:rtl/>
        </w:rPr>
        <w:t>. מאסר ראשון של הנאשם. הנאשם נדון ל-</w:t>
      </w:r>
      <w:r w:rsidRPr="00DD6107">
        <w:rPr>
          <w:b/>
          <w:bCs/>
          <w:rtl/>
        </w:rPr>
        <w:t>36 חודשי מאסר בפועל</w:t>
      </w:r>
      <w:r w:rsidRPr="00DD6107">
        <w:rPr>
          <w:rtl/>
        </w:rPr>
        <w:t xml:space="preserve">, מאסר על תנאי, וקנס בסך 40,000 ₪. </w:t>
      </w:r>
    </w:p>
    <w:p w14:paraId="19872392"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2" w:history="1">
        <w:r w:rsidR="003E7813" w:rsidRPr="003E7813">
          <w:rPr>
            <w:color w:val="0000FF"/>
            <w:u w:val="single"/>
            <w:rtl/>
          </w:rPr>
          <w:t>ע"פ 863/18</w:t>
        </w:r>
      </w:hyperlink>
      <w:r w:rsidRPr="00DD6107">
        <w:rPr>
          <w:rtl/>
        </w:rPr>
        <w:t xml:space="preserve"> </w:t>
      </w:r>
      <w:r w:rsidRPr="00DD6107">
        <w:rPr>
          <w:b/>
          <w:bCs/>
          <w:rtl/>
        </w:rPr>
        <w:t>לירן סבן נ' מדינת ישראל</w:t>
      </w:r>
      <w:r w:rsidRPr="00DD6107">
        <w:rPr>
          <w:rtl/>
        </w:rPr>
        <w:t xml:space="preserve"> (15.11.18) וב</w:t>
      </w:r>
      <w:hyperlink r:id="rId23" w:history="1">
        <w:r w:rsidR="003E7813" w:rsidRPr="003E7813">
          <w:rPr>
            <w:color w:val="0000FF"/>
            <w:u w:val="single"/>
            <w:rtl/>
          </w:rPr>
          <w:t>ע"פ 861/18</w:t>
        </w:r>
      </w:hyperlink>
      <w:r w:rsidRPr="00DD6107">
        <w:rPr>
          <w:rtl/>
        </w:rPr>
        <w:t xml:space="preserve"> </w:t>
      </w:r>
      <w:r w:rsidRPr="00DD6107">
        <w:rPr>
          <w:b/>
          <w:bCs/>
          <w:rtl/>
        </w:rPr>
        <w:t>משה סבן</w:t>
      </w:r>
      <w:r w:rsidRPr="00DD6107">
        <w:rPr>
          <w:rtl/>
        </w:rPr>
        <w:t xml:space="preserve"> (2.4.19) הקל בית המשפט העליון בעונשם של שני נאשמים אשר הורשעו ב</w:t>
      </w:r>
      <w:hyperlink r:id="rId24" w:history="1">
        <w:r w:rsidR="003E7813" w:rsidRPr="003E7813">
          <w:rPr>
            <w:color w:val="0000FF"/>
            <w:u w:val="single"/>
            <w:rtl/>
          </w:rPr>
          <w:t>ת"פ (מח' מרכז לוד) 8867-02-15</w:t>
        </w:r>
      </w:hyperlink>
      <w:r w:rsidRPr="00DD6107">
        <w:rPr>
          <w:rtl/>
        </w:rPr>
        <w:t xml:space="preserve"> </w:t>
      </w:r>
      <w:r w:rsidRPr="00DD6107">
        <w:rPr>
          <w:b/>
          <w:bCs/>
          <w:rtl/>
        </w:rPr>
        <w:t>מדינת ישראל נ' סבן</w:t>
      </w:r>
      <w:r w:rsidRPr="00DD6107">
        <w:rPr>
          <w:rtl/>
        </w:rPr>
        <w:t xml:space="preserve"> (11.1.18), על פי הודאתם בעבירות של הכנה והפקת סמים, החזקת סמים שלא לצריכה עצמית וקשירת קשר לפשע. הנאשמים הקימו מעבדה לגידול סמים בדירה ששכרו לשם כך, ובה גידלו </w:t>
      </w:r>
      <w:r w:rsidRPr="00DD6107">
        <w:rPr>
          <w:b/>
          <w:bCs/>
          <w:rtl/>
        </w:rPr>
        <w:t>92 ק"ג</w:t>
      </w:r>
      <w:r w:rsidRPr="00DD6107">
        <w:rPr>
          <w:rtl/>
        </w:rPr>
        <w:t xml:space="preserve"> סם מסוג קנאביס (283 שתילים). הוסכם כי חלקו של הנאשם 2 היה פחות מחלקו של הנאשם 1. בית המשפט המחוזי קבע </w:t>
      </w:r>
      <w:r w:rsidRPr="00DD6107">
        <w:rPr>
          <w:b/>
          <w:bCs/>
          <w:rtl/>
        </w:rPr>
        <w:t>מתחם עונש לנאשם 1 הנע בין 28 ל- 52 חודשי מאסר בפועל</w:t>
      </w:r>
      <w:r w:rsidRPr="00DD6107">
        <w:rPr>
          <w:rtl/>
        </w:rPr>
        <w:t xml:space="preserve"> ולנאשם 2 מתחם הנע בין 20 ל- 42 חודשי מאסר בפועל. בית המשפט העליון הקל בעונשו של הנאשם 1 לעונש של </w:t>
      </w:r>
      <w:r w:rsidRPr="00DD6107">
        <w:rPr>
          <w:b/>
          <w:bCs/>
          <w:rtl/>
        </w:rPr>
        <w:t>36 חודשי מאסר בפועל</w:t>
      </w:r>
      <w:r w:rsidRPr="00DD6107">
        <w:rPr>
          <w:rtl/>
        </w:rPr>
        <w:t xml:space="preserve"> (כולל הפעלת מאסר על תנאי של 12 חודשים) ולגבי נאשם 2 הקל בית המשפט העליון בעונשו משיקולי שיקום, לעונש של </w:t>
      </w:r>
      <w:r w:rsidRPr="00DD6107">
        <w:rPr>
          <w:b/>
          <w:bCs/>
          <w:rtl/>
        </w:rPr>
        <w:t>9 חודשי עבודות שירות</w:t>
      </w:r>
      <w:r w:rsidRPr="00DD6107">
        <w:rPr>
          <w:rtl/>
        </w:rPr>
        <w:t xml:space="preserve"> (חלף 24 חודשי מאסר בפועל). </w:t>
      </w:r>
    </w:p>
    <w:p w14:paraId="706C60CB"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5" w:history="1">
        <w:r w:rsidR="003E7813" w:rsidRPr="003E7813">
          <w:rPr>
            <w:color w:val="0000FF"/>
            <w:u w:val="single"/>
            <w:rtl/>
          </w:rPr>
          <w:t>ע"פ 5807/17</w:t>
        </w:r>
      </w:hyperlink>
      <w:r w:rsidRPr="00DD6107">
        <w:rPr>
          <w:rtl/>
        </w:rPr>
        <w:t xml:space="preserve"> </w:t>
      </w:r>
      <w:r w:rsidRPr="00DD6107">
        <w:rPr>
          <w:b/>
          <w:bCs/>
          <w:rtl/>
        </w:rPr>
        <w:t>דרחי נ' מדינת ישראל</w:t>
      </w:r>
      <w:r w:rsidRPr="00DD6107">
        <w:rPr>
          <w:rtl/>
        </w:rPr>
        <w:t xml:space="preserve"> (18.6.18), נדחה ערעורו של נאשם אשר הורשע על פי הודאתו בעבירות של גידול סם מסוכן והחזקת סם שלא לצריכה עצמית. הנאשם הקים מעבדה לגידול סם מסוג קנאביס במספר חדרים בדירה בחזקתו. המעבדה הכילה ציוד טכני רב. בדירה נמצאו סמים מסוג קנאביס במשקל של </w:t>
      </w:r>
      <w:r w:rsidRPr="00DD6107">
        <w:rPr>
          <w:b/>
          <w:bCs/>
          <w:rtl/>
        </w:rPr>
        <w:t xml:space="preserve">76.85 </w:t>
      </w:r>
      <w:r w:rsidRPr="00DD6107">
        <w:rPr>
          <w:rtl/>
        </w:rPr>
        <w:t xml:space="preserve">ק"ג. בית המשפט המחוזי קבע </w:t>
      </w:r>
      <w:r w:rsidRPr="00DD6107">
        <w:rPr>
          <w:b/>
          <w:bCs/>
          <w:rtl/>
        </w:rPr>
        <w:t>מתחם עונש הנע בין 24 ל-48 חודשי מאסר בפועל</w:t>
      </w:r>
      <w:r w:rsidRPr="00DD6107">
        <w:rPr>
          <w:rtl/>
        </w:rPr>
        <w:t xml:space="preserve"> והשית על הנאשם עונש של </w:t>
      </w:r>
      <w:r w:rsidRPr="00DD6107">
        <w:rPr>
          <w:b/>
          <w:bCs/>
          <w:rtl/>
        </w:rPr>
        <w:t>30 חודשי מאסר בפועל</w:t>
      </w:r>
      <w:r w:rsidRPr="00DD6107">
        <w:rPr>
          <w:rtl/>
        </w:rPr>
        <w:t xml:space="preserve"> תוך שנתן משקל לנסיבותיו האישיות. </w:t>
      </w:r>
    </w:p>
    <w:p w14:paraId="08CA33E6"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6" w:history="1">
        <w:r w:rsidR="003E7813" w:rsidRPr="003E7813">
          <w:rPr>
            <w:color w:val="0000FF"/>
            <w:u w:val="single"/>
            <w:rtl/>
          </w:rPr>
          <w:t>ע"פ 5093/17</w:t>
        </w:r>
      </w:hyperlink>
      <w:r w:rsidRPr="00DD6107">
        <w:rPr>
          <w:rtl/>
        </w:rPr>
        <w:t xml:space="preserve"> </w:t>
      </w:r>
      <w:r w:rsidRPr="00DD6107">
        <w:rPr>
          <w:b/>
          <w:bCs/>
          <w:rtl/>
        </w:rPr>
        <w:t>בקשט נ' מדינת ישראל</w:t>
      </w:r>
      <w:r w:rsidRPr="00DD6107">
        <w:rPr>
          <w:rtl/>
        </w:rPr>
        <w:t xml:space="preserve"> (1.1.18) הקל בית המשפט העליון בעונשם של שני נאשמים אשר הורשעו על פי הודאתם בעבירות של ייצור והכנת סמים וקשירת קשר. הנאשמים הקימו מעבדה לגידול סם מסוג קנבוס, כולל שכירת מבנה וציוד רב. נתפסו שתילים במשקל כולל של</w:t>
      </w:r>
      <w:r w:rsidRPr="00DD6107">
        <w:rPr>
          <w:b/>
          <w:bCs/>
          <w:rtl/>
        </w:rPr>
        <w:t xml:space="preserve"> 131 ק"ג</w:t>
      </w:r>
      <w:r w:rsidRPr="00DD6107">
        <w:rPr>
          <w:rtl/>
        </w:rPr>
        <w:t xml:space="preserve">. נאשמים ללא עבר פלילי. בית המשפט המחוזי קבע מתחם שנע בין 30 ל- 48 חודשים. בית המשפט העליון הקל בעונשם לעונשים של </w:t>
      </w:r>
      <w:r w:rsidRPr="00DD6107">
        <w:rPr>
          <w:b/>
          <w:bCs/>
          <w:rtl/>
        </w:rPr>
        <w:t>28 חודשים</w:t>
      </w:r>
      <w:r w:rsidRPr="00DD6107">
        <w:rPr>
          <w:rtl/>
        </w:rPr>
        <w:t xml:space="preserve"> (חלף 34 חודשים) ו-</w:t>
      </w:r>
      <w:r w:rsidRPr="00DD6107">
        <w:rPr>
          <w:b/>
          <w:bCs/>
          <w:rtl/>
        </w:rPr>
        <w:t xml:space="preserve"> 24 חודשים</w:t>
      </w:r>
      <w:r w:rsidRPr="00DD6107">
        <w:rPr>
          <w:rtl/>
        </w:rPr>
        <w:t xml:space="preserve"> (חלף 30 חודשים). </w:t>
      </w:r>
    </w:p>
    <w:p w14:paraId="5035C49D"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7" w:history="1">
        <w:r w:rsidR="003E7813" w:rsidRPr="003E7813">
          <w:rPr>
            <w:color w:val="0000FF"/>
            <w:u w:val="single"/>
            <w:rtl/>
          </w:rPr>
          <w:t>ע"פ 4285/17</w:t>
        </w:r>
      </w:hyperlink>
      <w:r w:rsidRPr="00DD6107">
        <w:rPr>
          <w:rtl/>
        </w:rPr>
        <w:t xml:space="preserve"> </w:t>
      </w:r>
      <w:r w:rsidRPr="00DD6107">
        <w:rPr>
          <w:b/>
          <w:bCs/>
          <w:rtl/>
        </w:rPr>
        <w:t>יצחקי נ' מדינת ישראל</w:t>
      </w:r>
      <w:r w:rsidRPr="00DD6107">
        <w:rPr>
          <w:rtl/>
        </w:rPr>
        <w:t xml:space="preserve"> (11.6.18) קיבל בית המשפט העליון את ערעורה של נאשמת אשר הורשעה בגידול של מעבדת סמים מסוג קנבוס, בבית ששכרה לשם כך. במקום נמצאו 1,000 שתילים, ונתפס סם בכמות של</w:t>
      </w:r>
      <w:r w:rsidRPr="00DD6107">
        <w:rPr>
          <w:b/>
          <w:bCs/>
          <w:rtl/>
        </w:rPr>
        <w:t xml:space="preserve"> 100 ק"ג</w:t>
      </w:r>
      <w:r w:rsidRPr="00DD6107">
        <w:rPr>
          <w:rtl/>
        </w:rPr>
        <w:t xml:space="preserve">. בית המשפט המחוזי קבע </w:t>
      </w:r>
      <w:r w:rsidRPr="00DD6107">
        <w:rPr>
          <w:b/>
          <w:bCs/>
          <w:rtl/>
        </w:rPr>
        <w:t>מתחם שבין 24 ל-48 חודשי מאסר בפועל</w:t>
      </w:r>
      <w:r w:rsidRPr="00DD6107">
        <w:rPr>
          <w:rtl/>
        </w:rPr>
        <w:t>, וגזר על הנאשמת, משיקולי שיקום, 12 חודשי מאסר בפועל. נאשמת ללא עבר פלילי. בית המשפט העליון הקל בעונשה ל-</w:t>
      </w:r>
      <w:r w:rsidRPr="00DD6107">
        <w:rPr>
          <w:b/>
          <w:bCs/>
          <w:rtl/>
        </w:rPr>
        <w:t xml:space="preserve"> 6 חודשי עבודות שירות</w:t>
      </w:r>
      <w:r w:rsidRPr="00DD6107">
        <w:rPr>
          <w:rtl/>
        </w:rPr>
        <w:t>.</w:t>
      </w:r>
    </w:p>
    <w:p w14:paraId="39C48E82"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8" w:history="1">
        <w:r w:rsidR="003E7813" w:rsidRPr="003E7813">
          <w:rPr>
            <w:color w:val="0000FF"/>
            <w:u w:val="single"/>
            <w:rtl/>
          </w:rPr>
          <w:t>ת"פ (מח' מרכז-לוד) 46662-04-15</w:t>
        </w:r>
      </w:hyperlink>
      <w:r w:rsidRPr="00DD6107">
        <w:rPr>
          <w:rtl/>
        </w:rPr>
        <w:t xml:space="preserve"> </w:t>
      </w:r>
      <w:r w:rsidRPr="00DD6107">
        <w:rPr>
          <w:b/>
          <w:bCs/>
          <w:rtl/>
        </w:rPr>
        <w:t>מדינת ישראל נ' סגל</w:t>
      </w:r>
      <w:r w:rsidRPr="00DD6107">
        <w:rPr>
          <w:rtl/>
        </w:rPr>
        <w:t xml:space="preserve"> (3.2.16), הורשע נאשם על פי הודאתו בעבירות של ייצור סם מסוכן והחזקת סם מסוכן שלא לצריכה עצמית. הנאשם שכר דירה והקים בה מעבדת הידרו לגידול סם מסוג קנאביס ולשם כך צייד את הדירה בציוד רלוונטי. בדירה נמצאו צמחי קנאביס רבים במשקל של </w:t>
      </w:r>
      <w:r w:rsidRPr="00DD6107">
        <w:rPr>
          <w:b/>
          <w:bCs/>
          <w:rtl/>
        </w:rPr>
        <w:t xml:space="preserve">78.8 </w:t>
      </w:r>
      <w:r w:rsidRPr="00DD6107">
        <w:rPr>
          <w:rtl/>
        </w:rPr>
        <w:t xml:space="preserve">ק"ג. בית המשפט קבע </w:t>
      </w:r>
      <w:r w:rsidRPr="00DD6107">
        <w:rPr>
          <w:b/>
          <w:bCs/>
          <w:rtl/>
        </w:rPr>
        <w:t>מתחם עונש הנע בין 24 ל-48 חודשי מאסר בפועל</w:t>
      </w:r>
      <w:r w:rsidRPr="00DD6107">
        <w:rPr>
          <w:rtl/>
        </w:rPr>
        <w:t xml:space="preserve"> והשית על הנאשם – עצור וללא עבר פלילי, עונש של </w:t>
      </w:r>
      <w:r w:rsidRPr="00DD6107">
        <w:rPr>
          <w:b/>
          <w:bCs/>
          <w:rtl/>
        </w:rPr>
        <w:t>30 חודשי מאסר בפועל</w:t>
      </w:r>
      <w:r w:rsidRPr="00DD6107">
        <w:rPr>
          <w:rtl/>
        </w:rPr>
        <w:t xml:space="preserve"> לצד ענישה נלווית. </w:t>
      </w:r>
    </w:p>
    <w:p w14:paraId="449BD20A"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29" w:history="1">
        <w:r w:rsidR="003E7813" w:rsidRPr="003E7813">
          <w:rPr>
            <w:color w:val="0000FF"/>
            <w:u w:val="single"/>
            <w:rtl/>
          </w:rPr>
          <w:t>ת"פ (מח' מרכז-לוד) 17677-04-17</w:t>
        </w:r>
      </w:hyperlink>
      <w:r w:rsidRPr="00DD6107">
        <w:rPr>
          <w:rtl/>
        </w:rPr>
        <w:t xml:space="preserve"> </w:t>
      </w:r>
      <w:r w:rsidRPr="00DD6107">
        <w:rPr>
          <w:b/>
          <w:bCs/>
          <w:rtl/>
        </w:rPr>
        <w:t>מדינת ישראל נ' דוכן</w:t>
      </w:r>
      <w:r w:rsidRPr="00DD6107">
        <w:rPr>
          <w:rtl/>
        </w:rPr>
        <w:t xml:space="preserve"> (2.11.17), הורשע נאשם על פי הודאתו בעבירות של ייצור סם מסוכן וגניבת חשמל. הנאשם שכר בית והקים בו מעבדה לגידול סם מסוג קנאביס. לצורך כך רכש ציוד רב. הנאשם החזיק בשתילי סם במשקל של </w:t>
      </w:r>
      <w:r w:rsidRPr="00DD6107">
        <w:rPr>
          <w:b/>
          <w:bCs/>
          <w:rtl/>
        </w:rPr>
        <w:t>72.8 ק"ג</w:t>
      </w:r>
      <w:r w:rsidRPr="00DD6107">
        <w:rPr>
          <w:rtl/>
        </w:rPr>
        <w:t xml:space="preserve"> וגנב חשמל בשווי של מעל ל 18,000 ₪. לחובת הנאשם עבר פלילי קודם רלוונטי. בית המשפט קבע </w:t>
      </w:r>
      <w:r w:rsidRPr="00DD6107">
        <w:rPr>
          <w:b/>
          <w:bCs/>
          <w:rtl/>
        </w:rPr>
        <w:t>מתחם עונש הנע בין 22 ל-46 חודשי מאסר בפועל</w:t>
      </w:r>
      <w:r w:rsidRPr="00DD6107">
        <w:rPr>
          <w:rtl/>
        </w:rPr>
        <w:t xml:space="preserve"> והשית על הנאשם עונש של </w:t>
      </w:r>
      <w:r w:rsidRPr="00DD6107">
        <w:rPr>
          <w:b/>
          <w:bCs/>
          <w:rtl/>
        </w:rPr>
        <w:t>27 חודשי מאסר בפועל</w:t>
      </w:r>
      <w:r w:rsidRPr="00DD6107">
        <w:rPr>
          <w:rtl/>
        </w:rPr>
        <w:t xml:space="preserve"> לצד ענישה נלווית. </w:t>
      </w:r>
    </w:p>
    <w:p w14:paraId="28D5A80B"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30" w:history="1">
        <w:r w:rsidR="003E7813" w:rsidRPr="003E7813">
          <w:rPr>
            <w:color w:val="0000FF"/>
            <w:u w:val="single"/>
            <w:rtl/>
          </w:rPr>
          <w:t>ת"פ (מח' מרכז-לוד) 69569-11-17</w:t>
        </w:r>
      </w:hyperlink>
      <w:r w:rsidRPr="00DD6107">
        <w:rPr>
          <w:rtl/>
        </w:rPr>
        <w:t xml:space="preserve"> </w:t>
      </w:r>
      <w:r w:rsidRPr="00DD6107">
        <w:rPr>
          <w:b/>
          <w:bCs/>
          <w:rtl/>
        </w:rPr>
        <w:t>מדינת ישראל נ' זרחי</w:t>
      </w:r>
      <w:r w:rsidRPr="00DD6107">
        <w:rPr>
          <w:rtl/>
        </w:rPr>
        <w:t xml:space="preserve"> (29.11.18), הורשע נאשם על פי הודאתו בעבירות של ייצור סם וגניבת חשמל. הנאשם שכר דירה והקים בה מעבדה לגידול סם מסוג קנאביס. לשם כך רכש ציוד רב ושתילי קנאביס. לשם הפעלת המעבדה חיבר את הבית לרשת החשמל באופן לא מוסדר. בבית נמצא סם מסוג קנאביס במשקל של </w:t>
      </w:r>
      <w:r w:rsidRPr="00DD6107">
        <w:rPr>
          <w:b/>
          <w:bCs/>
          <w:rtl/>
        </w:rPr>
        <w:t xml:space="preserve">86.9 </w:t>
      </w:r>
      <w:r w:rsidRPr="00DD6107">
        <w:rPr>
          <w:rtl/>
        </w:rPr>
        <w:t xml:space="preserve">ק"ג ושווי גניבת החשמל עמד על עשרות אלפי ₪. בית המשפט קבע </w:t>
      </w:r>
      <w:r w:rsidRPr="00DD6107">
        <w:rPr>
          <w:b/>
          <w:bCs/>
          <w:rtl/>
        </w:rPr>
        <w:t>מתחם עונש הנע בין 24 ל-48 חודשי מאסר בפועל</w:t>
      </w:r>
      <w:r w:rsidRPr="00DD6107">
        <w:rPr>
          <w:rtl/>
        </w:rPr>
        <w:t xml:space="preserve"> והשית על הנאשם,</w:t>
      </w:r>
      <w:r w:rsidRPr="00DD6107">
        <w:t xml:space="preserve"> </w:t>
      </w:r>
      <w:r w:rsidRPr="00DD6107">
        <w:rPr>
          <w:rtl/>
        </w:rPr>
        <w:t xml:space="preserve">צעיר ללא עבר פלילי, עונש של </w:t>
      </w:r>
      <w:r w:rsidRPr="00DD6107">
        <w:rPr>
          <w:b/>
          <w:bCs/>
          <w:rtl/>
        </w:rPr>
        <w:t>25 חודשי מאסר בפועל</w:t>
      </w:r>
      <w:r w:rsidRPr="00DD6107">
        <w:rPr>
          <w:rtl/>
        </w:rPr>
        <w:t xml:space="preserve"> לצד ענישה נלווית. </w:t>
      </w:r>
    </w:p>
    <w:p w14:paraId="279C82BE"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31" w:history="1">
        <w:r w:rsidR="003E7813" w:rsidRPr="003E7813">
          <w:rPr>
            <w:color w:val="0000FF"/>
            <w:u w:val="single"/>
            <w:rtl/>
          </w:rPr>
          <w:t>ת"פ 25458-11-18</w:t>
        </w:r>
      </w:hyperlink>
      <w:r w:rsidRPr="00DD6107">
        <w:rPr>
          <w:rtl/>
        </w:rPr>
        <w:t xml:space="preserve"> </w:t>
      </w:r>
      <w:r w:rsidRPr="00DD6107">
        <w:rPr>
          <w:b/>
          <w:bCs/>
          <w:rtl/>
        </w:rPr>
        <w:t>מדינת ישראל נ' אליאב</w:t>
      </w:r>
      <w:r w:rsidRPr="00DD6107">
        <w:rPr>
          <w:rtl/>
        </w:rPr>
        <w:t xml:space="preserve"> (19.9.19) הורשע נאשם על פי הודאתו בעבירות של ייצור הכנה והפקת סם מסוכנת, החזקת חצרים לשם הכנת סם, החזקת כלים ונטילת חשמל. הנאשם שכר בית והקים בו מעבדה לגידול מס מסוג קנביס. לצורך כך רכש ציוד רב. הנאשם גידל 768 שתילים במשקל כולל של </w:t>
      </w:r>
      <w:r w:rsidRPr="00DD6107">
        <w:rPr>
          <w:b/>
          <w:bCs/>
          <w:rtl/>
        </w:rPr>
        <w:t>80.3 ק"ג</w:t>
      </w:r>
      <w:r w:rsidRPr="00DD6107">
        <w:rPr>
          <w:rtl/>
        </w:rPr>
        <w:t xml:space="preserve">. לחובת הנאשם הרשעה אחת בעבירת מרמה. </w:t>
      </w:r>
      <w:r w:rsidRPr="00DD6107">
        <w:rPr>
          <w:b/>
          <w:bCs/>
          <w:rtl/>
        </w:rPr>
        <w:t>נקבע מתחם שבין 22 ל-46 חודשי מאסר בפועל, והושתו על הנאשם 25 חודשי מאסר בפועל</w:t>
      </w:r>
      <w:r w:rsidRPr="00DD6107">
        <w:rPr>
          <w:rtl/>
        </w:rPr>
        <w:t xml:space="preserve">. </w:t>
      </w:r>
    </w:p>
    <w:p w14:paraId="3A507735"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 xml:space="preserve">בת"פ (מח' מרכז-לוד) </w:t>
      </w:r>
      <w:r w:rsidRPr="00DD6107">
        <w:rPr>
          <w:b/>
          <w:bCs/>
          <w:rtl/>
        </w:rPr>
        <w:t>מדינת ישראל נ' ברבי</w:t>
      </w:r>
      <w:r w:rsidRPr="00DD6107">
        <w:rPr>
          <w:rtl/>
        </w:rPr>
        <w:t xml:space="preserve"> (28.5.19) הורשע הנאשם 2 על פי הודאתו בעבירה של ייצור סמים וגניבת חשמל. הנאשם שכר בית והקים מעבדה לגידול סמים ובה נתפסו</w:t>
      </w:r>
      <w:r w:rsidRPr="00DD6107">
        <w:rPr>
          <w:b/>
          <w:bCs/>
          <w:rtl/>
        </w:rPr>
        <w:t xml:space="preserve"> 334 שתילי קנביס במשקל נטו של 73.6 ק"ג.</w:t>
      </w:r>
      <w:r w:rsidRPr="00DD6107">
        <w:rPr>
          <w:rtl/>
        </w:rPr>
        <w:t xml:space="preserve"> נאשם ללא עבר פלילי עם המלצה חיובית של שירות המבחן. בית המשפט קבע </w:t>
      </w:r>
      <w:r w:rsidRPr="00DD6107">
        <w:rPr>
          <w:b/>
          <w:bCs/>
          <w:rtl/>
        </w:rPr>
        <w:t xml:space="preserve">מתחם שבין 20 ל-46 חודשי מאסר בפועל, </w:t>
      </w:r>
      <w:r w:rsidRPr="00DD6107">
        <w:rPr>
          <w:rtl/>
        </w:rPr>
        <w:t xml:space="preserve">והשית על הנאשם </w:t>
      </w:r>
      <w:r w:rsidRPr="00DD6107">
        <w:rPr>
          <w:b/>
          <w:bCs/>
          <w:rtl/>
        </w:rPr>
        <w:t>20 חודשי מאסר בפועל</w:t>
      </w:r>
      <w:r w:rsidRPr="00DD6107">
        <w:rPr>
          <w:rtl/>
        </w:rPr>
        <w:t xml:space="preserve">. </w:t>
      </w:r>
    </w:p>
    <w:p w14:paraId="3BFA1155" w14:textId="77777777" w:rsidR="00620519" w:rsidRPr="00DD6107" w:rsidRDefault="00620519" w:rsidP="00620519">
      <w:pPr>
        <w:numPr>
          <w:ilvl w:val="1"/>
          <w:numId w:val="1"/>
        </w:numPr>
        <w:tabs>
          <w:tab w:val="clear" w:pos="1620"/>
          <w:tab w:val="num" w:pos="1286"/>
        </w:tabs>
        <w:spacing w:after="120" w:line="360" w:lineRule="auto"/>
        <w:ind w:left="1286" w:hanging="540"/>
        <w:jc w:val="both"/>
      </w:pPr>
      <w:r w:rsidRPr="00DD6107">
        <w:rPr>
          <w:rtl/>
        </w:rPr>
        <w:t>ב</w:t>
      </w:r>
      <w:hyperlink r:id="rId32" w:history="1">
        <w:r w:rsidR="003E7813" w:rsidRPr="003E7813">
          <w:rPr>
            <w:color w:val="0000FF"/>
            <w:u w:val="single"/>
            <w:rtl/>
          </w:rPr>
          <w:t>ת"פ (מח' ב"ש) 37903-03-15</w:t>
        </w:r>
      </w:hyperlink>
      <w:r w:rsidRPr="00DD6107">
        <w:rPr>
          <w:b/>
          <w:bCs/>
          <w:rtl/>
        </w:rPr>
        <w:t xml:space="preserve"> מדינת ישראל נ' מאירוב</w:t>
      </w:r>
      <w:r w:rsidRPr="00DD6107">
        <w:rPr>
          <w:rtl/>
        </w:rPr>
        <w:t xml:space="preserve"> (9.11.15), הורשע הנאשם בהתאם להודאתו במסגרת הסדר טיעון, בעבירות של הפקת סם מסוכן ועבירה של נטילת חשמל. הנאשם הקים מעבדה לגידול סם מסוג קנאביס בדירה ששכר, שכללה ציוד נלווה ולצורך כך גנב חשמל. נמצאו סמים במשקל כולל של </w:t>
      </w:r>
      <w:r w:rsidRPr="00DD6107">
        <w:rPr>
          <w:b/>
          <w:bCs/>
          <w:rtl/>
        </w:rPr>
        <w:t>60 ק"ג</w:t>
      </w:r>
      <w:r w:rsidRPr="00DD6107">
        <w:rPr>
          <w:rtl/>
        </w:rPr>
        <w:t xml:space="preserve">. בית המשפט קבע </w:t>
      </w:r>
      <w:r w:rsidRPr="00DD6107">
        <w:rPr>
          <w:b/>
          <w:bCs/>
          <w:rtl/>
        </w:rPr>
        <w:t>מתחם עונש הנע בין 18 ל-30 חודשי מאסר בפועל</w:t>
      </w:r>
      <w:r w:rsidRPr="00DD6107">
        <w:rPr>
          <w:rtl/>
        </w:rPr>
        <w:t xml:space="preserve"> וגזר על הנאשם עונש של </w:t>
      </w:r>
      <w:r w:rsidRPr="00DD6107">
        <w:rPr>
          <w:b/>
          <w:bCs/>
          <w:rtl/>
        </w:rPr>
        <w:t>20 חודשי מאסר בפועל</w:t>
      </w:r>
      <w:r w:rsidRPr="00DD6107">
        <w:rPr>
          <w:rtl/>
        </w:rPr>
        <w:t xml:space="preserve"> תוך שהתייחס לעברו הנקי, היות הנאשם נשוי ואב לילדים קטנים ולהמלצת שירות המבחן. </w:t>
      </w:r>
    </w:p>
    <w:p w14:paraId="0377C4FF"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עיינתי באסופת הפסיקה שהגיש ב"כ הנאשם, לרבות </w:t>
      </w:r>
      <w:hyperlink r:id="rId33" w:history="1">
        <w:r w:rsidR="003E7813" w:rsidRPr="003E7813">
          <w:rPr>
            <w:rFonts w:ascii="David" w:hAnsi="David"/>
            <w:color w:val="0000FF"/>
            <w:u w:val="single"/>
            <w:rtl/>
          </w:rPr>
          <w:t>ע"פ 7243/17</w:t>
        </w:r>
      </w:hyperlink>
      <w:r w:rsidRPr="00DD6107">
        <w:rPr>
          <w:rFonts w:ascii="David" w:hAnsi="David"/>
          <w:color w:val="000000"/>
          <w:rtl/>
        </w:rPr>
        <w:t xml:space="preserve"> </w:t>
      </w:r>
      <w:r w:rsidRPr="00DD6107">
        <w:rPr>
          <w:rFonts w:ascii="David" w:hAnsi="David"/>
          <w:b/>
          <w:bCs/>
          <w:color w:val="000000"/>
          <w:rtl/>
        </w:rPr>
        <w:t>כץ נ' מדינת ישראל</w:t>
      </w:r>
      <w:r w:rsidRPr="00DD6107">
        <w:rPr>
          <w:rFonts w:ascii="David" w:hAnsi="David"/>
          <w:color w:val="000000"/>
          <w:rtl/>
        </w:rPr>
        <w:t xml:space="preserve"> (19.3.19), </w:t>
      </w:r>
      <w:hyperlink r:id="rId34" w:history="1">
        <w:r w:rsidR="003E7813" w:rsidRPr="003E7813">
          <w:rPr>
            <w:rFonts w:ascii="David" w:hAnsi="David"/>
            <w:color w:val="0000FF"/>
            <w:u w:val="single"/>
            <w:rtl/>
          </w:rPr>
          <w:t>רע"פ 5293/18</w:t>
        </w:r>
      </w:hyperlink>
      <w:r w:rsidRPr="00DD6107">
        <w:rPr>
          <w:rFonts w:ascii="David" w:hAnsi="David"/>
          <w:color w:val="000000"/>
          <w:rtl/>
        </w:rPr>
        <w:t xml:space="preserve"> </w:t>
      </w:r>
      <w:r w:rsidRPr="00DD6107">
        <w:rPr>
          <w:rFonts w:ascii="David" w:hAnsi="David"/>
          <w:b/>
          <w:bCs/>
          <w:color w:val="000000"/>
          <w:rtl/>
        </w:rPr>
        <w:t>חכים נ' מדינת ישראל</w:t>
      </w:r>
      <w:r w:rsidRPr="00DD6107">
        <w:rPr>
          <w:rFonts w:ascii="David" w:hAnsi="David"/>
          <w:color w:val="000000"/>
          <w:rtl/>
        </w:rPr>
        <w:t xml:space="preserve"> (12.7.18), ואולם סבורני כי אין בפסיקה האמורה כדי לסייע לנאשם, וזאת הואיל ואין המדובר במקרים דומים למקרה דנן.</w:t>
      </w:r>
    </w:p>
    <w:p w14:paraId="24CD1952"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בהתאם לתיקון 113 ל</w:t>
      </w:r>
      <w:hyperlink r:id="rId35" w:history="1">
        <w:r w:rsidR="003E7813" w:rsidRPr="003E7813">
          <w:rPr>
            <w:rFonts w:ascii="David" w:hAnsi="David"/>
            <w:color w:val="0000FF"/>
            <w:u w:val="single"/>
            <w:rtl/>
          </w:rPr>
          <w:t>חוק העונשין</w:t>
        </w:r>
      </w:hyperlink>
      <w:r w:rsidRPr="00DD6107">
        <w:rPr>
          <w:rFonts w:ascii="David" w:hAnsi="David"/>
          <w:color w:val="000000"/>
          <w:rtl/>
        </w:rPr>
        <w:t xml:space="preserve"> (סעיף </w:t>
      </w:r>
      <w:hyperlink r:id="rId36" w:history="1">
        <w:r w:rsidR="00011B2C" w:rsidRPr="00011B2C">
          <w:rPr>
            <w:rFonts w:ascii="David" w:hAnsi="David"/>
            <w:color w:val="0000FF"/>
            <w:u w:val="single"/>
            <w:rtl/>
          </w:rPr>
          <w:t>40 יג'</w:t>
        </w:r>
      </w:hyperlink>
      <w:r w:rsidRPr="00DD6107">
        <w:rPr>
          <w:rFonts w:ascii="David" w:hAnsi="David"/>
          <w:color w:val="000000"/>
          <w:rtl/>
        </w:rPr>
        <w:t xml:space="preserve">), אני קובע כי </w:t>
      </w:r>
      <w:r w:rsidRPr="00DD6107">
        <w:rPr>
          <w:rFonts w:ascii="David" w:hAnsi="David"/>
          <w:b/>
          <w:bCs/>
          <w:color w:val="000000"/>
          <w:rtl/>
        </w:rPr>
        <w:t>מתחם העונש ההולם</w:t>
      </w:r>
      <w:r w:rsidRPr="00DD6107">
        <w:rPr>
          <w:rFonts w:ascii="David" w:hAnsi="David"/>
          <w:color w:val="000000"/>
          <w:rtl/>
        </w:rPr>
        <w:t xml:space="preserve"> הוא </w:t>
      </w:r>
      <w:r w:rsidRPr="00DD6107">
        <w:rPr>
          <w:rFonts w:ascii="David" w:hAnsi="David"/>
          <w:b/>
          <w:bCs/>
          <w:color w:val="000000"/>
          <w:rtl/>
        </w:rPr>
        <w:t>החל מ-22 ועד ל-46 חודשי מאסר בפועל</w:t>
      </w:r>
      <w:r w:rsidRPr="00DD6107">
        <w:rPr>
          <w:rFonts w:ascii="David" w:hAnsi="David"/>
          <w:color w:val="000000"/>
          <w:rtl/>
        </w:rPr>
        <w:t xml:space="preserve">. </w:t>
      </w:r>
    </w:p>
    <w:p w14:paraId="6B51187B"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במקרה דנן, לא קיימים שיקולים אשר מצדיקים חריגה מהמתחם, לחומרה או לקולה. </w:t>
      </w:r>
      <w:r w:rsidRPr="00DD6107">
        <w:rPr>
          <w:rFonts w:ascii="David" w:hAnsi="David"/>
          <w:b/>
          <w:bCs/>
          <w:color w:val="000000"/>
          <w:rtl/>
        </w:rPr>
        <w:t>השיקול השיקומי</w:t>
      </w:r>
      <w:r w:rsidRPr="00DD6107">
        <w:rPr>
          <w:rFonts w:ascii="David" w:hAnsi="David"/>
          <w:color w:val="000000"/>
          <w:rtl/>
        </w:rPr>
        <w:t xml:space="preserve"> אינו מצדיק חריגה מהמתחם לקולה. אין כל אינדיקציה לכך שהנאשם השתקם או שקיים סיכוי של ממש שישתקם, ואף לא הוגש תסקיר שירות המבחן אשר יוכל להצביע על כך. גם בהנחה שכיום הנאשם נקי מסמים במעצר, לא ניתן לקבוע על בסיס זה שהנאשם אכן נגמל מסמים, וכי קיים סיכוי של ממש שישתקם. יתר על כן, לא שוכנעתי במקרה דנן לחרוג מהמתחם בשל מצבו הרפואי של הנאשם, כפי שעולה מתוך המסמכים הרפואיים שהוגשו (נ/2). </w:t>
      </w:r>
    </w:p>
    <w:p w14:paraId="212521A5" w14:textId="77777777" w:rsidR="00620519" w:rsidRPr="00DD6107" w:rsidRDefault="00620519" w:rsidP="00620519">
      <w:pPr>
        <w:spacing w:after="120" w:line="360" w:lineRule="auto"/>
        <w:jc w:val="both"/>
        <w:rPr>
          <w:bCs/>
          <w:u w:val="single"/>
          <w:lang w:eastAsia="he-IL"/>
        </w:rPr>
      </w:pPr>
      <w:r w:rsidRPr="00DD6107">
        <w:rPr>
          <w:bCs/>
          <w:u w:val="single"/>
          <w:rtl/>
          <w:lang w:eastAsia="he-IL"/>
        </w:rPr>
        <w:t>גזירת העונש המתאים לנאשם</w:t>
      </w:r>
    </w:p>
    <w:p w14:paraId="28886D44"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color w:val="000000"/>
          <w:rtl/>
        </w:rPr>
        <w:t xml:space="preserve">בגזירת העונש המתאים לנאשם, בגדרי מתחם העונש ההולם, יש להתחשב </w:t>
      </w:r>
      <w:r w:rsidRPr="00DD6107">
        <w:rPr>
          <w:rFonts w:ascii="David" w:hAnsi="David"/>
          <w:b/>
          <w:bCs/>
          <w:color w:val="000000"/>
          <w:rtl/>
        </w:rPr>
        <w:t>בנסיבות שאינן קשורות בביצוע העבירה</w:t>
      </w:r>
      <w:r w:rsidRPr="00DD6107">
        <w:rPr>
          <w:rFonts w:ascii="David" w:hAnsi="David"/>
          <w:color w:val="000000"/>
          <w:rtl/>
        </w:rPr>
        <w:t xml:space="preserve"> (סעיף </w:t>
      </w:r>
      <w:hyperlink r:id="rId37" w:history="1">
        <w:r w:rsidR="00011B2C" w:rsidRPr="00011B2C">
          <w:rPr>
            <w:rStyle w:val="Hyperlink"/>
            <w:rFonts w:ascii="David" w:hAnsi="David"/>
            <w:color w:val="0000FF"/>
            <w:rtl/>
          </w:rPr>
          <w:t>40 יא'</w:t>
        </w:r>
      </w:hyperlink>
      <w:r w:rsidRPr="00DD6107">
        <w:rPr>
          <w:rFonts w:ascii="David" w:hAnsi="David"/>
          <w:color w:val="000000"/>
          <w:rtl/>
        </w:rPr>
        <w:t xml:space="preserve">). במסגרת זו </w:t>
      </w:r>
      <w:r w:rsidRPr="00DD6107">
        <w:rPr>
          <w:color w:val="000000"/>
          <w:rtl/>
        </w:rPr>
        <w:t>מן הראוי לתת את הדעת לכך שהנאשם בן 56, הודה באשמה ונטל אחריות מלאה למעשיו בהזדמנות הראשונה</w:t>
      </w:r>
      <w:r w:rsidRPr="00DD6107">
        <w:rPr>
          <w:rFonts w:ascii="David" w:hAnsi="David"/>
          <w:color w:val="000000"/>
          <w:rtl/>
        </w:rPr>
        <w:t xml:space="preserve">. הנאשם שוהה במעצר במשך תקופה ממושכת, מאז סוף חודש מרץ 2019. הנאשם גדל בתנאים של עוני והזנחה. הוא בעל רקע של התמכרות לסמים במשך שנים רבות. </w:t>
      </w:r>
    </w:p>
    <w:p w14:paraId="14D497A2" w14:textId="77777777" w:rsidR="00620519" w:rsidRPr="00DD6107" w:rsidRDefault="00620519" w:rsidP="00620519">
      <w:pPr>
        <w:spacing w:after="120" w:line="360" w:lineRule="auto"/>
        <w:ind w:left="720"/>
        <w:jc w:val="both"/>
        <w:rPr>
          <w:rFonts w:ascii="David" w:hAnsi="David"/>
          <w:color w:val="000000"/>
          <w:rtl/>
        </w:rPr>
      </w:pPr>
      <w:r w:rsidRPr="00DD6107">
        <w:rPr>
          <w:rFonts w:ascii="David" w:hAnsi="David"/>
          <w:color w:val="000000"/>
          <w:rtl/>
        </w:rPr>
        <w:t>לחובת הנאשם עבר פלילי משמעותי, הכולל 20 הרשעות קודמות, ומאסרים אשר מצטברים ליותר מ-11 שנות מאסר בפועל, אם כי מדובר בעבר פלילי אשר התיישן בשנת 2018. הרשעתו האחרונה של הנאשם משנת 2004, בעבירות נשק, שבגינן נדון ל-4 שנות מאסר בפועל. כמו כן, מתוך עברו הפלילי, 10 הרשעות קודמות הן בעבירות סמים החל משנות ה-80', דרך שנות ה-90' ועד לשנת 2000.</w:t>
      </w:r>
    </w:p>
    <w:p w14:paraId="3AC9D1BB" w14:textId="77777777" w:rsidR="00620519" w:rsidRPr="00DD6107" w:rsidRDefault="00620519" w:rsidP="00620519">
      <w:pPr>
        <w:spacing w:after="120" w:line="360" w:lineRule="auto"/>
        <w:ind w:left="720"/>
        <w:jc w:val="both"/>
        <w:rPr>
          <w:rFonts w:ascii="David" w:hAnsi="David"/>
          <w:color w:val="000000"/>
        </w:rPr>
      </w:pPr>
      <w:r w:rsidRPr="00DD6107">
        <w:rPr>
          <w:rFonts w:ascii="David" w:hAnsi="David"/>
          <w:color w:val="000000"/>
          <w:rtl/>
        </w:rPr>
        <w:t xml:space="preserve">מאז מאסרו האחרון נמנע הנאשם במשך מספר שנים מהרשעות נוספות, ויתכן שאף שמר על ניקיון מסמים במשך תקופה ארוכה. ברם, בתקופה שקדמה למעצרו, מקום העבודה שבו עבד נסגר, והוא חזר להשתמש בסמים. ניכר כי לרקע זה הייתה השפעה על ביצוע מעשה העבירה. </w:t>
      </w:r>
    </w:p>
    <w:p w14:paraId="6B7FCF65" w14:textId="77777777" w:rsidR="00620519" w:rsidRPr="00DD6107" w:rsidRDefault="00620519" w:rsidP="00620519">
      <w:pPr>
        <w:spacing w:after="120" w:line="360" w:lineRule="auto"/>
        <w:ind w:left="720"/>
        <w:jc w:val="both"/>
        <w:rPr>
          <w:rFonts w:ascii="David" w:hAnsi="David"/>
          <w:color w:val="000000"/>
        </w:rPr>
      </w:pPr>
      <w:r w:rsidRPr="00DD6107">
        <w:rPr>
          <w:rFonts w:ascii="David" w:hAnsi="David"/>
          <w:color w:val="000000"/>
          <w:rtl/>
        </w:rPr>
        <w:t xml:space="preserve">מובן כי עונש מאסר ממושך יפגע בנאשם ובמשפחתו, וזאת הגם שהנאשם ריצה לא מעט עונשי מאסר בחייו. בהקשר זה יש לתת את הדעת אף למצבו הרפואי המורכב של הנאשם, ולקושי שיש בכך במסגרת המאסר. </w:t>
      </w:r>
    </w:p>
    <w:p w14:paraId="21443514" w14:textId="77777777" w:rsidR="00620519" w:rsidRPr="00DD6107" w:rsidRDefault="00620519" w:rsidP="00620519">
      <w:pPr>
        <w:numPr>
          <w:ilvl w:val="0"/>
          <w:numId w:val="1"/>
        </w:numPr>
        <w:spacing w:after="120" w:line="360" w:lineRule="auto"/>
        <w:jc w:val="both"/>
        <w:rPr>
          <w:color w:val="000000"/>
        </w:rPr>
      </w:pPr>
      <w:r w:rsidRPr="00DD6107">
        <w:rPr>
          <w:rFonts w:ascii="David" w:hAnsi="David"/>
          <w:color w:val="000000"/>
          <w:rtl/>
        </w:rPr>
        <w:t xml:space="preserve">עוד יש לתת את הדעת לשיקול </w:t>
      </w:r>
      <w:r w:rsidRPr="00DD6107">
        <w:rPr>
          <w:rFonts w:ascii="David" w:hAnsi="David"/>
          <w:b/>
          <w:bCs/>
          <w:color w:val="000000"/>
          <w:rtl/>
        </w:rPr>
        <w:t>הרתעת היחיד</w:t>
      </w:r>
      <w:r w:rsidRPr="00DD6107">
        <w:rPr>
          <w:rFonts w:ascii="David" w:hAnsi="David"/>
          <w:color w:val="000000"/>
          <w:rtl/>
        </w:rPr>
        <w:t xml:space="preserve"> בגדרו של המתחם, וזאת בשים לב לעברו הפלילי המשמעותי של הנאשם, לרבות בעבירות סמים, על אף שאינו מן העת האחרונה. הנאשם מכור לסמים, ועל אף שהוא נמצא במשך שנים בטיפול נפשי, לא היה בכך כדי למנוע ממנו מלבצע את העבירה.</w:t>
      </w:r>
    </w:p>
    <w:p w14:paraId="50B4FC95" w14:textId="77777777" w:rsidR="00620519" w:rsidRPr="00DD6107" w:rsidRDefault="00620519" w:rsidP="00620519">
      <w:pPr>
        <w:numPr>
          <w:ilvl w:val="0"/>
          <w:numId w:val="1"/>
        </w:numPr>
        <w:spacing w:after="120" w:line="360" w:lineRule="auto"/>
        <w:jc w:val="both"/>
        <w:rPr>
          <w:color w:val="000000"/>
        </w:rPr>
      </w:pPr>
      <w:r w:rsidRPr="00DD6107">
        <w:rPr>
          <w:color w:val="000000"/>
          <w:rtl/>
        </w:rPr>
        <w:t xml:space="preserve">בכל הנוגע לסוגיית </w:t>
      </w:r>
      <w:r w:rsidRPr="00DD6107">
        <w:rPr>
          <w:b/>
          <w:bCs/>
          <w:color w:val="000000"/>
          <w:rtl/>
        </w:rPr>
        <w:t>האחידות בענישה</w:t>
      </w:r>
      <w:r w:rsidRPr="00DD6107">
        <w:rPr>
          <w:color w:val="000000"/>
          <w:rtl/>
        </w:rPr>
        <w:t xml:space="preserve">, נתתי דעתי לכך שהנאשם 2 נדון, בהסדר טיעון, לעונש מוסכם של שישה חודשי מאסר בפועל ויום. אכן, במקרים רבים בתי המשפט קובעים את עונשם של מסייעים לדבר עבירה על מחצית מעונשם של המבצעים העיקריים (ראו למשל, </w:t>
      </w:r>
      <w:hyperlink r:id="rId38" w:history="1">
        <w:r w:rsidR="003E7813" w:rsidRPr="003E7813">
          <w:rPr>
            <w:color w:val="0000FF"/>
            <w:u w:val="single"/>
            <w:rtl/>
          </w:rPr>
          <w:t>ע"פ 2646/15</w:t>
        </w:r>
      </w:hyperlink>
      <w:r w:rsidRPr="00DD6107">
        <w:rPr>
          <w:color w:val="000000"/>
          <w:rtl/>
        </w:rPr>
        <w:t xml:space="preserve"> </w:t>
      </w:r>
      <w:r w:rsidRPr="00DD6107">
        <w:rPr>
          <w:b/>
          <w:bCs/>
          <w:color w:val="000000"/>
          <w:rtl/>
        </w:rPr>
        <w:t>מדינת ישראל נ' אבו בכר</w:t>
      </w:r>
      <w:r w:rsidRPr="00DD6107">
        <w:rPr>
          <w:color w:val="000000"/>
          <w:rtl/>
        </w:rPr>
        <w:t xml:space="preserve"> [16.7.15]). עם זאת, במקרה דנן איני סבור כי יש לגזור את עונשו של הנאשם, המבצע העיקרי, על פי עונשו של המסייע. זאת בפרט לאור העובדה שחלקו של הנאשם 2 בעובדות כתב האישום אינו מפורט, אלא נרשם רק כי הוא "סייע לו", ללא פירוט טיבו של הסיוע (למשל, סיוע בשכירת המקום, סיוע בהבאת הציוד למעבדה, סיוע בהשקיית או בגיזום הצמחים ועוד, כפי שקיים בתיקים אחרים). כמו כן, עונשו של הנאשם 2 נקבע במסגרת הסדר טיעון "סגור", מבלי שנקבע בעניינו מתחם עונש הולם. זאת ועוד, בתיקי מעבדות רבים נגזרים על מסייעים עונשי מאסר לתקופות של מספר חודשים אשר במקרים רבים אף נישאים בדרך של עבודות שירות, וזאת על אף שעל המבצעים העיקריים של העבירה מוטלים עונשי מאסר משמעותיים, אשר עולים באופן ניכר על כפליים עונשו של המסייע. ראו לדוגמה: </w:t>
      </w:r>
      <w:hyperlink r:id="rId39" w:history="1">
        <w:r w:rsidR="003E7813" w:rsidRPr="003E7813">
          <w:rPr>
            <w:color w:val="0000FF"/>
            <w:u w:val="single"/>
            <w:rtl/>
          </w:rPr>
          <w:t>ת"פ 30876-03-17</w:t>
        </w:r>
      </w:hyperlink>
      <w:r w:rsidRPr="00DD6107">
        <w:rPr>
          <w:color w:val="000000"/>
          <w:rtl/>
        </w:rPr>
        <w:t xml:space="preserve"> </w:t>
      </w:r>
      <w:r w:rsidRPr="00DD6107">
        <w:rPr>
          <w:b/>
          <w:bCs/>
          <w:color w:val="000000"/>
          <w:rtl/>
        </w:rPr>
        <w:t>מדינת ישראל נ' בן אדיבה</w:t>
      </w:r>
      <w:r w:rsidRPr="00DD6107">
        <w:rPr>
          <w:color w:val="000000"/>
          <w:rtl/>
        </w:rPr>
        <w:t xml:space="preserve"> (20.9.18) ו</w:t>
      </w:r>
      <w:hyperlink r:id="rId40" w:history="1">
        <w:r w:rsidR="003E7813" w:rsidRPr="003E7813">
          <w:rPr>
            <w:color w:val="0000FF"/>
            <w:u w:val="single"/>
            <w:rtl/>
          </w:rPr>
          <w:t>ת"פ 30876-03-17</w:t>
        </w:r>
      </w:hyperlink>
      <w:r w:rsidRPr="00DD6107">
        <w:rPr>
          <w:color w:val="000000"/>
          <w:rtl/>
        </w:rPr>
        <w:t xml:space="preserve"> </w:t>
      </w:r>
      <w:r w:rsidRPr="00DD6107">
        <w:rPr>
          <w:b/>
          <w:bCs/>
          <w:color w:val="000000"/>
          <w:rtl/>
        </w:rPr>
        <w:t>מדינת ישראל נ' חנוכה</w:t>
      </w:r>
      <w:r w:rsidRPr="00DD6107">
        <w:rPr>
          <w:color w:val="000000"/>
          <w:rtl/>
        </w:rPr>
        <w:t xml:space="preserve"> (19.7.18).</w:t>
      </w:r>
    </w:p>
    <w:p w14:paraId="4A4AC26F" w14:textId="77777777" w:rsidR="00620519" w:rsidRPr="00DD6107" w:rsidRDefault="00620519" w:rsidP="00620519">
      <w:pPr>
        <w:numPr>
          <w:ilvl w:val="0"/>
          <w:numId w:val="1"/>
        </w:numPr>
        <w:spacing w:after="120" w:line="360" w:lineRule="auto"/>
        <w:jc w:val="both"/>
        <w:rPr>
          <w:color w:val="000000"/>
          <w:rtl/>
        </w:rPr>
      </w:pPr>
      <w:r w:rsidRPr="00DD6107">
        <w:rPr>
          <w:color w:val="000000"/>
          <w:rtl/>
        </w:rPr>
        <w:t xml:space="preserve">באיזון בין השיקולים השונים, ובשים לב לרף הענישה אשר לו עתרה המאשימה במסגרת הסדר הטיעון, סבורני כי יש לגזור על הנאשם עונש בשליש התחתון של המתחם, אך לא ברף התחתון ביותר שלו. </w:t>
      </w:r>
    </w:p>
    <w:p w14:paraId="31120227" w14:textId="77777777" w:rsidR="00620519" w:rsidRPr="00DD6107" w:rsidRDefault="00620519" w:rsidP="00620519">
      <w:pPr>
        <w:spacing w:after="120" w:line="360" w:lineRule="auto"/>
        <w:jc w:val="both"/>
        <w:rPr>
          <w:b/>
          <w:bCs/>
          <w:u w:val="single"/>
          <w:rtl/>
        </w:rPr>
      </w:pPr>
      <w:r w:rsidRPr="00DD6107">
        <w:rPr>
          <w:b/>
          <w:bCs/>
          <w:u w:val="single"/>
          <w:rtl/>
        </w:rPr>
        <w:t>סוף דבר</w:t>
      </w:r>
    </w:p>
    <w:p w14:paraId="1AE9663D" w14:textId="77777777" w:rsidR="00620519" w:rsidRPr="00DD6107" w:rsidRDefault="00620519" w:rsidP="00620519">
      <w:pPr>
        <w:numPr>
          <w:ilvl w:val="0"/>
          <w:numId w:val="1"/>
        </w:numPr>
        <w:spacing w:after="120" w:line="360" w:lineRule="auto"/>
        <w:jc w:val="both"/>
        <w:rPr>
          <w:rFonts w:ascii="David" w:hAnsi="David"/>
          <w:color w:val="000000"/>
        </w:rPr>
      </w:pPr>
      <w:r w:rsidRPr="00DD6107">
        <w:rPr>
          <w:rFonts w:ascii="David" w:hAnsi="David"/>
          <w:b/>
          <w:bCs/>
          <w:color w:val="000000"/>
          <w:u w:val="single"/>
          <w:rtl/>
        </w:rPr>
        <w:t>אשר על-כן, הנני גוזר על הנאשם את העונשים הבאים</w:t>
      </w:r>
      <w:r w:rsidRPr="00DD6107">
        <w:rPr>
          <w:rFonts w:ascii="David" w:hAnsi="David"/>
          <w:color w:val="000000"/>
          <w:rtl/>
        </w:rPr>
        <w:t>:</w:t>
      </w:r>
    </w:p>
    <w:p w14:paraId="0704045C" w14:textId="77777777" w:rsidR="00620519" w:rsidRPr="00DD6107" w:rsidRDefault="00620519" w:rsidP="00620519">
      <w:pPr>
        <w:numPr>
          <w:ilvl w:val="1"/>
          <w:numId w:val="1"/>
        </w:numPr>
        <w:tabs>
          <w:tab w:val="clear" w:pos="1620"/>
          <w:tab w:val="num" w:pos="1286"/>
        </w:tabs>
        <w:spacing w:after="120" w:line="360" w:lineRule="auto"/>
        <w:ind w:left="1287" w:hanging="539"/>
        <w:jc w:val="both"/>
      </w:pPr>
      <w:r w:rsidRPr="00DD6107">
        <w:rPr>
          <w:b/>
          <w:bCs/>
          <w:rtl/>
        </w:rPr>
        <w:t>26 חודשי מאסר בפועל</w:t>
      </w:r>
      <w:r w:rsidRPr="00DD6107">
        <w:rPr>
          <w:rtl/>
        </w:rPr>
        <w:t xml:space="preserve"> אשר מניינם מיום מעצרו 27.3.19.</w:t>
      </w:r>
    </w:p>
    <w:p w14:paraId="4027FADD" w14:textId="77777777" w:rsidR="00620519" w:rsidRPr="00DD6107" w:rsidRDefault="00620519" w:rsidP="00620519">
      <w:pPr>
        <w:numPr>
          <w:ilvl w:val="1"/>
          <w:numId w:val="1"/>
        </w:numPr>
        <w:tabs>
          <w:tab w:val="clear" w:pos="1620"/>
          <w:tab w:val="num" w:pos="1286"/>
        </w:tabs>
        <w:spacing w:after="120" w:line="360" w:lineRule="auto"/>
        <w:ind w:left="1287" w:hanging="540"/>
        <w:jc w:val="both"/>
      </w:pPr>
      <w:r w:rsidRPr="00DD6107">
        <w:rPr>
          <w:rtl/>
        </w:rPr>
        <w:t xml:space="preserve">10 חודשי מאסר על תנאי, לבל יעבור הנאשם במשך שלוש שנים מיום שחרורו מן המאסר כל עבירה מסוג פשע לפי פקודת הסמים. </w:t>
      </w:r>
    </w:p>
    <w:p w14:paraId="58CFC806" w14:textId="77777777" w:rsidR="00620519" w:rsidRPr="00DD6107" w:rsidRDefault="00620519" w:rsidP="00620519">
      <w:pPr>
        <w:numPr>
          <w:ilvl w:val="1"/>
          <w:numId w:val="1"/>
        </w:numPr>
        <w:tabs>
          <w:tab w:val="clear" w:pos="1620"/>
          <w:tab w:val="num" w:pos="1286"/>
        </w:tabs>
        <w:spacing w:after="120" w:line="360" w:lineRule="auto"/>
        <w:ind w:left="1287" w:hanging="540"/>
        <w:jc w:val="both"/>
        <w:rPr>
          <w:lang w:eastAsia="he-IL"/>
        </w:rPr>
      </w:pPr>
      <w:r w:rsidRPr="00DD6107">
        <w:rPr>
          <w:rtl/>
        </w:rPr>
        <w:t>קנס כספי בסך של 20,000 ₪ או 120 ימי מאסר תמורתו. הקנס ישולם ב-20 תשלומים חודשיים שווים</w:t>
      </w:r>
      <w:r w:rsidRPr="00DD6107">
        <w:rPr>
          <w:rtl/>
          <w:lang w:eastAsia="he-IL"/>
        </w:rPr>
        <w:t xml:space="preserve"> ורצופים, שהראשון שבהם ביום 1.1.21. אם לא ישולם תשלום כלשהו במועדו, תעמוד היתרה לפירעון מיידי.</w:t>
      </w:r>
    </w:p>
    <w:p w14:paraId="363982EB" w14:textId="77777777" w:rsidR="00620519" w:rsidRPr="00DD6107" w:rsidRDefault="00620519" w:rsidP="00620519">
      <w:pPr>
        <w:numPr>
          <w:ilvl w:val="1"/>
          <w:numId w:val="1"/>
        </w:numPr>
        <w:tabs>
          <w:tab w:val="clear" w:pos="1620"/>
          <w:tab w:val="num" w:pos="1286"/>
        </w:tabs>
        <w:spacing w:after="120" w:line="360" w:lineRule="auto"/>
        <w:ind w:left="1287" w:hanging="540"/>
        <w:jc w:val="both"/>
        <w:rPr>
          <w:lang w:eastAsia="he-IL"/>
        </w:rPr>
      </w:pPr>
      <w:r w:rsidRPr="00DD6107">
        <w:rPr>
          <w:rtl/>
          <w:lang w:eastAsia="he-IL"/>
        </w:rPr>
        <w:t xml:space="preserve">חילוט טלפון נייד וכן ציוד המעבדה המפורט בבקשת החילוט, וזאת לטובת הקרן לפי פקודת הסמים. </w:t>
      </w:r>
    </w:p>
    <w:p w14:paraId="57604B0F" w14:textId="77777777" w:rsidR="00620519" w:rsidRPr="00DD6107" w:rsidRDefault="00620519" w:rsidP="00620519">
      <w:pPr>
        <w:tabs>
          <w:tab w:val="num" w:pos="1286"/>
        </w:tabs>
        <w:spacing w:after="120" w:line="360" w:lineRule="auto"/>
        <w:ind w:left="720"/>
        <w:jc w:val="both"/>
        <w:rPr>
          <w:rtl/>
          <w:lang w:eastAsia="he-IL"/>
        </w:rPr>
      </w:pPr>
    </w:p>
    <w:p w14:paraId="242C688D" w14:textId="77777777" w:rsidR="00620519" w:rsidRPr="00DD6107" w:rsidRDefault="00620519" w:rsidP="00620519">
      <w:pPr>
        <w:spacing w:after="120" w:line="360" w:lineRule="auto"/>
        <w:ind w:left="720"/>
        <w:jc w:val="both"/>
        <w:rPr>
          <w:rFonts w:ascii="David" w:hAnsi="David"/>
          <w:color w:val="000000"/>
          <w:rtl/>
          <w:lang w:eastAsia="he-IL"/>
        </w:rPr>
      </w:pPr>
      <w:r w:rsidRPr="00DD6107">
        <w:rPr>
          <w:rFonts w:ascii="David" w:hAnsi="David"/>
          <w:color w:val="000000"/>
          <w:rtl/>
          <w:lang w:eastAsia="he-IL"/>
        </w:rPr>
        <w:t xml:space="preserve">הסמים יושמדו. חילוט הציוד והשמת הסמים יבוצעו לאחר היות גזר הדין חלוט. </w:t>
      </w:r>
    </w:p>
    <w:p w14:paraId="56B3A47D" w14:textId="77777777" w:rsidR="00620519" w:rsidRPr="00DD6107" w:rsidRDefault="00620519" w:rsidP="00620519">
      <w:pPr>
        <w:spacing w:after="120" w:line="360" w:lineRule="auto"/>
        <w:ind w:firstLine="360"/>
        <w:jc w:val="both"/>
        <w:rPr>
          <w:rtl/>
          <w:lang w:eastAsia="he-IL"/>
        </w:rPr>
      </w:pPr>
      <w:r w:rsidRPr="00DD6107">
        <w:rPr>
          <w:rtl/>
          <w:lang w:eastAsia="he-IL"/>
        </w:rPr>
        <w:tab/>
        <w:t xml:space="preserve">זכות ערעור לבית-המשפט העליון תוך 45 ימים. </w:t>
      </w:r>
    </w:p>
    <w:p w14:paraId="44BA4340" w14:textId="77777777" w:rsidR="00620519" w:rsidRPr="00DD6107" w:rsidRDefault="00620519" w:rsidP="00620519">
      <w:pPr>
        <w:jc w:val="both"/>
        <w:rPr>
          <w:rFonts w:cs="Times New Roman"/>
        </w:rPr>
      </w:pPr>
    </w:p>
    <w:p w14:paraId="38B2C10C" w14:textId="77777777" w:rsidR="00620519" w:rsidRPr="00DD6107" w:rsidRDefault="00620519" w:rsidP="00620519">
      <w:pPr>
        <w:rPr>
          <w:rtl/>
        </w:rPr>
      </w:pPr>
    </w:p>
    <w:p w14:paraId="3CA4B82F" w14:textId="77777777" w:rsidR="00620519" w:rsidRPr="00B05847" w:rsidRDefault="00620519" w:rsidP="00620519">
      <w:pPr>
        <w:rPr>
          <w:rtl/>
        </w:rPr>
      </w:pPr>
    </w:p>
    <w:p w14:paraId="163AC037" w14:textId="77777777" w:rsidR="00620519" w:rsidRPr="00B05847" w:rsidRDefault="00620519" w:rsidP="00620519">
      <w:pPr>
        <w:rPr>
          <w:rtl/>
        </w:rPr>
      </w:pPr>
    </w:p>
    <w:p w14:paraId="66ECA8FD" w14:textId="77777777" w:rsidR="00620519" w:rsidRPr="00B05847" w:rsidRDefault="00620519" w:rsidP="00620519">
      <w:pPr>
        <w:rPr>
          <w:rtl/>
        </w:rPr>
      </w:pPr>
    </w:p>
    <w:p w14:paraId="201BD5CB" w14:textId="77777777" w:rsidR="00620519" w:rsidRPr="00B05847" w:rsidRDefault="00620519" w:rsidP="00620519">
      <w:pPr>
        <w:rPr>
          <w:rtl/>
        </w:rPr>
      </w:pPr>
    </w:p>
    <w:p w14:paraId="66E58517" w14:textId="77777777" w:rsidR="00620519" w:rsidRPr="003E7813" w:rsidRDefault="003E7813" w:rsidP="00620519">
      <w:pPr>
        <w:rPr>
          <w:color w:val="FFFFFF"/>
          <w:sz w:val="2"/>
          <w:szCs w:val="2"/>
          <w:rtl/>
        </w:rPr>
      </w:pPr>
      <w:r w:rsidRPr="003E7813">
        <w:rPr>
          <w:color w:val="FFFFFF"/>
          <w:sz w:val="2"/>
          <w:szCs w:val="2"/>
          <w:rtl/>
        </w:rPr>
        <w:t>5129371</w:t>
      </w:r>
    </w:p>
    <w:p w14:paraId="0E2FB3FA" w14:textId="77777777" w:rsidR="00620519" w:rsidRDefault="003E7813" w:rsidP="00620519">
      <w:pPr>
        <w:rPr>
          <w:rFonts w:cs="FrankRuehl"/>
          <w:sz w:val="28"/>
          <w:szCs w:val="28"/>
          <w:rtl/>
        </w:rPr>
      </w:pPr>
      <w:bookmarkStart w:id="8" w:name="Nitan"/>
      <w:r w:rsidRPr="003E7813">
        <w:rPr>
          <w:rFonts w:ascii="Arial" w:hAnsi="Arial"/>
          <w:color w:val="FFFFFF"/>
          <w:sz w:val="2"/>
          <w:szCs w:val="2"/>
          <w:rtl/>
        </w:rPr>
        <w:t>54678313</w:t>
      </w:r>
      <w:r>
        <w:rPr>
          <w:rFonts w:ascii="Arial" w:hAnsi="Arial"/>
          <w:rtl/>
        </w:rPr>
        <w:t xml:space="preserve">ניתן היום,  כ' כסלו תש"פ, 18 דצמבר 2019, בנוכחות הצדדים. </w:t>
      </w:r>
      <w:bookmarkEnd w:id="8"/>
    </w:p>
    <w:p w14:paraId="57183185" w14:textId="77777777" w:rsidR="00620519" w:rsidRDefault="00620519" w:rsidP="003E781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630A1E4" w14:textId="77777777" w:rsidR="00620519" w:rsidRDefault="00620519" w:rsidP="00620519">
      <w:pPr>
        <w:jc w:val="center"/>
        <w:rPr>
          <w:rFonts w:ascii="Arial" w:hAnsi="Arial" w:cs="FrankRuehl"/>
          <w:sz w:val="28"/>
          <w:szCs w:val="28"/>
          <w:rtl/>
        </w:rPr>
      </w:pPr>
    </w:p>
    <w:p w14:paraId="22BF9B38" w14:textId="77777777" w:rsidR="00620519" w:rsidRDefault="00620519" w:rsidP="00620519">
      <w:pPr>
        <w:rPr>
          <w:rFonts w:cs="FrankRuehl"/>
          <w:sz w:val="28"/>
          <w:szCs w:val="28"/>
          <w:rtl/>
        </w:rPr>
      </w:pPr>
    </w:p>
    <w:p w14:paraId="2BB282B2" w14:textId="77777777" w:rsidR="00620519" w:rsidRDefault="00620519" w:rsidP="00620519">
      <w:pPr>
        <w:pStyle w:val="a4"/>
        <w:jc w:val="center"/>
        <w:rPr>
          <w:rtl/>
        </w:rPr>
      </w:pPr>
    </w:p>
    <w:p w14:paraId="7A4CA7D9" w14:textId="77777777" w:rsidR="006E3F2F" w:rsidRPr="003E7813" w:rsidRDefault="006E3F2F" w:rsidP="003E7813">
      <w:pPr>
        <w:keepNext/>
        <w:rPr>
          <w:rFonts w:ascii="David" w:hAnsi="David"/>
          <w:color w:val="000000"/>
          <w:sz w:val="22"/>
          <w:szCs w:val="22"/>
          <w:rtl/>
        </w:rPr>
      </w:pPr>
    </w:p>
    <w:p w14:paraId="69D03115" w14:textId="77777777" w:rsidR="003E7813" w:rsidRPr="003E7813" w:rsidRDefault="003E7813" w:rsidP="003E7813">
      <w:pPr>
        <w:keepNext/>
        <w:rPr>
          <w:rFonts w:ascii="David" w:hAnsi="David"/>
          <w:color w:val="000000"/>
          <w:sz w:val="22"/>
          <w:szCs w:val="22"/>
          <w:rtl/>
        </w:rPr>
      </w:pPr>
      <w:r w:rsidRPr="003E7813">
        <w:rPr>
          <w:rFonts w:ascii="David" w:hAnsi="David"/>
          <w:color w:val="000000"/>
          <w:sz w:val="22"/>
          <w:szCs w:val="22"/>
          <w:rtl/>
        </w:rPr>
        <w:t>עמי קובו 54678313</w:t>
      </w:r>
    </w:p>
    <w:p w14:paraId="72F7D934" w14:textId="77777777" w:rsidR="003E7813" w:rsidRDefault="003E7813" w:rsidP="003E7813">
      <w:r w:rsidRPr="003E7813">
        <w:rPr>
          <w:color w:val="000000"/>
          <w:rtl/>
        </w:rPr>
        <w:t>נוסח מסמך זה כפוף לשינויי ניסוח ועריכה</w:t>
      </w:r>
    </w:p>
    <w:p w14:paraId="29549348" w14:textId="77777777" w:rsidR="003E7813" w:rsidRDefault="003E7813" w:rsidP="003E7813">
      <w:pPr>
        <w:rPr>
          <w:rtl/>
        </w:rPr>
      </w:pPr>
    </w:p>
    <w:p w14:paraId="2CA30082" w14:textId="77777777" w:rsidR="003E7813" w:rsidRDefault="003E7813" w:rsidP="003E7813">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04573C6B" w14:textId="77777777" w:rsidR="003E7813" w:rsidRPr="003E7813" w:rsidRDefault="003E7813" w:rsidP="003E7813">
      <w:pPr>
        <w:jc w:val="center"/>
        <w:rPr>
          <w:color w:val="0000FF"/>
          <w:u w:val="single"/>
        </w:rPr>
      </w:pPr>
    </w:p>
    <w:sectPr w:rsidR="003E7813" w:rsidRPr="003E7813" w:rsidSect="003E7813">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23417" w14:textId="77777777" w:rsidR="008035BA" w:rsidRDefault="008035BA" w:rsidP="00425FB4">
      <w:r>
        <w:separator/>
      </w:r>
    </w:p>
  </w:endnote>
  <w:endnote w:type="continuationSeparator" w:id="0">
    <w:p w14:paraId="2B4348A2" w14:textId="77777777" w:rsidR="008035BA" w:rsidRDefault="008035BA" w:rsidP="00425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F268C" w14:textId="77777777" w:rsidR="003E7813" w:rsidRDefault="003E7813" w:rsidP="003E781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F86B9ED" w14:textId="77777777" w:rsidR="00E157B5" w:rsidRPr="003E7813" w:rsidRDefault="003E7813" w:rsidP="003E781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9AC87" w14:textId="77777777" w:rsidR="003E7813" w:rsidRDefault="003E7813" w:rsidP="003E7813">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0327">
      <w:rPr>
        <w:rFonts w:ascii="FrankRuehl" w:hAnsi="FrankRuehl" w:cs="FrankRuehl"/>
        <w:noProof/>
        <w:rtl/>
      </w:rPr>
      <w:t>1</w:t>
    </w:r>
    <w:r>
      <w:rPr>
        <w:rFonts w:ascii="FrankRuehl" w:hAnsi="FrankRuehl" w:cs="FrankRuehl"/>
        <w:rtl/>
      </w:rPr>
      <w:fldChar w:fldCharType="end"/>
    </w:r>
  </w:p>
  <w:p w14:paraId="3EDC5FF4" w14:textId="77777777" w:rsidR="00E157B5" w:rsidRPr="003E7813" w:rsidRDefault="003E7813" w:rsidP="003E7813">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A4A0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4CE31" w14:textId="77777777" w:rsidR="008035BA" w:rsidRDefault="008035BA" w:rsidP="00425FB4">
      <w:r>
        <w:separator/>
      </w:r>
    </w:p>
  </w:footnote>
  <w:footnote w:type="continuationSeparator" w:id="0">
    <w:p w14:paraId="0CC5D02E" w14:textId="77777777" w:rsidR="008035BA" w:rsidRDefault="008035BA" w:rsidP="00425F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AE87" w14:textId="77777777" w:rsidR="003E7813" w:rsidRPr="003E7813" w:rsidRDefault="003E7813" w:rsidP="003E781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14578-04-19</w:t>
    </w:r>
    <w:r>
      <w:rPr>
        <w:rFonts w:ascii="David" w:hAnsi="David"/>
        <w:color w:val="000000"/>
        <w:sz w:val="22"/>
        <w:szCs w:val="22"/>
        <w:rtl/>
      </w:rPr>
      <w:tab/>
      <w:t xml:space="preserve"> מדינת ישראל נ' אברהם אברגיל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9260F" w14:textId="77777777" w:rsidR="003E7813" w:rsidRPr="003E7813" w:rsidRDefault="003E7813" w:rsidP="003E7813">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14578-04-19</w:t>
    </w:r>
    <w:r>
      <w:rPr>
        <w:rFonts w:ascii="David" w:hAnsi="David"/>
        <w:color w:val="000000"/>
        <w:sz w:val="22"/>
        <w:szCs w:val="22"/>
        <w:rtl/>
      </w:rPr>
      <w:tab/>
      <w:t xml:space="preserve"> מדינת ישראל נ' אברהם אברגיל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C5CC9EBC"/>
    <w:lvl w:ilvl="0" w:tplc="51CA0740">
      <w:start w:val="1"/>
      <w:numFmt w:val="decimal"/>
      <w:pStyle w:val="a"/>
      <w:lvlText w:val="%1."/>
      <w:lvlJc w:val="left"/>
      <w:pPr>
        <w:tabs>
          <w:tab w:val="num" w:pos="720"/>
        </w:tabs>
        <w:ind w:left="720" w:hanging="720"/>
      </w:pPr>
      <w:rPr>
        <w:rFonts w:cs="Times New Roman" w:hint="default"/>
      </w:rPr>
    </w:lvl>
    <w:lvl w:ilvl="1" w:tplc="394A2D68">
      <w:start w:val="1"/>
      <w:numFmt w:val="hebrew1"/>
      <w:lvlText w:val="%2."/>
      <w:lvlJc w:val="left"/>
      <w:pPr>
        <w:tabs>
          <w:tab w:val="num" w:pos="1620"/>
        </w:tabs>
        <w:ind w:left="1620" w:hanging="360"/>
      </w:pPr>
      <w:rPr>
        <w:rFonts w:ascii="David" w:hAnsi="David"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3196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20519"/>
    <w:rsid w:val="00011B2C"/>
    <w:rsid w:val="003D1BDB"/>
    <w:rsid w:val="003E7813"/>
    <w:rsid w:val="00425FB4"/>
    <w:rsid w:val="00620519"/>
    <w:rsid w:val="006E3F2F"/>
    <w:rsid w:val="00800327"/>
    <w:rsid w:val="008035BA"/>
    <w:rsid w:val="00C91FA9"/>
    <w:rsid w:val="00CB63BD"/>
    <w:rsid w:val="00E157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B7647A"/>
  <w15:chartTrackingRefBased/>
  <w15:docId w15:val="{4D953EA9-BAB2-4B30-A63C-832FD8E6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620519"/>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620519"/>
    <w:pPr>
      <w:tabs>
        <w:tab w:val="center" w:pos="4153"/>
        <w:tab w:val="right" w:pos="8306"/>
      </w:tabs>
    </w:pPr>
  </w:style>
  <w:style w:type="character" w:customStyle="1" w:styleId="a5">
    <w:name w:val="כותרת עליונה תו"/>
    <w:link w:val="a4"/>
    <w:rsid w:val="00620519"/>
    <w:rPr>
      <w:rFonts w:ascii="Times New Roman" w:eastAsia="Times New Roman" w:hAnsi="Times New Roman" w:cs="David"/>
      <w:sz w:val="24"/>
      <w:szCs w:val="24"/>
    </w:rPr>
  </w:style>
  <w:style w:type="paragraph" w:styleId="a6">
    <w:name w:val="footer"/>
    <w:basedOn w:val="a0"/>
    <w:link w:val="a7"/>
    <w:rsid w:val="00620519"/>
    <w:pPr>
      <w:tabs>
        <w:tab w:val="center" w:pos="4153"/>
        <w:tab w:val="right" w:pos="8306"/>
      </w:tabs>
    </w:pPr>
  </w:style>
  <w:style w:type="character" w:customStyle="1" w:styleId="a7">
    <w:name w:val="כותרת תחתונה תו"/>
    <w:link w:val="a6"/>
    <w:rsid w:val="00620519"/>
    <w:rPr>
      <w:rFonts w:ascii="Times New Roman" w:eastAsia="Times New Roman" w:hAnsi="Times New Roman" w:cs="David"/>
      <w:sz w:val="24"/>
      <w:szCs w:val="24"/>
    </w:rPr>
  </w:style>
  <w:style w:type="table" w:styleId="a8">
    <w:name w:val="Table Grid"/>
    <w:basedOn w:val="a2"/>
    <w:rsid w:val="006205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620519"/>
  </w:style>
  <w:style w:type="paragraph" w:customStyle="1" w:styleId="a">
    <w:name w:val="ממוספר"/>
    <w:basedOn w:val="a0"/>
    <w:rsid w:val="00620519"/>
    <w:pPr>
      <w:numPr>
        <w:numId w:val="1"/>
      </w:numPr>
      <w:spacing w:after="120" w:line="360" w:lineRule="auto"/>
    </w:pPr>
    <w:rPr>
      <w:rFonts w:ascii="David" w:hAnsi="David"/>
      <w:color w:val="000000"/>
    </w:rPr>
  </w:style>
  <w:style w:type="character" w:styleId="Hyperlink">
    <w:name w:val="Hyperlink"/>
    <w:rsid w:val="003E781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23827604" TargetMode="External"/><Relationship Id="rId26" Type="http://schemas.openxmlformats.org/officeDocument/2006/relationships/hyperlink" Target="http://www.nevo.co.il/case/22791245" TargetMode="External"/><Relationship Id="rId39" Type="http://schemas.openxmlformats.org/officeDocument/2006/relationships/hyperlink" Target="http://www.nevo.co.il/case/22326873" TargetMode="External"/><Relationship Id="rId21" Type="http://schemas.openxmlformats.org/officeDocument/2006/relationships/hyperlink" Target="http://www.nevo.co.il/case/21644133" TargetMode="External"/><Relationship Id="rId34" Type="http://schemas.openxmlformats.org/officeDocument/2006/relationships/hyperlink" Target="http://www.nevo.co.il/case/2449298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527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008894" TargetMode="External"/><Relationship Id="rId32" Type="http://schemas.openxmlformats.org/officeDocument/2006/relationships/hyperlink" Target="http://www.nevo.co.il/case/20126486"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22326873"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602843" TargetMode="External"/><Relationship Id="rId28" Type="http://schemas.openxmlformats.org/officeDocument/2006/relationships/hyperlink" Target="http://www.nevo.co.il/case/20235191"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2841413" TargetMode="External"/><Relationship Id="rId31" Type="http://schemas.openxmlformats.org/officeDocument/2006/relationships/hyperlink" Target="http://www.nevo.co.il/case/25135813"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3602844" TargetMode="External"/><Relationship Id="rId27" Type="http://schemas.openxmlformats.org/officeDocument/2006/relationships/hyperlink" Target="http://www.nevo.co.il/case/22695050" TargetMode="External"/><Relationship Id="rId30" Type="http://schemas.openxmlformats.org/officeDocument/2006/relationships/hyperlink" Target="http://www.nevo.co.il/case/23299816" TargetMode="External"/><Relationship Id="rId35" Type="http://schemas.openxmlformats.org/officeDocument/2006/relationships/hyperlink" Target="http://www.nevo.co.il/law/70301" TargetMode="External"/><Relationship Id="rId43" Type="http://schemas.openxmlformats.org/officeDocument/2006/relationships/header" Target="head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2841413" TargetMode="External"/><Relationship Id="rId33" Type="http://schemas.openxmlformats.org/officeDocument/2006/relationships/hyperlink" Target="http://www.nevo.co.il/case/23000200" TargetMode="External"/><Relationship Id="rId38" Type="http://schemas.openxmlformats.org/officeDocument/2006/relationships/hyperlink" Target="http://www.nevo.co.il/case/20450155" TargetMode="External"/><Relationship Id="rId46" Type="http://schemas.openxmlformats.org/officeDocument/2006/relationships/fontTable" Target="fontTable.xml"/><Relationship Id="rId20" Type="http://schemas.openxmlformats.org/officeDocument/2006/relationships/hyperlink" Target="http://www.nevo.co.il/law/70301/40i"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3786</Words>
  <Characters>18935</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22676</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3145852</vt:i4>
      </vt:variant>
      <vt:variant>
        <vt:i4>99</vt:i4>
      </vt:variant>
      <vt:variant>
        <vt:i4>0</vt:i4>
      </vt:variant>
      <vt:variant>
        <vt:i4>5</vt:i4>
      </vt:variant>
      <vt:variant>
        <vt:lpwstr>http://www.nevo.co.il/case/22326873</vt:lpwstr>
      </vt:variant>
      <vt:variant>
        <vt:lpwstr/>
      </vt:variant>
      <vt:variant>
        <vt:i4>3145852</vt:i4>
      </vt:variant>
      <vt:variant>
        <vt:i4>96</vt:i4>
      </vt:variant>
      <vt:variant>
        <vt:i4>0</vt:i4>
      </vt:variant>
      <vt:variant>
        <vt:i4>5</vt:i4>
      </vt:variant>
      <vt:variant>
        <vt:lpwstr>http://www.nevo.co.il/case/22326873</vt:lpwstr>
      </vt:variant>
      <vt:variant>
        <vt:lpwstr/>
      </vt:variant>
      <vt:variant>
        <vt:i4>3342448</vt:i4>
      </vt:variant>
      <vt:variant>
        <vt:i4>93</vt:i4>
      </vt:variant>
      <vt:variant>
        <vt:i4>0</vt:i4>
      </vt:variant>
      <vt:variant>
        <vt:i4>5</vt:i4>
      </vt:variant>
      <vt:variant>
        <vt:lpwstr>http://www.nevo.co.il/case/20450155</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3932272</vt:i4>
      </vt:variant>
      <vt:variant>
        <vt:i4>81</vt:i4>
      </vt:variant>
      <vt:variant>
        <vt:i4>0</vt:i4>
      </vt:variant>
      <vt:variant>
        <vt:i4>5</vt:i4>
      </vt:variant>
      <vt:variant>
        <vt:lpwstr>http://www.nevo.co.il/case/24492983</vt:lpwstr>
      </vt:variant>
      <vt:variant>
        <vt:lpwstr/>
      </vt:variant>
      <vt:variant>
        <vt:i4>3276917</vt:i4>
      </vt:variant>
      <vt:variant>
        <vt:i4>78</vt:i4>
      </vt:variant>
      <vt:variant>
        <vt:i4>0</vt:i4>
      </vt:variant>
      <vt:variant>
        <vt:i4>5</vt:i4>
      </vt:variant>
      <vt:variant>
        <vt:lpwstr>http://www.nevo.co.il/case/23000200</vt:lpwstr>
      </vt:variant>
      <vt:variant>
        <vt:lpwstr/>
      </vt:variant>
      <vt:variant>
        <vt:i4>3997810</vt:i4>
      </vt:variant>
      <vt:variant>
        <vt:i4>75</vt:i4>
      </vt:variant>
      <vt:variant>
        <vt:i4>0</vt:i4>
      </vt:variant>
      <vt:variant>
        <vt:i4>5</vt:i4>
      </vt:variant>
      <vt:variant>
        <vt:lpwstr>http://www.nevo.co.il/case/20126486</vt:lpwstr>
      </vt:variant>
      <vt:variant>
        <vt:lpwstr/>
      </vt:variant>
      <vt:variant>
        <vt:i4>3604602</vt:i4>
      </vt:variant>
      <vt:variant>
        <vt:i4>72</vt:i4>
      </vt:variant>
      <vt:variant>
        <vt:i4>0</vt:i4>
      </vt:variant>
      <vt:variant>
        <vt:i4>5</vt:i4>
      </vt:variant>
      <vt:variant>
        <vt:lpwstr>http://www.nevo.co.il/case/25135813</vt:lpwstr>
      </vt:variant>
      <vt:variant>
        <vt:lpwstr/>
      </vt:variant>
      <vt:variant>
        <vt:i4>3670134</vt:i4>
      </vt:variant>
      <vt:variant>
        <vt:i4>69</vt:i4>
      </vt:variant>
      <vt:variant>
        <vt:i4>0</vt:i4>
      </vt:variant>
      <vt:variant>
        <vt:i4>5</vt:i4>
      </vt:variant>
      <vt:variant>
        <vt:lpwstr>http://www.nevo.co.il/case/23299816</vt:lpwstr>
      </vt:variant>
      <vt:variant>
        <vt:lpwstr/>
      </vt:variant>
      <vt:variant>
        <vt:i4>3276914</vt:i4>
      </vt:variant>
      <vt:variant>
        <vt:i4>66</vt:i4>
      </vt:variant>
      <vt:variant>
        <vt:i4>0</vt:i4>
      </vt:variant>
      <vt:variant>
        <vt:i4>5</vt:i4>
      </vt:variant>
      <vt:variant>
        <vt:lpwstr>http://www.nevo.co.il/case/22527622</vt:lpwstr>
      </vt:variant>
      <vt:variant>
        <vt:lpwstr/>
      </vt:variant>
      <vt:variant>
        <vt:i4>3932278</vt:i4>
      </vt:variant>
      <vt:variant>
        <vt:i4>63</vt:i4>
      </vt:variant>
      <vt:variant>
        <vt:i4>0</vt:i4>
      </vt:variant>
      <vt:variant>
        <vt:i4>5</vt:i4>
      </vt:variant>
      <vt:variant>
        <vt:lpwstr>http://www.nevo.co.il/case/20235191</vt:lpwstr>
      </vt:variant>
      <vt:variant>
        <vt:lpwstr/>
      </vt:variant>
      <vt:variant>
        <vt:i4>3407999</vt:i4>
      </vt:variant>
      <vt:variant>
        <vt:i4>60</vt:i4>
      </vt:variant>
      <vt:variant>
        <vt:i4>0</vt:i4>
      </vt:variant>
      <vt:variant>
        <vt:i4>5</vt:i4>
      </vt:variant>
      <vt:variant>
        <vt:lpwstr>http://www.nevo.co.il/case/22695050</vt:lpwstr>
      </vt:variant>
      <vt:variant>
        <vt:lpwstr/>
      </vt:variant>
      <vt:variant>
        <vt:i4>3145853</vt:i4>
      </vt:variant>
      <vt:variant>
        <vt:i4>57</vt:i4>
      </vt:variant>
      <vt:variant>
        <vt:i4>0</vt:i4>
      </vt:variant>
      <vt:variant>
        <vt:i4>5</vt:i4>
      </vt:variant>
      <vt:variant>
        <vt:lpwstr>http://www.nevo.co.il/case/22791245</vt:lpwstr>
      </vt:variant>
      <vt:variant>
        <vt:lpwstr/>
      </vt:variant>
      <vt:variant>
        <vt:i4>3801206</vt:i4>
      </vt:variant>
      <vt:variant>
        <vt:i4>54</vt:i4>
      </vt:variant>
      <vt:variant>
        <vt:i4>0</vt:i4>
      </vt:variant>
      <vt:variant>
        <vt:i4>5</vt:i4>
      </vt:variant>
      <vt:variant>
        <vt:lpwstr>http://www.nevo.co.il/case/22841413</vt:lpwstr>
      </vt:variant>
      <vt:variant>
        <vt:lpwstr/>
      </vt:variant>
      <vt:variant>
        <vt:i4>3342460</vt:i4>
      </vt:variant>
      <vt:variant>
        <vt:i4>51</vt:i4>
      </vt:variant>
      <vt:variant>
        <vt:i4>0</vt:i4>
      </vt:variant>
      <vt:variant>
        <vt:i4>5</vt:i4>
      </vt:variant>
      <vt:variant>
        <vt:lpwstr>http://www.nevo.co.il/case/20008894</vt:lpwstr>
      </vt:variant>
      <vt:variant>
        <vt:lpwstr/>
      </vt:variant>
      <vt:variant>
        <vt:i4>3276927</vt:i4>
      </vt:variant>
      <vt:variant>
        <vt:i4>48</vt:i4>
      </vt:variant>
      <vt:variant>
        <vt:i4>0</vt:i4>
      </vt:variant>
      <vt:variant>
        <vt:i4>5</vt:i4>
      </vt:variant>
      <vt:variant>
        <vt:lpwstr>http://www.nevo.co.il/case/23602843</vt:lpwstr>
      </vt:variant>
      <vt:variant>
        <vt:lpwstr/>
      </vt:variant>
      <vt:variant>
        <vt:i4>3276927</vt:i4>
      </vt:variant>
      <vt:variant>
        <vt:i4>45</vt:i4>
      </vt:variant>
      <vt:variant>
        <vt:i4>0</vt:i4>
      </vt:variant>
      <vt:variant>
        <vt:i4>5</vt:i4>
      </vt:variant>
      <vt:variant>
        <vt:lpwstr>http://www.nevo.co.il/case/23602844</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3801206</vt:i4>
      </vt:variant>
      <vt:variant>
        <vt:i4>36</vt:i4>
      </vt:variant>
      <vt:variant>
        <vt:i4>0</vt:i4>
      </vt:variant>
      <vt:variant>
        <vt:i4>5</vt:i4>
      </vt:variant>
      <vt:variant>
        <vt:lpwstr>http://www.nevo.co.il/case/22841413</vt:lpwstr>
      </vt:variant>
      <vt:variant>
        <vt:lpwstr/>
      </vt:variant>
      <vt:variant>
        <vt:i4>3997811</vt:i4>
      </vt:variant>
      <vt:variant>
        <vt:i4>33</vt:i4>
      </vt:variant>
      <vt:variant>
        <vt:i4>0</vt:i4>
      </vt:variant>
      <vt:variant>
        <vt:i4>5</vt:i4>
      </vt:variant>
      <vt:variant>
        <vt:lpwstr>http://www.nevo.co.il/case/23827604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2025-04-22T20:59:00Z</dcterms:created>
  <dcterms:modified xsi:type="dcterms:W3CDTF">2025-04-22T20:59:00Z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14578</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אברהם אברגיל</vt:lpwstr>
  </property>
  <property fmtid="{D5CDD505-2E9C-101B-9397-08002B2CF9AE}" pid="10" name="LAWYER">
    <vt:lpwstr>גבי פאר;שחר חצרוני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20191218</vt:lpwstr>
  </property>
  <property fmtid="{D5CDD505-2E9C-101B-9397-08002B2CF9AE}" pid="14" name="TYPE_N_DATE">
    <vt:lpwstr>39020191218</vt:lpwstr>
  </property>
  <property fmtid="{D5CDD505-2E9C-101B-9397-08002B2CF9AE}" pid="15" name="CASESLISTTMP1">
    <vt:lpwstr>23827604;22841413:2;21644133;23602844;23602843;20008894;22791245;22695050;20235191;22527622;23299816;25135813;20126486;23000200;24492983;20450155;22326873:2</vt:lpwstr>
  </property>
  <property fmtid="{D5CDD505-2E9C-101B-9397-08002B2CF9AE}" pid="16" name="WORDNUMPAGES">
    <vt:lpwstr>11</vt:lpwstr>
  </property>
  <property fmtid="{D5CDD505-2E9C-101B-9397-08002B2CF9AE}" pid="17" name="TYPE_ABS_DATE">
    <vt:lpwstr>390020191218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y fmtid="{D5CDD505-2E9C-101B-9397-08002B2CF9AE}" pid="37" name="LAWLISTTMP2">
    <vt:lpwstr>70301/040i;40jc;40ja</vt:lpwstr>
  </property>
</Properties>
</file>