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19"/>
        <w:gridCol w:w="3686"/>
      </w:tblGrid>
      <w:tr w:rsidR="003A1152" w:rsidRPr="004557D5" w14:paraId="2F7C024F" w14:textId="77777777" w:rsidTr="00354622">
        <w:trPr>
          <w:trHeight w:hRule="exact" w:val="418"/>
          <w:jc w:val="center"/>
        </w:trPr>
        <w:tc>
          <w:tcPr>
            <w:tcW w:w="8505" w:type="dxa"/>
            <w:gridSpan w:val="2"/>
          </w:tcPr>
          <w:p w14:paraId="46EA8EFB" w14:textId="77777777" w:rsidR="003A1152" w:rsidRPr="004557D5" w:rsidRDefault="003A1152" w:rsidP="00354622">
            <w:pPr>
              <w:pStyle w:val="a3"/>
              <w:jc w:val="center"/>
              <w:rPr>
                <w:rFonts w:ascii="Tahoma" w:hAnsi="Tahoma"/>
                <w:color w:val="000080"/>
                <w:sz w:val="32"/>
                <w:szCs w:val="32"/>
                <w:rtl/>
              </w:rPr>
            </w:pPr>
            <w:bookmarkStart w:id="0" w:name="LastJudge"/>
            <w:r w:rsidRPr="004557D5">
              <w:rPr>
                <w:rFonts w:ascii="Tahoma" w:hAnsi="Tahoma"/>
                <w:b/>
                <w:bCs/>
                <w:color w:val="000080"/>
                <w:sz w:val="32"/>
                <w:szCs w:val="32"/>
                <w:rtl/>
              </w:rPr>
              <w:t>בית המשפט המחוזי בתל אביב - יפו</w:t>
            </w:r>
          </w:p>
        </w:tc>
      </w:tr>
      <w:tr w:rsidR="003A1152" w:rsidRPr="004557D5" w14:paraId="5A175FB8" w14:textId="77777777" w:rsidTr="00354622">
        <w:trPr>
          <w:trHeight w:val="337"/>
          <w:jc w:val="center"/>
        </w:trPr>
        <w:tc>
          <w:tcPr>
            <w:tcW w:w="4819" w:type="dxa"/>
          </w:tcPr>
          <w:p w14:paraId="43716358" w14:textId="77777777" w:rsidR="003A1152" w:rsidRPr="004557D5" w:rsidRDefault="003A1152" w:rsidP="00354622">
            <w:pPr>
              <w:rPr>
                <w:rFonts w:ascii="David" w:hAnsi="David"/>
                <w:b/>
                <w:bCs/>
                <w:sz w:val="28"/>
                <w:szCs w:val="28"/>
                <w:rtl/>
              </w:rPr>
            </w:pPr>
            <w:r w:rsidRPr="004557D5">
              <w:rPr>
                <w:rFonts w:ascii="David" w:hAnsi="David"/>
                <w:b/>
                <w:bCs/>
                <w:sz w:val="28"/>
                <w:szCs w:val="28"/>
                <w:rtl/>
              </w:rPr>
              <w:t>ת"פ 43983-05-19 מדינת ישראל נ' ראובן</w:t>
            </w:r>
          </w:p>
        </w:tc>
        <w:tc>
          <w:tcPr>
            <w:tcW w:w="3686" w:type="dxa"/>
          </w:tcPr>
          <w:p w14:paraId="6FFD0E38" w14:textId="77777777" w:rsidR="003A1152" w:rsidRPr="004557D5" w:rsidRDefault="003A1152" w:rsidP="00354622">
            <w:pPr>
              <w:pStyle w:val="a3"/>
              <w:jc w:val="right"/>
              <w:rPr>
                <w:rFonts w:ascii="David" w:hAnsi="David"/>
                <w:b/>
                <w:bCs/>
                <w:sz w:val="28"/>
                <w:szCs w:val="28"/>
                <w:rtl/>
              </w:rPr>
            </w:pPr>
            <w:r w:rsidRPr="004557D5">
              <w:rPr>
                <w:rFonts w:ascii="David" w:hAnsi="David" w:hint="cs"/>
                <w:b/>
                <w:bCs/>
                <w:sz w:val="28"/>
                <w:szCs w:val="28"/>
                <w:rtl/>
              </w:rPr>
              <w:t>19</w:t>
            </w:r>
            <w:r w:rsidRPr="004557D5">
              <w:rPr>
                <w:rFonts w:ascii="David" w:hAnsi="David"/>
                <w:b/>
                <w:bCs/>
                <w:sz w:val="28"/>
                <w:szCs w:val="28"/>
                <w:rtl/>
              </w:rPr>
              <w:t xml:space="preserve"> מרץ 2020</w:t>
            </w:r>
          </w:p>
        </w:tc>
      </w:tr>
    </w:tbl>
    <w:p w14:paraId="4DC00CE7" w14:textId="77777777" w:rsidR="003A1152" w:rsidRPr="004557D5" w:rsidRDefault="003A1152" w:rsidP="003A1152">
      <w:pPr>
        <w:pStyle w:val="a3"/>
        <w:rPr>
          <w:rtl/>
        </w:rPr>
      </w:pPr>
      <w:r w:rsidRPr="004557D5">
        <w:rPr>
          <w:rFonts w:hint="cs"/>
          <w:rtl/>
        </w:rPr>
        <w:t xml:space="preserve"> </w:t>
      </w:r>
    </w:p>
    <w:p w14:paraId="5BBBEBCF" w14:textId="77777777" w:rsidR="003A1152" w:rsidRPr="004557D5" w:rsidRDefault="003A1152" w:rsidP="003A1152">
      <w:pPr>
        <w:rPr>
          <w:sz w:val="16"/>
          <w:szCs w:val="16"/>
          <w:rtl/>
        </w:rPr>
      </w:pPr>
    </w:p>
    <w:p w14:paraId="535241A2" w14:textId="77777777" w:rsidR="003A1152" w:rsidRPr="004557D5" w:rsidRDefault="003A1152" w:rsidP="003A1152">
      <w:pPr>
        <w:rPr>
          <w:sz w:val="16"/>
          <w:szCs w:val="1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3454"/>
        <w:gridCol w:w="3350"/>
      </w:tblGrid>
      <w:tr w:rsidR="003A1152" w:rsidRPr="004557D5" w14:paraId="6FCD4B87" w14:textId="77777777" w:rsidTr="003A1152">
        <w:trPr>
          <w:trHeight w:val="295"/>
          <w:jc w:val="center"/>
        </w:trPr>
        <w:tc>
          <w:tcPr>
            <w:tcW w:w="8820" w:type="dxa"/>
            <w:gridSpan w:val="3"/>
            <w:tcBorders>
              <w:top w:val="nil"/>
              <w:left w:val="nil"/>
              <w:bottom w:val="nil"/>
              <w:right w:val="nil"/>
            </w:tcBorders>
            <w:shd w:val="clear" w:color="auto" w:fill="auto"/>
          </w:tcPr>
          <w:p w14:paraId="15ACD11A" w14:textId="77777777" w:rsidR="003A1152" w:rsidRPr="004557D5" w:rsidRDefault="003A1152" w:rsidP="003A1152">
            <w:pPr>
              <w:jc w:val="both"/>
              <w:rPr>
                <w:rFonts w:ascii="Arial" w:hAnsi="Arial"/>
                <w:b/>
                <w:bCs/>
                <w:sz w:val="22"/>
                <w:szCs w:val="22"/>
                <w:rtl/>
              </w:rPr>
            </w:pPr>
            <w:r w:rsidRPr="004557D5">
              <w:rPr>
                <w:rFonts w:ascii="Arial" w:hAnsi="Arial" w:hint="cs"/>
                <w:b/>
                <w:bCs/>
                <w:rtl/>
              </w:rPr>
              <w:t>ל</w:t>
            </w:r>
            <w:r w:rsidRPr="004557D5">
              <w:rPr>
                <w:rFonts w:ascii="Arial" w:hAnsi="Arial"/>
                <w:b/>
                <w:bCs/>
                <w:rtl/>
              </w:rPr>
              <w:t xml:space="preserve">פני </w:t>
            </w:r>
            <w:r w:rsidRPr="004557D5">
              <w:rPr>
                <w:rFonts w:ascii="Arial" w:hAnsi="Arial" w:hint="cs"/>
                <w:b/>
                <w:bCs/>
                <w:rtl/>
              </w:rPr>
              <w:t>כבוד ה</w:t>
            </w:r>
            <w:r w:rsidRPr="004557D5">
              <w:rPr>
                <w:rFonts w:ascii="Arial" w:hAnsi="Arial"/>
                <w:b/>
                <w:bCs/>
                <w:rtl/>
              </w:rPr>
              <w:t>שופט</w:t>
            </w:r>
            <w:r w:rsidRPr="004557D5">
              <w:rPr>
                <w:rFonts w:ascii="Arial" w:hAnsi="Arial" w:hint="cs"/>
                <w:b/>
                <w:bCs/>
                <w:rtl/>
              </w:rPr>
              <w:t xml:space="preserve">  </w:t>
            </w:r>
            <w:r w:rsidRPr="004557D5">
              <w:rPr>
                <w:rFonts w:ascii="Arial" w:hAnsi="Arial"/>
                <w:b/>
                <w:bCs/>
                <w:rtl/>
              </w:rPr>
              <w:t>בני שגיא</w:t>
            </w:r>
          </w:p>
          <w:p w14:paraId="21DE7F7B" w14:textId="77777777" w:rsidR="003A1152" w:rsidRPr="004557D5" w:rsidRDefault="003A1152" w:rsidP="003A1152">
            <w:pPr>
              <w:jc w:val="both"/>
              <w:rPr>
                <w:rFonts w:ascii="Arial" w:hAnsi="Arial"/>
              </w:rPr>
            </w:pPr>
          </w:p>
        </w:tc>
      </w:tr>
      <w:tr w:rsidR="003A1152" w:rsidRPr="004557D5" w14:paraId="154D9F37" w14:textId="77777777" w:rsidTr="003A1152">
        <w:trPr>
          <w:trHeight w:val="355"/>
          <w:jc w:val="center"/>
        </w:trPr>
        <w:tc>
          <w:tcPr>
            <w:tcW w:w="2016" w:type="dxa"/>
            <w:tcBorders>
              <w:top w:val="nil"/>
              <w:left w:val="nil"/>
              <w:bottom w:val="nil"/>
              <w:right w:val="nil"/>
            </w:tcBorders>
            <w:shd w:val="clear" w:color="auto" w:fill="auto"/>
          </w:tcPr>
          <w:p w14:paraId="31D75C93" w14:textId="77777777" w:rsidR="003A1152" w:rsidRPr="004557D5" w:rsidRDefault="003A1152" w:rsidP="003A1152">
            <w:pPr>
              <w:jc w:val="both"/>
              <w:rPr>
                <w:rFonts w:ascii="Arial" w:hAnsi="Arial"/>
                <w:b/>
                <w:bCs/>
              </w:rPr>
            </w:pPr>
            <w:bookmarkStart w:id="1" w:name="FirstAppellant"/>
            <w:bookmarkStart w:id="2" w:name="FirstLawyer"/>
            <w:r w:rsidRPr="004557D5">
              <w:rPr>
                <w:rFonts w:ascii="Arial" w:hAnsi="Arial" w:hint="cs"/>
                <w:b/>
                <w:bCs/>
                <w:rtl/>
              </w:rPr>
              <w:t>ה</w:t>
            </w:r>
            <w:r w:rsidRPr="004557D5">
              <w:rPr>
                <w:rFonts w:ascii="Arial" w:hAnsi="Arial"/>
                <w:b/>
                <w:bCs/>
                <w:rtl/>
              </w:rPr>
              <w:t>מאשימה</w:t>
            </w:r>
            <w:r w:rsidRPr="004557D5">
              <w:rPr>
                <w:rFonts w:ascii="Arial" w:hAnsi="Arial" w:hint="cs"/>
                <w:b/>
                <w:bCs/>
                <w:rtl/>
              </w:rPr>
              <w:t>:</w:t>
            </w:r>
          </w:p>
        </w:tc>
        <w:tc>
          <w:tcPr>
            <w:tcW w:w="3454" w:type="dxa"/>
            <w:tcBorders>
              <w:top w:val="nil"/>
              <w:left w:val="nil"/>
              <w:bottom w:val="nil"/>
              <w:right w:val="nil"/>
            </w:tcBorders>
            <w:shd w:val="clear" w:color="auto" w:fill="auto"/>
          </w:tcPr>
          <w:p w14:paraId="2E0747D9" w14:textId="77777777" w:rsidR="003A1152" w:rsidRPr="004557D5" w:rsidRDefault="003A1152" w:rsidP="003A1152">
            <w:pPr>
              <w:tabs>
                <w:tab w:val="left" w:pos="570"/>
              </w:tabs>
              <w:spacing w:line="360" w:lineRule="auto"/>
              <w:rPr>
                <w:b/>
                <w:bCs/>
                <w:rtl/>
              </w:rPr>
            </w:pPr>
            <w:r w:rsidRPr="004557D5">
              <w:rPr>
                <w:rFonts w:hint="cs"/>
                <w:b/>
                <w:bCs/>
                <w:rtl/>
              </w:rPr>
              <w:t xml:space="preserve">           </w:t>
            </w:r>
            <w:r w:rsidRPr="004557D5">
              <w:rPr>
                <w:rFonts w:ascii="Arial" w:hAnsi="Arial"/>
                <w:b/>
                <w:bCs/>
                <w:rtl/>
              </w:rPr>
              <w:t>מדינת ישראל</w:t>
            </w:r>
          </w:p>
          <w:p w14:paraId="685C1E81" w14:textId="77777777" w:rsidR="003A1152" w:rsidRPr="004557D5" w:rsidRDefault="003A1152" w:rsidP="00354622">
            <w:r w:rsidRPr="004557D5">
              <w:rPr>
                <w:rFonts w:hint="cs"/>
                <w:rtl/>
              </w:rPr>
              <w:t xml:space="preserve">           על-ידי ב"כ עו"ד </w:t>
            </w:r>
            <w:r w:rsidRPr="004557D5">
              <w:rPr>
                <w:rtl/>
              </w:rPr>
              <w:t>יוסי קורצברג</w:t>
            </w:r>
          </w:p>
        </w:tc>
        <w:tc>
          <w:tcPr>
            <w:tcW w:w="3350" w:type="dxa"/>
            <w:tcBorders>
              <w:top w:val="nil"/>
              <w:left w:val="nil"/>
              <w:bottom w:val="nil"/>
              <w:right w:val="nil"/>
            </w:tcBorders>
            <w:shd w:val="clear" w:color="auto" w:fill="auto"/>
          </w:tcPr>
          <w:p w14:paraId="310B306D" w14:textId="77777777" w:rsidR="003A1152" w:rsidRPr="004557D5" w:rsidRDefault="003A1152" w:rsidP="003A1152">
            <w:pPr>
              <w:jc w:val="both"/>
              <w:rPr>
                <w:rFonts w:ascii="Arial" w:hAnsi="Arial"/>
              </w:rPr>
            </w:pPr>
          </w:p>
        </w:tc>
      </w:tr>
      <w:bookmarkEnd w:id="1"/>
      <w:bookmarkEnd w:id="2"/>
      <w:tr w:rsidR="003A1152" w:rsidRPr="004557D5" w14:paraId="51F70307" w14:textId="77777777" w:rsidTr="003A1152">
        <w:trPr>
          <w:trHeight w:val="355"/>
          <w:jc w:val="center"/>
        </w:trPr>
        <w:tc>
          <w:tcPr>
            <w:tcW w:w="2016" w:type="dxa"/>
            <w:tcBorders>
              <w:top w:val="nil"/>
              <w:left w:val="nil"/>
              <w:bottom w:val="nil"/>
              <w:right w:val="nil"/>
            </w:tcBorders>
            <w:shd w:val="clear" w:color="auto" w:fill="auto"/>
          </w:tcPr>
          <w:p w14:paraId="5DE1BDBF" w14:textId="77777777" w:rsidR="003A1152" w:rsidRPr="004557D5" w:rsidRDefault="003A1152" w:rsidP="003A1152">
            <w:pPr>
              <w:jc w:val="both"/>
              <w:rPr>
                <w:rFonts w:ascii="Arial" w:hAnsi="Arial"/>
                <w:rtl/>
              </w:rPr>
            </w:pPr>
          </w:p>
        </w:tc>
        <w:tc>
          <w:tcPr>
            <w:tcW w:w="3454" w:type="dxa"/>
            <w:tcBorders>
              <w:top w:val="nil"/>
              <w:left w:val="nil"/>
              <w:bottom w:val="nil"/>
              <w:right w:val="nil"/>
            </w:tcBorders>
            <w:shd w:val="clear" w:color="auto" w:fill="auto"/>
          </w:tcPr>
          <w:p w14:paraId="38392E24" w14:textId="77777777" w:rsidR="003A1152" w:rsidRPr="004557D5" w:rsidRDefault="003A1152" w:rsidP="00354622">
            <w:pPr>
              <w:rPr>
                <w:rFonts w:ascii="Arial" w:hAnsi="Arial"/>
                <w:sz w:val="20"/>
                <w:szCs w:val="20"/>
                <w:rtl/>
              </w:rPr>
            </w:pPr>
          </w:p>
        </w:tc>
        <w:tc>
          <w:tcPr>
            <w:tcW w:w="3350" w:type="dxa"/>
            <w:tcBorders>
              <w:top w:val="nil"/>
              <w:left w:val="nil"/>
              <w:bottom w:val="nil"/>
              <w:right w:val="nil"/>
            </w:tcBorders>
            <w:shd w:val="clear" w:color="auto" w:fill="auto"/>
          </w:tcPr>
          <w:p w14:paraId="04ABE82F" w14:textId="77777777" w:rsidR="003A1152" w:rsidRPr="004557D5" w:rsidRDefault="003A1152" w:rsidP="003A1152">
            <w:pPr>
              <w:jc w:val="right"/>
              <w:rPr>
                <w:rFonts w:ascii="Arial" w:hAnsi="Arial"/>
                <w:rtl/>
              </w:rPr>
            </w:pPr>
          </w:p>
        </w:tc>
      </w:tr>
      <w:tr w:rsidR="003A1152" w:rsidRPr="004557D5" w14:paraId="5452CAD3" w14:textId="77777777" w:rsidTr="003A1152">
        <w:trPr>
          <w:trHeight w:val="355"/>
          <w:jc w:val="center"/>
        </w:trPr>
        <w:tc>
          <w:tcPr>
            <w:tcW w:w="2016" w:type="dxa"/>
            <w:tcBorders>
              <w:top w:val="nil"/>
              <w:left w:val="nil"/>
              <w:bottom w:val="nil"/>
              <w:right w:val="nil"/>
            </w:tcBorders>
            <w:shd w:val="clear" w:color="auto" w:fill="auto"/>
          </w:tcPr>
          <w:p w14:paraId="0C3C06FA" w14:textId="77777777" w:rsidR="003A1152" w:rsidRPr="004557D5" w:rsidRDefault="003A1152" w:rsidP="003A1152">
            <w:pPr>
              <w:jc w:val="both"/>
              <w:rPr>
                <w:rFonts w:ascii="Arial" w:hAnsi="Arial"/>
                <w:rtl/>
              </w:rPr>
            </w:pPr>
          </w:p>
        </w:tc>
        <w:tc>
          <w:tcPr>
            <w:tcW w:w="6804" w:type="dxa"/>
            <w:gridSpan w:val="2"/>
            <w:tcBorders>
              <w:top w:val="nil"/>
              <w:left w:val="nil"/>
              <w:bottom w:val="nil"/>
              <w:right w:val="nil"/>
            </w:tcBorders>
            <w:shd w:val="clear" w:color="auto" w:fill="auto"/>
          </w:tcPr>
          <w:p w14:paraId="75E459B7" w14:textId="77777777" w:rsidR="003A1152" w:rsidRPr="004557D5" w:rsidRDefault="003A1152" w:rsidP="00354622">
            <w:pPr>
              <w:rPr>
                <w:rFonts w:ascii="Arial" w:hAnsi="Arial"/>
                <w:b/>
                <w:bCs/>
              </w:rPr>
            </w:pPr>
            <w:r w:rsidRPr="004557D5">
              <w:rPr>
                <w:rFonts w:ascii="Arial" w:hAnsi="Arial" w:hint="cs"/>
                <w:b/>
                <w:bCs/>
                <w:rtl/>
              </w:rPr>
              <w:t xml:space="preserve">                  נ ג ד </w:t>
            </w:r>
          </w:p>
        </w:tc>
      </w:tr>
      <w:tr w:rsidR="003A1152" w:rsidRPr="004557D5" w14:paraId="4F84821F" w14:textId="77777777" w:rsidTr="003A1152">
        <w:trPr>
          <w:trHeight w:val="355"/>
          <w:jc w:val="center"/>
        </w:trPr>
        <w:tc>
          <w:tcPr>
            <w:tcW w:w="2016" w:type="dxa"/>
            <w:tcBorders>
              <w:top w:val="nil"/>
              <w:left w:val="nil"/>
              <w:bottom w:val="nil"/>
              <w:right w:val="nil"/>
            </w:tcBorders>
            <w:shd w:val="clear" w:color="auto" w:fill="auto"/>
          </w:tcPr>
          <w:p w14:paraId="073BD88C" w14:textId="77777777" w:rsidR="003A1152" w:rsidRPr="004557D5" w:rsidRDefault="003A1152" w:rsidP="00354622">
            <w:pPr>
              <w:rPr>
                <w:rFonts w:ascii="Arial" w:hAnsi="Arial"/>
                <w:rtl/>
              </w:rPr>
            </w:pPr>
            <w:r w:rsidRPr="004557D5">
              <w:rPr>
                <w:rFonts w:ascii="Arial" w:hAnsi="Arial" w:hint="cs"/>
                <w:b/>
                <w:bCs/>
                <w:rtl/>
              </w:rPr>
              <w:t>ה</w:t>
            </w:r>
            <w:r w:rsidRPr="004557D5">
              <w:rPr>
                <w:rFonts w:ascii="Arial" w:hAnsi="Arial"/>
                <w:b/>
                <w:bCs/>
                <w:rtl/>
              </w:rPr>
              <w:t>נאשם</w:t>
            </w:r>
            <w:r w:rsidRPr="004557D5">
              <w:rPr>
                <w:rFonts w:ascii="Arial" w:hAnsi="Arial" w:hint="cs"/>
                <w:b/>
                <w:bCs/>
                <w:rtl/>
              </w:rPr>
              <w:t>:</w:t>
            </w:r>
          </w:p>
        </w:tc>
        <w:tc>
          <w:tcPr>
            <w:tcW w:w="3454" w:type="dxa"/>
            <w:tcBorders>
              <w:top w:val="nil"/>
              <w:left w:val="nil"/>
              <w:bottom w:val="nil"/>
              <w:right w:val="nil"/>
            </w:tcBorders>
            <w:shd w:val="clear" w:color="auto" w:fill="auto"/>
          </w:tcPr>
          <w:p w14:paraId="1DEF28CF" w14:textId="77777777" w:rsidR="003A1152" w:rsidRPr="004557D5" w:rsidRDefault="003A1152" w:rsidP="003A1152">
            <w:pPr>
              <w:spacing w:line="360" w:lineRule="auto"/>
              <w:rPr>
                <w:b/>
                <w:bCs/>
                <w:rtl/>
              </w:rPr>
            </w:pPr>
            <w:r w:rsidRPr="004557D5">
              <w:rPr>
                <w:rFonts w:hint="cs"/>
                <w:b/>
                <w:bCs/>
                <w:rtl/>
              </w:rPr>
              <w:t xml:space="preserve">           </w:t>
            </w:r>
            <w:r w:rsidRPr="004557D5">
              <w:rPr>
                <w:rFonts w:ascii="Arial" w:hAnsi="Arial"/>
                <w:b/>
                <w:bCs/>
                <w:rtl/>
              </w:rPr>
              <w:t xml:space="preserve">אופיר ראובן </w:t>
            </w:r>
          </w:p>
          <w:p w14:paraId="7AFD5EA5" w14:textId="77777777" w:rsidR="003A1152" w:rsidRPr="004557D5" w:rsidRDefault="003A1152" w:rsidP="00354622">
            <w:pPr>
              <w:rPr>
                <w:rtl/>
              </w:rPr>
            </w:pPr>
            <w:r w:rsidRPr="004557D5">
              <w:rPr>
                <w:rFonts w:hint="cs"/>
                <w:rtl/>
              </w:rPr>
              <w:t xml:space="preserve">           על-ידי ב"כ עו"ד </w:t>
            </w:r>
            <w:r w:rsidRPr="004557D5">
              <w:rPr>
                <w:rtl/>
              </w:rPr>
              <w:t>נס בן-נתן</w:t>
            </w:r>
          </w:p>
        </w:tc>
        <w:tc>
          <w:tcPr>
            <w:tcW w:w="3350" w:type="dxa"/>
            <w:tcBorders>
              <w:top w:val="nil"/>
              <w:left w:val="nil"/>
              <w:bottom w:val="nil"/>
              <w:right w:val="nil"/>
            </w:tcBorders>
            <w:shd w:val="clear" w:color="auto" w:fill="auto"/>
          </w:tcPr>
          <w:p w14:paraId="6524CACA" w14:textId="77777777" w:rsidR="003A1152" w:rsidRPr="004557D5" w:rsidRDefault="003A1152" w:rsidP="003A1152">
            <w:pPr>
              <w:jc w:val="right"/>
              <w:rPr>
                <w:rFonts w:ascii="Arial" w:hAnsi="Arial"/>
              </w:rPr>
            </w:pPr>
          </w:p>
        </w:tc>
      </w:tr>
      <w:tr w:rsidR="003A1152" w:rsidRPr="004557D5" w14:paraId="46A9D5A9" w14:textId="77777777" w:rsidTr="003A1152">
        <w:trPr>
          <w:trHeight w:val="355"/>
          <w:jc w:val="center"/>
        </w:trPr>
        <w:tc>
          <w:tcPr>
            <w:tcW w:w="2016" w:type="dxa"/>
            <w:tcBorders>
              <w:top w:val="nil"/>
              <w:left w:val="nil"/>
              <w:bottom w:val="nil"/>
              <w:right w:val="nil"/>
            </w:tcBorders>
            <w:shd w:val="clear" w:color="auto" w:fill="auto"/>
          </w:tcPr>
          <w:p w14:paraId="2980B7D4" w14:textId="77777777" w:rsidR="003A1152" w:rsidRPr="004557D5" w:rsidRDefault="003A1152" w:rsidP="003A1152">
            <w:pPr>
              <w:jc w:val="both"/>
              <w:rPr>
                <w:rFonts w:ascii="Arial" w:hAnsi="Arial"/>
                <w:rtl/>
              </w:rPr>
            </w:pPr>
          </w:p>
        </w:tc>
        <w:tc>
          <w:tcPr>
            <w:tcW w:w="3454" w:type="dxa"/>
            <w:tcBorders>
              <w:top w:val="nil"/>
              <w:left w:val="nil"/>
              <w:bottom w:val="nil"/>
              <w:right w:val="nil"/>
            </w:tcBorders>
            <w:shd w:val="clear" w:color="auto" w:fill="auto"/>
          </w:tcPr>
          <w:p w14:paraId="4A190E51" w14:textId="77777777" w:rsidR="003A1152" w:rsidRPr="004557D5" w:rsidRDefault="003A1152" w:rsidP="00354622">
            <w:pPr>
              <w:rPr>
                <w:rFonts w:ascii="Arial" w:hAnsi="Arial"/>
              </w:rPr>
            </w:pPr>
          </w:p>
        </w:tc>
        <w:tc>
          <w:tcPr>
            <w:tcW w:w="3350" w:type="dxa"/>
            <w:tcBorders>
              <w:top w:val="nil"/>
              <w:left w:val="nil"/>
              <w:bottom w:val="nil"/>
              <w:right w:val="nil"/>
            </w:tcBorders>
            <w:shd w:val="clear" w:color="auto" w:fill="auto"/>
          </w:tcPr>
          <w:p w14:paraId="3E470C26" w14:textId="77777777" w:rsidR="003A1152" w:rsidRPr="004557D5" w:rsidRDefault="003A1152" w:rsidP="003A1152">
            <w:pPr>
              <w:jc w:val="right"/>
              <w:rPr>
                <w:rFonts w:ascii="Arial" w:hAnsi="Arial"/>
              </w:rPr>
            </w:pPr>
          </w:p>
        </w:tc>
      </w:tr>
    </w:tbl>
    <w:p w14:paraId="7C7695A6" w14:textId="77777777" w:rsidR="003A1152" w:rsidRPr="004557D5" w:rsidRDefault="003A1152" w:rsidP="003A1152">
      <w:pPr>
        <w:rPr>
          <w:sz w:val="16"/>
          <w:szCs w:val="16"/>
          <w:rtl/>
        </w:rPr>
      </w:pPr>
    </w:p>
    <w:p w14:paraId="6C57F8AA" w14:textId="77777777" w:rsidR="003A1152" w:rsidRPr="004557D5" w:rsidRDefault="003A1152" w:rsidP="003A1152">
      <w:pPr>
        <w:rPr>
          <w:sz w:val="10"/>
          <w:szCs w:val="10"/>
        </w:rPr>
      </w:pPr>
    </w:p>
    <w:p w14:paraId="05EB793D" w14:textId="77777777" w:rsidR="003716A0" w:rsidRPr="003716A0" w:rsidRDefault="003716A0" w:rsidP="003716A0">
      <w:pPr>
        <w:spacing w:before="120" w:after="120" w:line="240" w:lineRule="exact"/>
        <w:ind w:left="283" w:hanging="283"/>
        <w:jc w:val="both"/>
        <w:rPr>
          <w:rFonts w:ascii="FrankRuehl" w:hAnsi="FrankRuehl" w:cs="FrankRuehl"/>
          <w:rtl/>
        </w:rPr>
      </w:pPr>
      <w:bookmarkStart w:id="3" w:name="LawTable"/>
      <w:bookmarkEnd w:id="3"/>
      <w:r w:rsidRPr="003716A0">
        <w:rPr>
          <w:rFonts w:ascii="FrankRuehl" w:hAnsi="FrankRuehl" w:cs="FrankRuehl"/>
          <w:rtl/>
        </w:rPr>
        <w:t xml:space="preserve">חקיקה שאוזכרה: </w:t>
      </w:r>
    </w:p>
    <w:p w14:paraId="3596C6CB" w14:textId="77777777" w:rsidR="003716A0" w:rsidRPr="003716A0" w:rsidRDefault="003716A0" w:rsidP="003716A0">
      <w:pPr>
        <w:spacing w:before="120" w:after="120" w:line="240" w:lineRule="exact"/>
        <w:ind w:left="283" w:hanging="283"/>
        <w:jc w:val="both"/>
        <w:rPr>
          <w:rFonts w:ascii="FrankRuehl" w:hAnsi="FrankRuehl" w:cs="FrankRuehl"/>
          <w:color w:val="0000FF"/>
          <w:u w:val="single"/>
          <w:rtl/>
        </w:rPr>
      </w:pPr>
      <w:hyperlink r:id="rId7" w:history="1">
        <w:r w:rsidRPr="003716A0">
          <w:rPr>
            <w:rStyle w:val="Hyperlink"/>
            <w:rFonts w:ascii="FrankRuehl" w:hAnsi="FrankRuehl" w:cs="FrankRuehl"/>
            <w:rtl/>
          </w:rPr>
          <w:t>פקודת הסמים המסוכנים [נוסח חדש], תשל"ג-1973</w:t>
        </w:r>
      </w:hyperlink>
      <w:r w:rsidRPr="003716A0">
        <w:rPr>
          <w:rFonts w:ascii="FrankRuehl" w:hAnsi="FrankRuehl" w:cs="FrankRuehl"/>
          <w:color w:val="0000FF"/>
          <w:u w:val="single"/>
          <w:rtl/>
        </w:rPr>
        <w:t xml:space="preserve">: סע'  </w:t>
      </w:r>
      <w:hyperlink r:id="rId8" w:history="1">
        <w:r w:rsidRPr="003716A0">
          <w:rPr>
            <w:rStyle w:val="Hyperlink"/>
            <w:rFonts w:ascii="FrankRuehl" w:hAnsi="FrankRuehl" w:cs="FrankRuehl"/>
          </w:rPr>
          <w:t>7.</w:t>
        </w:r>
        <w:r w:rsidRPr="003716A0">
          <w:rPr>
            <w:rStyle w:val="Hyperlink"/>
            <w:rFonts w:ascii="FrankRuehl" w:hAnsi="FrankRuehl" w:cs="FrankRuehl"/>
            <w:rtl/>
          </w:rPr>
          <w:t>א</w:t>
        </w:r>
        <w:r w:rsidRPr="003716A0">
          <w:rPr>
            <w:rStyle w:val="Hyperlink"/>
            <w:rFonts w:ascii="FrankRuehl" w:hAnsi="FrankRuehl" w:cs="FrankRuehl"/>
          </w:rPr>
          <w:t>.</w:t>
        </w:r>
      </w:hyperlink>
      <w:r w:rsidRPr="003716A0">
        <w:rPr>
          <w:rFonts w:ascii="FrankRuehl" w:hAnsi="FrankRuehl" w:cs="FrankRuehl"/>
          <w:color w:val="0000FF"/>
          <w:u w:val="single"/>
          <w:rtl/>
        </w:rPr>
        <w:t xml:space="preserve">, </w:t>
      </w:r>
      <w:hyperlink r:id="rId9" w:history="1">
        <w:r w:rsidRPr="003716A0">
          <w:rPr>
            <w:rStyle w:val="Hyperlink"/>
            <w:rFonts w:ascii="FrankRuehl" w:hAnsi="FrankRuehl" w:cs="FrankRuehl"/>
          </w:rPr>
          <w:t>7.</w:t>
        </w:r>
        <w:r w:rsidRPr="003716A0">
          <w:rPr>
            <w:rStyle w:val="Hyperlink"/>
            <w:rFonts w:ascii="FrankRuehl" w:hAnsi="FrankRuehl" w:cs="FrankRuehl"/>
            <w:rtl/>
          </w:rPr>
          <w:t>ג</w:t>
        </w:r>
      </w:hyperlink>
      <w:r w:rsidRPr="003716A0">
        <w:rPr>
          <w:rFonts w:ascii="FrankRuehl" w:hAnsi="FrankRuehl" w:cs="FrankRuehl"/>
          <w:color w:val="0000FF"/>
          <w:u w:val="single"/>
          <w:rtl/>
        </w:rPr>
        <w:t xml:space="preserve">, </w:t>
      </w:r>
      <w:hyperlink r:id="rId10" w:history="1">
        <w:r w:rsidRPr="003716A0">
          <w:rPr>
            <w:rStyle w:val="Hyperlink"/>
            <w:rFonts w:ascii="FrankRuehl" w:hAnsi="FrankRuehl" w:cs="FrankRuehl"/>
          </w:rPr>
          <w:t>10</w:t>
        </w:r>
      </w:hyperlink>
    </w:p>
    <w:p w14:paraId="745524F9" w14:textId="77777777" w:rsidR="003716A0" w:rsidRPr="003716A0" w:rsidRDefault="003716A0" w:rsidP="003716A0">
      <w:pPr>
        <w:spacing w:before="120" w:after="120" w:line="240" w:lineRule="exact"/>
        <w:ind w:left="283" w:hanging="283"/>
        <w:jc w:val="both"/>
        <w:rPr>
          <w:rFonts w:ascii="FrankRuehl" w:hAnsi="FrankRuehl" w:cs="FrankRuehl"/>
          <w:color w:val="0000FF"/>
          <w:u w:val="single"/>
          <w:rtl/>
        </w:rPr>
      </w:pPr>
      <w:hyperlink r:id="rId11" w:history="1">
        <w:r w:rsidRPr="003716A0">
          <w:rPr>
            <w:rStyle w:val="Hyperlink"/>
            <w:rFonts w:ascii="FrankRuehl" w:hAnsi="FrankRuehl" w:cs="FrankRuehl"/>
            <w:rtl/>
          </w:rPr>
          <w:t>חוק העונשין, תשל"ז-1977</w:t>
        </w:r>
      </w:hyperlink>
    </w:p>
    <w:p w14:paraId="01784C63" w14:textId="77777777" w:rsidR="004557D5" w:rsidRPr="003716A0" w:rsidRDefault="004557D5" w:rsidP="003716A0">
      <w:pPr>
        <w:spacing w:before="120" w:after="120" w:line="240" w:lineRule="exact"/>
        <w:ind w:left="283" w:hanging="283"/>
        <w:jc w:val="both"/>
        <w:rPr>
          <w:rFonts w:ascii="FrankRuehl" w:hAnsi="FrankRuehl" w:cs="FrankRueh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A1152" w14:paraId="11272EA3" w14:textId="77777777" w:rsidTr="003A1152">
        <w:trPr>
          <w:trHeight w:val="355"/>
          <w:jc w:val="center"/>
        </w:trPr>
        <w:tc>
          <w:tcPr>
            <w:tcW w:w="8820" w:type="dxa"/>
            <w:tcBorders>
              <w:top w:val="nil"/>
              <w:left w:val="nil"/>
              <w:bottom w:val="nil"/>
              <w:right w:val="nil"/>
            </w:tcBorders>
            <w:shd w:val="clear" w:color="auto" w:fill="auto"/>
          </w:tcPr>
          <w:p w14:paraId="7F17230A" w14:textId="77777777" w:rsidR="004557D5" w:rsidRPr="004557D5" w:rsidRDefault="004557D5" w:rsidP="004557D5">
            <w:pPr>
              <w:jc w:val="center"/>
              <w:rPr>
                <w:rFonts w:ascii="Arial" w:hAnsi="Arial"/>
                <w:b/>
                <w:bCs/>
                <w:sz w:val="28"/>
                <w:szCs w:val="28"/>
                <w:u w:val="single"/>
                <w:rtl/>
              </w:rPr>
            </w:pPr>
            <w:bookmarkStart w:id="5" w:name="PsakDin" w:colFirst="0" w:colLast="0"/>
            <w:bookmarkEnd w:id="0"/>
            <w:r w:rsidRPr="004557D5">
              <w:rPr>
                <w:rFonts w:ascii="Arial" w:hAnsi="Arial"/>
                <w:b/>
                <w:bCs/>
                <w:sz w:val="28"/>
                <w:szCs w:val="28"/>
                <w:u w:val="single"/>
                <w:rtl/>
              </w:rPr>
              <w:t>גזר דין</w:t>
            </w:r>
          </w:p>
          <w:p w14:paraId="35A835DD" w14:textId="77777777" w:rsidR="003A1152" w:rsidRPr="004557D5" w:rsidRDefault="003A1152" w:rsidP="004557D5">
            <w:pPr>
              <w:jc w:val="center"/>
              <w:rPr>
                <w:rFonts w:ascii="Arial" w:hAnsi="Arial"/>
                <w:bCs/>
                <w:sz w:val="28"/>
                <w:szCs w:val="28"/>
                <w:u w:val="single"/>
                <w:rtl/>
              </w:rPr>
            </w:pPr>
          </w:p>
        </w:tc>
      </w:tr>
    </w:tbl>
    <w:bookmarkEnd w:id="5"/>
    <w:p w14:paraId="2734E468" w14:textId="77777777" w:rsidR="003A1152" w:rsidRDefault="003A1152" w:rsidP="003A1152">
      <w:pPr>
        <w:spacing w:before="240" w:after="240" w:line="360" w:lineRule="auto"/>
        <w:jc w:val="both"/>
        <w:rPr>
          <w:rFonts w:ascii="David" w:hAnsi="David"/>
          <w:u w:val="single"/>
          <w:rtl/>
        </w:rPr>
      </w:pPr>
      <w:r>
        <w:rPr>
          <w:rFonts w:ascii="David" w:hAnsi="David"/>
          <w:rtl/>
        </w:rPr>
        <w:tab/>
      </w:r>
      <w:r w:rsidRPr="00C25715">
        <w:rPr>
          <w:rFonts w:ascii="David" w:hAnsi="David"/>
          <w:u w:val="single"/>
          <w:rtl/>
        </w:rPr>
        <w:t>כללי</w:t>
      </w:r>
    </w:p>
    <w:p w14:paraId="332B1E4F" w14:textId="77777777" w:rsidR="003A1152" w:rsidRPr="00F22F5E" w:rsidRDefault="003A1152" w:rsidP="003A1152">
      <w:pPr>
        <w:pStyle w:val="a9"/>
        <w:numPr>
          <w:ilvl w:val="0"/>
          <w:numId w:val="1"/>
        </w:numPr>
        <w:spacing w:before="240" w:after="240" w:line="360" w:lineRule="auto"/>
        <w:ind w:hanging="720"/>
        <w:contextualSpacing w:val="0"/>
        <w:jc w:val="both"/>
        <w:rPr>
          <w:rFonts w:ascii="David" w:hAnsi="David" w:cs="David"/>
          <w:sz w:val="24"/>
          <w:szCs w:val="24"/>
        </w:rPr>
      </w:pPr>
      <w:bookmarkStart w:id="6" w:name="ABSTRACT_START"/>
      <w:bookmarkEnd w:id="6"/>
      <w:r w:rsidRPr="00C25715">
        <w:rPr>
          <w:rFonts w:ascii="David" w:hAnsi="David" w:cs="David"/>
          <w:sz w:val="24"/>
          <w:szCs w:val="24"/>
          <w:rtl/>
        </w:rPr>
        <w:t>הנאשם הורשע על יסוד הודאתו ב</w:t>
      </w:r>
      <w:r>
        <w:rPr>
          <w:rFonts w:ascii="David" w:hAnsi="David" w:cs="David" w:hint="cs"/>
          <w:sz w:val="24"/>
          <w:szCs w:val="24"/>
          <w:rtl/>
        </w:rPr>
        <w:t xml:space="preserve">שתי </w:t>
      </w:r>
      <w:r w:rsidRPr="00C25715">
        <w:rPr>
          <w:rFonts w:ascii="David" w:hAnsi="David" w:cs="David"/>
          <w:sz w:val="24"/>
          <w:szCs w:val="24"/>
          <w:rtl/>
        </w:rPr>
        <w:t xml:space="preserve">עבירות של החזקת סמים שלא לצריכה עצמית, לפי </w:t>
      </w:r>
      <w:hyperlink r:id="rId12" w:history="1">
        <w:r w:rsidR="003716A0" w:rsidRPr="003716A0">
          <w:rPr>
            <w:rStyle w:val="Hyperlink"/>
            <w:rFonts w:ascii="David" w:hAnsi="David" w:cs="David"/>
            <w:color w:val="0000FF"/>
            <w:sz w:val="24"/>
            <w:szCs w:val="24"/>
            <w:rtl/>
          </w:rPr>
          <w:t>סעיף 7(א)+(ג)</w:t>
        </w:r>
      </w:hyperlink>
      <w:r w:rsidRPr="00C25715">
        <w:rPr>
          <w:rFonts w:ascii="David" w:hAnsi="David" w:cs="David"/>
          <w:sz w:val="24"/>
          <w:szCs w:val="24"/>
          <w:rtl/>
        </w:rPr>
        <w:t xml:space="preserve"> רישא ל</w:t>
      </w:r>
      <w:hyperlink r:id="rId13" w:history="1">
        <w:r w:rsidR="004557D5" w:rsidRPr="004557D5">
          <w:rPr>
            <w:rFonts w:ascii="David" w:hAnsi="David" w:cs="David"/>
            <w:color w:val="0000FF"/>
            <w:sz w:val="24"/>
            <w:szCs w:val="24"/>
            <w:u w:val="single"/>
            <w:rtl/>
          </w:rPr>
          <w:t>פקודת הסמים המסוכנים</w:t>
        </w:r>
      </w:hyperlink>
      <w:r w:rsidRPr="00C25715">
        <w:rPr>
          <w:rFonts w:ascii="David" w:hAnsi="David" w:cs="David"/>
          <w:sz w:val="24"/>
          <w:szCs w:val="24"/>
          <w:rtl/>
        </w:rPr>
        <w:t xml:space="preserve"> (נוסח חדש), התשל"ג-1973 (להלן - </w:t>
      </w:r>
      <w:r w:rsidRPr="00C25715">
        <w:rPr>
          <w:rFonts w:ascii="David" w:hAnsi="David" w:cs="David"/>
          <w:b/>
          <w:bCs/>
          <w:sz w:val="24"/>
          <w:szCs w:val="24"/>
          <w:rtl/>
        </w:rPr>
        <w:t>הפקודה</w:t>
      </w:r>
      <w:r w:rsidRPr="00C25715">
        <w:rPr>
          <w:rFonts w:ascii="David" w:hAnsi="David" w:cs="David"/>
          <w:sz w:val="24"/>
          <w:szCs w:val="24"/>
          <w:rtl/>
        </w:rPr>
        <w:t xml:space="preserve">) ובעבירה של החזקת כלים המשמשים להכנת סם מסוכן או לצריכתו, לפי </w:t>
      </w:r>
      <w:hyperlink r:id="rId14" w:history="1">
        <w:r w:rsidR="003716A0" w:rsidRPr="003716A0">
          <w:rPr>
            <w:rStyle w:val="Hyperlink"/>
            <w:rFonts w:ascii="David" w:hAnsi="David" w:cs="David"/>
            <w:color w:val="0000FF"/>
            <w:sz w:val="24"/>
            <w:szCs w:val="24"/>
            <w:rtl/>
          </w:rPr>
          <w:t>סעיף 10</w:t>
        </w:r>
      </w:hyperlink>
      <w:r w:rsidRPr="00C25715">
        <w:rPr>
          <w:rFonts w:ascii="David" w:hAnsi="David" w:cs="David"/>
          <w:sz w:val="24"/>
          <w:szCs w:val="24"/>
          <w:rtl/>
        </w:rPr>
        <w:t xml:space="preserve"> לפקודה</w:t>
      </w:r>
      <w:bookmarkStart w:id="7" w:name="ABSTRACT_END"/>
      <w:bookmarkEnd w:id="7"/>
      <w:r w:rsidRPr="00C25715">
        <w:rPr>
          <w:rFonts w:ascii="David" w:hAnsi="David" w:cs="David"/>
          <w:sz w:val="24"/>
          <w:szCs w:val="24"/>
          <w:rtl/>
        </w:rPr>
        <w:t xml:space="preserve">. </w:t>
      </w:r>
    </w:p>
    <w:p w14:paraId="18367CD7" w14:textId="77777777" w:rsidR="003A1152" w:rsidRPr="00F22F5E" w:rsidRDefault="003A1152" w:rsidP="003A1152">
      <w:pPr>
        <w:pStyle w:val="a9"/>
        <w:numPr>
          <w:ilvl w:val="0"/>
          <w:numId w:val="1"/>
        </w:numPr>
        <w:spacing w:before="240" w:after="240" w:line="360" w:lineRule="auto"/>
        <w:ind w:hanging="720"/>
        <w:contextualSpacing w:val="0"/>
        <w:jc w:val="both"/>
        <w:rPr>
          <w:rFonts w:ascii="David" w:hAnsi="David" w:cs="David"/>
          <w:sz w:val="24"/>
          <w:szCs w:val="24"/>
          <w:rtl/>
        </w:rPr>
      </w:pPr>
      <w:r w:rsidRPr="00C25715">
        <w:rPr>
          <w:rFonts w:ascii="David" w:hAnsi="David" w:cs="David"/>
          <w:sz w:val="24"/>
          <w:szCs w:val="24"/>
          <w:rtl/>
        </w:rPr>
        <w:t xml:space="preserve">במסגרת הסדר הטיעון שגובש בין הצדדים, תוקן כתב האישום באופן שיפורט להלן, אולם הצדדים לא גיבשו הסכמה לעניין העונש, ולפיכך בהקשר זה טען כל צד על פי מיטב שיקול דעתו. </w:t>
      </w:r>
    </w:p>
    <w:p w14:paraId="7D600A29" w14:textId="77777777" w:rsidR="003A1152" w:rsidRPr="00F22F5E" w:rsidRDefault="003A1152" w:rsidP="003A1152">
      <w:pPr>
        <w:pStyle w:val="a9"/>
        <w:spacing w:before="240" w:after="240" w:line="360" w:lineRule="auto"/>
        <w:ind w:hanging="720"/>
        <w:contextualSpacing w:val="0"/>
        <w:jc w:val="both"/>
        <w:rPr>
          <w:rFonts w:ascii="David" w:hAnsi="David" w:cs="David"/>
          <w:sz w:val="24"/>
          <w:szCs w:val="24"/>
          <w:u w:val="single"/>
          <w:rtl/>
        </w:rPr>
      </w:pPr>
      <w:r>
        <w:rPr>
          <w:rFonts w:ascii="David" w:hAnsi="David" w:cs="David"/>
          <w:sz w:val="24"/>
          <w:szCs w:val="24"/>
          <w:rtl/>
        </w:rPr>
        <w:tab/>
      </w:r>
      <w:r>
        <w:rPr>
          <w:rFonts w:ascii="David" w:hAnsi="David" w:cs="David"/>
          <w:sz w:val="24"/>
          <w:szCs w:val="24"/>
          <w:u w:val="single"/>
          <w:rtl/>
        </w:rPr>
        <w:t>עובדות כתב האישום המתוקן</w:t>
      </w:r>
    </w:p>
    <w:p w14:paraId="6872C0BA" w14:textId="77777777" w:rsidR="003A1152" w:rsidRPr="00F22F5E" w:rsidRDefault="003A1152" w:rsidP="003A1152">
      <w:pPr>
        <w:pStyle w:val="a9"/>
        <w:numPr>
          <w:ilvl w:val="0"/>
          <w:numId w:val="1"/>
        </w:numPr>
        <w:spacing w:before="240" w:after="240" w:line="360" w:lineRule="auto"/>
        <w:ind w:hanging="720"/>
        <w:contextualSpacing w:val="0"/>
        <w:jc w:val="both"/>
        <w:rPr>
          <w:rFonts w:ascii="David" w:hAnsi="David" w:cs="David"/>
          <w:sz w:val="24"/>
          <w:szCs w:val="24"/>
        </w:rPr>
      </w:pPr>
      <w:r>
        <w:rPr>
          <w:rFonts w:ascii="David" w:hAnsi="David" w:cs="David"/>
          <w:sz w:val="24"/>
          <w:szCs w:val="24"/>
          <w:rtl/>
        </w:rPr>
        <w:t>כתב האישום המתוקן שהוגש מחזיק שני אישומים.</w:t>
      </w:r>
    </w:p>
    <w:p w14:paraId="155886E6" w14:textId="77777777" w:rsidR="003A1152" w:rsidRPr="00F22F5E" w:rsidRDefault="003A1152" w:rsidP="003A1152">
      <w:pPr>
        <w:pStyle w:val="a9"/>
        <w:spacing w:before="240" w:after="240" w:line="360" w:lineRule="auto"/>
        <w:ind w:hanging="720"/>
        <w:contextualSpacing w:val="0"/>
        <w:jc w:val="both"/>
        <w:rPr>
          <w:rFonts w:ascii="David" w:hAnsi="David" w:cs="David"/>
          <w:sz w:val="24"/>
          <w:szCs w:val="24"/>
          <w:rtl/>
        </w:rPr>
      </w:pPr>
      <w:r>
        <w:rPr>
          <w:rFonts w:ascii="David" w:hAnsi="David" w:cs="David"/>
          <w:b/>
          <w:bCs/>
          <w:sz w:val="24"/>
          <w:szCs w:val="24"/>
          <w:rtl/>
        </w:rPr>
        <w:tab/>
        <w:t>על פי עובדות האישום הראשון</w:t>
      </w:r>
      <w:r>
        <w:rPr>
          <w:rFonts w:ascii="David" w:hAnsi="David" w:cs="David"/>
          <w:sz w:val="24"/>
          <w:szCs w:val="24"/>
          <w:rtl/>
        </w:rPr>
        <w:t xml:space="preserve">, ביום 10.5.2019 בשעה 23:00 או סמוך לכך, החזיק הנאשם במושב האחורי של רכבו, קופסה הנחזית להיראות כצמד ספרים ובתוכה מוסלקות 3 שקיות המכילות 317.46 גרם נטו של סם מסוכן מסוג </w:t>
      </w:r>
      <w:r>
        <w:rPr>
          <w:rFonts w:ascii="David" w:hAnsi="David" w:cs="David"/>
          <w:sz w:val="24"/>
          <w:szCs w:val="24"/>
        </w:rPr>
        <w:t>MDMA</w:t>
      </w:r>
      <w:r>
        <w:rPr>
          <w:rFonts w:ascii="David" w:hAnsi="David" w:cs="David"/>
          <w:sz w:val="24"/>
          <w:szCs w:val="24"/>
          <w:rtl/>
        </w:rPr>
        <w:t>, שלא לצריכה עצמית.</w:t>
      </w:r>
    </w:p>
    <w:p w14:paraId="003BEB8B" w14:textId="77777777" w:rsidR="003A1152" w:rsidRPr="00F22F5E" w:rsidRDefault="003A1152" w:rsidP="003A1152">
      <w:pPr>
        <w:pStyle w:val="a9"/>
        <w:spacing w:before="240" w:after="240" w:line="360" w:lineRule="auto"/>
        <w:ind w:hanging="720"/>
        <w:contextualSpacing w:val="0"/>
        <w:jc w:val="both"/>
        <w:rPr>
          <w:rFonts w:ascii="David" w:hAnsi="David" w:cs="David"/>
          <w:sz w:val="24"/>
          <w:szCs w:val="24"/>
          <w:rtl/>
        </w:rPr>
      </w:pPr>
      <w:r>
        <w:rPr>
          <w:rFonts w:ascii="David" w:hAnsi="David" w:cs="David"/>
          <w:sz w:val="24"/>
          <w:szCs w:val="24"/>
          <w:rtl/>
        </w:rPr>
        <w:tab/>
        <w:t xml:space="preserve">במסגרת אישום זה הורשע הנאשם בעבירת החזקת סמים שלא לצריכה עצמית. </w:t>
      </w:r>
    </w:p>
    <w:p w14:paraId="15C7D9A3" w14:textId="77777777" w:rsidR="003A1152" w:rsidRPr="00F22F5E" w:rsidRDefault="003A1152" w:rsidP="003A1152">
      <w:pPr>
        <w:pStyle w:val="a9"/>
        <w:spacing w:before="240" w:after="240" w:line="360" w:lineRule="auto"/>
        <w:ind w:hanging="720"/>
        <w:contextualSpacing w:val="0"/>
        <w:jc w:val="both"/>
        <w:rPr>
          <w:rFonts w:ascii="David" w:hAnsi="David" w:cs="David"/>
          <w:sz w:val="24"/>
          <w:szCs w:val="24"/>
          <w:rtl/>
        </w:rPr>
      </w:pPr>
      <w:r>
        <w:rPr>
          <w:rFonts w:ascii="David" w:hAnsi="David" w:cs="David"/>
          <w:b/>
          <w:bCs/>
          <w:sz w:val="24"/>
          <w:szCs w:val="24"/>
          <w:rtl/>
        </w:rPr>
        <w:tab/>
        <w:t>על פי עובדות האישום השני</w:t>
      </w:r>
      <w:r>
        <w:rPr>
          <w:rFonts w:ascii="David" w:hAnsi="David" w:cs="David"/>
          <w:sz w:val="24"/>
          <w:szCs w:val="24"/>
          <w:rtl/>
        </w:rPr>
        <w:t>, ביום 10.5.2019 בשעה 23:00 או סמוך לכך, החזיק הנאשם בדירה אותה שכר יחד עם אחר</w:t>
      </w:r>
      <w:r>
        <w:rPr>
          <w:rFonts w:ascii="David" w:hAnsi="David" w:cs="David" w:hint="cs"/>
          <w:sz w:val="24"/>
          <w:szCs w:val="24"/>
          <w:rtl/>
        </w:rPr>
        <w:t xml:space="preserve">, </w:t>
      </w:r>
      <w:r>
        <w:rPr>
          <w:rFonts w:ascii="David" w:hAnsi="David" w:cs="David"/>
          <w:sz w:val="24"/>
          <w:szCs w:val="24"/>
          <w:rtl/>
        </w:rPr>
        <w:t xml:space="preserve">שקית המכילה </w:t>
      </w:r>
      <w:r w:rsidRPr="00344492">
        <w:rPr>
          <w:rFonts w:ascii="David" w:hAnsi="David" w:cs="David"/>
          <w:sz w:val="24"/>
          <w:szCs w:val="24"/>
          <w:rtl/>
        </w:rPr>
        <w:t>10 גרם סם מסוכן מסוג קוקאין,</w:t>
      </w:r>
      <w:r w:rsidRPr="00344492">
        <w:rPr>
          <w:rFonts w:ascii="David" w:hAnsi="David" w:cs="David"/>
          <w:b/>
          <w:bCs/>
          <w:sz w:val="24"/>
          <w:szCs w:val="24"/>
          <w:rtl/>
        </w:rPr>
        <w:t xml:space="preserve"> </w:t>
      </w:r>
      <w:r>
        <w:rPr>
          <w:rFonts w:ascii="David" w:hAnsi="David" w:cs="David"/>
          <w:sz w:val="24"/>
          <w:szCs w:val="24"/>
          <w:rtl/>
        </w:rPr>
        <w:t xml:space="preserve">שתי שקיות המכילות 19 טבליות סם מסוכן מסוג </w:t>
      </w:r>
      <w:r>
        <w:rPr>
          <w:rFonts w:ascii="David" w:hAnsi="David" w:cs="David"/>
          <w:sz w:val="24"/>
          <w:szCs w:val="24"/>
        </w:rPr>
        <w:t>MDMA</w:t>
      </w:r>
      <w:r>
        <w:rPr>
          <w:rFonts w:ascii="David" w:hAnsi="David" w:cs="David"/>
          <w:sz w:val="24"/>
          <w:szCs w:val="24"/>
          <w:rtl/>
        </w:rPr>
        <w:t xml:space="preserve">, שתי שקיות המכילות 15.62 גרם סם מסוכן מסוג </w:t>
      </w:r>
      <w:r>
        <w:rPr>
          <w:rFonts w:ascii="David" w:hAnsi="David" w:cs="David"/>
          <w:sz w:val="24"/>
          <w:szCs w:val="24"/>
        </w:rPr>
        <w:t>MDMA</w:t>
      </w:r>
      <w:r>
        <w:rPr>
          <w:rFonts w:ascii="David" w:hAnsi="David" w:cs="David"/>
          <w:sz w:val="24"/>
          <w:szCs w:val="24"/>
          <w:rtl/>
        </w:rPr>
        <w:t xml:space="preserve">, 6.26 גרם סם מסוכן </w:t>
      </w:r>
      <w:r>
        <w:rPr>
          <w:rFonts w:ascii="David" w:hAnsi="David" w:cs="David"/>
          <w:sz w:val="24"/>
          <w:szCs w:val="24"/>
          <w:rtl/>
        </w:rPr>
        <w:lastRenderedPageBreak/>
        <w:t xml:space="preserve">מסוג </w:t>
      </w:r>
      <w:r>
        <w:rPr>
          <w:rFonts w:ascii="David" w:hAnsi="David" w:cs="David"/>
          <w:sz w:val="24"/>
          <w:szCs w:val="24"/>
        </w:rPr>
        <w:t>METHYLMETHCATHINONE</w:t>
      </w:r>
      <w:r>
        <w:rPr>
          <w:rFonts w:ascii="David" w:hAnsi="David" w:cs="David"/>
          <w:sz w:val="24"/>
          <w:szCs w:val="24"/>
          <w:rtl/>
        </w:rPr>
        <w:t xml:space="preserve">, 12.02 גרם סם מסוכן מסוג </w:t>
      </w:r>
      <w:r>
        <w:rPr>
          <w:rFonts w:ascii="David" w:hAnsi="David" w:cs="David"/>
          <w:sz w:val="24"/>
          <w:szCs w:val="24"/>
        </w:rPr>
        <w:t>KETAMINE</w:t>
      </w:r>
      <w:r>
        <w:rPr>
          <w:rFonts w:ascii="David" w:hAnsi="David" w:cs="David"/>
          <w:sz w:val="24"/>
          <w:szCs w:val="24"/>
          <w:rtl/>
        </w:rPr>
        <w:t xml:space="preserve">, וכן 56 בולים של סם מסוכן מסוג </w:t>
      </w:r>
      <w:r>
        <w:rPr>
          <w:rFonts w:ascii="David" w:hAnsi="David" w:cs="David"/>
          <w:sz w:val="24"/>
          <w:szCs w:val="24"/>
        </w:rPr>
        <w:t>LSD</w:t>
      </w:r>
      <w:r>
        <w:rPr>
          <w:rFonts w:ascii="David" w:hAnsi="David" w:cs="David"/>
          <w:sz w:val="24"/>
          <w:szCs w:val="24"/>
          <w:rtl/>
        </w:rPr>
        <w:t xml:space="preserve">, הכל שלא לצריכה עצמית. </w:t>
      </w:r>
      <w:r w:rsidRPr="008B6DF8">
        <w:rPr>
          <w:rFonts w:ascii="David" w:hAnsi="David" w:cs="David"/>
          <w:sz w:val="24"/>
          <w:szCs w:val="24"/>
          <w:rtl/>
        </w:rPr>
        <w:t>כמו כן, החזיק הנאשם במטבח הדירה, ללא היתר, שני משקלים אלקט</w:t>
      </w:r>
      <w:r>
        <w:rPr>
          <w:rFonts w:ascii="David" w:hAnsi="David" w:cs="David"/>
          <w:sz w:val="24"/>
          <w:szCs w:val="24"/>
          <w:rtl/>
        </w:rPr>
        <w:t xml:space="preserve">רוניים המשמשים להכנת סם מסוכן </w:t>
      </w:r>
      <w:r w:rsidRPr="008B6DF8">
        <w:rPr>
          <w:rFonts w:ascii="David" w:hAnsi="David" w:cs="David"/>
          <w:sz w:val="24"/>
          <w:szCs w:val="24"/>
          <w:rtl/>
        </w:rPr>
        <w:t>או לצריכתו.</w:t>
      </w:r>
      <w:r w:rsidRPr="008B6DF8">
        <w:rPr>
          <w:rFonts w:ascii="David" w:hAnsi="David" w:cs="David" w:hint="cs"/>
          <w:sz w:val="24"/>
          <w:szCs w:val="24"/>
          <w:rtl/>
        </w:rPr>
        <w:t xml:space="preserve"> </w:t>
      </w:r>
    </w:p>
    <w:p w14:paraId="2EF50727" w14:textId="77777777" w:rsidR="003A1152" w:rsidRDefault="003A1152" w:rsidP="003A1152">
      <w:pPr>
        <w:pStyle w:val="a9"/>
        <w:spacing w:before="240" w:after="240" w:line="360" w:lineRule="auto"/>
        <w:ind w:hanging="720"/>
        <w:contextualSpacing w:val="0"/>
        <w:jc w:val="both"/>
        <w:rPr>
          <w:rFonts w:ascii="David" w:hAnsi="David" w:cs="David"/>
          <w:sz w:val="24"/>
          <w:szCs w:val="24"/>
          <w:rtl/>
        </w:rPr>
      </w:pPr>
      <w:r>
        <w:rPr>
          <w:rFonts w:ascii="David" w:hAnsi="David" w:cs="David"/>
          <w:sz w:val="24"/>
          <w:szCs w:val="24"/>
          <w:rtl/>
        </w:rPr>
        <w:tab/>
      </w:r>
      <w:r w:rsidRPr="008B6DF8">
        <w:rPr>
          <w:rFonts w:ascii="David" w:hAnsi="David" w:cs="David"/>
          <w:sz w:val="24"/>
          <w:szCs w:val="24"/>
          <w:rtl/>
        </w:rPr>
        <w:t xml:space="preserve">במסגרת אישום זה הורשע הנאשם בעבירת החזקת סמים שלא לצריכה עצמית וכן בעבירת החזקת כלים המשמשים להכנת סם מסוכן או לצריכתו.   </w:t>
      </w:r>
    </w:p>
    <w:p w14:paraId="09202936" w14:textId="77777777" w:rsidR="003A1152" w:rsidRPr="00DE6522" w:rsidRDefault="003A1152" w:rsidP="003A1152">
      <w:pPr>
        <w:pStyle w:val="a9"/>
        <w:spacing w:after="0" w:line="360" w:lineRule="auto"/>
        <w:ind w:hanging="720"/>
        <w:contextualSpacing w:val="0"/>
        <w:jc w:val="both"/>
        <w:rPr>
          <w:rFonts w:ascii="David" w:hAnsi="David" w:cs="David"/>
          <w:sz w:val="18"/>
          <w:szCs w:val="18"/>
          <w:rtl/>
        </w:rPr>
      </w:pPr>
    </w:p>
    <w:p w14:paraId="31D9B198" w14:textId="77777777" w:rsidR="003A1152" w:rsidRPr="00F22F5E" w:rsidRDefault="003A1152" w:rsidP="003A1152">
      <w:pPr>
        <w:pStyle w:val="a9"/>
        <w:spacing w:before="240" w:after="240" w:line="360" w:lineRule="auto"/>
        <w:ind w:hanging="720"/>
        <w:contextualSpacing w:val="0"/>
        <w:jc w:val="both"/>
        <w:rPr>
          <w:rFonts w:ascii="David" w:hAnsi="David" w:cs="David"/>
          <w:sz w:val="24"/>
          <w:szCs w:val="24"/>
          <w:u w:val="single"/>
          <w:rtl/>
        </w:rPr>
      </w:pPr>
      <w:r>
        <w:rPr>
          <w:rFonts w:ascii="David" w:hAnsi="David" w:cs="David"/>
          <w:sz w:val="24"/>
          <w:szCs w:val="24"/>
          <w:rtl/>
        </w:rPr>
        <w:tab/>
      </w:r>
      <w:r>
        <w:rPr>
          <w:rFonts w:ascii="David" w:hAnsi="David" w:cs="David"/>
          <w:sz w:val="24"/>
          <w:szCs w:val="24"/>
          <w:u w:val="single"/>
          <w:rtl/>
        </w:rPr>
        <w:t>תסקיר שירות המבחן</w:t>
      </w:r>
    </w:p>
    <w:p w14:paraId="077ED7CF" w14:textId="77777777" w:rsidR="003A1152" w:rsidRPr="00F22F5E" w:rsidRDefault="003A1152" w:rsidP="003A1152">
      <w:pPr>
        <w:pStyle w:val="a9"/>
        <w:numPr>
          <w:ilvl w:val="0"/>
          <w:numId w:val="1"/>
        </w:numPr>
        <w:spacing w:before="240" w:after="240" w:line="360" w:lineRule="auto"/>
        <w:ind w:hanging="720"/>
        <w:contextualSpacing w:val="0"/>
        <w:jc w:val="both"/>
        <w:rPr>
          <w:rFonts w:ascii="David" w:hAnsi="David" w:cs="David"/>
          <w:sz w:val="24"/>
          <w:szCs w:val="24"/>
        </w:rPr>
      </w:pPr>
      <w:r>
        <w:rPr>
          <w:rFonts w:ascii="David" w:hAnsi="David" w:cs="David"/>
          <w:sz w:val="24"/>
          <w:szCs w:val="24"/>
          <w:rtl/>
        </w:rPr>
        <w:t xml:space="preserve">לאחר הרשעתו הופנה הנאשם לשירות המבחן לצורך הכנת תסקיר, ובהמשך - ניתנו הוראות בדבר עריכת תסקיר משלים, כך שכעת מונחים על שולחני שני תסקירים המתארים את הנסיבות שהובילו להידרדרות הנאשם ואת התהליך השיקומי בו החל. </w:t>
      </w:r>
    </w:p>
    <w:p w14:paraId="2829CD88" w14:textId="77777777" w:rsidR="003A1152" w:rsidRPr="00DE6522" w:rsidRDefault="003A1152" w:rsidP="003A1152">
      <w:pPr>
        <w:pStyle w:val="a9"/>
        <w:spacing w:before="240" w:after="240" w:line="360" w:lineRule="auto"/>
        <w:ind w:hanging="720"/>
        <w:contextualSpacing w:val="0"/>
        <w:jc w:val="both"/>
        <w:rPr>
          <w:rFonts w:ascii="David" w:hAnsi="David" w:cs="David"/>
          <w:sz w:val="10"/>
          <w:szCs w:val="10"/>
        </w:rPr>
      </w:pPr>
      <w:r>
        <w:rPr>
          <w:rFonts w:ascii="David" w:hAnsi="David" w:cs="David"/>
          <w:b/>
          <w:bCs/>
          <w:sz w:val="24"/>
          <w:szCs w:val="24"/>
          <w:rtl/>
        </w:rPr>
        <w:tab/>
        <w:t>בתסקיר הראשון</w:t>
      </w:r>
      <w:r>
        <w:rPr>
          <w:rFonts w:ascii="David" w:hAnsi="David" w:cs="David"/>
          <w:sz w:val="24"/>
          <w:szCs w:val="24"/>
          <w:rtl/>
        </w:rPr>
        <w:t xml:space="preserve"> מיום 8.1.2020, התייחס שירות המבחן לנתוניו האישיים של הנאשם</w:t>
      </w:r>
      <w:r>
        <w:rPr>
          <w:rFonts w:ascii="David" w:hAnsi="David" w:cs="David" w:hint="cs"/>
          <w:sz w:val="24"/>
          <w:szCs w:val="24"/>
          <w:rtl/>
        </w:rPr>
        <w:t xml:space="preserve">: </w:t>
      </w:r>
      <w:r>
        <w:rPr>
          <w:rFonts w:ascii="David" w:hAnsi="David" w:cs="David"/>
          <w:sz w:val="24"/>
          <w:szCs w:val="24"/>
          <w:rtl/>
        </w:rPr>
        <w:t xml:space="preserve">צעיר כבן 23, רווק המתגורר בבית אמו בנס ציונה, </w:t>
      </w:r>
      <w:r>
        <w:rPr>
          <w:rFonts w:ascii="David" w:hAnsi="David" w:cs="David" w:hint="cs"/>
          <w:sz w:val="24"/>
          <w:szCs w:val="24"/>
          <w:rtl/>
        </w:rPr>
        <w:t xml:space="preserve">אשר </w:t>
      </w:r>
      <w:r>
        <w:rPr>
          <w:rFonts w:ascii="David" w:hAnsi="David" w:cs="David"/>
          <w:sz w:val="24"/>
          <w:szCs w:val="24"/>
          <w:rtl/>
        </w:rPr>
        <w:t xml:space="preserve">עובדת בניקיון בתים. הנאשם תיאר קשר תומך וקרוב עם אמו שדואגת לכל מחסורו, גם בעת מעצרו וגם כיום בהיותו נתון במעצר בית באיזוק אלקטרוני. הנאשם מנהל קשר מרוחק עם אחותו הצעירה, ואינו בקשר עם אביו, שניתק עם הנאשם קשר בשל יחסיו הקרובים עם אמו. הורי הנאשם פרודים מזה כשלוש שנים, והיחסים בין השניים מתוחים. אבי הנאשם מוכר לשירות המבחן על רקע עבירות אלימות במשפחה, ונמצא למעלה מחצי שנה במסגרת בית משפט קהילתי. </w:t>
      </w:r>
      <w:r>
        <w:rPr>
          <w:rFonts w:ascii="David" w:hAnsi="David" w:cs="David"/>
          <w:sz w:val="10"/>
          <w:szCs w:val="10"/>
          <w:rtl/>
        </w:rPr>
        <w:tab/>
      </w:r>
    </w:p>
    <w:p w14:paraId="66BEB01F" w14:textId="77777777" w:rsidR="003A1152" w:rsidRPr="00F22F5E" w:rsidRDefault="003A1152" w:rsidP="003A1152">
      <w:pPr>
        <w:pStyle w:val="a9"/>
        <w:spacing w:before="240" w:after="240" w:line="360" w:lineRule="auto"/>
        <w:ind w:hanging="720"/>
        <w:contextualSpacing w:val="0"/>
        <w:jc w:val="both"/>
        <w:rPr>
          <w:rFonts w:ascii="David" w:hAnsi="David" w:cs="David"/>
          <w:sz w:val="24"/>
          <w:szCs w:val="24"/>
          <w:rtl/>
        </w:rPr>
      </w:pPr>
      <w:r>
        <w:rPr>
          <w:rFonts w:ascii="David" w:hAnsi="David" w:cs="David"/>
          <w:sz w:val="24"/>
          <w:szCs w:val="24"/>
          <w:rtl/>
        </w:rPr>
        <w:tab/>
        <w:t xml:space="preserve">הנאשם סיים 11 שנות לימוד כשברקע בעיות התנהגות חוזרות, העדר מוטיבציה ללמידה ובעיות קשב וריכוז. גויס לצה"ל ושירת כטבח ושוחרר לאחר כשנה וחצי בסעיף נפשי על רקע אי התאמה. עד לביצוע העבירות נשוא המקרה דנן, עבד כטבח בבית קפה ובאולם אירועים.  </w:t>
      </w:r>
    </w:p>
    <w:p w14:paraId="3C778DAC" w14:textId="77777777" w:rsidR="003A1152" w:rsidRPr="00F22F5E" w:rsidRDefault="003A1152" w:rsidP="003A1152">
      <w:pPr>
        <w:pStyle w:val="a9"/>
        <w:spacing w:before="240" w:after="240" w:line="360" w:lineRule="auto"/>
        <w:ind w:hanging="720"/>
        <w:contextualSpacing w:val="0"/>
        <w:jc w:val="both"/>
        <w:rPr>
          <w:rFonts w:ascii="David" w:hAnsi="David" w:cs="David"/>
          <w:sz w:val="24"/>
          <w:szCs w:val="24"/>
          <w:rtl/>
        </w:rPr>
      </w:pPr>
      <w:r>
        <w:rPr>
          <w:rFonts w:ascii="David" w:hAnsi="David" w:cs="David"/>
          <w:sz w:val="24"/>
          <w:szCs w:val="24"/>
          <w:rtl/>
        </w:rPr>
        <w:tab/>
        <w:t xml:space="preserve">הנאשם תיאר כי החל לצרוך קנאביס באופן מזדמן בעקבות קשרים חברתיים, ובהדרגה העמיק השימוש בו עד כדי שימוש אינטנסיבי יומיומי, שהעניק לו הקלה מול קשייו סביב פרידת הוריו. לצורך מימון צריכת הסמים העמיקה מעורבותו בקשרים שוליים, כאשר קיבל תמורת </w:t>
      </w:r>
      <w:r>
        <w:rPr>
          <w:rFonts w:ascii="David" w:hAnsi="David" w:cs="David" w:hint="cs"/>
          <w:sz w:val="24"/>
          <w:szCs w:val="24"/>
          <w:rtl/>
        </w:rPr>
        <w:t>ה</w:t>
      </w:r>
      <w:r>
        <w:rPr>
          <w:rFonts w:ascii="David" w:hAnsi="David" w:cs="David"/>
          <w:sz w:val="24"/>
          <w:szCs w:val="24"/>
          <w:rtl/>
        </w:rPr>
        <w:t>מעשי</w:t>
      </w:r>
      <w:r>
        <w:rPr>
          <w:rFonts w:ascii="David" w:hAnsi="David" w:cs="David" w:hint="cs"/>
          <w:sz w:val="24"/>
          <w:szCs w:val="24"/>
          <w:rtl/>
        </w:rPr>
        <w:t>ם המפורטים בכתב האישום</w:t>
      </w:r>
      <w:r>
        <w:rPr>
          <w:rFonts w:ascii="David" w:hAnsi="David" w:cs="David"/>
          <w:sz w:val="24"/>
          <w:szCs w:val="24"/>
          <w:rtl/>
        </w:rPr>
        <w:t xml:space="preserve"> סמים ורווח כספי. בתקופה זו לא עבד וניהול אורח חיים שולי והתמכרותי. הנאשם ציין כי הוא מבין את חומרת מעשיו וההשלכות עמן הוא ומשפחתו נאלצים להתמודד כיום, וחש בושה ואשמה על כך. בנוסף, חוויית מעצרו בבית המעצר הייתה משברית עבורו ושם התמודד לראשונה עם קשייו בעצמו.</w:t>
      </w:r>
    </w:p>
    <w:p w14:paraId="5182D55A" w14:textId="77777777" w:rsidR="003A1152" w:rsidRPr="00F22F5E" w:rsidRDefault="003A1152" w:rsidP="003A1152">
      <w:pPr>
        <w:pStyle w:val="a9"/>
        <w:spacing w:before="240" w:after="240" w:line="360" w:lineRule="auto"/>
        <w:ind w:hanging="720"/>
        <w:contextualSpacing w:val="0"/>
        <w:jc w:val="both"/>
        <w:rPr>
          <w:rFonts w:ascii="David" w:hAnsi="David" w:cs="David"/>
          <w:sz w:val="24"/>
          <w:szCs w:val="24"/>
          <w:rtl/>
        </w:rPr>
      </w:pPr>
      <w:r>
        <w:rPr>
          <w:rFonts w:ascii="David" w:hAnsi="David" w:cs="David"/>
          <w:sz w:val="24"/>
          <w:szCs w:val="24"/>
          <w:rtl/>
        </w:rPr>
        <w:tab/>
        <w:t xml:space="preserve">קצינת המבחן התרשמה כי </w:t>
      </w:r>
      <w:r w:rsidRPr="00F763C7">
        <w:rPr>
          <w:rFonts w:ascii="David" w:hAnsi="David" w:cs="David"/>
          <w:sz w:val="24"/>
          <w:szCs w:val="24"/>
          <w:rtl/>
        </w:rPr>
        <w:t xml:space="preserve">הנאשם מסוגל להתבונן בצורה ביקורתית </w:t>
      </w:r>
      <w:r w:rsidRPr="00F763C7">
        <w:rPr>
          <w:rFonts w:ascii="David" w:hAnsi="David" w:cs="David" w:hint="cs"/>
          <w:sz w:val="24"/>
          <w:szCs w:val="24"/>
          <w:rtl/>
        </w:rPr>
        <w:t xml:space="preserve">על </w:t>
      </w:r>
      <w:r w:rsidRPr="00F763C7">
        <w:rPr>
          <w:rFonts w:ascii="David" w:hAnsi="David" w:cs="David"/>
          <w:sz w:val="24"/>
          <w:szCs w:val="24"/>
          <w:rtl/>
        </w:rPr>
        <w:t>התנהלותו, מגלה נכונות ומוכנות לבחון באופן ראשוני בחירותיו ודפוסי צריכת הסמים ומביע רצון להשתלב בטיפול ייעודי.</w:t>
      </w:r>
      <w:r>
        <w:rPr>
          <w:rFonts w:ascii="David" w:hAnsi="David" w:cs="David"/>
          <w:b/>
          <w:bCs/>
          <w:sz w:val="24"/>
          <w:szCs w:val="24"/>
          <w:rtl/>
        </w:rPr>
        <w:t xml:space="preserve"> </w:t>
      </w:r>
      <w:r>
        <w:rPr>
          <w:rFonts w:ascii="David" w:hAnsi="David" w:cs="David"/>
          <w:sz w:val="24"/>
          <w:szCs w:val="24"/>
          <w:rtl/>
        </w:rPr>
        <w:t xml:space="preserve">כמו כן, צוין כי קיים סיכון להמשך התנהלות שולית לצד סיכון להמשך צריכת סמים. </w:t>
      </w:r>
    </w:p>
    <w:p w14:paraId="233FBDAE" w14:textId="77777777" w:rsidR="003A1152" w:rsidRPr="00ED5014" w:rsidRDefault="003A1152" w:rsidP="003A1152">
      <w:pPr>
        <w:pStyle w:val="a9"/>
        <w:spacing w:before="240" w:after="240" w:line="360" w:lineRule="auto"/>
        <w:ind w:hanging="720"/>
        <w:contextualSpacing w:val="0"/>
        <w:jc w:val="both"/>
        <w:rPr>
          <w:rFonts w:ascii="David" w:hAnsi="David" w:cs="David"/>
          <w:sz w:val="24"/>
          <w:szCs w:val="24"/>
          <w:rtl/>
        </w:rPr>
      </w:pPr>
      <w:r>
        <w:rPr>
          <w:rFonts w:ascii="David" w:hAnsi="David" w:cs="David"/>
          <w:b/>
          <w:bCs/>
          <w:sz w:val="24"/>
          <w:szCs w:val="24"/>
          <w:rtl/>
        </w:rPr>
        <w:tab/>
        <w:t>בתסקיר השני</w:t>
      </w:r>
      <w:r>
        <w:rPr>
          <w:rFonts w:ascii="David" w:hAnsi="David" w:cs="David"/>
          <w:sz w:val="24"/>
          <w:szCs w:val="24"/>
          <w:rtl/>
        </w:rPr>
        <w:t xml:space="preserve"> מיום 17.2.2020, צוין כי הנאשם החל להשתלב בטיפול בתחום התמכרותו לסמים, במסגרת המחלקה לשירותים חברתיים בנס ציונה</w:t>
      </w:r>
      <w:r>
        <w:rPr>
          <w:rFonts w:ascii="David" w:hAnsi="David" w:cs="David" w:hint="cs"/>
          <w:sz w:val="24"/>
          <w:szCs w:val="24"/>
          <w:rtl/>
        </w:rPr>
        <w:t>;</w:t>
      </w:r>
      <w:r>
        <w:rPr>
          <w:rFonts w:ascii="David" w:hAnsi="David" w:cs="David"/>
          <w:sz w:val="24"/>
          <w:szCs w:val="24"/>
          <w:rtl/>
        </w:rPr>
        <w:t xml:space="preserve"> יחל בתהליך קבלה לטיפול ב"מרכז חוסן" ברחובות</w:t>
      </w:r>
      <w:r>
        <w:rPr>
          <w:rFonts w:ascii="David" w:hAnsi="David" w:cs="David" w:hint="cs"/>
          <w:sz w:val="24"/>
          <w:szCs w:val="24"/>
          <w:rtl/>
        </w:rPr>
        <w:t>;</w:t>
      </w:r>
      <w:r>
        <w:rPr>
          <w:rFonts w:ascii="David" w:hAnsi="David" w:cs="David"/>
          <w:sz w:val="24"/>
          <w:szCs w:val="24"/>
          <w:rtl/>
        </w:rPr>
        <w:t xml:space="preserve"> ו</w:t>
      </w:r>
      <w:r>
        <w:rPr>
          <w:rFonts w:ascii="David" w:hAnsi="David" w:cs="David" w:hint="cs"/>
          <w:sz w:val="24"/>
          <w:szCs w:val="24"/>
          <w:rtl/>
        </w:rPr>
        <w:t>ת</w:t>
      </w:r>
      <w:r>
        <w:rPr>
          <w:rFonts w:ascii="David" w:hAnsi="David" w:cs="David"/>
          <w:sz w:val="24"/>
          <w:szCs w:val="24"/>
          <w:rtl/>
        </w:rPr>
        <w:t xml:space="preserve">יתכן השתלבותו בטיפול אינטנסיבי במסגרת "מרכז היום". קצינת המבחן התרשמה כי הנאשם ממשיך </w:t>
      </w:r>
      <w:r>
        <w:rPr>
          <w:rFonts w:ascii="David" w:hAnsi="David" w:cs="David" w:hint="cs"/>
          <w:sz w:val="24"/>
          <w:szCs w:val="24"/>
          <w:rtl/>
        </w:rPr>
        <w:t>ל</w:t>
      </w:r>
      <w:r>
        <w:rPr>
          <w:rFonts w:ascii="David" w:hAnsi="David" w:cs="David"/>
          <w:sz w:val="24"/>
          <w:szCs w:val="24"/>
          <w:rtl/>
        </w:rPr>
        <w:t>בטא מוטיבציה לעריכת שינוי משמעותי בחייו ולטיפול בתחום ההתמכרות לסמים, הפסיק</w:t>
      </w:r>
      <w:r>
        <w:rPr>
          <w:rFonts w:ascii="David" w:hAnsi="David" w:cs="David" w:hint="cs"/>
          <w:sz w:val="24"/>
          <w:szCs w:val="24"/>
          <w:rtl/>
        </w:rPr>
        <w:t xml:space="preserve"> את</w:t>
      </w:r>
      <w:r>
        <w:rPr>
          <w:rFonts w:ascii="David" w:hAnsi="David" w:cs="David"/>
          <w:sz w:val="24"/>
          <w:szCs w:val="24"/>
          <w:rtl/>
        </w:rPr>
        <w:t xml:space="preserve"> צריכת הסמים ומקפיד על שמירת תנאי המעצר. שירות המבחן ציין כי טרם בשלה העת לבוא בהמלצה </w:t>
      </w:r>
      <w:r w:rsidRPr="00ED5014">
        <w:rPr>
          <w:rFonts w:ascii="David" w:hAnsi="David" w:cs="David"/>
          <w:sz w:val="24"/>
          <w:szCs w:val="24"/>
          <w:rtl/>
        </w:rPr>
        <w:t xml:space="preserve">סופית. </w:t>
      </w:r>
      <w:r w:rsidRPr="00ED5014">
        <w:rPr>
          <w:rFonts w:ascii="David" w:hAnsi="David" w:cs="David"/>
          <w:sz w:val="24"/>
          <w:szCs w:val="24"/>
          <w:rtl/>
        </w:rPr>
        <w:lastRenderedPageBreak/>
        <w:t xml:space="preserve">לשיטת שירות המבחן, יש לפעול בשלב זה למיצוי האפיק השיקומי, כאשר המלצה סופית תינתן בעוד כשלושה חודשים, לאחר תקופה בה תיבחן המשך התגייסות הנאשם לטיפול. </w:t>
      </w:r>
    </w:p>
    <w:p w14:paraId="5F5C89D6" w14:textId="77777777" w:rsidR="003A1152" w:rsidRDefault="003A1152" w:rsidP="003A1152">
      <w:pPr>
        <w:pStyle w:val="a9"/>
        <w:spacing w:after="0" w:line="360" w:lineRule="auto"/>
        <w:ind w:hanging="720"/>
        <w:contextualSpacing w:val="0"/>
        <w:jc w:val="both"/>
        <w:rPr>
          <w:rFonts w:ascii="David" w:hAnsi="David" w:cs="David"/>
          <w:sz w:val="14"/>
          <w:szCs w:val="14"/>
          <w:rtl/>
        </w:rPr>
      </w:pPr>
    </w:p>
    <w:p w14:paraId="7C20B779" w14:textId="77777777" w:rsidR="003A1152" w:rsidRDefault="003A1152" w:rsidP="003A1152">
      <w:pPr>
        <w:pStyle w:val="a9"/>
        <w:spacing w:after="0" w:line="360" w:lineRule="auto"/>
        <w:ind w:hanging="720"/>
        <w:contextualSpacing w:val="0"/>
        <w:jc w:val="both"/>
        <w:rPr>
          <w:rFonts w:ascii="David" w:hAnsi="David" w:cs="David"/>
          <w:sz w:val="14"/>
          <w:szCs w:val="14"/>
          <w:rtl/>
        </w:rPr>
      </w:pPr>
    </w:p>
    <w:p w14:paraId="0E2B89E8" w14:textId="77777777" w:rsidR="003A1152" w:rsidRDefault="003A1152" w:rsidP="003A1152">
      <w:pPr>
        <w:pStyle w:val="a9"/>
        <w:spacing w:after="0" w:line="360" w:lineRule="auto"/>
        <w:ind w:hanging="720"/>
        <w:contextualSpacing w:val="0"/>
        <w:jc w:val="both"/>
        <w:rPr>
          <w:rFonts w:ascii="David" w:hAnsi="David" w:cs="David"/>
          <w:sz w:val="14"/>
          <w:szCs w:val="14"/>
          <w:rtl/>
        </w:rPr>
      </w:pPr>
    </w:p>
    <w:p w14:paraId="375640F4" w14:textId="77777777" w:rsidR="003A1152" w:rsidRDefault="003A1152" w:rsidP="003A1152">
      <w:pPr>
        <w:pStyle w:val="a9"/>
        <w:spacing w:after="0" w:line="360" w:lineRule="auto"/>
        <w:ind w:hanging="720"/>
        <w:contextualSpacing w:val="0"/>
        <w:jc w:val="both"/>
        <w:rPr>
          <w:rFonts w:ascii="David" w:hAnsi="David" w:cs="David"/>
          <w:sz w:val="14"/>
          <w:szCs w:val="14"/>
          <w:rtl/>
        </w:rPr>
      </w:pPr>
    </w:p>
    <w:p w14:paraId="0306A8E9" w14:textId="77777777" w:rsidR="003A1152" w:rsidRDefault="003A1152" w:rsidP="003A1152">
      <w:pPr>
        <w:pStyle w:val="a9"/>
        <w:spacing w:after="0" w:line="360" w:lineRule="auto"/>
        <w:ind w:hanging="720"/>
        <w:contextualSpacing w:val="0"/>
        <w:jc w:val="both"/>
        <w:rPr>
          <w:rFonts w:ascii="David" w:hAnsi="David" w:cs="David"/>
          <w:sz w:val="14"/>
          <w:szCs w:val="14"/>
          <w:rtl/>
        </w:rPr>
      </w:pPr>
    </w:p>
    <w:p w14:paraId="318AA513" w14:textId="77777777" w:rsidR="003A1152" w:rsidRPr="00DD685B" w:rsidRDefault="003A1152" w:rsidP="003A1152">
      <w:pPr>
        <w:pStyle w:val="a9"/>
        <w:spacing w:after="0" w:line="360" w:lineRule="auto"/>
        <w:ind w:hanging="720"/>
        <w:contextualSpacing w:val="0"/>
        <w:jc w:val="both"/>
        <w:rPr>
          <w:rFonts w:ascii="David" w:hAnsi="David" w:cs="David"/>
          <w:sz w:val="14"/>
          <w:szCs w:val="14"/>
        </w:rPr>
      </w:pPr>
    </w:p>
    <w:p w14:paraId="2EEB86BF" w14:textId="77777777" w:rsidR="003A1152" w:rsidRPr="00597E80" w:rsidRDefault="003A1152" w:rsidP="003A1152">
      <w:pPr>
        <w:pStyle w:val="a9"/>
        <w:spacing w:before="240" w:after="240" w:line="360" w:lineRule="auto"/>
        <w:ind w:hanging="720"/>
        <w:contextualSpacing w:val="0"/>
        <w:jc w:val="both"/>
        <w:rPr>
          <w:rFonts w:ascii="David" w:hAnsi="David" w:cs="David"/>
          <w:sz w:val="24"/>
          <w:szCs w:val="24"/>
          <w:u w:val="single"/>
          <w:rtl/>
        </w:rPr>
      </w:pPr>
      <w:r>
        <w:rPr>
          <w:rFonts w:ascii="David" w:hAnsi="David" w:cs="David"/>
          <w:sz w:val="24"/>
          <w:szCs w:val="24"/>
          <w:rtl/>
        </w:rPr>
        <w:tab/>
      </w:r>
      <w:r w:rsidRPr="00DD685B">
        <w:rPr>
          <w:rFonts w:ascii="David" w:hAnsi="David" w:cs="David"/>
          <w:sz w:val="24"/>
          <w:szCs w:val="24"/>
          <w:u w:val="single"/>
          <w:rtl/>
        </w:rPr>
        <w:t>טענות הצדדים</w:t>
      </w:r>
    </w:p>
    <w:p w14:paraId="1C9D2AC0" w14:textId="77777777" w:rsidR="003A1152" w:rsidRDefault="003A1152" w:rsidP="003A1152">
      <w:pPr>
        <w:pStyle w:val="a9"/>
        <w:numPr>
          <w:ilvl w:val="0"/>
          <w:numId w:val="1"/>
        </w:numPr>
        <w:spacing w:before="240" w:after="240" w:line="360" w:lineRule="auto"/>
        <w:ind w:hanging="720"/>
        <w:contextualSpacing w:val="0"/>
        <w:jc w:val="both"/>
        <w:rPr>
          <w:rFonts w:ascii="David" w:hAnsi="David" w:cs="David"/>
          <w:sz w:val="24"/>
          <w:szCs w:val="24"/>
        </w:rPr>
      </w:pPr>
      <w:r w:rsidRPr="00F139E1">
        <w:rPr>
          <w:rFonts w:ascii="David" w:hAnsi="David" w:cs="David"/>
          <w:sz w:val="24"/>
          <w:szCs w:val="24"/>
          <w:rtl/>
        </w:rPr>
        <w:t xml:space="preserve">ב"כ המאשימה, עו"ד יוסי קורצברג, עמד על ריבוי סוגי הסמים שהחזיק הנאשם ועל כך שהחזיקם במכוניתו ובדירה ששכר עם אחר. </w:t>
      </w:r>
      <w:r w:rsidRPr="00F139E1">
        <w:rPr>
          <w:rFonts w:ascii="David" w:hAnsi="David" w:cs="David" w:hint="cs"/>
          <w:sz w:val="24"/>
          <w:szCs w:val="24"/>
          <w:rtl/>
        </w:rPr>
        <w:t xml:space="preserve">נטען כי </w:t>
      </w:r>
      <w:r w:rsidRPr="00F139E1">
        <w:rPr>
          <w:rFonts w:ascii="David" w:hAnsi="David" w:cs="David"/>
          <w:sz w:val="24"/>
          <w:szCs w:val="24"/>
          <w:rtl/>
        </w:rPr>
        <w:t xml:space="preserve">הגם שלא </w:t>
      </w:r>
      <w:r w:rsidRPr="00F139E1">
        <w:rPr>
          <w:rFonts w:ascii="David" w:hAnsi="David" w:cs="David" w:hint="cs"/>
          <w:sz w:val="24"/>
          <w:szCs w:val="24"/>
          <w:rtl/>
        </w:rPr>
        <w:t xml:space="preserve">יוחסה לנאשם עבירה של סחר בסם, יש לראות את </w:t>
      </w:r>
      <w:r w:rsidRPr="00F139E1">
        <w:rPr>
          <w:rFonts w:ascii="David" w:hAnsi="David" w:cs="David"/>
          <w:sz w:val="24"/>
          <w:szCs w:val="24"/>
          <w:rtl/>
        </w:rPr>
        <w:t xml:space="preserve">מעשיו </w:t>
      </w:r>
      <w:r w:rsidRPr="00F139E1">
        <w:rPr>
          <w:rFonts w:ascii="David" w:hAnsi="David" w:cs="David" w:hint="cs"/>
          <w:sz w:val="24"/>
          <w:szCs w:val="24"/>
          <w:rtl/>
        </w:rPr>
        <w:t xml:space="preserve">ככאלה הנושקים לעבירת הסחר, בוודאי לאור מגוון הסמים, ובשים לב לתפיסתם של שני המשקלים האלקטרוניים. </w:t>
      </w:r>
    </w:p>
    <w:p w14:paraId="547DC7AA" w14:textId="77777777" w:rsidR="003A1152" w:rsidRPr="00597E80" w:rsidRDefault="003A1152" w:rsidP="003A1152">
      <w:pPr>
        <w:pStyle w:val="a9"/>
        <w:spacing w:before="240" w:after="240" w:line="360" w:lineRule="auto"/>
        <w:contextualSpacing w:val="0"/>
        <w:jc w:val="both"/>
        <w:rPr>
          <w:rFonts w:ascii="David" w:hAnsi="David" w:cs="David"/>
          <w:sz w:val="24"/>
          <w:szCs w:val="24"/>
        </w:rPr>
      </w:pPr>
      <w:r>
        <w:rPr>
          <w:rFonts w:ascii="David" w:hAnsi="David" w:cs="David" w:hint="cs"/>
          <w:sz w:val="24"/>
          <w:szCs w:val="24"/>
          <w:rtl/>
        </w:rPr>
        <w:t>על יסוד נתונים אלה, ופסיקה שהוצגה, סבר התובע כי יש מקום לקבוע מתחם עונש הנע בין 3 שנות מאסר ל-5 שנות מאסר. באשר למיקומו של הנאשם במתחם נטען, כי נוכח נתוניו המורכבים, היעדר הרשעות קודמות והודאתו במיוחס לו, יש למקמו בתחתית המתחם, להשית עליו רכיבי ענישה נלווים, ולהורות על חילוט רכבו (מזדה 2008) וסכום כסף שנתפס (14,539 ₪).</w:t>
      </w:r>
      <w:r>
        <w:rPr>
          <w:rFonts w:ascii="Arial" w:hAnsi="Arial" w:hint="cs"/>
          <w:rtl/>
        </w:rPr>
        <w:t xml:space="preserve"> </w:t>
      </w:r>
      <w:r>
        <w:rPr>
          <w:rFonts w:ascii="David" w:hAnsi="David" w:cs="David" w:hint="cs"/>
          <w:sz w:val="24"/>
          <w:szCs w:val="24"/>
          <w:rtl/>
        </w:rPr>
        <w:t xml:space="preserve"> </w:t>
      </w:r>
    </w:p>
    <w:p w14:paraId="78619C45" w14:textId="77777777" w:rsidR="003A1152" w:rsidRPr="00597E80" w:rsidRDefault="003A1152" w:rsidP="003A1152">
      <w:pPr>
        <w:pStyle w:val="a9"/>
        <w:numPr>
          <w:ilvl w:val="0"/>
          <w:numId w:val="1"/>
        </w:numPr>
        <w:spacing w:before="240" w:after="240" w:line="360" w:lineRule="auto"/>
        <w:ind w:hanging="720"/>
        <w:contextualSpacing w:val="0"/>
        <w:jc w:val="both"/>
        <w:rPr>
          <w:rFonts w:ascii="David" w:hAnsi="David" w:cs="David"/>
          <w:sz w:val="14"/>
          <w:szCs w:val="14"/>
        </w:rPr>
      </w:pPr>
      <w:r w:rsidRPr="00597E80">
        <w:rPr>
          <w:rFonts w:ascii="David" w:hAnsi="David" w:cs="David"/>
          <w:sz w:val="24"/>
          <w:szCs w:val="24"/>
          <w:rtl/>
        </w:rPr>
        <w:t>ב"כ הנאשם, עו"ד נס בן-נתן, עמד באר</w:t>
      </w:r>
      <w:r>
        <w:rPr>
          <w:rFonts w:ascii="David" w:hAnsi="David" w:cs="David"/>
          <w:sz w:val="24"/>
          <w:szCs w:val="24"/>
          <w:rtl/>
        </w:rPr>
        <w:t>יכות על נסיבותיו הקשות של הנאשם</w:t>
      </w:r>
      <w:r>
        <w:rPr>
          <w:rFonts w:ascii="David" w:hAnsi="David" w:cs="David" w:hint="cs"/>
          <w:sz w:val="24"/>
          <w:szCs w:val="24"/>
          <w:rtl/>
        </w:rPr>
        <w:t>, על כך ש</w:t>
      </w:r>
      <w:r w:rsidRPr="00597E80">
        <w:rPr>
          <w:rFonts w:ascii="David" w:hAnsi="David" w:cs="David"/>
          <w:sz w:val="24"/>
          <w:szCs w:val="24"/>
          <w:rtl/>
        </w:rPr>
        <w:t>מדובר בבחור צעיר, ללא עבר פלילי, אשר עקב המקרה דנן שהה לראשונה במעצר במשך חודשיים וחצי במסגרתו סבל מהצקות, ולאחר מכן שוחרר בהסכמה. עוד צוין הקשר ההדוק בינו לבין אמו, שאף ישנה על מזרון בפתח בית המעצר בליל שבת.</w:t>
      </w:r>
    </w:p>
    <w:p w14:paraId="53B50943" w14:textId="77777777" w:rsidR="003A1152" w:rsidRPr="00DD685B" w:rsidRDefault="003A1152" w:rsidP="003A1152">
      <w:pPr>
        <w:pStyle w:val="a9"/>
        <w:spacing w:before="240" w:after="240" w:line="360" w:lineRule="auto"/>
        <w:ind w:hanging="720"/>
        <w:contextualSpacing w:val="0"/>
        <w:jc w:val="both"/>
        <w:rPr>
          <w:rFonts w:ascii="David" w:hAnsi="David" w:cs="David"/>
          <w:sz w:val="16"/>
          <w:szCs w:val="16"/>
          <w:rtl/>
        </w:rPr>
      </w:pPr>
      <w:r>
        <w:rPr>
          <w:rFonts w:ascii="David" w:hAnsi="David" w:cs="David"/>
          <w:sz w:val="24"/>
          <w:szCs w:val="24"/>
          <w:rtl/>
        </w:rPr>
        <w:tab/>
        <w:t>ב"כ הנאשם הדגיש כי מדובר במקרה של החזקת סמים אך לא הפקתם או מכירתם</w:t>
      </w:r>
      <w:r>
        <w:rPr>
          <w:rFonts w:ascii="David" w:hAnsi="David" w:cs="David" w:hint="cs"/>
          <w:sz w:val="24"/>
          <w:szCs w:val="24"/>
          <w:rtl/>
        </w:rPr>
        <w:t xml:space="preserve">, ובהתבסס על פסיקה שהוגשה על ידו, סבר כי הרף התחתון של מתחם העונש ההולם צריך לעמוד, לכל היותר, על 10 חודשי מאסר. </w:t>
      </w:r>
    </w:p>
    <w:p w14:paraId="63313577" w14:textId="77777777" w:rsidR="003A1152" w:rsidRPr="00597E80" w:rsidRDefault="003A1152" w:rsidP="003A1152">
      <w:pPr>
        <w:pStyle w:val="a9"/>
        <w:spacing w:before="240" w:after="240" w:line="360" w:lineRule="auto"/>
        <w:ind w:hanging="720"/>
        <w:contextualSpacing w:val="0"/>
        <w:jc w:val="both"/>
        <w:rPr>
          <w:rFonts w:ascii="David" w:hAnsi="David" w:cs="David"/>
          <w:sz w:val="24"/>
          <w:szCs w:val="24"/>
          <w:rtl/>
        </w:rPr>
      </w:pPr>
      <w:r>
        <w:rPr>
          <w:rFonts w:ascii="David" w:hAnsi="David" w:cs="David"/>
          <w:sz w:val="24"/>
          <w:szCs w:val="24"/>
          <w:rtl/>
        </w:rPr>
        <w:tab/>
        <w:t xml:space="preserve">לצד נסיבות חייו הקשות, צוין כי הנאשם הודה ולקח אחריות על מעשיו, ניתק קשר עם גורמים עבריינים </w:t>
      </w:r>
      <w:r>
        <w:rPr>
          <w:rFonts w:ascii="David" w:hAnsi="David" w:cs="David" w:hint="cs"/>
          <w:sz w:val="24"/>
          <w:szCs w:val="24"/>
          <w:rtl/>
        </w:rPr>
        <w:t>ו</w:t>
      </w:r>
      <w:r>
        <w:rPr>
          <w:rFonts w:ascii="David" w:hAnsi="David" w:cs="David"/>
          <w:sz w:val="24"/>
          <w:szCs w:val="24"/>
          <w:rtl/>
        </w:rPr>
        <w:t xml:space="preserve">"נקי" מסמים כבר למעלה משנה. ב"כ הנאשם עמד על כך שתיקון 113 </w:t>
      </w:r>
      <w:r>
        <w:rPr>
          <w:rFonts w:ascii="David" w:hAnsi="David" w:cs="David" w:hint="cs"/>
          <w:sz w:val="24"/>
          <w:szCs w:val="24"/>
          <w:rtl/>
        </w:rPr>
        <w:t>ל</w:t>
      </w:r>
      <w:hyperlink r:id="rId15" w:history="1">
        <w:r w:rsidR="004557D5" w:rsidRPr="004557D5">
          <w:rPr>
            <w:rFonts w:ascii="David" w:hAnsi="David" w:cs="David"/>
            <w:color w:val="0000FF"/>
            <w:sz w:val="24"/>
            <w:szCs w:val="24"/>
            <w:u w:val="single"/>
            <w:rtl/>
          </w:rPr>
          <w:t>חוק העונשין</w:t>
        </w:r>
      </w:hyperlink>
      <w:r>
        <w:rPr>
          <w:rFonts w:ascii="David" w:hAnsi="David" w:cs="David" w:hint="cs"/>
          <w:sz w:val="24"/>
          <w:szCs w:val="24"/>
          <w:rtl/>
        </w:rPr>
        <w:t xml:space="preserve"> </w:t>
      </w:r>
      <w:r>
        <w:rPr>
          <w:rFonts w:ascii="David" w:hAnsi="David" w:cs="David"/>
          <w:sz w:val="24"/>
          <w:szCs w:val="24"/>
          <w:rtl/>
        </w:rPr>
        <w:t xml:space="preserve">עוסק גם במי שקיים פוטנציאל שיקומי בעניינו ולא רק במי שעבר הליך שכזה, ולאור תפיסת הגורמים המטפלים כי </w:t>
      </w:r>
      <w:r>
        <w:rPr>
          <w:rFonts w:ascii="David" w:hAnsi="David" w:cs="David" w:hint="cs"/>
          <w:sz w:val="24"/>
          <w:szCs w:val="24"/>
          <w:rtl/>
        </w:rPr>
        <w:t>ניתן</w:t>
      </w:r>
      <w:r>
        <w:rPr>
          <w:rFonts w:ascii="David" w:hAnsi="David" w:cs="David"/>
          <w:sz w:val="24"/>
          <w:szCs w:val="24"/>
          <w:rtl/>
        </w:rPr>
        <w:t xml:space="preserve"> לשקמו, </w:t>
      </w:r>
      <w:r>
        <w:rPr>
          <w:rFonts w:ascii="David" w:hAnsi="David" w:cs="David" w:hint="cs"/>
          <w:sz w:val="24"/>
          <w:szCs w:val="24"/>
          <w:rtl/>
        </w:rPr>
        <w:t xml:space="preserve">יש לשקלל זאת בקביעת העונש המתאים, אף באופן של חריגה ממתחם הענישה והעמדת העונש על מאסר שניתן לרצותו בעבודות שירות. </w:t>
      </w:r>
    </w:p>
    <w:p w14:paraId="71DD062C" w14:textId="77777777" w:rsidR="003A1152" w:rsidRPr="00597E80" w:rsidRDefault="003A1152" w:rsidP="003A1152">
      <w:pPr>
        <w:pStyle w:val="a9"/>
        <w:spacing w:before="240" w:after="240" w:line="360" w:lineRule="auto"/>
        <w:ind w:hanging="720"/>
        <w:contextualSpacing w:val="0"/>
        <w:jc w:val="both"/>
        <w:rPr>
          <w:rFonts w:ascii="David" w:hAnsi="David" w:cs="David"/>
          <w:sz w:val="24"/>
          <w:szCs w:val="24"/>
          <w:rtl/>
        </w:rPr>
      </w:pPr>
      <w:r>
        <w:rPr>
          <w:rFonts w:ascii="David" w:hAnsi="David" w:cs="David"/>
          <w:sz w:val="24"/>
          <w:szCs w:val="24"/>
          <w:rtl/>
        </w:rPr>
        <w:tab/>
      </w:r>
      <w:r>
        <w:rPr>
          <w:rFonts w:ascii="David" w:hAnsi="David" w:cs="David" w:hint="cs"/>
          <w:sz w:val="24"/>
          <w:szCs w:val="24"/>
          <w:rtl/>
        </w:rPr>
        <w:t xml:space="preserve">הסניגור אף עתר להימנע מחילוט </w:t>
      </w:r>
      <w:r>
        <w:rPr>
          <w:rFonts w:ascii="David" w:hAnsi="David" w:cs="David"/>
          <w:sz w:val="24"/>
          <w:szCs w:val="24"/>
          <w:rtl/>
        </w:rPr>
        <w:t xml:space="preserve">רכבו של הנאשם </w:t>
      </w:r>
      <w:r>
        <w:rPr>
          <w:rFonts w:ascii="David" w:hAnsi="David" w:cs="David" w:hint="cs"/>
          <w:sz w:val="24"/>
          <w:szCs w:val="24"/>
          <w:rtl/>
        </w:rPr>
        <w:t xml:space="preserve">ונטען כי הרכב </w:t>
      </w:r>
      <w:r>
        <w:rPr>
          <w:rFonts w:ascii="David" w:hAnsi="David" w:cs="David"/>
          <w:sz w:val="24"/>
          <w:szCs w:val="24"/>
          <w:rtl/>
        </w:rPr>
        <w:t xml:space="preserve">משמש </w:t>
      </w:r>
      <w:r>
        <w:rPr>
          <w:rFonts w:ascii="David" w:hAnsi="David" w:cs="David" w:hint="cs"/>
          <w:sz w:val="24"/>
          <w:szCs w:val="24"/>
          <w:rtl/>
        </w:rPr>
        <w:t xml:space="preserve">גם את אמו; </w:t>
      </w:r>
      <w:r>
        <w:rPr>
          <w:rFonts w:ascii="David" w:hAnsi="David" w:cs="David"/>
          <w:sz w:val="24"/>
          <w:szCs w:val="24"/>
          <w:rtl/>
        </w:rPr>
        <w:t>נקנה ב</w:t>
      </w:r>
      <w:r>
        <w:rPr>
          <w:rFonts w:ascii="David" w:hAnsi="David" w:cs="David" w:hint="cs"/>
          <w:sz w:val="24"/>
          <w:szCs w:val="24"/>
          <w:rtl/>
        </w:rPr>
        <w:t xml:space="preserve">כספי </w:t>
      </w:r>
      <w:r>
        <w:rPr>
          <w:rFonts w:ascii="David" w:hAnsi="David" w:cs="David"/>
          <w:sz w:val="24"/>
          <w:szCs w:val="24"/>
          <w:rtl/>
        </w:rPr>
        <w:t>הלוואה</w:t>
      </w:r>
      <w:r>
        <w:rPr>
          <w:rFonts w:ascii="David" w:hAnsi="David" w:cs="David" w:hint="cs"/>
          <w:sz w:val="24"/>
          <w:szCs w:val="24"/>
          <w:rtl/>
        </w:rPr>
        <w:t>; וע</w:t>
      </w:r>
      <w:r>
        <w:rPr>
          <w:rFonts w:ascii="David" w:hAnsi="David" w:cs="David"/>
          <w:sz w:val="24"/>
          <w:szCs w:val="24"/>
          <w:rtl/>
        </w:rPr>
        <w:t xml:space="preserve">רכו הנוכחי מתמצה בכ- 15,000 ₪.    </w:t>
      </w:r>
    </w:p>
    <w:p w14:paraId="4742AE0F" w14:textId="77777777" w:rsidR="003A1152" w:rsidRPr="00597E80" w:rsidRDefault="003A1152" w:rsidP="003A1152">
      <w:pPr>
        <w:pStyle w:val="a9"/>
        <w:numPr>
          <w:ilvl w:val="0"/>
          <w:numId w:val="1"/>
        </w:numPr>
        <w:spacing w:before="240" w:after="240" w:line="360" w:lineRule="auto"/>
        <w:ind w:hanging="720"/>
        <w:contextualSpacing w:val="0"/>
        <w:jc w:val="both"/>
        <w:rPr>
          <w:rFonts w:ascii="David" w:hAnsi="David" w:cs="David"/>
          <w:sz w:val="24"/>
          <w:szCs w:val="24"/>
        </w:rPr>
      </w:pPr>
      <w:r w:rsidRPr="00DD685B">
        <w:rPr>
          <w:rFonts w:ascii="David" w:hAnsi="David" w:cs="David"/>
          <w:sz w:val="24"/>
          <w:szCs w:val="24"/>
          <w:rtl/>
        </w:rPr>
        <w:t xml:space="preserve">הנאשם הביע חרטה על המקרה, הודה בטעותו וציין כי מבין שמגיע לו עונש. הנאשם עמד אודות החוויה הקשה שעבר במסגרת המעצר, וציין רצונו לחזור למוטב ולהקים משפחה. </w:t>
      </w:r>
    </w:p>
    <w:p w14:paraId="641C5AD3" w14:textId="77777777" w:rsidR="003A1152" w:rsidRPr="00597E80" w:rsidRDefault="003A1152" w:rsidP="003A1152">
      <w:pPr>
        <w:pStyle w:val="a9"/>
        <w:spacing w:before="240" w:after="240" w:line="360" w:lineRule="auto"/>
        <w:ind w:hanging="720"/>
        <w:contextualSpacing w:val="0"/>
        <w:jc w:val="both"/>
        <w:rPr>
          <w:rFonts w:ascii="David" w:hAnsi="David" w:cs="David"/>
          <w:sz w:val="24"/>
          <w:szCs w:val="24"/>
          <w:rtl/>
        </w:rPr>
      </w:pPr>
      <w:r>
        <w:rPr>
          <w:rFonts w:ascii="David" w:hAnsi="David" w:cs="David"/>
          <w:sz w:val="24"/>
          <w:szCs w:val="24"/>
          <w:rtl/>
        </w:rPr>
        <w:tab/>
      </w:r>
      <w:r>
        <w:rPr>
          <w:rFonts w:ascii="David" w:hAnsi="David" w:cs="David" w:hint="cs"/>
          <w:sz w:val="24"/>
          <w:szCs w:val="24"/>
          <w:rtl/>
        </w:rPr>
        <w:t>וכך ציין:</w:t>
      </w:r>
    </w:p>
    <w:p w14:paraId="2ED547A4" w14:textId="77777777" w:rsidR="003A1152" w:rsidRPr="00597E80" w:rsidRDefault="003A1152" w:rsidP="003A1152">
      <w:pPr>
        <w:pStyle w:val="a9"/>
        <w:spacing w:before="240" w:after="240" w:line="360" w:lineRule="auto"/>
        <w:ind w:hanging="720"/>
        <w:contextualSpacing w:val="0"/>
        <w:jc w:val="both"/>
        <w:rPr>
          <w:rFonts w:ascii="David" w:hAnsi="David"/>
          <w:sz w:val="12"/>
          <w:szCs w:val="12"/>
        </w:rPr>
      </w:pPr>
      <w:r>
        <w:rPr>
          <w:rFonts w:ascii="David" w:hAnsi="David" w:cs="David"/>
          <w:sz w:val="24"/>
          <w:szCs w:val="24"/>
          <w:rtl/>
        </w:rPr>
        <w:tab/>
      </w:r>
      <w:r>
        <w:rPr>
          <w:rFonts w:ascii="David" w:hAnsi="David" w:cs="David" w:hint="cs"/>
          <w:sz w:val="24"/>
          <w:szCs w:val="24"/>
          <w:rtl/>
        </w:rPr>
        <w:t>"</w:t>
      </w:r>
      <w:r w:rsidRPr="00584BDC">
        <w:rPr>
          <w:rFonts w:ascii="David" w:hAnsi="David" w:cs="David"/>
          <w:b/>
          <w:bCs/>
          <w:sz w:val="24"/>
          <w:szCs w:val="24"/>
          <w:rtl/>
        </w:rPr>
        <w:t>חשוב לי להגיד כבוד השופט שאני כל-כך נבוך ומצטער על המקרה, הייתי בפיקוח אלקטרוני וזה לא פשוט בשבילי. עברתי חוויה לא נ</w:t>
      </w:r>
      <w:r>
        <w:rPr>
          <w:rFonts w:ascii="David" w:hAnsi="David" w:cs="David"/>
          <w:b/>
          <w:bCs/>
          <w:sz w:val="24"/>
          <w:szCs w:val="24"/>
          <w:rtl/>
        </w:rPr>
        <w:t>עימה בכלא עם אנשים שמנצלים אותי</w:t>
      </w:r>
      <w:r>
        <w:rPr>
          <w:rFonts w:ascii="David" w:hAnsi="David" w:cs="David" w:hint="cs"/>
          <w:b/>
          <w:bCs/>
          <w:sz w:val="24"/>
          <w:szCs w:val="24"/>
          <w:rtl/>
        </w:rPr>
        <w:t xml:space="preserve"> </w:t>
      </w:r>
      <w:r w:rsidRPr="00584BDC">
        <w:rPr>
          <w:rFonts w:ascii="David" w:hAnsi="David" w:cs="David"/>
          <w:b/>
          <w:bCs/>
          <w:sz w:val="24"/>
          <w:szCs w:val="24"/>
          <w:rtl/>
        </w:rPr>
        <w:t>ולא הייתי מסוגל לישון. פשוט בכל ההליך הזה הנשמה שלי הייתה שחורה, והפכתי להיות אדם לא שמח. אני מודה שטעיתי ולא מקל ראש ומגיע לי עונש, אני רוצה להקים משפחה בישראל ולא להיכנס לכלא ולהתערבב עם אנשים כוחניים. אני מבקש שבית המשפט ישית עלי עונש כדי שאמשיך בחיים ואביא גאווה לאימי אחרי כל מה שעברנו. אני מתחרט על זה כל יום ומאוד מצטער</w:t>
      </w:r>
      <w:r>
        <w:rPr>
          <w:rFonts w:ascii="David" w:hAnsi="David" w:cs="David" w:hint="cs"/>
          <w:sz w:val="24"/>
          <w:szCs w:val="24"/>
          <w:rtl/>
        </w:rPr>
        <w:t>".</w:t>
      </w:r>
    </w:p>
    <w:p w14:paraId="472A2323" w14:textId="77777777" w:rsidR="003A1152" w:rsidRPr="00597E80" w:rsidRDefault="003A1152" w:rsidP="003A1152">
      <w:pPr>
        <w:pStyle w:val="a9"/>
        <w:spacing w:before="240" w:after="240" w:line="360" w:lineRule="auto"/>
        <w:ind w:hanging="720"/>
        <w:contextualSpacing w:val="0"/>
        <w:jc w:val="both"/>
        <w:rPr>
          <w:rFonts w:ascii="David" w:hAnsi="David" w:cs="David"/>
          <w:sz w:val="24"/>
          <w:szCs w:val="24"/>
        </w:rPr>
      </w:pPr>
      <w:r>
        <w:rPr>
          <w:rFonts w:ascii="David" w:hAnsi="David" w:cs="David"/>
          <w:sz w:val="24"/>
          <w:szCs w:val="24"/>
          <w:rtl/>
        </w:rPr>
        <w:tab/>
      </w:r>
      <w:r w:rsidRPr="00DD685B">
        <w:rPr>
          <w:rFonts w:ascii="David" w:hAnsi="David" w:cs="David"/>
          <w:sz w:val="24"/>
          <w:szCs w:val="24"/>
          <w:rtl/>
        </w:rPr>
        <w:t xml:space="preserve">אמו של הנאשם העידה מטעמו, וסיפרה אודות הנסיבות המשפחתיות הקשות, על הלקח שנלמד ועל חרטת הנאשם ורצונו לחזור למוטב. </w:t>
      </w:r>
    </w:p>
    <w:p w14:paraId="3692D746" w14:textId="77777777" w:rsidR="003A1152" w:rsidRPr="00597E80" w:rsidRDefault="003A1152" w:rsidP="003A1152">
      <w:pPr>
        <w:pStyle w:val="a9"/>
        <w:spacing w:before="240" w:after="240" w:line="360" w:lineRule="auto"/>
        <w:ind w:hanging="720"/>
        <w:contextualSpacing w:val="0"/>
        <w:jc w:val="both"/>
        <w:rPr>
          <w:rFonts w:ascii="David" w:hAnsi="David" w:cs="David"/>
          <w:sz w:val="24"/>
          <w:szCs w:val="24"/>
          <w:u w:val="single"/>
          <w:rtl/>
        </w:rPr>
      </w:pPr>
      <w:r>
        <w:rPr>
          <w:rFonts w:ascii="David" w:hAnsi="David" w:cs="David"/>
          <w:sz w:val="24"/>
          <w:szCs w:val="24"/>
          <w:rtl/>
        </w:rPr>
        <w:tab/>
      </w:r>
      <w:r w:rsidRPr="00DD685B">
        <w:rPr>
          <w:rFonts w:ascii="David" w:hAnsi="David" w:cs="David"/>
          <w:sz w:val="24"/>
          <w:szCs w:val="24"/>
          <w:u w:val="single"/>
          <w:rtl/>
        </w:rPr>
        <w:t>דיון והכרעה</w:t>
      </w:r>
    </w:p>
    <w:p w14:paraId="3A595EF0" w14:textId="77777777" w:rsidR="003A1152" w:rsidRPr="00597E80" w:rsidRDefault="003A1152" w:rsidP="003A1152">
      <w:pPr>
        <w:pStyle w:val="a9"/>
        <w:spacing w:before="240" w:after="240" w:line="360" w:lineRule="auto"/>
        <w:ind w:hanging="720"/>
        <w:contextualSpacing w:val="0"/>
        <w:jc w:val="both"/>
        <w:rPr>
          <w:rFonts w:ascii="David" w:hAnsi="David" w:cs="David"/>
          <w:color w:val="FF0000"/>
          <w:sz w:val="24"/>
          <w:szCs w:val="24"/>
          <w:rtl/>
        </w:rPr>
      </w:pPr>
      <w:r>
        <w:rPr>
          <w:rFonts w:ascii="David" w:hAnsi="David" w:cs="David" w:hint="cs"/>
          <w:sz w:val="24"/>
          <w:szCs w:val="24"/>
          <w:rtl/>
        </w:rPr>
        <w:t>8.</w:t>
      </w:r>
      <w:r>
        <w:rPr>
          <w:rFonts w:ascii="David" w:hAnsi="David" w:cs="David" w:hint="cs"/>
          <w:sz w:val="24"/>
          <w:szCs w:val="24"/>
          <w:rtl/>
        </w:rPr>
        <w:tab/>
      </w:r>
      <w:r>
        <w:rPr>
          <w:rFonts w:ascii="David" w:hAnsi="David" w:cs="David"/>
          <w:sz w:val="24"/>
          <w:szCs w:val="24"/>
          <w:rtl/>
        </w:rPr>
        <w:t>לא הייתה מחלוקת בין הצדדים כי יש להתייחס לשני האישומים המפורטים בכתב האישום כאירוע אחד. על כן, ימוקד הדיון בשאלת מתחם הענישה.</w:t>
      </w:r>
    </w:p>
    <w:p w14:paraId="119BF41C" w14:textId="77777777" w:rsidR="003A1152" w:rsidRPr="00597E80" w:rsidRDefault="003A1152" w:rsidP="003A1152">
      <w:pPr>
        <w:pStyle w:val="a9"/>
        <w:spacing w:before="240" w:after="240" w:line="360" w:lineRule="auto"/>
        <w:ind w:hanging="720"/>
        <w:contextualSpacing w:val="0"/>
        <w:jc w:val="both"/>
        <w:rPr>
          <w:rFonts w:ascii="David" w:hAnsi="David" w:cs="David"/>
          <w:sz w:val="24"/>
          <w:szCs w:val="24"/>
          <w:u w:val="single"/>
          <w:rtl/>
        </w:rPr>
      </w:pPr>
      <w:r>
        <w:rPr>
          <w:rFonts w:ascii="David" w:hAnsi="David" w:cs="David"/>
          <w:sz w:val="24"/>
          <w:szCs w:val="24"/>
          <w:rtl/>
        </w:rPr>
        <w:tab/>
      </w:r>
      <w:r>
        <w:rPr>
          <w:rFonts w:ascii="David" w:hAnsi="David" w:cs="David"/>
          <w:sz w:val="24"/>
          <w:szCs w:val="24"/>
          <w:u w:val="single"/>
          <w:rtl/>
        </w:rPr>
        <w:t>מתחם העונש ההולם</w:t>
      </w:r>
    </w:p>
    <w:p w14:paraId="26F07E43" w14:textId="77777777" w:rsidR="003A1152" w:rsidRDefault="003A1152" w:rsidP="003A1152">
      <w:pPr>
        <w:pStyle w:val="a9"/>
        <w:spacing w:before="240" w:after="240" w:line="360" w:lineRule="auto"/>
        <w:ind w:hanging="720"/>
        <w:contextualSpacing w:val="0"/>
        <w:jc w:val="both"/>
        <w:rPr>
          <w:rFonts w:ascii="David" w:hAnsi="David" w:cs="David"/>
          <w:sz w:val="24"/>
          <w:szCs w:val="24"/>
          <w:rtl/>
        </w:rPr>
      </w:pPr>
      <w:r>
        <w:rPr>
          <w:rFonts w:ascii="David" w:hAnsi="David" w:cs="David" w:hint="cs"/>
          <w:sz w:val="24"/>
          <w:szCs w:val="24"/>
          <w:rtl/>
        </w:rPr>
        <w:t>9.</w:t>
      </w:r>
      <w:r>
        <w:rPr>
          <w:rFonts w:ascii="David" w:hAnsi="David" w:cs="David" w:hint="cs"/>
          <w:sz w:val="24"/>
          <w:szCs w:val="24"/>
          <w:rtl/>
        </w:rPr>
        <w:tab/>
      </w:r>
      <w:r w:rsidRPr="00584BDC">
        <w:rPr>
          <w:rFonts w:ascii="David" w:hAnsi="David" w:cs="David"/>
          <w:sz w:val="24"/>
          <w:szCs w:val="24"/>
          <w:rtl/>
        </w:rPr>
        <w:t xml:space="preserve">עבירות הסמים </w:t>
      </w:r>
      <w:r w:rsidRPr="00584BDC">
        <w:rPr>
          <w:rFonts w:ascii="David" w:hAnsi="David" w:cs="David" w:hint="cs"/>
          <w:sz w:val="24"/>
          <w:szCs w:val="24"/>
          <w:rtl/>
        </w:rPr>
        <w:t xml:space="preserve">אותן ביצע הנאשם </w:t>
      </w:r>
      <w:r w:rsidRPr="00584BDC">
        <w:rPr>
          <w:rFonts w:ascii="David" w:hAnsi="David" w:cs="David"/>
          <w:sz w:val="24"/>
          <w:szCs w:val="24"/>
          <w:rtl/>
        </w:rPr>
        <w:t xml:space="preserve">תוארו בפסיקת בית המשפט העליון </w:t>
      </w:r>
      <w:r w:rsidRPr="00584BDC">
        <w:rPr>
          <w:rFonts w:ascii="David" w:hAnsi="David" w:cs="David" w:hint="cs"/>
          <w:sz w:val="24"/>
          <w:szCs w:val="24"/>
          <w:rtl/>
        </w:rPr>
        <w:t xml:space="preserve">ככאלה הגורמות </w:t>
      </w:r>
      <w:r>
        <w:rPr>
          <w:rFonts w:ascii="David" w:hAnsi="David" w:cs="David"/>
          <w:sz w:val="24"/>
          <w:szCs w:val="24"/>
          <w:rtl/>
        </w:rPr>
        <w:t>לנזקים רבים</w:t>
      </w:r>
      <w:r>
        <w:rPr>
          <w:rFonts w:ascii="David" w:hAnsi="David" w:cs="David" w:hint="cs"/>
          <w:sz w:val="24"/>
          <w:szCs w:val="24"/>
          <w:rtl/>
        </w:rPr>
        <w:t>,</w:t>
      </w:r>
      <w:r>
        <w:rPr>
          <w:rFonts w:ascii="David" w:hAnsi="David" w:cs="David"/>
          <w:sz w:val="24"/>
          <w:szCs w:val="24"/>
          <w:rtl/>
        </w:rPr>
        <w:t xml:space="preserve"> </w:t>
      </w:r>
      <w:r w:rsidRPr="00584BDC">
        <w:rPr>
          <w:rFonts w:ascii="David" w:hAnsi="David" w:cs="David"/>
          <w:sz w:val="24"/>
          <w:szCs w:val="24"/>
          <w:rtl/>
        </w:rPr>
        <w:t xml:space="preserve"> ישירים ועקיפים כאחד [ר' </w:t>
      </w:r>
      <w:hyperlink r:id="rId16" w:history="1">
        <w:r w:rsidR="004557D5" w:rsidRPr="004557D5">
          <w:rPr>
            <w:rFonts w:ascii="David" w:hAnsi="David" w:cs="David"/>
            <w:color w:val="0000FF"/>
            <w:sz w:val="24"/>
            <w:szCs w:val="24"/>
            <w:u w:val="single"/>
            <w:rtl/>
          </w:rPr>
          <w:t>ע"פ 6029/03 מדינת ישראל נ' שמאי, פ"ד נח</w:t>
        </w:r>
      </w:hyperlink>
      <w:r w:rsidRPr="00584BDC">
        <w:rPr>
          <w:rFonts w:ascii="David" w:hAnsi="David" w:cs="David"/>
          <w:sz w:val="24"/>
          <w:szCs w:val="24"/>
          <w:rtl/>
        </w:rPr>
        <w:t xml:space="preserve">(2) 734, 737 (2004)]. בראש ובראשונה פוגעות עבירות הסמים במשתמשים בסם, שלצד הפגיעות הפיזיות והנפשיות לעתים אף מקפחים את חייהם כתוצאה מתופעות שונות הקשורות בשימוש בסם. הן פוגעות פגיעה קשה גם במרקם המשפחתי ובבני משפחותיהם של המשתמשים. </w:t>
      </w:r>
    </w:p>
    <w:p w14:paraId="73288AA2" w14:textId="77777777" w:rsidR="003A1152" w:rsidRPr="00597E80" w:rsidRDefault="003A1152" w:rsidP="003A1152">
      <w:pPr>
        <w:pStyle w:val="a9"/>
        <w:spacing w:before="240" w:after="240" w:line="360" w:lineRule="auto"/>
        <w:contextualSpacing w:val="0"/>
        <w:jc w:val="both"/>
        <w:rPr>
          <w:rFonts w:ascii="David" w:hAnsi="David" w:cs="David"/>
          <w:sz w:val="24"/>
          <w:szCs w:val="24"/>
        </w:rPr>
      </w:pPr>
      <w:r w:rsidRPr="00584BDC">
        <w:rPr>
          <w:rFonts w:ascii="David" w:hAnsi="David" w:cs="David"/>
          <w:sz w:val="24"/>
          <w:szCs w:val="24"/>
          <w:rtl/>
        </w:rPr>
        <w:t xml:space="preserve">בנוסף, עבירות הסמים משפיעות בתורן גם על תחומי עבריינות נוספים, ומובילות לעבירות רכוש ואלימות - הן מצד העוסקים בסחר והן מצד לקוחותיהם, בניסיונם לספק את רצונם העז להשיג מנת סם נוספת - ובכך מגולמת פגיעה נוספת, בחברה בכללותה [ר' לעניין זה </w:t>
      </w:r>
      <w:hyperlink r:id="rId17" w:history="1">
        <w:r w:rsidR="004557D5" w:rsidRPr="004557D5">
          <w:rPr>
            <w:rFonts w:ascii="David" w:hAnsi="David" w:cs="David"/>
            <w:color w:val="0000FF"/>
            <w:sz w:val="24"/>
            <w:szCs w:val="24"/>
            <w:u w:val="single"/>
            <w:rtl/>
          </w:rPr>
          <w:t>ע"פ 7952/15</w:t>
        </w:r>
      </w:hyperlink>
      <w:r w:rsidRPr="00584BDC">
        <w:rPr>
          <w:rFonts w:ascii="David" w:hAnsi="David" w:cs="David"/>
          <w:sz w:val="24"/>
          <w:szCs w:val="24"/>
          <w:rtl/>
        </w:rPr>
        <w:t xml:space="preserve"> </w:t>
      </w:r>
      <w:r w:rsidRPr="00584BDC">
        <w:rPr>
          <w:rFonts w:ascii="David" w:hAnsi="David" w:cs="David"/>
          <w:b/>
          <w:bCs/>
          <w:sz w:val="24"/>
          <w:szCs w:val="24"/>
          <w:rtl/>
        </w:rPr>
        <w:t>מדינת ישראל נ' שץ</w:t>
      </w:r>
      <w:r w:rsidRPr="00584BDC">
        <w:rPr>
          <w:rFonts w:ascii="David" w:hAnsi="David" w:cs="David"/>
          <w:sz w:val="24"/>
          <w:szCs w:val="24"/>
          <w:rtl/>
        </w:rPr>
        <w:t xml:space="preserve"> (15.2.2016)]. </w:t>
      </w:r>
    </w:p>
    <w:p w14:paraId="755B4ED3" w14:textId="77777777" w:rsidR="003A1152" w:rsidRPr="00597E80" w:rsidRDefault="003A1152" w:rsidP="003A1152">
      <w:pPr>
        <w:pStyle w:val="a9"/>
        <w:spacing w:before="240" w:after="240" w:line="360" w:lineRule="auto"/>
        <w:ind w:hanging="720"/>
        <w:contextualSpacing w:val="0"/>
        <w:jc w:val="both"/>
        <w:rPr>
          <w:rFonts w:ascii="David" w:hAnsi="David" w:cs="David"/>
          <w:sz w:val="24"/>
          <w:szCs w:val="24"/>
          <w:rtl/>
        </w:rPr>
      </w:pPr>
      <w:r>
        <w:rPr>
          <w:rFonts w:ascii="David" w:hAnsi="David" w:cs="David"/>
          <w:sz w:val="24"/>
          <w:szCs w:val="24"/>
          <w:rtl/>
        </w:rPr>
        <w:tab/>
        <w:t xml:space="preserve">להתפשטות נגע הסמים מחוללים רבים, הלוקחים כולם חלק בשרשרת הספקת הסם: יבואנים, סוחרים, וגם אלו המחזיקים בסם שלא לצריכה עצמית. לעבירת הסמים אותה ביצע הנאשם - החזקת סמים מסוכנים שלא לצריכה עצמית, מיוחסת חומרה מיוחדת בפסיקת בתי המשפט, בעיקר כשמדובר בסמים משלל סוגים ובהיקף נרחב [ר' </w:t>
      </w:r>
      <w:hyperlink r:id="rId18" w:history="1">
        <w:r w:rsidR="004557D5" w:rsidRPr="004557D5">
          <w:rPr>
            <w:rFonts w:ascii="David" w:hAnsi="David" w:cs="David"/>
            <w:color w:val="0000FF"/>
            <w:sz w:val="24"/>
            <w:szCs w:val="24"/>
            <w:u w:val="single"/>
            <w:rtl/>
          </w:rPr>
          <w:t>ע"פ 1932/15</w:t>
        </w:r>
      </w:hyperlink>
      <w:r>
        <w:rPr>
          <w:rFonts w:ascii="David" w:hAnsi="David" w:cs="David"/>
          <w:sz w:val="24"/>
          <w:szCs w:val="24"/>
          <w:rtl/>
        </w:rPr>
        <w:t xml:space="preserve"> </w:t>
      </w:r>
      <w:r w:rsidRPr="00584BDC">
        <w:rPr>
          <w:rFonts w:ascii="David" w:hAnsi="David" w:cs="David"/>
          <w:b/>
          <w:bCs/>
          <w:sz w:val="24"/>
          <w:szCs w:val="24"/>
          <w:rtl/>
        </w:rPr>
        <w:t>בן סעדון נ' מדינת ישראל</w:t>
      </w:r>
      <w:r>
        <w:rPr>
          <w:rFonts w:ascii="David" w:hAnsi="David" w:cs="David"/>
          <w:sz w:val="24"/>
          <w:szCs w:val="24"/>
          <w:rtl/>
        </w:rPr>
        <w:t xml:space="preserve"> (17.4.2016)</w:t>
      </w:r>
      <w:r>
        <w:rPr>
          <w:rFonts w:ascii="David" w:hAnsi="David" w:cs="David" w:hint="cs"/>
          <w:sz w:val="24"/>
          <w:szCs w:val="24"/>
          <w:rtl/>
        </w:rPr>
        <w:t xml:space="preserve"> (להלן </w:t>
      </w:r>
      <w:r>
        <w:rPr>
          <w:rFonts w:ascii="David" w:hAnsi="David" w:cs="David"/>
          <w:sz w:val="24"/>
          <w:szCs w:val="24"/>
          <w:rtl/>
        </w:rPr>
        <w:t>–</w:t>
      </w:r>
      <w:r>
        <w:rPr>
          <w:rFonts w:ascii="David" w:hAnsi="David" w:cs="David" w:hint="cs"/>
          <w:sz w:val="24"/>
          <w:szCs w:val="24"/>
          <w:rtl/>
        </w:rPr>
        <w:t xml:space="preserve"> </w:t>
      </w:r>
      <w:r>
        <w:rPr>
          <w:rFonts w:ascii="David" w:hAnsi="David" w:cs="David" w:hint="cs"/>
          <w:b/>
          <w:bCs/>
          <w:sz w:val="24"/>
          <w:szCs w:val="24"/>
          <w:rtl/>
        </w:rPr>
        <w:t>עניין בן סעדון</w:t>
      </w:r>
      <w:r>
        <w:rPr>
          <w:rFonts w:ascii="David" w:hAnsi="David" w:cs="David" w:hint="cs"/>
          <w:sz w:val="24"/>
          <w:szCs w:val="24"/>
          <w:rtl/>
        </w:rPr>
        <w:t>)</w:t>
      </w:r>
      <w:r>
        <w:rPr>
          <w:rFonts w:ascii="David" w:hAnsi="David" w:cs="David"/>
          <w:sz w:val="24"/>
          <w:szCs w:val="24"/>
          <w:rtl/>
        </w:rPr>
        <w:t xml:space="preserve">]. עבירה זו פוגעת בצורה משמעותית בערכים חברתיים עליהם ביקש המחוקק להגן, ובהם שמירה על שלום הציבור, בריאותו וביטחונו, וכן הגנה על בטחון רכושו. </w:t>
      </w:r>
    </w:p>
    <w:p w14:paraId="4AEBFD19" w14:textId="77777777" w:rsidR="003A1152" w:rsidRDefault="003A1152" w:rsidP="003A1152">
      <w:pPr>
        <w:spacing w:before="240" w:after="240" w:line="360" w:lineRule="auto"/>
        <w:ind w:left="720" w:hanging="720"/>
        <w:jc w:val="both"/>
        <w:rPr>
          <w:rFonts w:ascii="David" w:hAnsi="David"/>
          <w:rtl/>
        </w:rPr>
      </w:pPr>
      <w:r>
        <w:rPr>
          <w:rFonts w:ascii="David" w:hAnsi="David"/>
          <w:rtl/>
        </w:rPr>
        <w:tab/>
        <w:t>לעניין זה, יפים דברי בית המשפט העליון ב</w:t>
      </w:r>
      <w:hyperlink r:id="rId19" w:history="1">
        <w:r w:rsidR="004557D5" w:rsidRPr="004557D5">
          <w:rPr>
            <w:rFonts w:ascii="David" w:hAnsi="David"/>
            <w:color w:val="0000FF"/>
            <w:u w:val="single"/>
            <w:rtl/>
          </w:rPr>
          <w:t>ע"פ 6990/13</w:t>
        </w:r>
      </w:hyperlink>
      <w:r>
        <w:rPr>
          <w:rFonts w:ascii="David" w:hAnsi="David"/>
          <w:rtl/>
        </w:rPr>
        <w:t xml:space="preserve"> </w:t>
      </w:r>
      <w:r>
        <w:rPr>
          <w:rFonts w:ascii="David" w:hAnsi="David" w:hint="cs"/>
          <w:b/>
          <w:bCs/>
          <w:rtl/>
        </w:rPr>
        <w:t>חט</w:t>
      </w:r>
      <w:r>
        <w:rPr>
          <w:rFonts w:ascii="David" w:hAnsi="David"/>
          <w:b/>
          <w:bCs/>
        </w:rPr>
        <w:t>'</w:t>
      </w:r>
      <w:r>
        <w:rPr>
          <w:rFonts w:ascii="David" w:hAnsi="David"/>
          <w:b/>
          <w:bCs/>
          <w:rtl/>
        </w:rPr>
        <w:t>יב נגד מדינת ישראל</w:t>
      </w:r>
      <w:r>
        <w:rPr>
          <w:rFonts w:ascii="David" w:hAnsi="David"/>
          <w:rtl/>
        </w:rPr>
        <w:t xml:space="preserve"> (24.2.2014):</w:t>
      </w:r>
    </w:p>
    <w:p w14:paraId="5A597914" w14:textId="77777777" w:rsidR="003A1152" w:rsidRPr="00A0372C" w:rsidRDefault="003A1152" w:rsidP="003A1152">
      <w:pPr>
        <w:spacing w:before="240" w:after="240"/>
        <w:ind w:left="720" w:hanging="720"/>
        <w:jc w:val="both"/>
        <w:rPr>
          <w:rFonts w:ascii="David" w:hAnsi="David"/>
          <w:sz w:val="2"/>
          <w:szCs w:val="2"/>
        </w:rPr>
      </w:pPr>
    </w:p>
    <w:p w14:paraId="3586DBAB" w14:textId="77777777" w:rsidR="003A1152" w:rsidRDefault="003A1152" w:rsidP="003A1152">
      <w:pPr>
        <w:spacing w:before="240" w:after="240" w:line="360" w:lineRule="auto"/>
        <w:ind w:left="720" w:hanging="720"/>
        <w:jc w:val="both"/>
        <w:rPr>
          <w:rFonts w:ascii="David" w:hAnsi="David"/>
          <w:rtl/>
        </w:rPr>
      </w:pPr>
      <w:r>
        <w:rPr>
          <w:rFonts w:ascii="David" w:hAnsi="David"/>
          <w:rtl/>
        </w:rPr>
        <w:tab/>
        <w:t>"</w:t>
      </w:r>
      <w:r w:rsidRPr="00DD685B">
        <w:rPr>
          <w:rFonts w:ascii="David" w:hAnsi="David"/>
          <w:b/>
          <w:bCs/>
          <w:rtl/>
        </w:rPr>
        <w:t xml:space="preserve">בית משפט זה הצביע בפסקי דין רבים על התוצאות הקשות וההרסניות הנגרמות בעקבות הפצת סמים מסוכנים, ובמיוחד הקשים שביניהם. 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"וידענו מכבר כי בלא חוליות-הביניים המרכיבות את השרשרת יתקשו עברייני הסמים העיקריים לבצע את זממם. כנדרש מכאן, חובה היא המוטלת עלינו להיאבק </w:t>
      </w:r>
      <w:r>
        <w:rPr>
          <w:rFonts w:ascii="David" w:hAnsi="David"/>
          <w:b/>
          <w:bCs/>
          <w:rtl/>
        </w:rPr>
        <w:t>בכל חוליה וחוליה ולנתק את השרשר</w:t>
      </w:r>
      <w:r>
        <w:rPr>
          <w:rFonts w:ascii="David" w:hAnsi="David" w:hint="cs"/>
          <w:b/>
          <w:bCs/>
          <w:rtl/>
        </w:rPr>
        <w:t>ת</w:t>
      </w:r>
      <w:r>
        <w:rPr>
          <w:rFonts w:ascii="David" w:hAnsi="David" w:hint="cs"/>
          <w:rtl/>
        </w:rPr>
        <w:t xml:space="preserve">...". </w:t>
      </w:r>
      <w:r>
        <w:rPr>
          <w:rFonts w:ascii="David" w:hAnsi="David"/>
          <w:rtl/>
        </w:rPr>
        <w:t xml:space="preserve"> </w:t>
      </w:r>
    </w:p>
    <w:p w14:paraId="11A5FC13" w14:textId="77777777" w:rsidR="003A1152" w:rsidRDefault="003A1152" w:rsidP="003A1152">
      <w:pPr>
        <w:spacing w:before="240" w:after="240" w:line="360" w:lineRule="auto"/>
        <w:ind w:left="720" w:hanging="720"/>
        <w:jc w:val="both"/>
        <w:rPr>
          <w:rFonts w:ascii="David" w:hAnsi="David"/>
          <w:rtl/>
        </w:rPr>
      </w:pPr>
    </w:p>
    <w:p w14:paraId="27C42D49" w14:textId="77777777" w:rsidR="003A1152" w:rsidRDefault="003A1152" w:rsidP="003A1152">
      <w:pPr>
        <w:spacing w:before="240" w:after="240" w:line="360" w:lineRule="auto"/>
        <w:ind w:left="720" w:hanging="720"/>
        <w:jc w:val="both"/>
        <w:rPr>
          <w:rFonts w:ascii="David" w:hAnsi="David"/>
        </w:rPr>
      </w:pPr>
      <w:r>
        <w:rPr>
          <w:rFonts w:ascii="David" w:hAnsi="David" w:hint="cs"/>
          <w:rtl/>
        </w:rPr>
        <w:t>10.</w:t>
      </w:r>
      <w:r>
        <w:rPr>
          <w:rFonts w:ascii="David" w:hAnsi="David" w:hint="cs"/>
          <w:rtl/>
        </w:rPr>
        <w:tab/>
      </w:r>
      <w:r>
        <w:rPr>
          <w:rFonts w:ascii="David" w:hAnsi="David"/>
          <w:rtl/>
        </w:rPr>
        <w:t>לצד הפגיעה בערכים המוגנים</w:t>
      </w:r>
      <w:r>
        <w:rPr>
          <w:rFonts w:ascii="David" w:hAnsi="David" w:hint="cs"/>
          <w:rtl/>
        </w:rPr>
        <w:t xml:space="preserve"> ומידת הפגיעה בהם, בקביעת המתחם יש לקחת בחשבון את העובדה כי העבירות נעשו בשל בצע כסף, וכן את הנתונים הבאים: </w:t>
      </w:r>
    </w:p>
    <w:p w14:paraId="2C0A0ED4" w14:textId="77777777" w:rsidR="003A1152" w:rsidRPr="00597E80" w:rsidRDefault="003A1152" w:rsidP="003A1152">
      <w:pPr>
        <w:pStyle w:val="a9"/>
        <w:spacing w:before="240" w:after="240" w:line="360" w:lineRule="auto"/>
        <w:ind w:left="0"/>
        <w:contextualSpacing w:val="0"/>
        <w:jc w:val="both"/>
        <w:rPr>
          <w:rFonts w:ascii="David" w:hAnsi="David" w:cs="David"/>
          <w:sz w:val="24"/>
          <w:szCs w:val="24"/>
        </w:rPr>
      </w:pPr>
      <w:r>
        <w:rPr>
          <w:rFonts w:ascii="David" w:hAnsi="David" w:cs="David" w:hint="cs"/>
          <w:sz w:val="24"/>
          <w:szCs w:val="24"/>
          <w:rtl/>
        </w:rPr>
        <w:t xml:space="preserve">(א) </w:t>
      </w:r>
      <w:r>
        <w:rPr>
          <w:rFonts w:ascii="David" w:hAnsi="David" w:cs="David"/>
          <w:sz w:val="24"/>
          <w:szCs w:val="24"/>
          <w:rtl/>
        </w:rPr>
        <w:tab/>
      </w:r>
      <w:r>
        <w:rPr>
          <w:rFonts w:ascii="David" w:hAnsi="David" w:cs="David" w:hint="cs"/>
          <w:sz w:val="24"/>
          <w:szCs w:val="24"/>
          <w:rtl/>
        </w:rPr>
        <w:t xml:space="preserve">מגוון הסמים אותם החזיק הנאשם; </w:t>
      </w:r>
    </w:p>
    <w:p w14:paraId="18E7B588" w14:textId="77777777" w:rsidR="003A1152" w:rsidRPr="00597E80" w:rsidRDefault="003A1152" w:rsidP="003A1152">
      <w:pPr>
        <w:pStyle w:val="a9"/>
        <w:spacing w:before="240" w:after="240" w:line="360" w:lineRule="auto"/>
        <w:ind w:hanging="720"/>
        <w:contextualSpacing w:val="0"/>
        <w:jc w:val="both"/>
        <w:rPr>
          <w:rFonts w:ascii="David" w:hAnsi="David" w:cs="David"/>
          <w:sz w:val="24"/>
          <w:szCs w:val="24"/>
          <w:rtl/>
        </w:rPr>
      </w:pPr>
      <w:r>
        <w:rPr>
          <w:rFonts w:ascii="David" w:hAnsi="David" w:cs="David" w:hint="cs"/>
          <w:sz w:val="24"/>
          <w:szCs w:val="24"/>
          <w:rtl/>
        </w:rPr>
        <w:t xml:space="preserve">(ב) </w:t>
      </w:r>
      <w:r>
        <w:rPr>
          <w:rFonts w:ascii="David" w:hAnsi="David" w:cs="David"/>
          <w:sz w:val="24"/>
          <w:szCs w:val="24"/>
          <w:rtl/>
        </w:rPr>
        <w:tab/>
        <w:t>כמות הסמים - הנאשם החזיק למעלה מ-</w:t>
      </w:r>
      <w:r>
        <w:rPr>
          <w:rFonts w:ascii="David" w:hAnsi="David" w:cs="David" w:hint="cs"/>
          <w:sz w:val="24"/>
          <w:szCs w:val="24"/>
          <w:rtl/>
        </w:rPr>
        <w:t xml:space="preserve"> </w:t>
      </w:r>
      <w:r>
        <w:rPr>
          <w:rFonts w:ascii="David" w:hAnsi="David" w:cs="David"/>
          <w:sz w:val="24"/>
          <w:szCs w:val="24"/>
          <w:rtl/>
        </w:rPr>
        <w:t xml:space="preserve">300 גרם אקסטזי לצד 19 טבליות של סם זה, 56 בולים של </w:t>
      </w:r>
      <w:r>
        <w:rPr>
          <w:rFonts w:ascii="David" w:hAnsi="David" w:cs="David"/>
          <w:sz w:val="24"/>
          <w:szCs w:val="24"/>
        </w:rPr>
        <w:t>LSD</w:t>
      </w:r>
      <w:r>
        <w:rPr>
          <w:rFonts w:ascii="David" w:hAnsi="David" w:cs="David"/>
          <w:sz w:val="24"/>
          <w:szCs w:val="24"/>
          <w:rtl/>
        </w:rPr>
        <w:t xml:space="preserve"> ועוד כ-</w:t>
      </w:r>
      <w:r>
        <w:rPr>
          <w:rFonts w:ascii="David" w:hAnsi="David" w:cs="David" w:hint="cs"/>
          <w:sz w:val="24"/>
          <w:szCs w:val="24"/>
          <w:rtl/>
        </w:rPr>
        <w:t xml:space="preserve"> </w:t>
      </w:r>
      <w:r>
        <w:rPr>
          <w:rFonts w:ascii="David" w:hAnsi="David" w:cs="David"/>
          <w:sz w:val="24"/>
          <w:szCs w:val="24"/>
          <w:rtl/>
        </w:rPr>
        <w:t>55 גרם של סמים קשים אחרים, ובהם קוקאין</w:t>
      </w:r>
      <w:r>
        <w:rPr>
          <w:rFonts w:ascii="David" w:hAnsi="David" w:cs="David" w:hint="cs"/>
          <w:sz w:val="24"/>
          <w:szCs w:val="24"/>
          <w:rtl/>
        </w:rPr>
        <w:t xml:space="preserve"> (10 גרם);</w:t>
      </w:r>
    </w:p>
    <w:p w14:paraId="0C2BE612" w14:textId="77777777" w:rsidR="003A1152" w:rsidRDefault="003A1152" w:rsidP="003A1152">
      <w:pPr>
        <w:pStyle w:val="a9"/>
        <w:spacing w:before="240" w:after="240" w:line="360" w:lineRule="auto"/>
        <w:ind w:hanging="720"/>
        <w:contextualSpacing w:val="0"/>
        <w:jc w:val="both"/>
        <w:rPr>
          <w:rFonts w:ascii="David" w:hAnsi="David" w:cs="David"/>
          <w:sz w:val="24"/>
          <w:szCs w:val="24"/>
          <w:rtl/>
        </w:rPr>
      </w:pPr>
      <w:r>
        <w:rPr>
          <w:rFonts w:ascii="David" w:hAnsi="David" w:cs="David" w:hint="cs"/>
          <w:sz w:val="24"/>
          <w:szCs w:val="24"/>
          <w:rtl/>
        </w:rPr>
        <w:t xml:space="preserve">(ג) </w:t>
      </w:r>
      <w:r>
        <w:rPr>
          <w:rFonts w:ascii="David" w:hAnsi="David" w:cs="David"/>
          <w:sz w:val="24"/>
          <w:szCs w:val="24"/>
          <w:rtl/>
        </w:rPr>
        <w:tab/>
      </w:r>
      <w:r>
        <w:rPr>
          <w:rFonts w:ascii="David" w:hAnsi="David" w:cs="David" w:hint="cs"/>
          <w:sz w:val="24"/>
          <w:szCs w:val="24"/>
          <w:rtl/>
        </w:rPr>
        <w:t xml:space="preserve">החזקת המשקלים האלקטרוניים - מעבר לעובדה כי החזקת פריטים אלה בצמוד לסמים מגבשת עבירה עצמאית, ניתן לראות בה כאינדיקציה מובהקת למטרת ההחזקה. </w:t>
      </w:r>
    </w:p>
    <w:p w14:paraId="0B25F4D8" w14:textId="77777777" w:rsidR="003A1152" w:rsidRPr="00597E80" w:rsidRDefault="003A1152" w:rsidP="003A1152">
      <w:pPr>
        <w:pStyle w:val="a9"/>
        <w:spacing w:before="240" w:after="240" w:line="360" w:lineRule="auto"/>
        <w:ind w:hanging="720"/>
        <w:contextualSpacing w:val="0"/>
        <w:jc w:val="both"/>
        <w:rPr>
          <w:rFonts w:ascii="David" w:hAnsi="David" w:cs="David"/>
          <w:sz w:val="24"/>
          <w:szCs w:val="24"/>
          <w:rtl/>
        </w:rPr>
      </w:pPr>
      <w:r>
        <w:rPr>
          <w:rFonts w:ascii="David" w:hAnsi="David" w:cs="David" w:hint="cs"/>
          <w:sz w:val="24"/>
          <w:szCs w:val="24"/>
          <w:rtl/>
        </w:rPr>
        <w:t>11.</w:t>
      </w:r>
      <w:r>
        <w:rPr>
          <w:rFonts w:ascii="David" w:hAnsi="David" w:cs="David" w:hint="cs"/>
          <w:sz w:val="24"/>
          <w:szCs w:val="24"/>
          <w:rtl/>
        </w:rPr>
        <w:tab/>
      </w:r>
      <w:r w:rsidRPr="00921940">
        <w:rPr>
          <w:rFonts w:ascii="David" w:hAnsi="David" w:cs="David"/>
          <w:sz w:val="24"/>
          <w:szCs w:val="24"/>
          <w:rtl/>
        </w:rPr>
        <w:t xml:space="preserve">אשר לנזק שהיה צפוי להיגרם מביצוע העבירות, כפי שפורט לעיל, הנזקים הם ישירים ועקיפים אחד, ומתבטאים בפגיעה ביחיד ובחברה, פגיעה לה השלכות בריאותיות - לחיים, לגוף ולנפש, וכן השלכות כלכליות. </w:t>
      </w:r>
    </w:p>
    <w:p w14:paraId="4A2EADB4" w14:textId="77777777" w:rsidR="003A1152" w:rsidRPr="00597E80" w:rsidRDefault="003A1152" w:rsidP="003A1152">
      <w:pPr>
        <w:pStyle w:val="a9"/>
        <w:spacing w:before="240" w:after="240" w:line="360" w:lineRule="auto"/>
        <w:ind w:hanging="720"/>
        <w:contextualSpacing w:val="0"/>
        <w:jc w:val="both"/>
        <w:rPr>
          <w:rFonts w:ascii="David" w:hAnsi="David" w:cs="David"/>
          <w:sz w:val="24"/>
          <w:szCs w:val="24"/>
          <w:rtl/>
        </w:rPr>
      </w:pPr>
      <w:r>
        <w:rPr>
          <w:rFonts w:ascii="David" w:hAnsi="David" w:cs="David" w:hint="cs"/>
          <w:sz w:val="24"/>
          <w:szCs w:val="24"/>
          <w:rtl/>
        </w:rPr>
        <w:t>12.</w:t>
      </w:r>
      <w:r>
        <w:rPr>
          <w:rFonts w:ascii="David" w:hAnsi="David" w:cs="David" w:hint="cs"/>
          <w:sz w:val="24"/>
          <w:szCs w:val="24"/>
          <w:rtl/>
        </w:rPr>
        <w:tab/>
      </w:r>
      <w:r>
        <w:rPr>
          <w:rFonts w:ascii="David" w:hAnsi="David" w:cs="David"/>
          <w:sz w:val="24"/>
          <w:szCs w:val="24"/>
          <w:rtl/>
        </w:rPr>
        <w:t>מדיניות הענישה הנ</w:t>
      </w:r>
      <w:r>
        <w:rPr>
          <w:rFonts w:ascii="David" w:hAnsi="David" w:cs="David" w:hint="cs"/>
          <w:sz w:val="24"/>
          <w:szCs w:val="24"/>
          <w:rtl/>
        </w:rPr>
        <w:t>והגת</w:t>
      </w:r>
      <w:r>
        <w:rPr>
          <w:rFonts w:ascii="David" w:hAnsi="David" w:cs="David"/>
          <w:sz w:val="24"/>
          <w:szCs w:val="24"/>
          <w:rtl/>
        </w:rPr>
        <w:t xml:space="preserve"> בעבירות שביצע הנאשם מעניקה משקל לצורך במאבק בנגע הסמים, וכי טווח הענישה הנו רחב, כשלרוב הוטלו על הנאשמים עונשי מאסר, לצד ענישה כלכלית וענישה מרתיעה צופה פני עתיד. ככלל וכאמור לעיל, הפרמטרים העיקריים הנלקחים בחשבון הם סוג הסם וכמותו, לצד שיקולים נוספים כמקום החזקת הסם, משך ההחזקה, מידת המעורבות בעולם הסמים ועוד. </w:t>
      </w:r>
    </w:p>
    <w:p w14:paraId="7BCAA4CF" w14:textId="77777777" w:rsidR="003A1152" w:rsidRPr="00597E80" w:rsidRDefault="003A1152" w:rsidP="003A1152">
      <w:pPr>
        <w:pStyle w:val="a9"/>
        <w:spacing w:before="240" w:after="240" w:line="360" w:lineRule="auto"/>
        <w:ind w:hanging="720"/>
        <w:contextualSpacing w:val="0"/>
        <w:jc w:val="both"/>
        <w:rPr>
          <w:rFonts w:ascii="David" w:hAnsi="David" w:cs="David"/>
          <w:sz w:val="24"/>
          <w:szCs w:val="24"/>
          <w:rtl/>
        </w:rPr>
      </w:pPr>
      <w:r>
        <w:rPr>
          <w:rFonts w:ascii="David" w:hAnsi="David" w:cs="David"/>
          <w:sz w:val="24"/>
          <w:szCs w:val="24"/>
          <w:rtl/>
        </w:rPr>
        <w:tab/>
      </w:r>
      <w:r>
        <w:rPr>
          <w:rFonts w:ascii="David" w:hAnsi="David" w:cs="David" w:hint="cs"/>
          <w:sz w:val="24"/>
          <w:szCs w:val="24"/>
          <w:rtl/>
        </w:rPr>
        <w:t xml:space="preserve">על רקע האמור לעיל, </w:t>
      </w:r>
      <w:r>
        <w:rPr>
          <w:rFonts w:ascii="David" w:hAnsi="David" w:cs="David"/>
          <w:sz w:val="24"/>
          <w:szCs w:val="24"/>
          <w:rtl/>
        </w:rPr>
        <w:t xml:space="preserve">מצאתי להתייחס לפסקי הדין הבאים: </w:t>
      </w:r>
    </w:p>
    <w:p w14:paraId="282191E9" w14:textId="77777777" w:rsidR="003A1152" w:rsidRPr="00597E80" w:rsidRDefault="003A1152" w:rsidP="003A1152">
      <w:pPr>
        <w:pStyle w:val="a9"/>
        <w:spacing w:before="240" w:after="240" w:line="360" w:lineRule="auto"/>
        <w:ind w:hanging="720"/>
        <w:contextualSpacing w:val="0"/>
        <w:jc w:val="both"/>
        <w:rPr>
          <w:rFonts w:ascii="David" w:hAnsi="David"/>
          <w:rtl/>
        </w:rPr>
      </w:pPr>
      <w:r>
        <w:rPr>
          <w:rFonts w:ascii="David" w:hAnsi="David" w:cs="David"/>
          <w:sz w:val="24"/>
          <w:szCs w:val="24"/>
          <w:rtl/>
        </w:rPr>
        <w:tab/>
      </w:r>
      <w:hyperlink r:id="rId20" w:history="1">
        <w:r w:rsidR="004557D5" w:rsidRPr="004557D5">
          <w:rPr>
            <w:rFonts w:ascii="David" w:hAnsi="David" w:cs="David"/>
            <w:color w:val="0000FF"/>
            <w:sz w:val="24"/>
            <w:szCs w:val="24"/>
            <w:u w:val="single"/>
            <w:rtl/>
          </w:rPr>
          <w:t>ע"פ 1883/17</w:t>
        </w:r>
      </w:hyperlink>
      <w:r w:rsidRPr="00DD685B">
        <w:rPr>
          <w:rFonts w:ascii="David" w:hAnsi="David" w:cs="David"/>
          <w:sz w:val="24"/>
          <w:szCs w:val="24"/>
          <w:rtl/>
        </w:rPr>
        <w:t xml:space="preserve"> </w:t>
      </w:r>
      <w:r w:rsidRPr="00DD685B">
        <w:rPr>
          <w:rFonts w:ascii="David" w:hAnsi="David" w:cs="David"/>
          <w:b/>
          <w:bCs/>
          <w:sz w:val="24"/>
          <w:szCs w:val="24"/>
          <w:rtl/>
        </w:rPr>
        <w:t>יצחק נ' מדינת ישראל</w:t>
      </w:r>
      <w:r w:rsidRPr="00DD685B">
        <w:rPr>
          <w:rFonts w:ascii="David" w:hAnsi="David" w:cs="David"/>
          <w:sz w:val="24"/>
          <w:szCs w:val="24"/>
          <w:rtl/>
        </w:rPr>
        <w:t xml:space="preserve"> (15.5.2017): הנאשם הורשע בעבירה של החזקת סם מסוכן שלא כדין ושלא לצריכה עצמית, משהחזיק בביתו 199.33 גרם </w:t>
      </w:r>
      <w:r w:rsidRPr="00DD685B">
        <w:rPr>
          <w:rFonts w:ascii="David" w:hAnsi="David" w:cs="David"/>
          <w:sz w:val="24"/>
          <w:szCs w:val="24"/>
        </w:rPr>
        <w:t>MDMA</w:t>
      </w:r>
      <w:r w:rsidRPr="00DD685B">
        <w:rPr>
          <w:rFonts w:ascii="David" w:hAnsi="David" w:cs="David"/>
          <w:sz w:val="24"/>
          <w:szCs w:val="24"/>
          <w:rtl/>
        </w:rPr>
        <w:t xml:space="preserve">. מתחם העונש ההולם הועמד על 15 עד 36 חודשי מאסר, ונגזרו עליו 18 חודשי מאסר בפועל. המערער מחק ערעורו לבית המשפט העליון בעקבות הערות בית המשפט.  </w:t>
      </w:r>
    </w:p>
    <w:p w14:paraId="2AE76319" w14:textId="77777777" w:rsidR="003A1152" w:rsidRPr="00597E80" w:rsidRDefault="003A1152" w:rsidP="003A1152">
      <w:pPr>
        <w:pStyle w:val="a9"/>
        <w:spacing w:before="240" w:after="240" w:line="360" w:lineRule="auto"/>
        <w:ind w:hanging="720"/>
        <w:contextualSpacing w:val="0"/>
        <w:jc w:val="both"/>
        <w:rPr>
          <w:rFonts w:ascii="David" w:hAnsi="David" w:cs="David"/>
          <w:sz w:val="24"/>
          <w:szCs w:val="24"/>
          <w:rtl/>
        </w:rPr>
      </w:pPr>
      <w:r>
        <w:rPr>
          <w:rFonts w:ascii="David" w:hAnsi="David" w:cs="David"/>
          <w:sz w:val="24"/>
          <w:szCs w:val="24"/>
          <w:rtl/>
        </w:rPr>
        <w:tab/>
      </w:r>
      <w:hyperlink r:id="rId21" w:history="1">
        <w:r w:rsidR="004557D5" w:rsidRPr="004557D5">
          <w:rPr>
            <w:rFonts w:ascii="David" w:hAnsi="David" w:cs="David"/>
            <w:color w:val="0000FF"/>
            <w:sz w:val="24"/>
            <w:szCs w:val="24"/>
            <w:u w:val="single"/>
            <w:rtl/>
          </w:rPr>
          <w:t>ע"פ 2279/15</w:t>
        </w:r>
      </w:hyperlink>
      <w:r w:rsidR="004557D5">
        <w:rPr>
          <w:rFonts w:ascii="David" w:hAnsi="David" w:cs="David"/>
          <w:sz w:val="24"/>
          <w:szCs w:val="24"/>
          <w:rtl/>
        </w:rPr>
        <w:t xml:space="preserve"> </w:t>
      </w:r>
      <w:r w:rsidRPr="004641EF">
        <w:rPr>
          <w:rFonts w:ascii="David" w:hAnsi="David" w:cs="David"/>
          <w:b/>
          <w:bCs/>
          <w:sz w:val="24"/>
          <w:szCs w:val="24"/>
          <w:rtl/>
        </w:rPr>
        <w:t>ואדים בורוחוב נ' מדינת ישראל</w:t>
      </w:r>
      <w:r w:rsidRPr="004641EF">
        <w:rPr>
          <w:rFonts w:ascii="David" w:hAnsi="David" w:cs="David"/>
          <w:sz w:val="24"/>
          <w:szCs w:val="24"/>
          <w:rtl/>
        </w:rPr>
        <w:t xml:space="preserve"> (31.01.16) – שם דובר בנאשם אשר הור</w:t>
      </w:r>
      <w:r>
        <w:rPr>
          <w:rFonts w:ascii="David" w:hAnsi="David" w:cs="David"/>
          <w:sz w:val="24"/>
          <w:szCs w:val="24"/>
          <w:rtl/>
        </w:rPr>
        <w:t xml:space="preserve">שע בשני אישומים. הראשון </w:t>
      </w:r>
      <w:r>
        <w:rPr>
          <w:rFonts w:ascii="David" w:hAnsi="David" w:cs="David" w:hint="cs"/>
          <w:sz w:val="24"/>
          <w:szCs w:val="24"/>
          <w:rtl/>
        </w:rPr>
        <w:t>-</w:t>
      </w:r>
      <w:r>
        <w:rPr>
          <w:rFonts w:ascii="David" w:hAnsi="David" w:cs="David"/>
          <w:sz w:val="24"/>
          <w:szCs w:val="24"/>
          <w:rtl/>
        </w:rPr>
        <w:t xml:space="preserve"> החזקת סמים לצריכה עצמית</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ו</w:t>
      </w:r>
      <w:r w:rsidRPr="004641EF">
        <w:rPr>
          <w:rFonts w:ascii="David" w:hAnsi="David" w:cs="David"/>
          <w:sz w:val="24"/>
          <w:szCs w:val="24"/>
          <w:rtl/>
        </w:rPr>
        <w:t>השני -</w:t>
      </w:r>
      <w:r w:rsidR="004557D5">
        <w:rPr>
          <w:rFonts w:ascii="David" w:hAnsi="David" w:cs="David"/>
          <w:sz w:val="24"/>
          <w:szCs w:val="24"/>
          <w:rtl/>
        </w:rPr>
        <w:t xml:space="preserve"> </w:t>
      </w:r>
      <w:r w:rsidRPr="004641EF">
        <w:rPr>
          <w:rFonts w:ascii="David" w:hAnsi="David" w:cs="David"/>
          <w:sz w:val="24"/>
          <w:szCs w:val="24"/>
          <w:rtl/>
        </w:rPr>
        <w:t xml:space="preserve">החזקת כלים לצריכה עצמית והחזקת סמים שלא לצריכה עצמית, לאחר שבביתו ובחצרו נמצאו 293 טבליות </w:t>
      </w:r>
      <w:r w:rsidRPr="004641EF">
        <w:rPr>
          <w:rFonts w:ascii="David" w:hAnsi="David" w:cs="David"/>
          <w:sz w:val="24"/>
          <w:szCs w:val="24"/>
        </w:rPr>
        <w:t>MDMA</w:t>
      </w:r>
      <w:r w:rsidRPr="004641EF">
        <w:rPr>
          <w:rFonts w:ascii="David" w:hAnsi="David" w:cs="David"/>
          <w:sz w:val="24"/>
          <w:szCs w:val="24"/>
          <w:rtl/>
        </w:rPr>
        <w:t xml:space="preserve">, מעל 50 גרם קוקאין, 17.60 גרם חשיש, ומשקל אלקטרוני. </w:t>
      </w:r>
      <w:r w:rsidRPr="004641EF">
        <w:rPr>
          <w:rFonts w:ascii="David" w:hAnsi="David" w:cs="David"/>
          <w:b/>
          <w:bCs/>
          <w:sz w:val="24"/>
          <w:szCs w:val="24"/>
          <w:rtl/>
        </w:rPr>
        <w:t xml:space="preserve">בית המשפט המחוזי קבע כי המתחם ביחס לאישום השני נע בין </w:t>
      </w:r>
      <w:r>
        <w:rPr>
          <w:rFonts w:ascii="David" w:hAnsi="David" w:cs="David" w:hint="cs"/>
          <w:b/>
          <w:bCs/>
          <w:sz w:val="24"/>
          <w:szCs w:val="24"/>
          <w:rtl/>
        </w:rPr>
        <w:t>48-24</w:t>
      </w:r>
      <w:r w:rsidRPr="004641EF">
        <w:rPr>
          <w:rFonts w:ascii="David" w:hAnsi="David" w:cs="David"/>
          <w:b/>
          <w:bCs/>
          <w:sz w:val="24"/>
          <w:szCs w:val="24"/>
          <w:rtl/>
        </w:rPr>
        <w:t xml:space="preserve"> חודשי מאסר בפועל</w:t>
      </w:r>
      <w:r w:rsidRPr="004641EF">
        <w:rPr>
          <w:rFonts w:ascii="David" w:hAnsi="David" w:cs="David"/>
          <w:sz w:val="24"/>
          <w:szCs w:val="24"/>
          <w:rtl/>
        </w:rPr>
        <w:t xml:space="preserve">, לצד עונשים נלווים. לבסוף, ביחס לשני האישומים, ובהתחשב בעברו הפלילי המכביד של הנאשם, גזר את עונשו ל-28 חודשי מאסר בפועל, לצד עונשים נלווים. במסגרת הערעור שהגיש הנאשם התייחס בית המשפט העליון לחומרת העבירות בהן הורשע המערער ולצורך בהטלת ענישה מרתיעה, </w:t>
      </w:r>
      <w:r w:rsidRPr="004641EF">
        <w:rPr>
          <w:rFonts w:ascii="David" w:hAnsi="David" w:cs="David"/>
          <w:b/>
          <w:bCs/>
          <w:sz w:val="24"/>
          <w:szCs w:val="24"/>
          <w:rtl/>
        </w:rPr>
        <w:t>וקבע כי העונש שנגזר הינו ראוי ומאוזן</w:t>
      </w:r>
      <w:r w:rsidRPr="004641EF">
        <w:rPr>
          <w:rFonts w:ascii="David" w:hAnsi="David" w:cs="David"/>
          <w:sz w:val="24"/>
          <w:szCs w:val="24"/>
          <w:rtl/>
        </w:rPr>
        <w:t xml:space="preserve">. </w:t>
      </w:r>
    </w:p>
    <w:p w14:paraId="09D18C8E" w14:textId="77777777" w:rsidR="003A1152" w:rsidRDefault="003A1152" w:rsidP="003A1152">
      <w:pPr>
        <w:pStyle w:val="a9"/>
        <w:spacing w:line="360" w:lineRule="auto"/>
        <w:jc w:val="both"/>
        <w:rPr>
          <w:rFonts w:ascii="David" w:hAnsi="David" w:cs="David"/>
          <w:sz w:val="24"/>
          <w:szCs w:val="24"/>
          <w:rtl/>
        </w:rPr>
      </w:pPr>
      <w:r>
        <w:rPr>
          <w:rFonts w:ascii="David" w:hAnsi="David" w:cs="David" w:hint="cs"/>
          <w:sz w:val="24"/>
          <w:szCs w:val="24"/>
          <w:rtl/>
        </w:rPr>
        <w:t xml:space="preserve">חשוב לציין כי עניינו של </w:t>
      </w:r>
      <w:r>
        <w:rPr>
          <w:rFonts w:ascii="David" w:hAnsi="David" w:cs="David" w:hint="cs"/>
          <w:b/>
          <w:bCs/>
          <w:sz w:val="24"/>
          <w:szCs w:val="24"/>
          <w:rtl/>
        </w:rPr>
        <w:t>בורוחוב</w:t>
      </w:r>
      <w:r>
        <w:rPr>
          <w:rFonts w:ascii="David" w:hAnsi="David" w:cs="David" w:hint="cs"/>
          <w:sz w:val="24"/>
          <w:szCs w:val="24"/>
          <w:rtl/>
        </w:rPr>
        <w:t xml:space="preserve"> חמור יותר מענייננו, וזאת בשים לב לכמות הקוקאין שהחזיק בורוכוב (מעל 50 גרם) בהשוואה לענייננו (כ- 10 גרם), ובשים לב לעברו הפלילי המכביד של בורוחוב בעוד שאין לחובת הנאשם דנן הרשעות קודמות. </w:t>
      </w:r>
    </w:p>
    <w:p w14:paraId="4709C83A" w14:textId="77777777" w:rsidR="003A1152" w:rsidRDefault="004557D5" w:rsidP="003A1152">
      <w:pPr>
        <w:pStyle w:val="a9"/>
        <w:spacing w:before="240" w:after="240" w:line="360" w:lineRule="auto"/>
        <w:contextualSpacing w:val="0"/>
        <w:jc w:val="both"/>
        <w:rPr>
          <w:rFonts w:ascii="David" w:hAnsi="David" w:cs="David"/>
          <w:sz w:val="24"/>
          <w:szCs w:val="24"/>
          <w:rtl/>
        </w:rPr>
      </w:pPr>
      <w:hyperlink r:id="rId22" w:history="1">
        <w:r w:rsidRPr="004557D5">
          <w:rPr>
            <w:rFonts w:ascii="David" w:hAnsi="David" w:cs="David"/>
            <w:color w:val="0000FF"/>
            <w:sz w:val="24"/>
            <w:szCs w:val="24"/>
            <w:u w:val="single"/>
            <w:rtl/>
          </w:rPr>
          <w:t>ע"פ 8361/17</w:t>
        </w:r>
      </w:hyperlink>
      <w:r w:rsidR="003A1152">
        <w:rPr>
          <w:rFonts w:ascii="David" w:hAnsi="David" w:cs="David"/>
          <w:sz w:val="24"/>
          <w:szCs w:val="24"/>
          <w:rtl/>
        </w:rPr>
        <w:t xml:space="preserve"> </w:t>
      </w:r>
      <w:r w:rsidR="003A1152">
        <w:rPr>
          <w:rFonts w:ascii="David" w:hAnsi="David" w:cs="David"/>
          <w:b/>
          <w:bCs/>
          <w:sz w:val="24"/>
          <w:szCs w:val="24"/>
          <w:rtl/>
        </w:rPr>
        <w:t>עומר נ' מדינת ישראל</w:t>
      </w:r>
      <w:r w:rsidR="003A1152">
        <w:rPr>
          <w:rFonts w:ascii="David" w:hAnsi="David" w:cs="David"/>
          <w:sz w:val="24"/>
          <w:szCs w:val="24"/>
          <w:rtl/>
        </w:rPr>
        <w:t xml:space="preserve"> (11.7.2018): הנאשם הורשע בעבירה של החזקת סם מסוכן שלא כדין ושלא לצריכה עצמית, </w:t>
      </w:r>
      <w:r w:rsidR="003A1152">
        <w:rPr>
          <w:rFonts w:ascii="David" w:hAnsi="David" w:cs="David" w:hint="cs"/>
          <w:sz w:val="24"/>
          <w:szCs w:val="24"/>
          <w:rtl/>
        </w:rPr>
        <w:t xml:space="preserve">עת </w:t>
      </w:r>
      <w:r w:rsidR="003A1152">
        <w:rPr>
          <w:rFonts w:ascii="David" w:hAnsi="David" w:cs="David"/>
          <w:sz w:val="24"/>
          <w:szCs w:val="24"/>
          <w:rtl/>
        </w:rPr>
        <w:t xml:space="preserve">החזיק בביתו 701 טבליות </w:t>
      </w:r>
      <w:r w:rsidR="003A1152">
        <w:rPr>
          <w:rFonts w:ascii="David" w:hAnsi="David" w:cs="David"/>
          <w:sz w:val="24"/>
          <w:szCs w:val="24"/>
        </w:rPr>
        <w:t>MDMA</w:t>
      </w:r>
      <w:r w:rsidR="003A1152">
        <w:rPr>
          <w:rFonts w:ascii="David" w:hAnsi="David" w:cs="David"/>
          <w:sz w:val="24"/>
          <w:szCs w:val="24"/>
          <w:rtl/>
        </w:rPr>
        <w:t xml:space="preserve">. </w:t>
      </w:r>
      <w:r w:rsidR="003A1152" w:rsidRPr="009B47D1">
        <w:rPr>
          <w:rFonts w:ascii="David" w:hAnsi="David" w:cs="David"/>
          <w:b/>
          <w:bCs/>
          <w:sz w:val="24"/>
          <w:szCs w:val="24"/>
          <w:rtl/>
        </w:rPr>
        <w:t xml:space="preserve">מתחם העונש ההולם הועמד </w:t>
      </w:r>
      <w:hyperlink r:id="rId23" w:history="1">
        <w:r w:rsidRPr="004557D5">
          <w:rPr>
            <w:rFonts w:ascii="David" w:hAnsi="David" w:cs="David"/>
            <w:b/>
            <w:bCs/>
            <w:color w:val="0000FF"/>
            <w:sz w:val="24"/>
            <w:szCs w:val="24"/>
            <w:u w:val="single"/>
            <w:rtl/>
          </w:rPr>
          <w:t>על 36-15</w:t>
        </w:r>
      </w:hyperlink>
      <w:r w:rsidR="003A1152" w:rsidRPr="009B47D1">
        <w:rPr>
          <w:rFonts w:ascii="David" w:hAnsi="David" w:cs="David" w:hint="cs"/>
          <w:b/>
          <w:bCs/>
          <w:sz w:val="24"/>
          <w:szCs w:val="24"/>
          <w:rtl/>
        </w:rPr>
        <w:t xml:space="preserve"> </w:t>
      </w:r>
      <w:r w:rsidR="003A1152" w:rsidRPr="009B47D1">
        <w:rPr>
          <w:rFonts w:ascii="David" w:hAnsi="David" w:cs="David"/>
          <w:b/>
          <w:bCs/>
          <w:sz w:val="24"/>
          <w:szCs w:val="24"/>
          <w:rtl/>
        </w:rPr>
        <w:t>חודשי מאסר</w:t>
      </w:r>
      <w:r w:rsidR="003A1152">
        <w:rPr>
          <w:rFonts w:ascii="David" w:hAnsi="David" w:cs="David"/>
          <w:sz w:val="24"/>
          <w:szCs w:val="24"/>
          <w:rtl/>
        </w:rPr>
        <w:t xml:space="preserve"> לריצוי בפועל. על הנאשם הושתו 18 חודשי מאסר בפועל לצד רכיבי ענישה נלווים. המערער חזר בו מערעורו בעקבות המלצת בית המשפט. </w:t>
      </w:r>
    </w:p>
    <w:p w14:paraId="5D532C17" w14:textId="77777777" w:rsidR="003A1152" w:rsidRPr="00A0372C" w:rsidRDefault="003A1152" w:rsidP="003A1152">
      <w:pPr>
        <w:pStyle w:val="a9"/>
        <w:spacing w:before="240" w:after="240" w:line="240" w:lineRule="auto"/>
        <w:contextualSpacing w:val="0"/>
        <w:jc w:val="both"/>
        <w:rPr>
          <w:rFonts w:ascii="David" w:hAnsi="David" w:cs="David"/>
          <w:sz w:val="2"/>
          <w:szCs w:val="2"/>
          <w:rtl/>
        </w:rPr>
      </w:pPr>
    </w:p>
    <w:p w14:paraId="5ACF5215" w14:textId="77777777" w:rsidR="003A1152" w:rsidRPr="00597E80" w:rsidRDefault="003A1152" w:rsidP="003A1152">
      <w:pPr>
        <w:spacing w:before="240" w:after="240" w:line="360" w:lineRule="auto"/>
        <w:ind w:left="720" w:hanging="720"/>
        <w:jc w:val="both"/>
        <w:rPr>
          <w:rFonts w:ascii="David" w:hAnsi="David"/>
          <w:rtl/>
        </w:rPr>
      </w:pPr>
      <w:r>
        <w:rPr>
          <w:rFonts w:ascii="David" w:hAnsi="David"/>
          <w:rtl/>
        </w:rPr>
        <w:tab/>
      </w:r>
      <w:r>
        <w:rPr>
          <w:rFonts w:ascii="David" w:hAnsi="David" w:hint="cs"/>
          <w:rtl/>
        </w:rPr>
        <w:t xml:space="preserve">בעניין </w:t>
      </w:r>
      <w:r>
        <w:rPr>
          <w:rFonts w:ascii="David" w:hAnsi="David" w:hint="cs"/>
          <w:b/>
          <w:bCs/>
          <w:rtl/>
        </w:rPr>
        <w:t>בן סעדון</w:t>
      </w:r>
      <w:r>
        <w:rPr>
          <w:rFonts w:ascii="David" w:hAnsi="David" w:hint="cs"/>
          <w:rtl/>
        </w:rPr>
        <w:t xml:space="preserve"> </w:t>
      </w:r>
      <w:r>
        <w:rPr>
          <w:rFonts w:ascii="David" w:hAnsi="David"/>
          <w:rtl/>
        </w:rPr>
        <w:t xml:space="preserve">הנאשם הורשע בעבירות של החזקת סם מסוכן שלא כדין ושלא לצריכה עצמית, השמדת ראיה והפרעה לשוטר בשעת מילוי תפקידו. המערער החזיק בביתו 446 כדורי </w:t>
      </w:r>
      <w:r>
        <w:rPr>
          <w:rFonts w:ascii="David" w:hAnsi="David"/>
        </w:rPr>
        <w:t>MDMA</w:t>
      </w:r>
      <w:r>
        <w:rPr>
          <w:rFonts w:ascii="David" w:hAnsi="David"/>
          <w:rtl/>
        </w:rPr>
        <w:t xml:space="preserve">, 406.71 גרם חשיש וכן כמות נוספת מסם זה שלא </w:t>
      </w:r>
      <w:r>
        <w:rPr>
          <w:rFonts w:ascii="David" w:hAnsi="David" w:hint="cs"/>
          <w:rtl/>
        </w:rPr>
        <w:t xml:space="preserve">הייתה </w:t>
      </w:r>
      <w:r>
        <w:rPr>
          <w:rFonts w:ascii="David" w:hAnsi="David"/>
          <w:rtl/>
        </w:rPr>
        <w:t>ידועה למאשימה, 26.4 גרם קוקאין וכן כמות נוספת מסם זה ש</w:t>
      </w:r>
      <w:r>
        <w:rPr>
          <w:rFonts w:ascii="David" w:hAnsi="David" w:hint="cs"/>
          <w:rtl/>
        </w:rPr>
        <w:t>לא הייתה</w:t>
      </w:r>
      <w:r>
        <w:rPr>
          <w:rFonts w:ascii="David" w:hAnsi="David"/>
          <w:rtl/>
        </w:rPr>
        <w:t xml:space="preserve"> ידועה למאשימה, ושני משקלים אלקטרוניים. המערער, בעל עבר פלילי כבד, סירב לפתוח דלת ביתו לשוטרים שהגיעו לשם ביצוע חיפוש על פי צו, והשליך במזיד סמים מסוכנים מסוג חשיש וקוקאין לאסלה והשמידם. </w:t>
      </w:r>
      <w:r w:rsidRPr="00632360">
        <w:rPr>
          <w:rFonts w:ascii="David" w:hAnsi="David"/>
          <w:b/>
          <w:bCs/>
          <w:rtl/>
        </w:rPr>
        <w:t xml:space="preserve">מתחם הענישה הועמד </w:t>
      </w:r>
      <w:hyperlink r:id="rId24" w:history="1">
        <w:r w:rsidR="004557D5" w:rsidRPr="004557D5">
          <w:rPr>
            <w:rFonts w:ascii="David" w:hAnsi="David"/>
            <w:b/>
            <w:bCs/>
            <w:color w:val="0000FF"/>
            <w:u w:val="single"/>
            <w:rtl/>
          </w:rPr>
          <w:t>על 60-18</w:t>
        </w:r>
      </w:hyperlink>
      <w:r w:rsidRPr="00632360">
        <w:rPr>
          <w:rFonts w:ascii="David" w:hAnsi="David"/>
          <w:b/>
          <w:bCs/>
          <w:rtl/>
        </w:rPr>
        <w:t xml:space="preserve"> חודשי מאסר</w:t>
      </w:r>
      <w:r>
        <w:rPr>
          <w:rFonts w:ascii="David" w:hAnsi="David"/>
          <w:rtl/>
        </w:rPr>
        <w:t xml:space="preserve">, ועל הנאשם הושתו 42 חודשי מאסר לריצוי בפועל לצד רכיבי ענישה נלווים. ערעור הנאשם על חומרת העונש נדחה, תוך שצוין על ידי בית המשפט העליון כי רמת ענישה הנעה בין 3 ל-5 שנות מאסר לצד הטלת קנס כספי כשמדובר בהחזקת סמים מסוכנים שלא לצריכה עצמית בכמות של עשרות גרמים - אינה חורגת מהמקובל. </w:t>
      </w:r>
    </w:p>
    <w:p w14:paraId="5E8CE6C3" w14:textId="77777777" w:rsidR="003A1152" w:rsidRPr="00597E80" w:rsidRDefault="003A1152" w:rsidP="003A1152">
      <w:pPr>
        <w:spacing w:before="240" w:after="240" w:line="360" w:lineRule="auto"/>
        <w:ind w:left="720" w:hanging="720"/>
        <w:jc w:val="both"/>
        <w:rPr>
          <w:rFonts w:ascii="David" w:hAnsi="David"/>
          <w:rtl/>
        </w:rPr>
      </w:pPr>
      <w:r>
        <w:rPr>
          <w:rFonts w:ascii="David" w:hAnsi="David"/>
          <w:rtl/>
        </w:rPr>
        <w:tab/>
      </w:r>
      <w:r>
        <w:rPr>
          <w:rFonts w:ascii="David" w:hAnsi="David" w:hint="cs"/>
          <w:rtl/>
        </w:rPr>
        <w:t xml:space="preserve">גם עניינו של </w:t>
      </w:r>
      <w:r>
        <w:rPr>
          <w:rFonts w:ascii="David" w:hAnsi="David" w:hint="cs"/>
          <w:b/>
          <w:bCs/>
          <w:rtl/>
        </w:rPr>
        <w:t>בן סעדון</w:t>
      </w:r>
      <w:r>
        <w:rPr>
          <w:rFonts w:ascii="David" w:hAnsi="David" w:hint="cs"/>
          <w:rtl/>
        </w:rPr>
        <w:t xml:space="preserve"> חמור משמעותית מענייננו, הן נוכח הכמות הגדולה יותר של כדורי ה- </w:t>
      </w:r>
      <w:r>
        <w:rPr>
          <w:rFonts w:ascii="David" w:hAnsi="David" w:hint="cs"/>
        </w:rPr>
        <w:t>MDMA</w:t>
      </w:r>
      <w:r>
        <w:rPr>
          <w:rFonts w:ascii="David" w:hAnsi="David" w:hint="cs"/>
          <w:rtl/>
        </w:rPr>
        <w:t xml:space="preserve">, החשיש והקוקאין, והן נוכח ניסיונו להשמיד את הסמים עם כניסת השוטרים לדירתו. העונש שהוטל על </w:t>
      </w:r>
      <w:r>
        <w:rPr>
          <w:rFonts w:ascii="David" w:hAnsi="David" w:hint="cs"/>
          <w:b/>
          <w:bCs/>
          <w:rtl/>
        </w:rPr>
        <w:t>בן סעדון</w:t>
      </w:r>
      <w:r>
        <w:rPr>
          <w:rFonts w:ascii="David" w:hAnsi="David" w:hint="cs"/>
          <w:rtl/>
        </w:rPr>
        <w:t xml:space="preserve"> נותן ביטוי גם לעברו הפלילי הכבד, וחזקה כי ככל שהיה מדובר בנאשם צעיר, נעדר הרשעות קודמות ובעל נסיבות חיים קשות עם אופק שיקומי, העונש היה משקף את החלק התחתון של מתחם הענישה שנקבע בבית המשפט המחוזי. </w:t>
      </w:r>
    </w:p>
    <w:p w14:paraId="5E7DBFB3" w14:textId="77777777" w:rsidR="003A1152" w:rsidRPr="00072659" w:rsidRDefault="003A1152" w:rsidP="003A1152">
      <w:pPr>
        <w:pStyle w:val="a9"/>
        <w:spacing w:before="240" w:after="240" w:line="360" w:lineRule="auto"/>
        <w:ind w:hanging="720"/>
        <w:contextualSpacing w:val="0"/>
        <w:jc w:val="both"/>
        <w:rPr>
          <w:rFonts w:ascii="David" w:hAnsi="David" w:cs="David"/>
          <w:sz w:val="16"/>
          <w:szCs w:val="16"/>
          <w:rtl/>
        </w:rPr>
      </w:pPr>
      <w:r>
        <w:rPr>
          <w:rFonts w:ascii="David" w:hAnsi="David" w:cs="David"/>
          <w:sz w:val="24"/>
          <w:szCs w:val="24"/>
          <w:rtl/>
        </w:rPr>
        <w:tab/>
      </w:r>
      <w:hyperlink r:id="rId25" w:history="1">
        <w:r w:rsidR="004557D5" w:rsidRPr="004557D5">
          <w:rPr>
            <w:rFonts w:ascii="David" w:hAnsi="David" w:cs="David"/>
            <w:color w:val="0000FF"/>
            <w:sz w:val="24"/>
            <w:szCs w:val="24"/>
            <w:u w:val="single"/>
            <w:rtl/>
          </w:rPr>
          <w:t>ת"פ 24514-09-15</w:t>
        </w:r>
      </w:hyperlink>
      <w:r>
        <w:rPr>
          <w:rFonts w:ascii="David" w:hAnsi="David" w:cs="David"/>
          <w:sz w:val="24"/>
          <w:szCs w:val="24"/>
          <w:rtl/>
        </w:rPr>
        <w:t xml:space="preserve"> </w:t>
      </w:r>
      <w:r>
        <w:rPr>
          <w:rFonts w:ascii="David" w:hAnsi="David" w:cs="David"/>
          <w:b/>
          <w:bCs/>
          <w:sz w:val="24"/>
          <w:szCs w:val="24"/>
          <w:rtl/>
        </w:rPr>
        <w:t>מדינת ישראל נ' פורת ואח'</w:t>
      </w:r>
      <w:r>
        <w:rPr>
          <w:rFonts w:ascii="David" w:hAnsi="David" w:cs="David"/>
          <w:sz w:val="24"/>
          <w:szCs w:val="24"/>
          <w:rtl/>
        </w:rPr>
        <w:t xml:space="preserve"> (2.1.2017): הנאשם הורשע בעבירה של החזקת סם מסוכן שלא כדין ושלא לצריכה עצמית, </w:t>
      </w:r>
      <w:r>
        <w:rPr>
          <w:rFonts w:ascii="David" w:hAnsi="David" w:cs="David" w:hint="cs"/>
          <w:sz w:val="24"/>
          <w:szCs w:val="24"/>
          <w:rtl/>
        </w:rPr>
        <w:t xml:space="preserve">עת </w:t>
      </w:r>
      <w:r>
        <w:rPr>
          <w:rFonts w:ascii="David" w:hAnsi="David" w:cs="David"/>
          <w:sz w:val="24"/>
          <w:szCs w:val="24"/>
          <w:rtl/>
        </w:rPr>
        <w:t xml:space="preserve">החזיק בביתו 902.49 גרם </w:t>
      </w:r>
      <w:r>
        <w:rPr>
          <w:rFonts w:ascii="David" w:hAnsi="David" w:cs="David"/>
          <w:sz w:val="24"/>
          <w:szCs w:val="24"/>
        </w:rPr>
        <w:t>MDMA</w:t>
      </w:r>
      <w:r>
        <w:rPr>
          <w:rFonts w:ascii="David" w:hAnsi="David" w:cs="David"/>
          <w:sz w:val="24"/>
          <w:szCs w:val="24"/>
          <w:rtl/>
        </w:rPr>
        <w:t xml:space="preserve">, 117 גרם קנבוס, וכן 0.85 גרם קוקאין. בית המשפט קבע </w:t>
      </w:r>
      <w:r w:rsidRPr="00EC60B6">
        <w:rPr>
          <w:rFonts w:ascii="David" w:hAnsi="David" w:cs="David"/>
          <w:b/>
          <w:bCs/>
          <w:sz w:val="24"/>
          <w:szCs w:val="24"/>
          <w:rtl/>
        </w:rPr>
        <w:t xml:space="preserve">מתחם </w:t>
      </w:r>
      <w:r w:rsidRPr="00EC60B6">
        <w:rPr>
          <w:rFonts w:ascii="David" w:hAnsi="David" w:cs="David" w:hint="cs"/>
          <w:b/>
          <w:bCs/>
          <w:sz w:val="24"/>
          <w:szCs w:val="24"/>
          <w:rtl/>
        </w:rPr>
        <w:t>של 36-18</w:t>
      </w:r>
      <w:r w:rsidRPr="00EC60B6">
        <w:rPr>
          <w:rFonts w:ascii="David" w:hAnsi="David" w:cs="David"/>
          <w:b/>
          <w:bCs/>
          <w:sz w:val="24"/>
          <w:szCs w:val="24"/>
          <w:rtl/>
        </w:rPr>
        <w:t xml:space="preserve"> חודשי</w:t>
      </w:r>
      <w:r w:rsidRPr="00072659">
        <w:rPr>
          <w:rFonts w:ascii="David" w:hAnsi="David" w:cs="David"/>
          <w:b/>
          <w:bCs/>
          <w:sz w:val="24"/>
          <w:szCs w:val="24"/>
          <w:rtl/>
        </w:rPr>
        <w:t xml:space="preserve"> מאסר</w:t>
      </w:r>
      <w:r>
        <w:rPr>
          <w:rFonts w:ascii="David" w:hAnsi="David" w:cs="David"/>
          <w:sz w:val="24"/>
          <w:szCs w:val="24"/>
          <w:rtl/>
        </w:rPr>
        <w:t>, ונוכח שיקולי שיקום הושת על הנאשם עונש מאסר בן 6 חודשים לריצוי בדרך של עבודות שירות, לצד רכיבי ענישה נוספים.</w:t>
      </w:r>
    </w:p>
    <w:p w14:paraId="19300F58" w14:textId="77777777" w:rsidR="003A1152" w:rsidRPr="00DD3548" w:rsidRDefault="003A1152" w:rsidP="003A1152">
      <w:pPr>
        <w:pStyle w:val="a9"/>
        <w:spacing w:before="240" w:after="240" w:line="360" w:lineRule="auto"/>
        <w:ind w:hanging="720"/>
        <w:contextualSpacing w:val="0"/>
        <w:jc w:val="both"/>
        <w:rPr>
          <w:rFonts w:ascii="David" w:hAnsi="David" w:cs="David"/>
          <w:sz w:val="10"/>
          <w:szCs w:val="10"/>
          <w:rtl/>
        </w:rPr>
      </w:pPr>
      <w:r>
        <w:rPr>
          <w:rFonts w:ascii="David" w:hAnsi="David" w:cs="David"/>
          <w:sz w:val="24"/>
          <w:szCs w:val="24"/>
          <w:rtl/>
        </w:rPr>
        <w:tab/>
      </w:r>
      <w:r>
        <w:rPr>
          <w:rFonts w:ascii="David" w:hAnsi="David" w:cs="David" w:hint="cs"/>
          <w:sz w:val="24"/>
          <w:szCs w:val="24"/>
          <w:rtl/>
        </w:rPr>
        <w:t xml:space="preserve">בכל הנוגע למתחם הענישה, ניתן להצביע על קווי דמיון בין עניינו של </w:t>
      </w:r>
      <w:r>
        <w:rPr>
          <w:rFonts w:ascii="David" w:hAnsi="David" w:cs="David" w:hint="cs"/>
          <w:b/>
          <w:bCs/>
          <w:sz w:val="24"/>
          <w:szCs w:val="24"/>
          <w:rtl/>
        </w:rPr>
        <w:t>פורת</w:t>
      </w:r>
      <w:r>
        <w:rPr>
          <w:rFonts w:ascii="David" w:hAnsi="David" w:cs="David" w:hint="cs"/>
          <w:sz w:val="24"/>
          <w:szCs w:val="24"/>
          <w:rtl/>
        </w:rPr>
        <w:t xml:space="preserve"> לבין ענייננו. אמנם בעניינו של פורת דובר בכמות גדולה יותר באופן משמעותי של </w:t>
      </w:r>
      <w:r>
        <w:rPr>
          <w:rFonts w:ascii="David" w:hAnsi="David" w:cs="David" w:hint="cs"/>
          <w:sz w:val="24"/>
          <w:szCs w:val="24"/>
        </w:rPr>
        <w:t>MDMA</w:t>
      </w:r>
      <w:r>
        <w:rPr>
          <w:rFonts w:ascii="David" w:hAnsi="David" w:cs="David" w:hint="cs"/>
          <w:sz w:val="24"/>
          <w:szCs w:val="24"/>
          <w:rtl/>
        </w:rPr>
        <w:t xml:space="preserve">. יחד עם זאת, בענייננו הורשע הנאשם בהחזקת קוקאין בכמות גדולה יותר וכן בהחזקת שני משקלים אלקטרוניים, על כל המשתמע מכך. מעבר למתחם שהוא כאמור רלוונטי לענייננו, העונש שהוטל בסופו של יום על פורת, שיקף הליך שיקום משמעותי, כך שלא ניתן להקיש ממנו על עניינו של הנאשם. </w:t>
      </w:r>
    </w:p>
    <w:p w14:paraId="63C96A39" w14:textId="77777777" w:rsidR="003A1152" w:rsidRDefault="003A1152" w:rsidP="003A1152">
      <w:pPr>
        <w:pStyle w:val="a9"/>
        <w:spacing w:before="240" w:after="240" w:line="360" w:lineRule="auto"/>
        <w:ind w:hanging="720"/>
        <w:contextualSpacing w:val="0"/>
        <w:jc w:val="both"/>
        <w:rPr>
          <w:rFonts w:ascii="David" w:hAnsi="David" w:cs="David"/>
          <w:sz w:val="24"/>
          <w:szCs w:val="24"/>
          <w:rtl/>
        </w:rPr>
      </w:pPr>
      <w:r>
        <w:rPr>
          <w:rFonts w:ascii="David" w:hAnsi="David" w:cs="David" w:hint="cs"/>
          <w:sz w:val="24"/>
          <w:szCs w:val="24"/>
          <w:rtl/>
        </w:rPr>
        <w:t>13.</w:t>
      </w:r>
      <w:r>
        <w:rPr>
          <w:rFonts w:ascii="David" w:hAnsi="David" w:cs="David" w:hint="cs"/>
          <w:sz w:val="24"/>
          <w:szCs w:val="24"/>
          <w:rtl/>
        </w:rPr>
        <w:tab/>
      </w:r>
      <w:r>
        <w:rPr>
          <w:rFonts w:ascii="David" w:hAnsi="David" w:cs="David"/>
          <w:sz w:val="24"/>
          <w:szCs w:val="24"/>
          <w:rtl/>
        </w:rPr>
        <w:t xml:space="preserve">על יסוד כלל הנתונים שפורטו לעיל, </w:t>
      </w:r>
      <w:r>
        <w:rPr>
          <w:rFonts w:ascii="David" w:hAnsi="David" w:cs="David" w:hint="cs"/>
          <w:sz w:val="24"/>
          <w:szCs w:val="24"/>
          <w:rtl/>
        </w:rPr>
        <w:t>ראיתי לקבוע</w:t>
      </w:r>
      <w:r>
        <w:rPr>
          <w:rFonts w:ascii="David" w:hAnsi="David" w:cs="David"/>
          <w:sz w:val="24"/>
          <w:szCs w:val="24"/>
          <w:rtl/>
        </w:rPr>
        <w:t xml:space="preserve"> </w:t>
      </w:r>
      <w:r w:rsidRPr="00AE2156">
        <w:rPr>
          <w:rFonts w:ascii="David" w:hAnsi="David" w:cs="David"/>
          <w:b/>
          <w:bCs/>
          <w:sz w:val="24"/>
          <w:szCs w:val="24"/>
          <w:rtl/>
        </w:rPr>
        <w:t xml:space="preserve">מתחם </w:t>
      </w:r>
      <w:r w:rsidRPr="00AE2156">
        <w:rPr>
          <w:rFonts w:ascii="David" w:hAnsi="David" w:cs="David" w:hint="cs"/>
          <w:b/>
          <w:bCs/>
          <w:sz w:val="24"/>
          <w:szCs w:val="24"/>
          <w:rtl/>
        </w:rPr>
        <w:t>ענישה של 42-</w:t>
      </w:r>
      <w:r>
        <w:rPr>
          <w:rFonts w:ascii="David" w:hAnsi="David" w:cs="David" w:hint="cs"/>
          <w:b/>
          <w:bCs/>
          <w:sz w:val="24"/>
          <w:szCs w:val="24"/>
          <w:rtl/>
        </w:rPr>
        <w:t>18</w:t>
      </w:r>
      <w:r w:rsidRPr="00AE2156">
        <w:rPr>
          <w:rFonts w:ascii="David" w:hAnsi="David" w:cs="David" w:hint="cs"/>
          <w:b/>
          <w:bCs/>
          <w:sz w:val="24"/>
          <w:szCs w:val="24"/>
          <w:rtl/>
        </w:rPr>
        <w:t xml:space="preserve"> חודשי מאסר</w:t>
      </w:r>
      <w:r>
        <w:rPr>
          <w:rFonts w:ascii="David" w:hAnsi="David" w:cs="David" w:hint="cs"/>
          <w:sz w:val="24"/>
          <w:szCs w:val="24"/>
          <w:rtl/>
        </w:rPr>
        <w:t xml:space="preserve">.  </w:t>
      </w:r>
    </w:p>
    <w:p w14:paraId="40FD02F2" w14:textId="77777777" w:rsidR="003A1152" w:rsidRPr="00597E80" w:rsidRDefault="003A1152" w:rsidP="003A1152">
      <w:pPr>
        <w:pStyle w:val="a9"/>
        <w:spacing w:before="240" w:after="240" w:line="360" w:lineRule="auto"/>
        <w:ind w:hanging="720"/>
        <w:contextualSpacing w:val="0"/>
        <w:jc w:val="both"/>
        <w:rPr>
          <w:rFonts w:ascii="David" w:hAnsi="David" w:cs="David"/>
          <w:sz w:val="24"/>
          <w:szCs w:val="24"/>
          <w:u w:val="single"/>
          <w:rtl/>
        </w:rPr>
      </w:pPr>
      <w:r>
        <w:rPr>
          <w:rFonts w:ascii="David" w:hAnsi="David" w:cs="David"/>
          <w:sz w:val="24"/>
          <w:szCs w:val="24"/>
          <w:rtl/>
        </w:rPr>
        <w:tab/>
      </w:r>
      <w:r>
        <w:rPr>
          <w:rFonts w:ascii="David" w:hAnsi="David" w:cs="David"/>
          <w:sz w:val="24"/>
          <w:szCs w:val="24"/>
          <w:u w:val="single"/>
          <w:rtl/>
        </w:rPr>
        <w:t>קביעת העונש המתאים</w:t>
      </w:r>
    </w:p>
    <w:p w14:paraId="4566C984" w14:textId="77777777" w:rsidR="003A1152" w:rsidRPr="00597E80" w:rsidRDefault="003A1152" w:rsidP="003A1152">
      <w:pPr>
        <w:pStyle w:val="a9"/>
        <w:spacing w:before="240" w:after="240" w:line="360" w:lineRule="auto"/>
        <w:ind w:hanging="720"/>
        <w:contextualSpacing w:val="0"/>
        <w:jc w:val="both"/>
        <w:rPr>
          <w:rFonts w:ascii="David" w:hAnsi="David" w:cs="David"/>
          <w:sz w:val="24"/>
          <w:szCs w:val="24"/>
          <w:rtl/>
        </w:rPr>
      </w:pPr>
      <w:r w:rsidRPr="00871E8E">
        <w:rPr>
          <w:rFonts w:ascii="David" w:hAnsi="David" w:cs="David" w:hint="cs"/>
          <w:sz w:val="24"/>
          <w:szCs w:val="24"/>
          <w:rtl/>
        </w:rPr>
        <w:t>14.</w:t>
      </w:r>
      <w:r w:rsidRPr="00871E8E">
        <w:rPr>
          <w:rFonts w:ascii="David" w:hAnsi="David" w:cs="David" w:hint="cs"/>
          <w:sz w:val="24"/>
          <w:szCs w:val="24"/>
          <w:rtl/>
        </w:rPr>
        <w:tab/>
      </w:r>
      <w:r>
        <w:rPr>
          <w:rFonts w:ascii="David" w:hAnsi="David" w:cs="David"/>
          <w:sz w:val="24"/>
          <w:szCs w:val="24"/>
          <w:rtl/>
        </w:rPr>
        <w:t xml:space="preserve">בעת גזירת העונש המתאים לנאשם בתוך מתחם העונש ההולם, על בית המשפט להתחשב בנסיבות שאינן קשורות בביצוע העבירה. </w:t>
      </w:r>
    </w:p>
    <w:p w14:paraId="134DB15C" w14:textId="77777777" w:rsidR="003A1152" w:rsidRPr="00597E80" w:rsidRDefault="003A1152" w:rsidP="003A1152">
      <w:pPr>
        <w:pStyle w:val="a9"/>
        <w:spacing w:before="240" w:after="240" w:line="360" w:lineRule="auto"/>
        <w:ind w:hanging="720"/>
        <w:contextualSpacing w:val="0"/>
        <w:jc w:val="both"/>
        <w:rPr>
          <w:rFonts w:ascii="David" w:hAnsi="David" w:cs="David"/>
          <w:sz w:val="24"/>
          <w:szCs w:val="24"/>
          <w:rtl/>
        </w:rPr>
      </w:pPr>
      <w:r>
        <w:rPr>
          <w:rFonts w:ascii="David" w:hAnsi="David" w:cs="David"/>
          <w:sz w:val="24"/>
          <w:szCs w:val="24"/>
          <w:rtl/>
        </w:rPr>
        <w:tab/>
      </w:r>
      <w:r>
        <w:rPr>
          <w:rFonts w:ascii="David" w:hAnsi="David" w:cs="David" w:hint="cs"/>
          <w:sz w:val="24"/>
          <w:szCs w:val="24"/>
          <w:rtl/>
        </w:rPr>
        <w:t xml:space="preserve">בהקשר זה, ראיתי ליתן משקל לנתונים הבאים: </w:t>
      </w:r>
    </w:p>
    <w:p w14:paraId="2699D92F" w14:textId="77777777" w:rsidR="003A1152" w:rsidRDefault="003A1152" w:rsidP="003A1152">
      <w:pPr>
        <w:pStyle w:val="a9"/>
        <w:numPr>
          <w:ilvl w:val="0"/>
          <w:numId w:val="2"/>
        </w:numPr>
        <w:spacing w:before="240" w:after="240" w:line="360" w:lineRule="auto"/>
        <w:contextualSpacing w:val="0"/>
        <w:jc w:val="both"/>
        <w:rPr>
          <w:rFonts w:ascii="David" w:hAnsi="David" w:cs="David"/>
          <w:sz w:val="24"/>
          <w:szCs w:val="24"/>
          <w:rtl/>
        </w:rPr>
      </w:pPr>
      <w:r>
        <w:rPr>
          <w:rFonts w:ascii="David" w:hAnsi="David" w:cs="David" w:hint="cs"/>
          <w:b/>
          <w:bCs/>
          <w:sz w:val="24"/>
          <w:szCs w:val="24"/>
          <w:rtl/>
        </w:rPr>
        <w:t xml:space="preserve">גילו הצעיר של </w:t>
      </w:r>
      <w:r w:rsidRPr="00597E80">
        <w:rPr>
          <w:rFonts w:ascii="David" w:hAnsi="David" w:cs="David" w:hint="cs"/>
          <w:b/>
          <w:bCs/>
          <w:sz w:val="24"/>
          <w:szCs w:val="24"/>
          <w:rtl/>
        </w:rPr>
        <w:t>הנאשם</w:t>
      </w:r>
      <w:r>
        <w:rPr>
          <w:rFonts w:ascii="David" w:hAnsi="David" w:cs="David" w:hint="cs"/>
          <w:sz w:val="24"/>
          <w:szCs w:val="24"/>
          <w:rtl/>
        </w:rPr>
        <w:t xml:space="preserve"> - </w:t>
      </w:r>
      <w:r w:rsidRPr="00871E8E">
        <w:rPr>
          <w:rFonts w:ascii="David" w:hAnsi="David" w:cs="David" w:hint="cs"/>
          <w:sz w:val="24"/>
          <w:szCs w:val="24"/>
          <w:rtl/>
        </w:rPr>
        <w:t>מדובר</w:t>
      </w:r>
      <w:r>
        <w:rPr>
          <w:rFonts w:ascii="David" w:hAnsi="David" w:cs="David" w:hint="cs"/>
          <w:sz w:val="24"/>
          <w:szCs w:val="24"/>
          <w:rtl/>
        </w:rPr>
        <w:t xml:space="preserve"> בנאשם צעיר בן 24, כך שיש מקום להתחשב בנתון זה;</w:t>
      </w:r>
    </w:p>
    <w:p w14:paraId="772DB3D7" w14:textId="77777777" w:rsidR="003A1152" w:rsidRPr="00525B3A" w:rsidRDefault="003A1152" w:rsidP="003A1152">
      <w:pPr>
        <w:pStyle w:val="a9"/>
        <w:numPr>
          <w:ilvl w:val="0"/>
          <w:numId w:val="2"/>
        </w:numPr>
        <w:spacing w:before="240" w:after="240" w:line="360" w:lineRule="auto"/>
        <w:contextualSpacing w:val="0"/>
        <w:jc w:val="both"/>
        <w:rPr>
          <w:rFonts w:ascii="David" w:hAnsi="David" w:cs="David"/>
          <w:sz w:val="24"/>
          <w:szCs w:val="24"/>
        </w:rPr>
      </w:pPr>
      <w:r w:rsidRPr="00525B3A">
        <w:rPr>
          <w:rFonts w:ascii="David" w:hAnsi="David" w:cs="David" w:hint="cs"/>
          <w:b/>
          <w:bCs/>
          <w:sz w:val="24"/>
          <w:szCs w:val="24"/>
          <w:rtl/>
        </w:rPr>
        <w:t>הודאת הנאשם, נטילת האחריות ומאמציו לחזור למוטב</w:t>
      </w:r>
      <w:r w:rsidRPr="00525B3A">
        <w:rPr>
          <w:rFonts w:ascii="David" w:hAnsi="David" w:cs="David" w:hint="cs"/>
          <w:sz w:val="24"/>
          <w:szCs w:val="24"/>
          <w:rtl/>
        </w:rPr>
        <w:t xml:space="preserve"> - הנאשם הודה במיוחס לו וחסך זמן שיפוטי יקר; נטל אחריות על מעשיו, והביע נכונות ורצון עז לחזור למוטב</w:t>
      </w:r>
      <w:r w:rsidRPr="00525B3A">
        <w:rPr>
          <w:rFonts w:ascii="David" w:hAnsi="David" w:cs="David"/>
          <w:sz w:val="24"/>
          <w:szCs w:val="24"/>
        </w:rPr>
        <w:t>;</w:t>
      </w:r>
    </w:p>
    <w:p w14:paraId="2F594228" w14:textId="77777777" w:rsidR="003A1152" w:rsidRDefault="003A1152" w:rsidP="003A1152">
      <w:pPr>
        <w:pStyle w:val="a9"/>
        <w:numPr>
          <w:ilvl w:val="0"/>
          <w:numId w:val="2"/>
        </w:numPr>
        <w:spacing w:before="240" w:after="240" w:line="360" w:lineRule="auto"/>
        <w:contextualSpacing w:val="0"/>
        <w:jc w:val="both"/>
        <w:rPr>
          <w:rFonts w:ascii="David" w:hAnsi="David" w:cs="David"/>
          <w:sz w:val="24"/>
          <w:szCs w:val="24"/>
        </w:rPr>
      </w:pPr>
      <w:r w:rsidRPr="00F55A7B">
        <w:rPr>
          <w:rFonts w:ascii="David" w:hAnsi="David" w:cs="David" w:hint="cs"/>
          <w:b/>
          <w:bCs/>
          <w:sz w:val="24"/>
          <w:szCs w:val="24"/>
          <w:rtl/>
        </w:rPr>
        <w:t>העדר הרשעות קודמות</w:t>
      </w:r>
      <w:r w:rsidRPr="00F55A7B">
        <w:rPr>
          <w:rFonts w:ascii="David" w:hAnsi="David" w:cs="David" w:hint="cs"/>
          <w:sz w:val="24"/>
          <w:szCs w:val="24"/>
          <w:rtl/>
        </w:rPr>
        <w:t xml:space="preserve"> - העובדה כי אין לנאשם הרשעות קודמות רלוונטית אף היא בקביעת העונש המתאים בתוך מתחם הענישה;</w:t>
      </w:r>
    </w:p>
    <w:p w14:paraId="0E4BC689" w14:textId="77777777" w:rsidR="003A1152" w:rsidRDefault="003A1152" w:rsidP="003A1152">
      <w:pPr>
        <w:pStyle w:val="a9"/>
        <w:numPr>
          <w:ilvl w:val="0"/>
          <w:numId w:val="2"/>
        </w:numPr>
        <w:spacing w:before="240" w:after="240" w:line="360" w:lineRule="auto"/>
        <w:contextualSpacing w:val="0"/>
        <w:jc w:val="both"/>
        <w:rPr>
          <w:rFonts w:ascii="David" w:hAnsi="David" w:cs="David"/>
          <w:sz w:val="24"/>
          <w:szCs w:val="24"/>
        </w:rPr>
      </w:pPr>
      <w:r w:rsidRPr="00084ABF">
        <w:rPr>
          <w:rFonts w:ascii="David" w:hAnsi="David" w:cs="David" w:hint="cs"/>
          <w:b/>
          <w:bCs/>
          <w:sz w:val="24"/>
          <w:szCs w:val="24"/>
          <w:rtl/>
        </w:rPr>
        <w:t>נסיבות חיים מורכבות</w:t>
      </w:r>
      <w:r w:rsidRPr="00084ABF">
        <w:rPr>
          <w:rFonts w:ascii="David" w:hAnsi="David" w:cs="David" w:hint="cs"/>
          <w:sz w:val="24"/>
          <w:szCs w:val="24"/>
          <w:rtl/>
        </w:rPr>
        <w:t xml:space="preserve"> - כעולה מתסקיר שרות המבחן, עסקינן בנאשם בעל נסיבות חיים מורכבות ביותר, ואין חולק כי יש מקום להתחשב בהן, בוודאי בסיטואציה בה הנאשם עומד לדין לראשונה בחייו; </w:t>
      </w:r>
    </w:p>
    <w:p w14:paraId="0C0C2C9F" w14:textId="77777777" w:rsidR="003A1152" w:rsidRDefault="003A1152" w:rsidP="003A1152">
      <w:pPr>
        <w:pStyle w:val="a9"/>
        <w:numPr>
          <w:ilvl w:val="0"/>
          <w:numId w:val="2"/>
        </w:numPr>
        <w:spacing w:before="240" w:after="240" w:line="360" w:lineRule="auto"/>
        <w:contextualSpacing w:val="0"/>
        <w:jc w:val="both"/>
        <w:rPr>
          <w:rFonts w:ascii="David" w:hAnsi="David" w:cs="David"/>
          <w:sz w:val="24"/>
          <w:szCs w:val="24"/>
        </w:rPr>
      </w:pPr>
      <w:r w:rsidRPr="00084ABF">
        <w:rPr>
          <w:rFonts w:ascii="David" w:hAnsi="David" w:cs="David" w:hint="cs"/>
          <w:b/>
          <w:bCs/>
          <w:sz w:val="24"/>
          <w:szCs w:val="24"/>
          <w:rtl/>
        </w:rPr>
        <w:t>סיכויי שיקום</w:t>
      </w:r>
      <w:r w:rsidRPr="00084ABF">
        <w:rPr>
          <w:rFonts w:ascii="David" w:hAnsi="David" w:cs="David" w:hint="cs"/>
          <w:sz w:val="24"/>
          <w:szCs w:val="24"/>
          <w:rtl/>
        </w:rPr>
        <w:t xml:space="preserve"> - על יסוד האמור בתסקירי שרות המבחן, ראיתי ליתן משקל לפוטנציאל שיקומו של הנאשם, אשר אף אם אינו מצדיק חריגה ממתחם העונש ההולם, יש בו כדי להוות נימוק ראוי, בצירוף ליתר הנתונים עליהם עמדתי, להעמדת העונש ברף התחתון של המתחם; </w:t>
      </w:r>
    </w:p>
    <w:p w14:paraId="4A1881BD" w14:textId="77777777" w:rsidR="003A1152" w:rsidRDefault="003A1152" w:rsidP="003A1152">
      <w:pPr>
        <w:pStyle w:val="a9"/>
        <w:numPr>
          <w:ilvl w:val="0"/>
          <w:numId w:val="2"/>
        </w:numPr>
        <w:spacing w:before="240" w:after="240" w:line="360" w:lineRule="auto"/>
        <w:contextualSpacing w:val="0"/>
        <w:jc w:val="both"/>
        <w:rPr>
          <w:rFonts w:ascii="David" w:hAnsi="David" w:cs="David"/>
          <w:sz w:val="24"/>
          <w:szCs w:val="24"/>
        </w:rPr>
      </w:pPr>
      <w:r w:rsidRPr="00084ABF">
        <w:rPr>
          <w:rFonts w:ascii="David" w:hAnsi="David" w:cs="David" w:hint="cs"/>
          <w:sz w:val="24"/>
          <w:szCs w:val="24"/>
          <w:rtl/>
        </w:rPr>
        <w:t xml:space="preserve">נתתי משקל מסוים גם לתקופה בת מספר החודשים בה היה הנאשם עצור בפיקוח אלקטרוני; </w:t>
      </w:r>
    </w:p>
    <w:p w14:paraId="29360F6C" w14:textId="77777777" w:rsidR="003A1152" w:rsidRDefault="003A1152" w:rsidP="003A1152">
      <w:pPr>
        <w:pStyle w:val="a9"/>
        <w:numPr>
          <w:ilvl w:val="0"/>
          <w:numId w:val="2"/>
        </w:numPr>
        <w:spacing w:before="240" w:after="240" w:line="360" w:lineRule="auto"/>
        <w:contextualSpacing w:val="0"/>
        <w:jc w:val="both"/>
        <w:rPr>
          <w:rFonts w:ascii="David" w:hAnsi="David" w:cs="David"/>
          <w:sz w:val="24"/>
          <w:szCs w:val="24"/>
        </w:rPr>
      </w:pPr>
      <w:r w:rsidRPr="00084ABF">
        <w:rPr>
          <w:rFonts w:ascii="David" w:hAnsi="David" w:cs="David" w:hint="cs"/>
          <w:sz w:val="24"/>
          <w:szCs w:val="24"/>
          <w:rtl/>
        </w:rPr>
        <w:t xml:space="preserve">מאסר ראשון - העובדה כי מדובר במאסרו הראשון של הנאשם תומכת אף היא במסקנה כי אין מקום למיצוי הדין במסגרת מתחם העונש ההולם. </w:t>
      </w:r>
    </w:p>
    <w:p w14:paraId="19FA5AF5" w14:textId="77777777" w:rsidR="003A1152" w:rsidRPr="00084ABF" w:rsidRDefault="003A1152" w:rsidP="003A1152">
      <w:pPr>
        <w:pStyle w:val="a9"/>
        <w:spacing w:before="240" w:after="240" w:line="360" w:lineRule="auto"/>
        <w:ind w:left="1440"/>
        <w:contextualSpacing w:val="0"/>
        <w:jc w:val="both"/>
        <w:rPr>
          <w:rFonts w:ascii="David" w:hAnsi="David" w:cs="David"/>
          <w:sz w:val="24"/>
          <w:szCs w:val="24"/>
          <w:rtl/>
        </w:rPr>
      </w:pPr>
    </w:p>
    <w:p w14:paraId="34802FBD" w14:textId="77777777" w:rsidR="003A1152" w:rsidRPr="007373B8" w:rsidRDefault="003A1152" w:rsidP="003A1152">
      <w:pPr>
        <w:pStyle w:val="a9"/>
        <w:spacing w:before="240" w:after="240" w:line="360" w:lineRule="auto"/>
        <w:ind w:hanging="720"/>
        <w:contextualSpacing w:val="0"/>
        <w:jc w:val="both"/>
        <w:rPr>
          <w:rFonts w:ascii="David" w:hAnsi="David" w:cs="David"/>
          <w:sz w:val="24"/>
          <w:szCs w:val="24"/>
          <w:u w:val="single"/>
          <w:rtl/>
        </w:rPr>
      </w:pPr>
      <w:r>
        <w:rPr>
          <w:rFonts w:ascii="David" w:hAnsi="David" w:cs="David"/>
          <w:sz w:val="24"/>
          <w:szCs w:val="24"/>
          <w:rtl/>
        </w:rPr>
        <w:tab/>
      </w:r>
      <w:r>
        <w:rPr>
          <w:rFonts w:ascii="David" w:hAnsi="David" w:cs="David" w:hint="cs"/>
          <w:sz w:val="24"/>
          <w:szCs w:val="24"/>
          <w:u w:val="single"/>
          <w:rtl/>
        </w:rPr>
        <w:t>סיכום</w:t>
      </w:r>
    </w:p>
    <w:p w14:paraId="34B42B1F" w14:textId="77777777" w:rsidR="003A1152" w:rsidRPr="007373B8" w:rsidRDefault="003A1152" w:rsidP="003A1152">
      <w:pPr>
        <w:pStyle w:val="a9"/>
        <w:spacing w:before="240" w:after="240" w:line="360" w:lineRule="auto"/>
        <w:ind w:hanging="720"/>
        <w:contextualSpacing w:val="0"/>
        <w:jc w:val="both"/>
        <w:rPr>
          <w:rFonts w:ascii="David" w:hAnsi="David" w:cs="David"/>
          <w:sz w:val="24"/>
          <w:szCs w:val="24"/>
          <w:rtl/>
        </w:rPr>
      </w:pPr>
      <w:r>
        <w:rPr>
          <w:rFonts w:ascii="David" w:hAnsi="David" w:cs="David" w:hint="cs"/>
          <w:sz w:val="24"/>
          <w:szCs w:val="24"/>
          <w:rtl/>
        </w:rPr>
        <w:t>15.</w:t>
      </w:r>
      <w:r>
        <w:rPr>
          <w:rFonts w:ascii="David" w:hAnsi="David" w:cs="David"/>
          <w:sz w:val="24"/>
          <w:szCs w:val="24"/>
          <w:rtl/>
        </w:rPr>
        <w:tab/>
      </w:r>
      <w:r>
        <w:rPr>
          <w:rFonts w:ascii="David" w:hAnsi="David" w:cs="David" w:hint="cs"/>
          <w:sz w:val="24"/>
          <w:szCs w:val="24"/>
          <w:rtl/>
        </w:rPr>
        <w:t xml:space="preserve"> על יסוד האמור לעיל, ראיתי להטיל על הנאשם את העונשים הבאים:</w:t>
      </w:r>
    </w:p>
    <w:p w14:paraId="7EE70658" w14:textId="77777777" w:rsidR="003A1152" w:rsidRDefault="003A1152" w:rsidP="003A1152">
      <w:pPr>
        <w:spacing w:before="240" w:after="240" w:line="360" w:lineRule="auto"/>
        <w:ind w:left="1440" w:hanging="720"/>
        <w:jc w:val="both"/>
        <w:rPr>
          <w:rFonts w:ascii="Arial" w:hAnsi="Arial"/>
        </w:rPr>
      </w:pPr>
      <w:r>
        <w:rPr>
          <w:rFonts w:ascii="Arial" w:hAnsi="Arial" w:hint="cs"/>
          <w:rtl/>
        </w:rPr>
        <w:t>א.</w:t>
      </w:r>
      <w:r>
        <w:rPr>
          <w:rFonts w:ascii="Arial" w:hAnsi="Arial" w:hint="cs"/>
          <w:rtl/>
        </w:rPr>
        <w:tab/>
        <w:t xml:space="preserve">18 חודשי מאסר לריצוי בפועל בניכוי ימי מעצרו (10.5.19 עד 2.7.19). הנאשם יתייצב ביום 19.4.2020 במתקן "ניצן" או במתקן אחר עליו יורה שב"ס בהליך המיון המוקדם, ככל שייערך כזה; </w:t>
      </w:r>
    </w:p>
    <w:p w14:paraId="7FEB661C" w14:textId="77777777" w:rsidR="003A1152" w:rsidRDefault="003A1152" w:rsidP="003A1152">
      <w:pPr>
        <w:spacing w:before="240" w:after="240" w:line="360" w:lineRule="auto"/>
        <w:ind w:left="1440" w:hanging="720"/>
        <w:jc w:val="both"/>
        <w:rPr>
          <w:rFonts w:ascii="Arial" w:hAnsi="Arial"/>
          <w:rtl/>
        </w:rPr>
      </w:pPr>
      <w:r>
        <w:rPr>
          <w:rFonts w:ascii="Arial" w:hAnsi="Arial" w:hint="cs"/>
          <w:rtl/>
        </w:rPr>
        <w:t>ב.</w:t>
      </w:r>
      <w:r>
        <w:rPr>
          <w:rFonts w:ascii="Arial" w:hAnsi="Arial" w:hint="cs"/>
          <w:rtl/>
        </w:rPr>
        <w:tab/>
        <w:t xml:space="preserve">9 חודשי מאסר, אולם הנאשם לא יישא עונש זה אלא אם יעבור תוך שלוש שנים מיום שחרורו עבירה על פקודת הסמים מסוג פשע; </w:t>
      </w:r>
    </w:p>
    <w:p w14:paraId="04B94207" w14:textId="77777777" w:rsidR="003A1152" w:rsidRDefault="003A1152" w:rsidP="003A1152">
      <w:pPr>
        <w:spacing w:before="240" w:after="240" w:line="360" w:lineRule="auto"/>
        <w:ind w:left="1440" w:hanging="720"/>
        <w:jc w:val="both"/>
        <w:rPr>
          <w:rFonts w:ascii="Arial" w:hAnsi="Arial"/>
          <w:rtl/>
        </w:rPr>
      </w:pPr>
      <w:r>
        <w:rPr>
          <w:rFonts w:ascii="Arial" w:hAnsi="Arial" w:hint="cs"/>
          <w:rtl/>
        </w:rPr>
        <w:t>ג.</w:t>
      </w:r>
      <w:r>
        <w:rPr>
          <w:rFonts w:ascii="Arial" w:hAnsi="Arial"/>
          <w:rtl/>
        </w:rPr>
        <w:tab/>
      </w:r>
      <w:r>
        <w:rPr>
          <w:rFonts w:ascii="Arial" w:hAnsi="Arial" w:hint="cs"/>
          <w:rtl/>
        </w:rPr>
        <w:t>חודש מאסר, אולם הנאשם לא יישא עונש זה אלא אם יעבור תוך שלוש שנים מיום שחרורו עבירה על פקודת הסמים מסוג עוון;</w:t>
      </w:r>
    </w:p>
    <w:p w14:paraId="5226B1C7" w14:textId="77777777" w:rsidR="003A1152" w:rsidRDefault="003A1152" w:rsidP="003A1152">
      <w:pPr>
        <w:spacing w:before="240" w:after="240" w:line="360" w:lineRule="auto"/>
        <w:ind w:left="1440" w:hanging="720"/>
        <w:jc w:val="both"/>
        <w:rPr>
          <w:rFonts w:ascii="Arial" w:hAnsi="Arial"/>
          <w:rtl/>
        </w:rPr>
      </w:pPr>
      <w:r>
        <w:rPr>
          <w:rFonts w:ascii="Arial" w:hAnsi="Arial" w:hint="cs"/>
          <w:rtl/>
        </w:rPr>
        <w:t>ד.</w:t>
      </w:r>
      <w:r>
        <w:rPr>
          <w:rFonts w:ascii="Arial" w:hAnsi="Arial" w:hint="cs"/>
          <w:rtl/>
        </w:rPr>
        <w:tab/>
        <w:t xml:space="preserve">פסילת רישיון הנהיגה של הנאשם למשך 3 חודשים מיום שחרורו מהמאסר. </w:t>
      </w:r>
    </w:p>
    <w:p w14:paraId="317EF1B7" w14:textId="77777777" w:rsidR="003A1152" w:rsidRPr="001069C4" w:rsidRDefault="003A1152" w:rsidP="003A1152">
      <w:pPr>
        <w:spacing w:before="240" w:after="240" w:line="360" w:lineRule="auto"/>
        <w:ind w:firstLine="720"/>
        <w:jc w:val="both"/>
        <w:rPr>
          <w:rFonts w:ascii="Arial" w:hAnsi="Arial"/>
          <w:u w:val="single"/>
          <w:rtl/>
        </w:rPr>
      </w:pPr>
      <w:r>
        <w:rPr>
          <w:rFonts w:ascii="Arial" w:hAnsi="Arial" w:hint="cs"/>
          <w:u w:val="single"/>
          <w:rtl/>
        </w:rPr>
        <w:t>חילוט</w:t>
      </w:r>
    </w:p>
    <w:p w14:paraId="6E0BCBD3" w14:textId="77777777" w:rsidR="003A1152" w:rsidRDefault="003A1152" w:rsidP="003A1152">
      <w:pPr>
        <w:spacing w:before="240" w:after="240" w:line="360" w:lineRule="auto"/>
        <w:ind w:left="1440" w:hanging="720"/>
        <w:jc w:val="both"/>
        <w:rPr>
          <w:rFonts w:ascii="Arial" w:hAnsi="Arial"/>
          <w:rtl/>
        </w:rPr>
      </w:pPr>
      <w:r>
        <w:rPr>
          <w:rFonts w:ascii="Arial" w:hAnsi="Arial" w:hint="cs"/>
          <w:rtl/>
        </w:rPr>
        <w:t>ה.</w:t>
      </w:r>
      <w:r>
        <w:rPr>
          <w:rFonts w:ascii="Arial" w:hAnsi="Arial" w:hint="cs"/>
          <w:rtl/>
        </w:rPr>
        <w:tab/>
        <w:t>רכב מזדה מ.ר. 24-457-65 - מדובר ברכב אשר שימש את הנאשם לצורך החזקת הסמים, ובהינתן העובדה כי לא מצאתי טעם ממשי המצדיק להימנע מחילוט, ראיתי להורות על חילוט הרכב;</w:t>
      </w:r>
    </w:p>
    <w:p w14:paraId="55974F64" w14:textId="77777777" w:rsidR="003A1152" w:rsidRDefault="003A1152" w:rsidP="003A1152">
      <w:pPr>
        <w:spacing w:before="240" w:after="240" w:line="360" w:lineRule="auto"/>
        <w:ind w:left="1440" w:hanging="720"/>
        <w:jc w:val="both"/>
        <w:rPr>
          <w:rFonts w:ascii="Arial" w:hAnsi="Arial"/>
          <w:rtl/>
        </w:rPr>
      </w:pPr>
      <w:r>
        <w:rPr>
          <w:rFonts w:ascii="Arial" w:hAnsi="Arial" w:hint="cs"/>
          <w:rtl/>
        </w:rPr>
        <w:t>ו.</w:t>
      </w:r>
      <w:r>
        <w:rPr>
          <w:rFonts w:ascii="Arial" w:hAnsi="Arial" w:hint="cs"/>
          <w:rtl/>
        </w:rPr>
        <w:tab/>
        <w:t>סך של 14,539 ₪ - ראיתי להורות על חילוט הסכום האמור;</w:t>
      </w:r>
    </w:p>
    <w:p w14:paraId="28CDA558" w14:textId="77777777" w:rsidR="003A1152" w:rsidRDefault="003A1152" w:rsidP="003A1152">
      <w:pPr>
        <w:spacing w:before="240" w:after="240" w:line="360" w:lineRule="auto"/>
        <w:ind w:left="1440" w:hanging="720"/>
        <w:jc w:val="both"/>
        <w:rPr>
          <w:rFonts w:ascii="Arial" w:hAnsi="Arial"/>
          <w:rtl/>
        </w:rPr>
      </w:pPr>
      <w:r>
        <w:rPr>
          <w:rFonts w:ascii="Arial" w:hAnsi="Arial" w:hint="cs"/>
          <w:rtl/>
        </w:rPr>
        <w:t>ניתן צו כללי למוצגים לשיקול דעת קצין משטרה ו/או התביעה.</w:t>
      </w:r>
    </w:p>
    <w:p w14:paraId="744CD7AA" w14:textId="77777777" w:rsidR="003A1152" w:rsidRPr="001069C4" w:rsidRDefault="003A1152" w:rsidP="003A1152">
      <w:pPr>
        <w:spacing w:before="240" w:after="240" w:line="360" w:lineRule="auto"/>
        <w:jc w:val="both"/>
        <w:rPr>
          <w:rFonts w:ascii="Arial" w:hAnsi="Arial"/>
          <w:sz w:val="8"/>
          <w:szCs w:val="8"/>
          <w:rtl/>
        </w:rPr>
      </w:pPr>
    </w:p>
    <w:p w14:paraId="42FA8586" w14:textId="77777777" w:rsidR="003A1152" w:rsidRDefault="003A1152" w:rsidP="003A1152">
      <w:pPr>
        <w:spacing w:before="240" w:after="240" w:line="360" w:lineRule="auto"/>
        <w:ind w:left="720"/>
        <w:jc w:val="both"/>
        <w:rPr>
          <w:rFonts w:ascii="Arial" w:hAnsi="Arial"/>
          <w:rtl/>
        </w:rPr>
      </w:pPr>
      <w:r>
        <w:rPr>
          <w:rFonts w:ascii="Arial" w:hAnsi="Arial" w:hint="cs"/>
          <w:rtl/>
        </w:rPr>
        <w:t xml:space="preserve">זכות ערעור כחוק. </w:t>
      </w:r>
    </w:p>
    <w:p w14:paraId="1FE14DC2" w14:textId="77777777" w:rsidR="003A1152" w:rsidRPr="001069C4" w:rsidRDefault="003A1152" w:rsidP="003A1152">
      <w:pPr>
        <w:pStyle w:val="a9"/>
        <w:spacing w:before="240" w:after="240" w:line="360" w:lineRule="auto"/>
        <w:ind w:hanging="720"/>
        <w:contextualSpacing w:val="0"/>
        <w:jc w:val="both"/>
        <w:rPr>
          <w:rFonts w:ascii="David" w:hAnsi="David" w:cs="David"/>
          <w:sz w:val="14"/>
          <w:szCs w:val="14"/>
        </w:rPr>
      </w:pPr>
    </w:p>
    <w:p w14:paraId="2170CA6B" w14:textId="77777777" w:rsidR="003A1152" w:rsidRDefault="004557D5" w:rsidP="003A1152">
      <w:pPr>
        <w:spacing w:line="360" w:lineRule="auto"/>
        <w:ind w:left="720" w:hanging="720"/>
        <w:jc w:val="both"/>
        <w:rPr>
          <w:rtl/>
        </w:rPr>
      </w:pPr>
      <w:bookmarkStart w:id="8" w:name="Nitan"/>
      <w:r>
        <w:rPr>
          <w:b/>
          <w:bCs/>
          <w:rtl/>
        </w:rPr>
        <w:t xml:space="preserve">ניתן והודע היום כ"ג באדר תש"פ, 19/03/2020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A1152" w14:paraId="5E47858A" w14:textId="77777777" w:rsidTr="003A1152">
        <w:trPr>
          <w:trHeight w:val="316"/>
          <w:jc w:val="right"/>
        </w:trPr>
        <w:tc>
          <w:tcPr>
            <w:tcW w:w="3936" w:type="dxa"/>
            <w:tcBorders>
              <w:top w:val="nil"/>
              <w:left w:val="nil"/>
              <w:bottom w:val="single" w:sz="4" w:space="0" w:color="auto"/>
              <w:right w:val="nil"/>
            </w:tcBorders>
            <w:shd w:val="clear" w:color="auto" w:fill="auto"/>
            <w:vAlign w:val="bottom"/>
          </w:tcPr>
          <w:p w14:paraId="7F123486" w14:textId="77777777" w:rsidR="003A1152" w:rsidRDefault="003A1152" w:rsidP="003A1152">
            <w:pPr>
              <w:ind w:left="720" w:hanging="720"/>
              <w:jc w:val="both"/>
              <w:rPr>
                <w:rtl/>
              </w:rPr>
            </w:pPr>
          </w:p>
          <w:p w14:paraId="7875E7B8" w14:textId="77777777" w:rsidR="003A1152" w:rsidRDefault="003A1152" w:rsidP="003A1152">
            <w:pPr>
              <w:ind w:left="720" w:hanging="720"/>
              <w:jc w:val="both"/>
            </w:pPr>
          </w:p>
        </w:tc>
      </w:tr>
      <w:tr w:rsidR="003A1152" w14:paraId="7E7D9D3B" w14:textId="77777777" w:rsidTr="003A1152">
        <w:trPr>
          <w:trHeight w:val="361"/>
          <w:jc w:val="right"/>
        </w:trPr>
        <w:tc>
          <w:tcPr>
            <w:tcW w:w="3936" w:type="dxa"/>
            <w:tcBorders>
              <w:top w:val="single" w:sz="4" w:space="0" w:color="auto"/>
              <w:left w:val="nil"/>
              <w:bottom w:val="nil"/>
              <w:right w:val="nil"/>
            </w:tcBorders>
            <w:shd w:val="clear" w:color="auto" w:fill="auto"/>
          </w:tcPr>
          <w:p w14:paraId="78DAD72C" w14:textId="77777777" w:rsidR="003A1152" w:rsidRPr="003A1152" w:rsidRDefault="003A1152" w:rsidP="003A1152">
            <w:pPr>
              <w:ind w:left="720" w:hanging="720"/>
              <w:jc w:val="center"/>
              <w:rPr>
                <w:b/>
                <w:bCs/>
                <w:rtl/>
              </w:rPr>
            </w:pPr>
            <w:r w:rsidRPr="003A1152">
              <w:rPr>
                <w:b/>
                <w:bCs/>
                <w:rtl/>
              </w:rPr>
              <w:t>בני</w:t>
            </w:r>
            <w:r w:rsidRPr="003A1152">
              <w:rPr>
                <w:rFonts w:hint="cs"/>
                <w:b/>
                <w:bCs/>
                <w:rtl/>
              </w:rPr>
              <w:t xml:space="preserve"> </w:t>
            </w:r>
            <w:r w:rsidRPr="003A1152">
              <w:rPr>
                <w:b/>
                <w:bCs/>
                <w:rtl/>
              </w:rPr>
              <w:t>שגיא</w:t>
            </w:r>
            <w:r w:rsidRPr="003A1152">
              <w:rPr>
                <w:rFonts w:hint="cs"/>
                <w:b/>
                <w:bCs/>
                <w:rtl/>
              </w:rPr>
              <w:t xml:space="preserve">, </w:t>
            </w:r>
            <w:r w:rsidRPr="003A1152">
              <w:rPr>
                <w:b/>
                <w:bCs/>
                <w:rtl/>
              </w:rPr>
              <w:t>שופט</w:t>
            </w:r>
          </w:p>
        </w:tc>
      </w:tr>
    </w:tbl>
    <w:p w14:paraId="3405D027" w14:textId="77777777" w:rsidR="003A1152" w:rsidRDefault="003A1152" w:rsidP="003A1152">
      <w:pPr>
        <w:spacing w:line="360" w:lineRule="auto"/>
        <w:ind w:left="720" w:hanging="720"/>
        <w:jc w:val="both"/>
        <w:rPr>
          <w:rFonts w:ascii="David" w:hAnsi="David"/>
          <w:rtl/>
        </w:rPr>
      </w:pPr>
    </w:p>
    <w:p w14:paraId="5E0F3B69" w14:textId="77777777" w:rsidR="003A1152" w:rsidRDefault="003A1152" w:rsidP="003A1152">
      <w:pPr>
        <w:spacing w:line="360" w:lineRule="auto"/>
        <w:ind w:left="720" w:hanging="720"/>
        <w:jc w:val="both"/>
        <w:rPr>
          <w:rtl/>
        </w:rPr>
      </w:pPr>
    </w:p>
    <w:p w14:paraId="096723C8" w14:textId="77777777" w:rsidR="003A1152" w:rsidRDefault="003A1152" w:rsidP="003A1152">
      <w:pPr>
        <w:spacing w:line="360" w:lineRule="auto"/>
        <w:ind w:left="720" w:hanging="720"/>
        <w:jc w:val="both"/>
        <w:rPr>
          <w:rtl/>
        </w:rPr>
      </w:pPr>
    </w:p>
    <w:p w14:paraId="54D47411" w14:textId="77777777" w:rsidR="003A1152" w:rsidRPr="004557D5" w:rsidRDefault="004557D5" w:rsidP="003A1152">
      <w:pPr>
        <w:spacing w:line="360" w:lineRule="auto"/>
        <w:ind w:left="720" w:hanging="720"/>
        <w:jc w:val="both"/>
        <w:rPr>
          <w:color w:val="FFFFFF"/>
          <w:sz w:val="2"/>
          <w:szCs w:val="2"/>
          <w:rtl/>
        </w:rPr>
      </w:pPr>
      <w:r w:rsidRPr="004557D5">
        <w:rPr>
          <w:color w:val="FFFFFF"/>
          <w:sz w:val="2"/>
          <w:szCs w:val="2"/>
          <w:rtl/>
        </w:rPr>
        <w:t>5129371</w:t>
      </w:r>
      <w:r w:rsidR="003A1152" w:rsidRPr="004557D5">
        <w:rPr>
          <w:rFonts w:hint="cs"/>
          <w:color w:val="FFFFFF"/>
          <w:sz w:val="2"/>
          <w:szCs w:val="2"/>
          <w:rtl/>
        </w:rPr>
        <w:t xml:space="preserve"> </w:t>
      </w:r>
    </w:p>
    <w:p w14:paraId="757583CB" w14:textId="77777777" w:rsidR="003A1152" w:rsidRPr="004557D5" w:rsidRDefault="004557D5" w:rsidP="003A1152">
      <w:pPr>
        <w:spacing w:line="360" w:lineRule="auto"/>
        <w:ind w:left="720" w:hanging="720"/>
        <w:jc w:val="both"/>
        <w:rPr>
          <w:color w:val="FFFFFF"/>
          <w:sz w:val="2"/>
          <w:szCs w:val="2"/>
          <w:rtl/>
        </w:rPr>
      </w:pPr>
      <w:r w:rsidRPr="004557D5">
        <w:rPr>
          <w:color w:val="FFFFFF"/>
          <w:sz w:val="2"/>
          <w:szCs w:val="2"/>
          <w:rtl/>
        </w:rPr>
        <w:t>54678313</w:t>
      </w:r>
    </w:p>
    <w:p w14:paraId="384DF7DC" w14:textId="77777777" w:rsidR="003A1152" w:rsidRPr="00237558" w:rsidRDefault="003A1152" w:rsidP="003A1152">
      <w:pPr>
        <w:spacing w:line="360" w:lineRule="auto"/>
        <w:ind w:left="720" w:hanging="720"/>
        <w:jc w:val="both"/>
        <w:rPr>
          <w:rFonts w:ascii="David" w:hAnsi="David"/>
          <w:rtl/>
        </w:rPr>
      </w:pPr>
    </w:p>
    <w:p w14:paraId="222A892B" w14:textId="77777777" w:rsidR="003A1152" w:rsidRPr="00237558" w:rsidRDefault="003A1152" w:rsidP="003A1152">
      <w:pPr>
        <w:spacing w:line="360" w:lineRule="auto"/>
        <w:ind w:left="720" w:hanging="720"/>
        <w:jc w:val="both"/>
        <w:rPr>
          <w:rFonts w:ascii="David" w:hAnsi="David"/>
        </w:rPr>
      </w:pPr>
    </w:p>
    <w:p w14:paraId="54DCECB8" w14:textId="77777777" w:rsidR="003A1152" w:rsidRDefault="003A1152" w:rsidP="003A1152">
      <w:pPr>
        <w:pStyle w:val="a9"/>
        <w:spacing w:after="0" w:line="360" w:lineRule="auto"/>
        <w:ind w:hanging="720"/>
        <w:contextualSpacing w:val="0"/>
        <w:jc w:val="both"/>
        <w:rPr>
          <w:rFonts w:ascii="David" w:hAnsi="David" w:cs="David"/>
          <w:b/>
          <w:bCs/>
          <w:sz w:val="24"/>
          <w:szCs w:val="24"/>
          <w:u w:val="single"/>
          <w:rtl/>
        </w:rPr>
      </w:pPr>
    </w:p>
    <w:p w14:paraId="3A722E3A" w14:textId="77777777" w:rsidR="003A1152" w:rsidRDefault="003A1152" w:rsidP="003A1152">
      <w:pPr>
        <w:pStyle w:val="a9"/>
        <w:spacing w:after="0" w:line="360" w:lineRule="auto"/>
        <w:ind w:hanging="720"/>
        <w:contextualSpacing w:val="0"/>
        <w:jc w:val="both"/>
        <w:rPr>
          <w:rFonts w:ascii="David" w:hAnsi="David" w:cs="David"/>
          <w:b/>
          <w:bCs/>
          <w:sz w:val="24"/>
          <w:szCs w:val="24"/>
          <w:u w:val="single"/>
          <w:rtl/>
        </w:rPr>
      </w:pPr>
    </w:p>
    <w:p w14:paraId="496449AD" w14:textId="77777777" w:rsidR="001A0DC5" w:rsidRPr="004557D5" w:rsidRDefault="001A0DC5" w:rsidP="004557D5">
      <w:pPr>
        <w:keepNext/>
        <w:rPr>
          <w:rFonts w:ascii="David" w:hAnsi="David"/>
          <w:color w:val="000000"/>
          <w:sz w:val="22"/>
          <w:szCs w:val="22"/>
          <w:rtl/>
        </w:rPr>
      </w:pPr>
    </w:p>
    <w:p w14:paraId="276B4D30" w14:textId="77777777" w:rsidR="004557D5" w:rsidRPr="004557D5" w:rsidRDefault="004557D5" w:rsidP="004557D5">
      <w:pPr>
        <w:keepNext/>
        <w:rPr>
          <w:rFonts w:ascii="David" w:hAnsi="David"/>
          <w:color w:val="000000"/>
          <w:sz w:val="22"/>
          <w:szCs w:val="22"/>
          <w:rtl/>
        </w:rPr>
      </w:pPr>
      <w:r w:rsidRPr="004557D5">
        <w:rPr>
          <w:rFonts w:ascii="David" w:hAnsi="David"/>
          <w:color w:val="000000"/>
          <w:sz w:val="22"/>
          <w:szCs w:val="22"/>
          <w:rtl/>
        </w:rPr>
        <w:t>בני שגיא 54678313</w:t>
      </w:r>
    </w:p>
    <w:p w14:paraId="5A7CEE06" w14:textId="77777777" w:rsidR="004557D5" w:rsidRDefault="004557D5" w:rsidP="004557D5">
      <w:r w:rsidRPr="004557D5">
        <w:rPr>
          <w:color w:val="000000"/>
          <w:rtl/>
        </w:rPr>
        <w:t>נוסח מסמך זה כפוף לשינויי ניסוח ועריכה</w:t>
      </w:r>
    </w:p>
    <w:p w14:paraId="05C42FE1" w14:textId="77777777" w:rsidR="004557D5" w:rsidRDefault="004557D5" w:rsidP="004557D5">
      <w:pPr>
        <w:rPr>
          <w:rtl/>
        </w:rPr>
      </w:pPr>
    </w:p>
    <w:p w14:paraId="526D7A18" w14:textId="77777777" w:rsidR="004557D5" w:rsidRDefault="004557D5" w:rsidP="004557D5">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4CF1BCC4" w14:textId="77777777" w:rsidR="004557D5" w:rsidRPr="004557D5" w:rsidRDefault="004557D5" w:rsidP="004557D5">
      <w:pPr>
        <w:jc w:val="center"/>
        <w:rPr>
          <w:color w:val="0000FF"/>
          <w:u w:val="single"/>
        </w:rPr>
      </w:pPr>
    </w:p>
    <w:sectPr w:rsidR="004557D5" w:rsidRPr="004557D5" w:rsidSect="004557D5">
      <w:headerReference w:type="even" r:id="rId27"/>
      <w:headerReference w:type="default" r:id="rId28"/>
      <w:footerReference w:type="even" r:id="rId29"/>
      <w:footerReference w:type="default" r:id="rId30"/>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4CAA5A" w14:textId="77777777" w:rsidR="006C7004" w:rsidRDefault="006C7004" w:rsidP="00470052">
      <w:r>
        <w:separator/>
      </w:r>
    </w:p>
  </w:endnote>
  <w:endnote w:type="continuationSeparator" w:id="0">
    <w:p w14:paraId="594FF24A" w14:textId="77777777" w:rsidR="006C7004" w:rsidRDefault="006C7004" w:rsidP="00470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54553" w14:textId="77777777" w:rsidR="004557D5" w:rsidRDefault="004557D5" w:rsidP="004557D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9414C74" w14:textId="77777777" w:rsidR="00354622" w:rsidRPr="004557D5" w:rsidRDefault="004557D5" w:rsidP="004557D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84585" w14:textId="77777777" w:rsidR="004557D5" w:rsidRDefault="004557D5" w:rsidP="004557D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D728B">
      <w:rPr>
        <w:rFonts w:ascii="FrankRuehl" w:hAnsi="FrankRuehl" w:cs="FrankRuehl"/>
        <w:noProof/>
        <w:rtl/>
      </w:rPr>
      <w:t>1</w:t>
    </w:r>
    <w:r>
      <w:rPr>
        <w:rFonts w:ascii="FrankRuehl" w:hAnsi="FrankRuehl" w:cs="FrankRuehl"/>
        <w:rtl/>
      </w:rPr>
      <w:fldChar w:fldCharType="end"/>
    </w:r>
  </w:p>
  <w:p w14:paraId="2B0FAB3A" w14:textId="77777777" w:rsidR="00354622" w:rsidRPr="004557D5" w:rsidRDefault="004557D5" w:rsidP="004557D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55FAD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B6F85" w14:textId="77777777" w:rsidR="006C7004" w:rsidRDefault="006C7004" w:rsidP="00470052">
      <w:r>
        <w:separator/>
      </w:r>
    </w:p>
  </w:footnote>
  <w:footnote w:type="continuationSeparator" w:id="0">
    <w:p w14:paraId="47D6B1F0" w14:textId="77777777" w:rsidR="006C7004" w:rsidRDefault="006C7004" w:rsidP="00470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C2AC6" w14:textId="77777777" w:rsidR="004557D5" w:rsidRPr="004557D5" w:rsidRDefault="004557D5" w:rsidP="004557D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43983-05-19</w:t>
    </w:r>
    <w:r>
      <w:rPr>
        <w:rFonts w:ascii="David" w:hAnsi="David"/>
        <w:color w:val="000000"/>
        <w:sz w:val="22"/>
        <w:szCs w:val="22"/>
        <w:rtl/>
      </w:rPr>
      <w:tab/>
      <w:t xml:space="preserve"> מדינת ישראל נ' אופיר ראובן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4A558" w14:textId="77777777" w:rsidR="004557D5" w:rsidRPr="004557D5" w:rsidRDefault="004557D5" w:rsidP="004557D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43983-05-19</w:t>
    </w:r>
    <w:r>
      <w:rPr>
        <w:rFonts w:ascii="David" w:hAnsi="David"/>
        <w:color w:val="000000"/>
        <w:sz w:val="22"/>
        <w:szCs w:val="22"/>
        <w:rtl/>
      </w:rPr>
      <w:tab/>
      <w:t xml:space="preserve"> מדינת ישראל נ' אופיר ראובן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E1C61"/>
    <w:multiLevelType w:val="hybridMultilevel"/>
    <w:tmpl w:val="C91257CC"/>
    <w:lvl w:ilvl="0" w:tplc="B27A9250">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8F42F0E"/>
    <w:multiLevelType w:val="hybridMultilevel"/>
    <w:tmpl w:val="D9D2ED5C"/>
    <w:lvl w:ilvl="0" w:tplc="83D4D900">
      <w:start w:val="1"/>
      <w:numFmt w:val="hebrew1"/>
      <w:lvlText w:val="(%1)"/>
      <w:lvlJc w:val="left"/>
      <w:pPr>
        <w:ind w:left="1440" w:hanging="72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29283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6132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A1152"/>
    <w:rsid w:val="000D728B"/>
    <w:rsid w:val="001A0DC5"/>
    <w:rsid w:val="00354622"/>
    <w:rsid w:val="003716A0"/>
    <w:rsid w:val="003A1152"/>
    <w:rsid w:val="004557D5"/>
    <w:rsid w:val="00470052"/>
    <w:rsid w:val="005C33E2"/>
    <w:rsid w:val="006C7004"/>
    <w:rsid w:val="00C501AB"/>
    <w:rsid w:val="00EE15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D32963"/>
  <w15:chartTrackingRefBased/>
  <w15:docId w15:val="{4C7E2F0B-2C57-43A9-8EEC-32A6FAF6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115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A1152"/>
    <w:pPr>
      <w:tabs>
        <w:tab w:val="center" w:pos="4153"/>
        <w:tab w:val="right" w:pos="8306"/>
      </w:tabs>
    </w:pPr>
  </w:style>
  <w:style w:type="character" w:customStyle="1" w:styleId="a4">
    <w:name w:val="כותרת עליונה תו"/>
    <w:link w:val="a3"/>
    <w:rsid w:val="003A1152"/>
    <w:rPr>
      <w:rFonts w:ascii="Times New Roman" w:eastAsia="Times New Roman" w:hAnsi="Times New Roman" w:cs="David"/>
      <w:sz w:val="24"/>
      <w:szCs w:val="24"/>
    </w:rPr>
  </w:style>
  <w:style w:type="paragraph" w:styleId="a5">
    <w:name w:val="footer"/>
    <w:basedOn w:val="a"/>
    <w:link w:val="a6"/>
    <w:rsid w:val="003A1152"/>
    <w:pPr>
      <w:tabs>
        <w:tab w:val="center" w:pos="4153"/>
        <w:tab w:val="right" w:pos="8306"/>
      </w:tabs>
    </w:pPr>
  </w:style>
  <w:style w:type="character" w:customStyle="1" w:styleId="a6">
    <w:name w:val="כותרת תחתונה תו"/>
    <w:link w:val="a5"/>
    <w:rsid w:val="003A1152"/>
    <w:rPr>
      <w:rFonts w:ascii="Times New Roman" w:eastAsia="Times New Roman" w:hAnsi="Times New Roman" w:cs="David"/>
      <w:sz w:val="24"/>
      <w:szCs w:val="24"/>
    </w:rPr>
  </w:style>
  <w:style w:type="table" w:styleId="a7">
    <w:name w:val="Table Grid"/>
    <w:basedOn w:val="a1"/>
    <w:rsid w:val="003A115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A1152"/>
  </w:style>
  <w:style w:type="paragraph" w:styleId="a9">
    <w:name w:val="List Paragraph"/>
    <w:basedOn w:val="a"/>
    <w:qFormat/>
    <w:rsid w:val="003A1152"/>
    <w:pPr>
      <w:spacing w:after="160" w:line="256" w:lineRule="auto"/>
      <w:ind w:left="720"/>
      <w:contextualSpacing/>
    </w:pPr>
    <w:rPr>
      <w:rFonts w:ascii="Calibri" w:eastAsia="Calibri" w:hAnsi="Calibri" w:cs="Arial"/>
      <w:sz w:val="22"/>
      <w:szCs w:val="22"/>
    </w:rPr>
  </w:style>
  <w:style w:type="character" w:styleId="Hyperlink">
    <w:name w:val="Hyperlink"/>
    <w:rsid w:val="004557D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0118363"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0151395"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20683594" TargetMode="External"/><Relationship Id="rId25" Type="http://schemas.openxmlformats.org/officeDocument/2006/relationships/hyperlink" Target="http://www.nevo.co.il/case/20571533" TargetMode="External"/><Relationship Id="rId2" Type="http://schemas.openxmlformats.org/officeDocument/2006/relationships/styles" Target="styles.xml"/><Relationship Id="rId16" Type="http://schemas.openxmlformats.org/officeDocument/2006/relationships/hyperlink" Target="http://www.nevo.co.il/case/5786821" TargetMode="External"/><Relationship Id="rId20" Type="http://schemas.openxmlformats.org/officeDocument/2006/relationships/hyperlink" Target="http://www.nevo.co.il/case/22282352"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538506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5383099" TargetMode="External"/><Relationship Id="rId28" Type="http://schemas.openxmlformats.org/officeDocument/2006/relationships/header" Target="header2.xml"/><Relationship Id="rId10" Type="http://schemas.openxmlformats.org/officeDocument/2006/relationships/hyperlink" Target="http://www.nevo.co.il/law/4216/10" TargetMode="External"/><Relationship Id="rId19" Type="http://schemas.openxmlformats.org/officeDocument/2006/relationships/hyperlink" Target="http://www.nevo.co.il/case/1126977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23226242"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2708</Words>
  <Characters>13544</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16220</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3473526</vt:i4>
      </vt:variant>
      <vt:variant>
        <vt:i4>54</vt:i4>
      </vt:variant>
      <vt:variant>
        <vt:i4>0</vt:i4>
      </vt:variant>
      <vt:variant>
        <vt:i4>5</vt:i4>
      </vt:variant>
      <vt:variant>
        <vt:lpwstr>http://www.nevo.co.il/case/20571533</vt:lpwstr>
      </vt:variant>
      <vt:variant>
        <vt:lpwstr/>
      </vt:variant>
      <vt:variant>
        <vt:i4>3276921</vt:i4>
      </vt:variant>
      <vt:variant>
        <vt:i4>51</vt:i4>
      </vt:variant>
      <vt:variant>
        <vt:i4>0</vt:i4>
      </vt:variant>
      <vt:variant>
        <vt:i4>5</vt:i4>
      </vt:variant>
      <vt:variant>
        <vt:lpwstr>http://www.nevo.co.il/case/25385062</vt:lpwstr>
      </vt:variant>
      <vt:variant>
        <vt:lpwstr/>
      </vt:variant>
      <vt:variant>
        <vt:i4>3866745</vt:i4>
      </vt:variant>
      <vt:variant>
        <vt:i4>48</vt:i4>
      </vt:variant>
      <vt:variant>
        <vt:i4>0</vt:i4>
      </vt:variant>
      <vt:variant>
        <vt:i4>5</vt:i4>
      </vt:variant>
      <vt:variant>
        <vt:lpwstr>http://www.nevo.co.il/case/25383099</vt:lpwstr>
      </vt:variant>
      <vt:variant>
        <vt:lpwstr/>
      </vt:variant>
      <vt:variant>
        <vt:i4>3276919</vt:i4>
      </vt:variant>
      <vt:variant>
        <vt:i4>45</vt:i4>
      </vt:variant>
      <vt:variant>
        <vt:i4>0</vt:i4>
      </vt:variant>
      <vt:variant>
        <vt:i4>5</vt:i4>
      </vt:variant>
      <vt:variant>
        <vt:lpwstr>http://www.nevo.co.il/case/23226242</vt:lpwstr>
      </vt:variant>
      <vt:variant>
        <vt:lpwstr/>
      </vt:variant>
      <vt:variant>
        <vt:i4>3866738</vt:i4>
      </vt:variant>
      <vt:variant>
        <vt:i4>42</vt:i4>
      </vt:variant>
      <vt:variant>
        <vt:i4>0</vt:i4>
      </vt:variant>
      <vt:variant>
        <vt:i4>5</vt:i4>
      </vt:variant>
      <vt:variant>
        <vt:lpwstr>http://www.nevo.co.il/case/20151395</vt:lpwstr>
      </vt:variant>
      <vt:variant>
        <vt:lpwstr/>
      </vt:variant>
      <vt:variant>
        <vt:i4>3604605</vt:i4>
      </vt:variant>
      <vt:variant>
        <vt:i4>39</vt:i4>
      </vt:variant>
      <vt:variant>
        <vt:i4>0</vt:i4>
      </vt:variant>
      <vt:variant>
        <vt:i4>5</vt:i4>
      </vt:variant>
      <vt:variant>
        <vt:lpwstr>http://www.nevo.co.il/case/22282352</vt:lpwstr>
      </vt:variant>
      <vt:variant>
        <vt:lpwstr/>
      </vt:variant>
      <vt:variant>
        <vt:i4>3997812</vt:i4>
      </vt:variant>
      <vt:variant>
        <vt:i4>36</vt:i4>
      </vt:variant>
      <vt:variant>
        <vt:i4>0</vt:i4>
      </vt:variant>
      <vt:variant>
        <vt:i4>5</vt:i4>
      </vt:variant>
      <vt:variant>
        <vt:lpwstr>http://www.nevo.co.il/case/11269774</vt:lpwstr>
      </vt:variant>
      <vt:variant>
        <vt:lpwstr/>
      </vt:variant>
      <vt:variant>
        <vt:i4>3997814</vt:i4>
      </vt:variant>
      <vt:variant>
        <vt:i4>33</vt:i4>
      </vt:variant>
      <vt:variant>
        <vt:i4>0</vt:i4>
      </vt:variant>
      <vt:variant>
        <vt:i4>5</vt:i4>
      </vt:variant>
      <vt:variant>
        <vt:lpwstr>http://www.nevo.co.il/case/20118363</vt:lpwstr>
      </vt:variant>
      <vt:variant>
        <vt:lpwstr/>
      </vt:variant>
      <vt:variant>
        <vt:i4>4063353</vt:i4>
      </vt:variant>
      <vt:variant>
        <vt:i4>30</vt:i4>
      </vt:variant>
      <vt:variant>
        <vt:i4>0</vt:i4>
      </vt:variant>
      <vt:variant>
        <vt:i4>5</vt:i4>
      </vt:variant>
      <vt:variant>
        <vt:lpwstr>http://www.nevo.co.il/case/20683594</vt:lpwstr>
      </vt:variant>
      <vt:variant>
        <vt:lpwstr/>
      </vt:variant>
      <vt:variant>
        <vt:i4>3407991</vt:i4>
      </vt:variant>
      <vt:variant>
        <vt:i4>27</vt:i4>
      </vt:variant>
      <vt:variant>
        <vt:i4>0</vt:i4>
      </vt:variant>
      <vt:variant>
        <vt:i4>5</vt:i4>
      </vt:variant>
      <vt:variant>
        <vt:lpwstr>http://www.nevo.co.il/case/5786821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5177418</vt:i4>
      </vt:variant>
      <vt:variant>
        <vt:i4>21</vt:i4>
      </vt:variant>
      <vt:variant>
        <vt:i4>0</vt:i4>
      </vt:variant>
      <vt:variant>
        <vt:i4>5</vt:i4>
      </vt:variant>
      <vt:variant>
        <vt:lpwstr>http://www.nevo.co.il/law/4216/10</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2025-04-22T21:00:00Z</dcterms:created>
  <dcterms:modified xsi:type="dcterms:W3CDTF">2025-04-22T21:00:00Z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43983</vt:lpwstr>
  </property>
  <property fmtid="{D5CDD505-2E9C-101B-9397-08002B2CF9AE}" pid="6" name="NEWPARTB">
    <vt:lpwstr>05</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אופיר ראובן</vt:lpwstr>
  </property>
  <property fmtid="{D5CDD505-2E9C-101B-9397-08002B2CF9AE}" pid="10" name="LAWYER">
    <vt:lpwstr>יוסי קורצברג;נס בן נתן</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20200319</vt:lpwstr>
  </property>
  <property fmtid="{D5CDD505-2E9C-101B-9397-08002B2CF9AE}" pid="14" name="TYPE_N_DATE">
    <vt:lpwstr>39020200319</vt:lpwstr>
  </property>
  <property fmtid="{D5CDD505-2E9C-101B-9397-08002B2CF9AE}" pid="15" name="CASESLISTTMP1">
    <vt:lpwstr>5786821;20683594;20118363;11269774;22282352;20151395;23226242;25383099;25385062;20571533</vt:lpwstr>
  </property>
  <property fmtid="{D5CDD505-2E9C-101B-9397-08002B2CF9AE}" pid="16" name="WORDNUMPAGES">
    <vt:lpwstr>8</vt:lpwstr>
  </property>
  <property fmtid="{D5CDD505-2E9C-101B-9397-08002B2CF9AE}" pid="17" name="TYPE_ABS_DATE">
    <vt:lpwstr>390020200319</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4216/007.a;007.c;010</vt:lpwstr>
  </property>
  <property fmtid="{D5CDD505-2E9C-101B-9397-08002B2CF9AE}" pid="37" name="LAWLISTTMP2">
    <vt:lpwstr>70301</vt:lpwstr>
  </property>
</Properties>
</file>