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AB3FA4" w:rsidRPr="00121D98" w14:paraId="5837EAA1" w14:textId="77777777" w:rsidTr="00501156">
        <w:trPr>
          <w:trHeight w:hRule="exact" w:val="418"/>
          <w:jc w:val="center"/>
        </w:trPr>
        <w:tc>
          <w:tcPr>
            <w:tcW w:w="8721" w:type="dxa"/>
            <w:gridSpan w:val="2"/>
          </w:tcPr>
          <w:p w14:paraId="489A0829" w14:textId="77777777" w:rsidR="00AB3FA4" w:rsidRPr="00121D98" w:rsidRDefault="00AB3FA4" w:rsidP="005E4853">
            <w:pPr>
              <w:pStyle w:val="a3"/>
              <w:jc w:val="center"/>
              <w:rPr>
                <w:rFonts w:ascii="Tahoma" w:hAnsi="Tahoma" w:cs="Tahoma"/>
                <w:color w:val="000080"/>
                <w:rtl/>
              </w:rPr>
            </w:pPr>
            <w:r w:rsidRPr="00121D98">
              <w:rPr>
                <w:rFonts w:ascii="Tahoma" w:hAnsi="Tahoma" w:cs="Tahoma"/>
                <w:b/>
                <w:bCs/>
                <w:color w:val="000080"/>
                <w:rtl/>
              </w:rPr>
              <w:t>בית המשפט המחוזי בבאר שבע</w:t>
            </w:r>
          </w:p>
        </w:tc>
      </w:tr>
      <w:tr w:rsidR="00AB3FA4" w:rsidRPr="00121D98" w14:paraId="4962A214" w14:textId="77777777" w:rsidTr="00501156">
        <w:trPr>
          <w:trHeight w:val="337"/>
          <w:jc w:val="center"/>
        </w:trPr>
        <w:tc>
          <w:tcPr>
            <w:tcW w:w="5047" w:type="dxa"/>
          </w:tcPr>
          <w:p w14:paraId="7431053E" w14:textId="77777777" w:rsidR="00AB3FA4" w:rsidRPr="00121D98" w:rsidRDefault="00AB3FA4" w:rsidP="005E4853">
            <w:pPr>
              <w:rPr>
                <w:rFonts w:ascii="David" w:hAnsi="David"/>
                <w:b/>
                <w:bCs/>
                <w:rtl/>
              </w:rPr>
            </w:pPr>
            <w:r w:rsidRPr="00121D98">
              <w:rPr>
                <w:rFonts w:ascii="David" w:hAnsi="David"/>
                <w:b/>
                <w:bCs/>
                <w:rtl/>
              </w:rPr>
              <w:t xml:space="preserve">בפני כבוד סגן הנשיאה, השופט אליהו ביתן </w:t>
            </w:r>
          </w:p>
        </w:tc>
        <w:tc>
          <w:tcPr>
            <w:tcW w:w="3674" w:type="dxa"/>
          </w:tcPr>
          <w:p w14:paraId="17A304CD" w14:textId="77777777" w:rsidR="00AB3FA4" w:rsidRPr="00121D98" w:rsidRDefault="00AB3FA4" w:rsidP="005E4853">
            <w:pPr>
              <w:jc w:val="right"/>
              <w:rPr>
                <w:rFonts w:ascii="David" w:hAnsi="David"/>
                <w:b/>
                <w:bCs/>
                <w:rtl/>
              </w:rPr>
            </w:pPr>
            <w:r w:rsidRPr="00121D98">
              <w:rPr>
                <w:rFonts w:ascii="David" w:hAnsi="David"/>
                <w:b/>
                <w:bCs/>
                <w:rtl/>
              </w:rPr>
              <w:t>14 במאי 2020</w:t>
            </w:r>
          </w:p>
          <w:p w14:paraId="63FBE7E4" w14:textId="77777777" w:rsidR="00AB3FA4" w:rsidRPr="00121D98" w:rsidRDefault="00AB3FA4" w:rsidP="005E4853">
            <w:pPr>
              <w:jc w:val="right"/>
              <w:rPr>
                <w:rFonts w:ascii="David" w:hAnsi="David"/>
                <w:b/>
                <w:bCs/>
                <w:rtl/>
              </w:rPr>
            </w:pPr>
          </w:p>
          <w:p w14:paraId="51FBF13D" w14:textId="77777777" w:rsidR="00AB3FA4" w:rsidRPr="00121D98" w:rsidRDefault="00AB3FA4" w:rsidP="005E4853">
            <w:pPr>
              <w:jc w:val="right"/>
              <w:rPr>
                <w:rFonts w:ascii="David" w:hAnsi="David"/>
                <w:b/>
                <w:bCs/>
                <w:rtl/>
              </w:rPr>
            </w:pPr>
            <w:r w:rsidRPr="00121D98">
              <w:rPr>
                <w:rFonts w:ascii="David" w:hAnsi="David"/>
                <w:b/>
                <w:bCs/>
                <w:rtl/>
              </w:rPr>
              <w:t>ת"פ 21477-06-19 מדינת ישראל נ' בר(עציר)</w:t>
            </w:r>
          </w:p>
        </w:tc>
      </w:tr>
    </w:tbl>
    <w:p w14:paraId="67F0A8D6" w14:textId="77777777" w:rsidR="00AB3FA4" w:rsidRPr="00121D98" w:rsidRDefault="00AB3FA4" w:rsidP="00AB3FA4">
      <w:pPr>
        <w:pStyle w:val="a3"/>
        <w:rPr>
          <w:rtl/>
        </w:rPr>
      </w:pPr>
      <w:bookmarkStart w:id="0" w:name="LastJudge"/>
      <w:bookmarkEnd w:id="0"/>
      <w:r w:rsidRPr="00121D98">
        <w:rPr>
          <w:rFonts w:hint="cs"/>
          <w:rtl/>
        </w:rPr>
        <w:t xml:space="preserve"> </w:t>
      </w:r>
    </w:p>
    <w:p w14:paraId="168A1633" w14:textId="77777777" w:rsidR="00AB3FA4" w:rsidRPr="00121D98" w:rsidRDefault="00AB3FA4" w:rsidP="00AB3FA4">
      <w:pPr>
        <w:spacing w:line="360" w:lineRule="auto"/>
        <w:jc w:val="both"/>
        <w:rPr>
          <w:rFonts w:ascii="David" w:hAnsi="David"/>
          <w:b/>
          <w:bCs/>
          <w:rtl/>
        </w:rPr>
      </w:pPr>
    </w:p>
    <w:p w14:paraId="4A82710D" w14:textId="77777777" w:rsidR="00AB3FA4" w:rsidRPr="00121D98" w:rsidRDefault="00AB3FA4" w:rsidP="00AB3FA4">
      <w:pPr>
        <w:spacing w:line="360" w:lineRule="auto"/>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47"/>
        <w:gridCol w:w="3627"/>
      </w:tblGrid>
      <w:tr w:rsidR="00AB3FA4" w:rsidRPr="00121D98" w14:paraId="16C6A0B9" w14:textId="77777777" w:rsidTr="00AB3FA4">
        <w:trPr>
          <w:trHeight w:val="355"/>
          <w:jc w:val="center"/>
        </w:trPr>
        <w:tc>
          <w:tcPr>
            <w:tcW w:w="1246" w:type="dxa"/>
            <w:tcBorders>
              <w:top w:val="nil"/>
              <w:left w:val="nil"/>
              <w:bottom w:val="nil"/>
              <w:right w:val="nil"/>
            </w:tcBorders>
            <w:shd w:val="clear" w:color="auto" w:fill="auto"/>
          </w:tcPr>
          <w:p w14:paraId="0937E75A" w14:textId="77777777" w:rsidR="00AB3FA4" w:rsidRPr="00121D98" w:rsidRDefault="00AB3FA4" w:rsidP="00AB3FA4">
            <w:pPr>
              <w:spacing w:line="360" w:lineRule="auto"/>
              <w:jc w:val="both"/>
              <w:rPr>
                <w:rFonts w:ascii="David" w:hAnsi="David"/>
                <w:b/>
                <w:bCs/>
              </w:rPr>
            </w:pPr>
            <w:r w:rsidRPr="00121D98">
              <w:rPr>
                <w:rFonts w:ascii="David" w:hAnsi="David"/>
                <w:b/>
                <w:bCs/>
                <w:rtl/>
              </w:rPr>
              <w:t>בעניין:</w:t>
            </w:r>
          </w:p>
        </w:tc>
        <w:tc>
          <w:tcPr>
            <w:tcW w:w="3947" w:type="dxa"/>
            <w:tcBorders>
              <w:top w:val="nil"/>
              <w:left w:val="nil"/>
              <w:bottom w:val="nil"/>
              <w:right w:val="nil"/>
            </w:tcBorders>
            <w:shd w:val="clear" w:color="auto" w:fill="auto"/>
          </w:tcPr>
          <w:p w14:paraId="40B32330" w14:textId="77777777" w:rsidR="00AB3FA4" w:rsidRPr="00121D98" w:rsidRDefault="00AB3FA4" w:rsidP="00AB3FA4">
            <w:pPr>
              <w:spacing w:line="360" w:lineRule="auto"/>
              <w:jc w:val="both"/>
              <w:rPr>
                <w:rFonts w:ascii="David" w:hAnsi="David"/>
                <w:b/>
                <w:bCs/>
              </w:rPr>
            </w:pPr>
            <w:r w:rsidRPr="00121D98">
              <w:rPr>
                <w:rFonts w:ascii="David" w:hAnsi="David"/>
                <w:b/>
                <w:bCs/>
                <w:rtl/>
              </w:rPr>
              <w:t xml:space="preserve">     </w:t>
            </w:r>
          </w:p>
        </w:tc>
        <w:tc>
          <w:tcPr>
            <w:tcW w:w="3627" w:type="dxa"/>
            <w:tcBorders>
              <w:top w:val="nil"/>
              <w:left w:val="nil"/>
              <w:bottom w:val="nil"/>
              <w:right w:val="nil"/>
            </w:tcBorders>
            <w:shd w:val="clear" w:color="auto" w:fill="auto"/>
          </w:tcPr>
          <w:p w14:paraId="3359CAD2" w14:textId="77777777" w:rsidR="00AB3FA4" w:rsidRPr="00121D98" w:rsidRDefault="00AB3FA4" w:rsidP="00AB3FA4">
            <w:pPr>
              <w:spacing w:line="360" w:lineRule="auto"/>
              <w:jc w:val="both"/>
              <w:rPr>
                <w:rFonts w:ascii="David" w:hAnsi="David"/>
                <w:b/>
                <w:bCs/>
              </w:rPr>
            </w:pPr>
          </w:p>
        </w:tc>
      </w:tr>
      <w:tr w:rsidR="00AB3FA4" w:rsidRPr="00121D98" w14:paraId="22ECC012" w14:textId="77777777" w:rsidTr="00AB3FA4">
        <w:trPr>
          <w:trHeight w:val="355"/>
          <w:jc w:val="center"/>
        </w:trPr>
        <w:tc>
          <w:tcPr>
            <w:tcW w:w="1246" w:type="dxa"/>
            <w:tcBorders>
              <w:top w:val="nil"/>
              <w:left w:val="nil"/>
              <w:bottom w:val="nil"/>
              <w:right w:val="nil"/>
            </w:tcBorders>
            <w:shd w:val="clear" w:color="auto" w:fill="auto"/>
          </w:tcPr>
          <w:p w14:paraId="5D10A927" w14:textId="77777777" w:rsidR="00AB3FA4" w:rsidRPr="00121D98" w:rsidRDefault="00AB3FA4" w:rsidP="00AB3FA4">
            <w:pPr>
              <w:spacing w:line="360" w:lineRule="auto"/>
              <w:jc w:val="both"/>
              <w:rPr>
                <w:rFonts w:ascii="David" w:hAnsi="David"/>
                <w:b/>
                <w:bCs/>
                <w:rtl/>
              </w:rPr>
            </w:pPr>
            <w:bookmarkStart w:id="1" w:name="FirstAppellant"/>
            <w:r w:rsidRPr="00121D98">
              <w:rPr>
                <w:rFonts w:ascii="David" w:hAnsi="David" w:hint="cs"/>
                <w:b/>
                <w:bCs/>
                <w:rtl/>
              </w:rPr>
              <w:t>המאשימה:</w:t>
            </w:r>
          </w:p>
        </w:tc>
        <w:tc>
          <w:tcPr>
            <w:tcW w:w="3947" w:type="dxa"/>
            <w:tcBorders>
              <w:top w:val="nil"/>
              <w:left w:val="nil"/>
              <w:bottom w:val="nil"/>
              <w:right w:val="nil"/>
            </w:tcBorders>
            <w:shd w:val="clear" w:color="auto" w:fill="auto"/>
          </w:tcPr>
          <w:p w14:paraId="6336361A" w14:textId="77777777" w:rsidR="00AB3FA4" w:rsidRPr="00121D98" w:rsidRDefault="00AB3FA4" w:rsidP="00AB3FA4">
            <w:pPr>
              <w:spacing w:line="360" w:lineRule="auto"/>
              <w:jc w:val="both"/>
              <w:rPr>
                <w:rFonts w:ascii="David" w:hAnsi="David"/>
                <w:b/>
                <w:bCs/>
                <w:rtl/>
              </w:rPr>
            </w:pPr>
            <w:r w:rsidRPr="00121D98">
              <w:rPr>
                <w:rFonts w:ascii="David" w:hAnsi="David" w:hint="cs"/>
                <w:b/>
                <w:bCs/>
                <w:rtl/>
              </w:rPr>
              <w:t xml:space="preserve">מדינת ישראל </w:t>
            </w:r>
          </w:p>
        </w:tc>
        <w:tc>
          <w:tcPr>
            <w:tcW w:w="3627" w:type="dxa"/>
            <w:tcBorders>
              <w:top w:val="nil"/>
              <w:left w:val="nil"/>
              <w:bottom w:val="nil"/>
              <w:right w:val="nil"/>
            </w:tcBorders>
            <w:shd w:val="clear" w:color="auto" w:fill="auto"/>
          </w:tcPr>
          <w:p w14:paraId="31C663BB" w14:textId="77777777" w:rsidR="00AB3FA4" w:rsidRPr="00121D98" w:rsidRDefault="00AB3FA4" w:rsidP="00AB3FA4">
            <w:pPr>
              <w:spacing w:line="360" w:lineRule="auto"/>
              <w:jc w:val="both"/>
              <w:rPr>
                <w:rFonts w:ascii="David" w:hAnsi="David"/>
                <w:b/>
                <w:bCs/>
                <w:rtl/>
              </w:rPr>
            </w:pPr>
          </w:p>
        </w:tc>
      </w:tr>
      <w:bookmarkEnd w:id="1"/>
      <w:tr w:rsidR="00AB3FA4" w:rsidRPr="00121D98" w14:paraId="7277302D" w14:textId="77777777" w:rsidTr="00AB3FA4">
        <w:trPr>
          <w:trHeight w:val="355"/>
          <w:jc w:val="center"/>
        </w:trPr>
        <w:tc>
          <w:tcPr>
            <w:tcW w:w="1246" w:type="dxa"/>
            <w:tcBorders>
              <w:top w:val="nil"/>
              <w:left w:val="nil"/>
              <w:bottom w:val="nil"/>
              <w:right w:val="nil"/>
            </w:tcBorders>
            <w:shd w:val="clear" w:color="auto" w:fill="auto"/>
          </w:tcPr>
          <w:p w14:paraId="6F9142C9" w14:textId="77777777" w:rsidR="00AB3FA4" w:rsidRPr="00121D98" w:rsidRDefault="00AB3FA4" w:rsidP="00AB3FA4">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32BC0777" w14:textId="77777777" w:rsidR="00AB3FA4" w:rsidRPr="00121D98" w:rsidRDefault="00AB3FA4" w:rsidP="00AB3FA4">
            <w:pPr>
              <w:spacing w:line="360" w:lineRule="auto"/>
              <w:jc w:val="center"/>
              <w:rPr>
                <w:rFonts w:ascii="David" w:hAnsi="David"/>
                <w:b/>
                <w:bCs/>
              </w:rPr>
            </w:pPr>
            <w:r w:rsidRPr="00121D98">
              <w:rPr>
                <w:rFonts w:ascii="David" w:hAnsi="David"/>
                <w:b/>
                <w:bCs/>
                <w:sz w:val="28"/>
                <w:szCs w:val="28"/>
                <w:rtl/>
              </w:rPr>
              <w:t>נגד</w:t>
            </w:r>
          </w:p>
        </w:tc>
      </w:tr>
      <w:tr w:rsidR="00AB3FA4" w:rsidRPr="00121D98" w14:paraId="78E5BC77" w14:textId="77777777" w:rsidTr="00AB3FA4">
        <w:trPr>
          <w:trHeight w:val="355"/>
          <w:jc w:val="center"/>
        </w:trPr>
        <w:tc>
          <w:tcPr>
            <w:tcW w:w="1246" w:type="dxa"/>
            <w:tcBorders>
              <w:top w:val="nil"/>
              <w:left w:val="nil"/>
              <w:bottom w:val="nil"/>
              <w:right w:val="nil"/>
            </w:tcBorders>
            <w:shd w:val="clear" w:color="auto" w:fill="auto"/>
          </w:tcPr>
          <w:p w14:paraId="61802748" w14:textId="77777777" w:rsidR="00AB3FA4" w:rsidRPr="00121D98" w:rsidRDefault="00AB3FA4" w:rsidP="00AB3FA4">
            <w:pPr>
              <w:spacing w:line="360" w:lineRule="auto"/>
              <w:jc w:val="both"/>
              <w:rPr>
                <w:rFonts w:ascii="David" w:hAnsi="David"/>
                <w:b/>
                <w:bCs/>
                <w:rtl/>
              </w:rPr>
            </w:pPr>
            <w:r w:rsidRPr="00121D98">
              <w:rPr>
                <w:rFonts w:ascii="David" w:hAnsi="David" w:hint="cs"/>
                <w:b/>
                <w:bCs/>
                <w:rtl/>
              </w:rPr>
              <w:t>הנאשם:</w:t>
            </w:r>
          </w:p>
        </w:tc>
        <w:tc>
          <w:tcPr>
            <w:tcW w:w="3947" w:type="dxa"/>
            <w:tcBorders>
              <w:top w:val="nil"/>
              <w:left w:val="nil"/>
              <w:bottom w:val="nil"/>
              <w:right w:val="nil"/>
            </w:tcBorders>
            <w:shd w:val="clear" w:color="auto" w:fill="auto"/>
          </w:tcPr>
          <w:p w14:paraId="0C6FD598" w14:textId="77777777" w:rsidR="00AB3FA4" w:rsidRPr="00121D98" w:rsidRDefault="00AB3FA4" w:rsidP="00AB3FA4">
            <w:pPr>
              <w:spacing w:line="360" w:lineRule="auto"/>
              <w:jc w:val="both"/>
              <w:rPr>
                <w:rFonts w:ascii="David" w:hAnsi="David"/>
                <w:b/>
                <w:bCs/>
                <w:rtl/>
              </w:rPr>
            </w:pPr>
            <w:r w:rsidRPr="00121D98">
              <w:rPr>
                <w:rFonts w:ascii="David" w:hAnsi="David"/>
                <w:b/>
                <w:bCs/>
                <w:rtl/>
              </w:rPr>
              <w:t>ערן בר (עציר)</w:t>
            </w:r>
          </w:p>
        </w:tc>
        <w:tc>
          <w:tcPr>
            <w:tcW w:w="3627" w:type="dxa"/>
            <w:tcBorders>
              <w:top w:val="nil"/>
              <w:left w:val="nil"/>
              <w:bottom w:val="nil"/>
              <w:right w:val="nil"/>
            </w:tcBorders>
            <w:shd w:val="clear" w:color="auto" w:fill="auto"/>
          </w:tcPr>
          <w:p w14:paraId="3961D2EE" w14:textId="77777777" w:rsidR="00AB3FA4" w:rsidRPr="00121D98" w:rsidRDefault="00AB3FA4" w:rsidP="00AB3FA4">
            <w:pPr>
              <w:spacing w:line="360" w:lineRule="auto"/>
              <w:jc w:val="both"/>
              <w:rPr>
                <w:rFonts w:ascii="David" w:hAnsi="David"/>
                <w:b/>
                <w:bCs/>
              </w:rPr>
            </w:pPr>
          </w:p>
        </w:tc>
      </w:tr>
    </w:tbl>
    <w:p w14:paraId="207C106D" w14:textId="77777777" w:rsidR="00501156" w:rsidRDefault="00501156" w:rsidP="00AB3FA4">
      <w:pPr>
        <w:spacing w:line="360" w:lineRule="auto"/>
        <w:jc w:val="both"/>
        <w:rPr>
          <w:rFonts w:ascii="David" w:hAnsi="David"/>
          <w:rtl/>
        </w:rPr>
      </w:pPr>
      <w:bookmarkStart w:id="2" w:name="LawTable"/>
      <w:bookmarkEnd w:id="2"/>
    </w:p>
    <w:p w14:paraId="528EEE5A" w14:textId="77777777" w:rsidR="00501156" w:rsidRPr="00501156" w:rsidRDefault="00501156" w:rsidP="00501156">
      <w:pPr>
        <w:spacing w:after="120" w:line="240" w:lineRule="exact"/>
        <w:ind w:left="283" w:hanging="283"/>
        <w:jc w:val="both"/>
        <w:rPr>
          <w:rFonts w:ascii="FrankRuehl" w:hAnsi="FrankRuehl" w:cs="FrankRuehl"/>
          <w:rtl/>
        </w:rPr>
      </w:pPr>
    </w:p>
    <w:p w14:paraId="505ADAD8" w14:textId="77777777" w:rsidR="00501156" w:rsidRPr="00501156" w:rsidRDefault="00501156" w:rsidP="00501156">
      <w:pPr>
        <w:spacing w:after="120" w:line="240" w:lineRule="exact"/>
        <w:ind w:left="283" w:hanging="283"/>
        <w:jc w:val="both"/>
        <w:rPr>
          <w:rFonts w:ascii="FrankRuehl" w:hAnsi="FrankRuehl" w:cs="FrankRuehl"/>
          <w:rtl/>
        </w:rPr>
      </w:pPr>
      <w:r w:rsidRPr="00501156">
        <w:rPr>
          <w:rFonts w:ascii="FrankRuehl" w:hAnsi="FrankRuehl" w:cs="FrankRuehl"/>
          <w:rtl/>
        </w:rPr>
        <w:t xml:space="preserve">חקיקה שאוזכרה: </w:t>
      </w:r>
    </w:p>
    <w:p w14:paraId="488A7CBD" w14:textId="77777777" w:rsidR="00501156" w:rsidRPr="00501156" w:rsidRDefault="00501156" w:rsidP="00501156">
      <w:pPr>
        <w:spacing w:after="120" w:line="240" w:lineRule="exact"/>
        <w:ind w:left="283" w:hanging="283"/>
        <w:jc w:val="both"/>
        <w:rPr>
          <w:rFonts w:ascii="FrankRuehl" w:hAnsi="FrankRuehl" w:cs="FrankRuehl"/>
          <w:color w:val="0000FF"/>
          <w:u w:val="single"/>
          <w:rtl/>
        </w:rPr>
      </w:pPr>
      <w:hyperlink r:id="rId6" w:history="1">
        <w:r w:rsidRPr="00501156">
          <w:rPr>
            <w:rStyle w:val="Hyperlink"/>
            <w:rFonts w:ascii="FrankRuehl" w:hAnsi="FrankRuehl" w:cs="FrankRuehl"/>
            <w:rtl/>
          </w:rPr>
          <w:t>פקודת הסמים המסוכנים [נוסח חדש], תשל"ג-1973</w:t>
        </w:r>
      </w:hyperlink>
      <w:r w:rsidRPr="00501156">
        <w:rPr>
          <w:rFonts w:ascii="FrankRuehl" w:hAnsi="FrankRuehl" w:cs="FrankRuehl"/>
          <w:color w:val="0000FF"/>
          <w:u w:val="single"/>
          <w:rtl/>
        </w:rPr>
        <w:t xml:space="preserve">: סע'  </w:t>
      </w:r>
      <w:hyperlink r:id="rId7" w:history="1">
        <w:r w:rsidRPr="00501156">
          <w:rPr>
            <w:rStyle w:val="Hyperlink"/>
            <w:rFonts w:ascii="FrankRuehl" w:hAnsi="FrankRuehl" w:cs="FrankRuehl"/>
          </w:rPr>
          <w:t>7.</w:t>
        </w:r>
        <w:r w:rsidRPr="00501156">
          <w:rPr>
            <w:rStyle w:val="Hyperlink"/>
            <w:rFonts w:ascii="FrankRuehl" w:hAnsi="FrankRuehl" w:cs="FrankRuehl"/>
            <w:rtl/>
          </w:rPr>
          <w:t>א</w:t>
        </w:r>
        <w:r w:rsidRPr="00501156">
          <w:rPr>
            <w:rStyle w:val="Hyperlink"/>
            <w:rFonts w:ascii="FrankRuehl" w:hAnsi="FrankRuehl" w:cs="FrankRuehl"/>
          </w:rPr>
          <w:t>.</w:t>
        </w:r>
      </w:hyperlink>
      <w:r w:rsidRPr="00501156">
        <w:rPr>
          <w:rFonts w:ascii="FrankRuehl" w:hAnsi="FrankRuehl" w:cs="FrankRuehl"/>
          <w:color w:val="0000FF"/>
          <w:u w:val="single"/>
          <w:rtl/>
        </w:rPr>
        <w:t xml:space="preserve">, </w:t>
      </w:r>
      <w:hyperlink r:id="rId8" w:history="1">
        <w:r w:rsidRPr="00501156">
          <w:rPr>
            <w:rStyle w:val="Hyperlink"/>
            <w:rFonts w:ascii="FrankRuehl" w:hAnsi="FrankRuehl" w:cs="FrankRuehl"/>
          </w:rPr>
          <w:t>7.</w:t>
        </w:r>
        <w:r w:rsidRPr="00501156">
          <w:rPr>
            <w:rStyle w:val="Hyperlink"/>
            <w:rFonts w:ascii="FrankRuehl" w:hAnsi="FrankRuehl" w:cs="FrankRuehl"/>
            <w:rtl/>
          </w:rPr>
          <w:t>ג</w:t>
        </w:r>
      </w:hyperlink>
      <w:r w:rsidRPr="00501156">
        <w:rPr>
          <w:rFonts w:ascii="FrankRuehl" w:hAnsi="FrankRuehl" w:cs="FrankRuehl"/>
          <w:color w:val="0000FF"/>
          <w:u w:val="single"/>
          <w:rtl/>
        </w:rPr>
        <w:t xml:space="preserve">, </w:t>
      </w:r>
      <w:hyperlink r:id="rId9" w:history="1">
        <w:r w:rsidRPr="00501156">
          <w:rPr>
            <w:rStyle w:val="Hyperlink"/>
            <w:rFonts w:ascii="FrankRuehl" w:hAnsi="FrankRuehl" w:cs="FrankRuehl"/>
          </w:rPr>
          <w:t>31(3)</w:t>
        </w:r>
      </w:hyperlink>
    </w:p>
    <w:p w14:paraId="03E04A90" w14:textId="77777777" w:rsidR="00501156" w:rsidRPr="00501156" w:rsidRDefault="00501156" w:rsidP="00501156">
      <w:pPr>
        <w:spacing w:after="120" w:line="240" w:lineRule="exact"/>
        <w:ind w:left="283" w:hanging="283"/>
        <w:jc w:val="both"/>
        <w:rPr>
          <w:rFonts w:ascii="FrankRuehl" w:hAnsi="FrankRuehl" w:cs="FrankRuehl"/>
          <w:color w:val="0000FF"/>
          <w:u w:val="single"/>
          <w:rtl/>
        </w:rPr>
      </w:pPr>
      <w:hyperlink r:id="rId10" w:history="1">
        <w:r w:rsidRPr="00501156">
          <w:rPr>
            <w:rStyle w:val="Hyperlink"/>
            <w:rFonts w:ascii="FrankRuehl" w:hAnsi="FrankRuehl" w:cs="FrankRuehl"/>
            <w:rtl/>
          </w:rPr>
          <w:t>חוק העונשין, תשל"ז-1977</w:t>
        </w:r>
      </w:hyperlink>
      <w:r w:rsidRPr="00501156">
        <w:rPr>
          <w:rFonts w:ascii="FrankRuehl" w:hAnsi="FrankRuehl" w:cs="FrankRuehl"/>
          <w:color w:val="0000FF"/>
          <w:u w:val="single"/>
          <w:rtl/>
        </w:rPr>
        <w:t xml:space="preserve">: סע'  </w:t>
      </w:r>
      <w:hyperlink r:id="rId11" w:history="1">
        <w:r w:rsidRPr="00501156">
          <w:rPr>
            <w:rStyle w:val="Hyperlink"/>
            <w:rFonts w:ascii="FrankRuehl" w:hAnsi="FrankRuehl" w:cs="FrankRuehl"/>
          </w:rPr>
          <w:t>31</w:t>
        </w:r>
      </w:hyperlink>
      <w:r w:rsidRPr="00501156">
        <w:rPr>
          <w:rFonts w:ascii="FrankRuehl" w:hAnsi="FrankRuehl" w:cs="FrankRuehl"/>
          <w:color w:val="0000FF"/>
          <w:u w:val="single"/>
          <w:rtl/>
        </w:rPr>
        <w:t xml:space="preserve">, </w:t>
      </w:r>
      <w:hyperlink r:id="rId12" w:history="1">
        <w:r w:rsidRPr="00501156">
          <w:rPr>
            <w:rStyle w:val="Hyperlink"/>
            <w:rFonts w:ascii="FrankRuehl" w:hAnsi="FrankRuehl" w:cs="FrankRuehl"/>
          </w:rPr>
          <w:t>58</w:t>
        </w:r>
      </w:hyperlink>
    </w:p>
    <w:p w14:paraId="4E991901" w14:textId="77777777" w:rsidR="00501156" w:rsidRPr="00501156" w:rsidRDefault="00501156" w:rsidP="00AB3FA4">
      <w:pPr>
        <w:spacing w:line="360" w:lineRule="auto"/>
        <w:jc w:val="both"/>
        <w:rPr>
          <w:rFonts w:ascii="David" w:hAnsi="David" w:hint="cs"/>
          <w:b/>
          <w:bCs/>
          <w:rtl/>
        </w:rPr>
      </w:pPr>
      <w:bookmarkStart w:id="3" w:name="LawTable_End"/>
      <w:bookmarkEnd w:id="3"/>
    </w:p>
    <w:p w14:paraId="62611906" w14:textId="77777777" w:rsidR="00AB3FA4" w:rsidRPr="00501156" w:rsidRDefault="00AB3FA4" w:rsidP="00AB3FA4">
      <w:pPr>
        <w:spacing w:line="360" w:lineRule="auto"/>
        <w:jc w:val="both"/>
        <w:rPr>
          <w:rFonts w:ascii="David" w:hAnsi="David"/>
          <w:b/>
          <w:bCs/>
        </w:rPr>
      </w:pPr>
    </w:p>
    <w:p w14:paraId="4209D6F8" w14:textId="77777777" w:rsidR="00121D98" w:rsidRPr="00121D98" w:rsidRDefault="00121D98" w:rsidP="00121D98">
      <w:pPr>
        <w:spacing w:line="360" w:lineRule="auto"/>
        <w:jc w:val="both"/>
        <w:rPr>
          <w:rFonts w:ascii="David" w:hAnsi="David"/>
          <w:rtl/>
        </w:rPr>
      </w:pPr>
    </w:p>
    <w:p w14:paraId="0E88AF21" w14:textId="77777777" w:rsidR="00AB3FA4" w:rsidRPr="00121D98" w:rsidRDefault="00AB3FA4" w:rsidP="00AB3FA4">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3FA4" w:rsidRPr="00F51524" w14:paraId="46861A60" w14:textId="77777777" w:rsidTr="00AB3FA4">
        <w:trPr>
          <w:trHeight w:val="355"/>
          <w:jc w:val="center"/>
        </w:trPr>
        <w:tc>
          <w:tcPr>
            <w:tcW w:w="8820" w:type="dxa"/>
            <w:tcBorders>
              <w:top w:val="nil"/>
              <w:left w:val="nil"/>
              <w:bottom w:val="nil"/>
              <w:right w:val="nil"/>
            </w:tcBorders>
            <w:shd w:val="clear" w:color="auto" w:fill="auto"/>
          </w:tcPr>
          <w:p w14:paraId="2CB33FF5" w14:textId="77777777" w:rsidR="00121D98" w:rsidRPr="00121D98" w:rsidRDefault="00121D98" w:rsidP="00121D98">
            <w:pPr>
              <w:spacing w:line="360" w:lineRule="auto"/>
              <w:jc w:val="center"/>
              <w:rPr>
                <w:rFonts w:ascii="David" w:hAnsi="David"/>
                <w:b/>
                <w:bCs/>
                <w:sz w:val="28"/>
                <w:szCs w:val="28"/>
                <w:u w:val="single"/>
                <w:rtl/>
              </w:rPr>
            </w:pPr>
            <w:bookmarkStart w:id="4" w:name="PsakDin" w:colFirst="0" w:colLast="0"/>
            <w:r w:rsidRPr="00121D98">
              <w:rPr>
                <w:rFonts w:ascii="David" w:hAnsi="David"/>
                <w:b/>
                <w:bCs/>
                <w:sz w:val="28"/>
                <w:szCs w:val="28"/>
                <w:u w:val="single"/>
                <w:rtl/>
              </w:rPr>
              <w:t>גזר דין</w:t>
            </w:r>
          </w:p>
          <w:p w14:paraId="73A971F8" w14:textId="77777777" w:rsidR="00AB3FA4" w:rsidRPr="00121D98" w:rsidRDefault="00AB3FA4" w:rsidP="00121D98">
            <w:pPr>
              <w:spacing w:line="360" w:lineRule="auto"/>
              <w:jc w:val="center"/>
              <w:rPr>
                <w:rFonts w:ascii="David" w:hAnsi="David"/>
                <w:b/>
                <w:bCs/>
                <w:sz w:val="28"/>
                <w:szCs w:val="28"/>
                <w:u w:val="single"/>
                <w:rtl/>
              </w:rPr>
            </w:pPr>
          </w:p>
        </w:tc>
      </w:tr>
      <w:bookmarkEnd w:id="4"/>
    </w:tbl>
    <w:p w14:paraId="21AEA247" w14:textId="77777777" w:rsidR="00AB3FA4" w:rsidRPr="00F51524" w:rsidRDefault="00AB3FA4" w:rsidP="00AB3FA4">
      <w:pPr>
        <w:spacing w:line="360" w:lineRule="auto"/>
        <w:jc w:val="both"/>
        <w:rPr>
          <w:rFonts w:ascii="David" w:hAnsi="David"/>
          <w:rtl/>
        </w:rPr>
      </w:pPr>
    </w:p>
    <w:p w14:paraId="4394499F" w14:textId="77777777" w:rsidR="00AB3FA4" w:rsidRPr="00F51524" w:rsidRDefault="00AB3FA4" w:rsidP="00AB3FA4">
      <w:pPr>
        <w:spacing w:line="360" w:lineRule="auto"/>
        <w:jc w:val="both"/>
        <w:rPr>
          <w:rFonts w:ascii="David" w:hAnsi="David"/>
          <w:b/>
          <w:bCs/>
          <w:u w:val="single"/>
          <w:rtl/>
        </w:rPr>
      </w:pPr>
      <w:r w:rsidRPr="00F51524">
        <w:rPr>
          <w:rFonts w:ascii="David" w:hAnsi="David"/>
          <w:b/>
          <w:bCs/>
          <w:u w:val="single"/>
          <w:rtl/>
        </w:rPr>
        <w:t>כללי</w:t>
      </w:r>
    </w:p>
    <w:p w14:paraId="2AD92BB5"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1.</w:t>
      </w:r>
      <w:r w:rsidRPr="00F51524">
        <w:rPr>
          <w:rFonts w:ascii="David" w:hAnsi="David"/>
          <w:rtl/>
        </w:rPr>
        <w:tab/>
      </w:r>
      <w:bookmarkStart w:id="5" w:name="ABSTRACT_START"/>
      <w:bookmarkEnd w:id="5"/>
      <w:r w:rsidRPr="00F51524">
        <w:rPr>
          <w:rFonts w:ascii="David" w:hAnsi="David"/>
          <w:rtl/>
        </w:rPr>
        <w:t xml:space="preserve">בטרם שמיעת הראיות, הגיעו הצדדים להסדר טיעון במסגרתו הוגש נגד הנאשם כתב אישום מתוקן והנאשם הודה בעובדותיו, שאלה הן עיקריהן - </w:t>
      </w:r>
    </w:p>
    <w:p w14:paraId="686E9B83" w14:textId="77777777" w:rsidR="00AB3FA4" w:rsidRPr="00F51524" w:rsidRDefault="00AB3FA4" w:rsidP="00AB3FA4">
      <w:pPr>
        <w:spacing w:line="360" w:lineRule="auto"/>
        <w:ind w:left="720"/>
        <w:jc w:val="both"/>
        <w:rPr>
          <w:rFonts w:ascii="David" w:hAnsi="David"/>
          <w:rtl/>
        </w:rPr>
      </w:pPr>
      <w:r w:rsidRPr="00F51524">
        <w:rPr>
          <w:rFonts w:ascii="David" w:hAnsi="David"/>
          <w:rtl/>
        </w:rPr>
        <w:t>ביום 28.05.19 בסמוך לשעה 21:00 הנאשם החזיק ברכב שכור ונהג בו בכביש 90, מצפון לדרום, לעבר המחסום הצפוני של העיר אילת. באותה עת, נמצא מתחת למושב הנהג ברכב סם מסוכן מסוג קוקאין במשקל של 995.9 גרם. במצב הדברים המתואר, הנאשם סייע לאחר להחזיק בסם האמור.</w:t>
      </w:r>
    </w:p>
    <w:p w14:paraId="7650EBD8" w14:textId="77777777" w:rsidR="00AB3FA4" w:rsidRPr="00F51524" w:rsidRDefault="00AB3FA4" w:rsidP="00AB3FA4">
      <w:pPr>
        <w:spacing w:line="360" w:lineRule="auto"/>
        <w:ind w:left="720"/>
        <w:jc w:val="both"/>
        <w:rPr>
          <w:rFonts w:ascii="David" w:hAnsi="David"/>
          <w:rtl/>
        </w:rPr>
      </w:pPr>
      <w:bookmarkStart w:id="6" w:name="ABSTRACT_END"/>
      <w:bookmarkEnd w:id="6"/>
    </w:p>
    <w:p w14:paraId="1974B5F5"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2.</w:t>
      </w:r>
      <w:r w:rsidRPr="00F51524">
        <w:rPr>
          <w:rFonts w:ascii="David" w:hAnsi="David"/>
          <w:rtl/>
        </w:rPr>
        <w:tab/>
        <w:t xml:space="preserve">על יסוד הודאת הנאשם בעובדות כתב האישום המתוקן כאמור, הנאשם הורשע בעבירה של סיוע להחזקת סם מסוכן שלא לצריכה עצמית, לפי סעיף </w:t>
      </w:r>
      <w:hyperlink r:id="rId13" w:history="1">
        <w:r w:rsidR="00501156" w:rsidRPr="00501156">
          <w:rPr>
            <w:rStyle w:val="Hyperlink"/>
            <w:rFonts w:ascii="David" w:hAnsi="David"/>
            <w:color w:val="0000FF"/>
            <w:rtl/>
          </w:rPr>
          <w:t>7(א) ו-(ג)</w:t>
        </w:r>
      </w:hyperlink>
      <w:r w:rsidRPr="00F51524">
        <w:rPr>
          <w:rFonts w:ascii="David" w:hAnsi="David"/>
          <w:rtl/>
        </w:rPr>
        <w:t xml:space="preserve"> רישא </w:t>
      </w:r>
      <w:r w:rsidRPr="00F51524">
        <w:rPr>
          <w:rFonts w:ascii="David" w:hAnsi="David"/>
          <w:rtl/>
          <w:lang w:eastAsia="he-IL"/>
        </w:rPr>
        <w:t>ב</w:t>
      </w:r>
      <w:hyperlink r:id="rId14" w:history="1">
        <w:r w:rsidR="00121D98" w:rsidRPr="00121D98">
          <w:rPr>
            <w:rFonts w:ascii="David" w:hAnsi="David"/>
            <w:color w:val="0000FF"/>
            <w:u w:val="single"/>
            <w:rtl/>
            <w:lang w:eastAsia="he-IL"/>
          </w:rPr>
          <w:t>פקודת הסמים המסוכנים</w:t>
        </w:r>
      </w:hyperlink>
      <w:r w:rsidRPr="00F51524">
        <w:rPr>
          <w:rFonts w:ascii="David" w:hAnsi="David"/>
          <w:rtl/>
          <w:lang w:eastAsia="he-IL"/>
        </w:rPr>
        <w:t xml:space="preserve"> [נוסח חדש] תשל"ג – 1973, </w:t>
      </w:r>
      <w:hyperlink r:id="rId15" w:history="1">
        <w:r w:rsidR="00501156" w:rsidRPr="00501156">
          <w:rPr>
            <w:rStyle w:val="Hyperlink"/>
            <w:rFonts w:ascii="David" w:hAnsi="David"/>
            <w:color w:val="0000FF"/>
            <w:rtl/>
            <w:lang w:eastAsia="he-IL"/>
          </w:rPr>
          <w:t>וסעיף 31</w:t>
        </w:r>
      </w:hyperlink>
      <w:r w:rsidRPr="00F51524">
        <w:rPr>
          <w:rFonts w:ascii="David" w:hAnsi="David"/>
          <w:rtl/>
          <w:lang w:eastAsia="he-IL"/>
        </w:rPr>
        <w:t xml:space="preserve"> ב</w:t>
      </w:r>
      <w:hyperlink r:id="rId16" w:history="1">
        <w:r w:rsidR="00121D98" w:rsidRPr="00121D98">
          <w:rPr>
            <w:rFonts w:ascii="David" w:hAnsi="David"/>
            <w:color w:val="0000FF"/>
            <w:u w:val="single"/>
            <w:rtl/>
            <w:lang w:eastAsia="he-IL"/>
          </w:rPr>
          <w:t>חוק העונשין</w:t>
        </w:r>
      </w:hyperlink>
      <w:r w:rsidRPr="00F51524">
        <w:rPr>
          <w:rFonts w:ascii="David" w:hAnsi="David"/>
          <w:rtl/>
          <w:lang w:eastAsia="he-IL"/>
        </w:rPr>
        <w:t xml:space="preserve"> התשל"ז-1977.</w:t>
      </w:r>
    </w:p>
    <w:p w14:paraId="2D752E7A" w14:textId="77777777" w:rsidR="00AB3FA4" w:rsidRPr="00F51524" w:rsidRDefault="00AB3FA4" w:rsidP="00AB3FA4">
      <w:pPr>
        <w:spacing w:line="360" w:lineRule="auto"/>
        <w:ind w:left="720"/>
        <w:jc w:val="both"/>
        <w:rPr>
          <w:rFonts w:ascii="David" w:hAnsi="David"/>
          <w:rtl/>
        </w:rPr>
      </w:pPr>
      <w:r w:rsidRPr="00F51524">
        <w:rPr>
          <w:rFonts w:ascii="David" w:hAnsi="David"/>
          <w:rtl/>
        </w:rPr>
        <w:t xml:space="preserve"> </w:t>
      </w:r>
    </w:p>
    <w:p w14:paraId="0384DA30"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lastRenderedPageBreak/>
        <w:t>3.</w:t>
      </w:r>
      <w:r w:rsidRPr="00F51524">
        <w:rPr>
          <w:rFonts w:ascii="David" w:hAnsi="David"/>
          <w:rtl/>
        </w:rPr>
        <w:tab/>
        <w:t xml:space="preserve">במסגרת הסדר הטיעון, המליצו הצדדים לבית המשפט להטיל על הנאשם 44 חודשי מאסר בפועל, ולהפעיל מאסר על תנאי בן 12 חודשים באופן שמחצית התקופה תהיה במצטבר לתקופת המאסר שתוטל על הנאשם בתיק זה ומחצית בחופף לה, כך שבסה"כ הנאשם ישא 50 חודשי מאסר בפועל. ולהטיל על הנאשם מאסר על תנאי, לפי שיקול דעת בית המשפט. </w:t>
      </w:r>
    </w:p>
    <w:p w14:paraId="1AB30B14" w14:textId="77777777" w:rsidR="00AB3FA4" w:rsidRPr="00F51524" w:rsidRDefault="00AB3FA4" w:rsidP="00AB3FA4">
      <w:pPr>
        <w:spacing w:line="360" w:lineRule="auto"/>
        <w:ind w:left="720"/>
        <w:jc w:val="both"/>
        <w:rPr>
          <w:rFonts w:ascii="David" w:hAnsi="David"/>
          <w:rtl/>
        </w:rPr>
      </w:pPr>
    </w:p>
    <w:p w14:paraId="61BCB51D"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4.</w:t>
      </w:r>
      <w:r w:rsidRPr="00F51524">
        <w:rPr>
          <w:rFonts w:ascii="David" w:hAnsi="David"/>
          <w:rtl/>
        </w:rPr>
        <w:tab/>
        <w:t xml:space="preserve">ב"כ המאשימה טען כי העונש המוצע אמנם מקל עם הנאשם אך הוא אינו בלתי סביר. טען כי השיקול המרכזי העומד ברקע ההסדר הוא נסיבותיו האישיות של הנאשם, המטופל בשני ילדים בעלי בעיות רפואיות, והרצון שהנאשם מביע לטפל בעצמו ולשנות את אורחות חייו. ציין כי העונש המוצע נמצא על מנעד הענישה הנוהגת בנסיבות דומות. הפנה לפסיקה התומכת בהסדר. וציין שהנאשם הודה, לקח אחריות על מעשיו וחסך זמן שיפוטי. הגיש את המרשם הפלילי של הנאשם, את גזר הדין בו הוטל עליו המאסר על תנאי שההרשעה כאן מפעילה, ופסיקה. וביקש לכבד את הסדר הטיעון. </w:t>
      </w:r>
    </w:p>
    <w:p w14:paraId="1F7CF1E1" w14:textId="77777777" w:rsidR="00AB3FA4" w:rsidRPr="00F51524" w:rsidRDefault="00AB3FA4" w:rsidP="00AB3FA4">
      <w:pPr>
        <w:spacing w:line="360" w:lineRule="auto"/>
        <w:jc w:val="both"/>
        <w:rPr>
          <w:rFonts w:ascii="David" w:hAnsi="David"/>
          <w:rtl/>
        </w:rPr>
      </w:pPr>
    </w:p>
    <w:p w14:paraId="1757FE23"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5.</w:t>
      </w:r>
      <w:r w:rsidRPr="00F51524">
        <w:rPr>
          <w:rFonts w:ascii="David" w:hAnsi="David"/>
          <w:rtl/>
        </w:rPr>
        <w:tab/>
        <w:t xml:space="preserve">ב"כ הנאשם טען כי במסגרת הליך המעצר התקבלה על הנאשם חוות דעת המצביעה על שימוש בסמים קשים במשך שנים רבות. באותו הליך ההגנה ביקשה שהנאשם יישלח למסגרת טיפולית לגמילה משימוש בסמים אך הגורמים הטיפוליים התרשמו כי הנאשם אינו בשל לכך. במהלך תקופת מעצרו, הנאשם השתלב בפרויקט טיפולי, הוא מתמיד בו מזה כחצי שנה והוא נקי מסמים. עוד טען, כי לנאשם 3 ילדים, ששניים מהם "מטופלים ברמה הפסיכיאטרית". והדגיש שכתב האישום המתוקן מייחס לנאשם עבירת סיוע, על כל המשתמע מכך. </w:t>
      </w:r>
    </w:p>
    <w:p w14:paraId="25BD3D70" w14:textId="77777777" w:rsidR="00AB3FA4" w:rsidRPr="00F51524" w:rsidRDefault="00AB3FA4" w:rsidP="00AB3FA4">
      <w:pPr>
        <w:spacing w:line="360" w:lineRule="auto"/>
        <w:ind w:left="720"/>
        <w:jc w:val="both"/>
        <w:rPr>
          <w:rFonts w:ascii="David" w:hAnsi="David"/>
          <w:rtl/>
        </w:rPr>
      </w:pPr>
      <w:r w:rsidRPr="00F51524">
        <w:rPr>
          <w:rFonts w:ascii="David" w:hAnsi="David"/>
          <w:rtl/>
        </w:rPr>
        <w:t xml:space="preserve">טען, כי הנאשם מבקש לשנות את חייו וכי זו הפעם הראשונה שהוא נענה להליך טיפולי. טען כי העונש המוצע כולל מאסר בפועל לתקופה משמעותית והוא נמצא במתחם הסבירות, הגיש פסיקה, וביקש לכבד את ההסדר. </w:t>
      </w:r>
    </w:p>
    <w:p w14:paraId="67EAB86B" w14:textId="77777777" w:rsidR="00AB3FA4" w:rsidRPr="00F51524" w:rsidRDefault="00AB3FA4" w:rsidP="00AB3FA4">
      <w:pPr>
        <w:spacing w:line="360" w:lineRule="auto"/>
        <w:ind w:left="720" w:hanging="720"/>
        <w:jc w:val="both"/>
        <w:rPr>
          <w:rFonts w:ascii="David" w:hAnsi="David"/>
          <w:rtl/>
        </w:rPr>
      </w:pPr>
    </w:p>
    <w:p w14:paraId="32B1CCB2"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ab/>
        <w:t xml:space="preserve">הנאשם אמר כי מגיל 19 הוא נכנס ויוצא מבתי סוהר, אף פעם לא לקח אחריות על מעשיו ולמעשה הרס את משפחתו. מזה מספר חודשים הוא משולב בהליך טיפולי במסגרת המעצר, שאחריו יוצאים לטיפול בקהילה או שממשיכים הליך טיפולי בכלא. והביע רצון לשנות את חייו. </w:t>
      </w:r>
    </w:p>
    <w:p w14:paraId="6A068AC0" w14:textId="77777777" w:rsidR="00AB3FA4" w:rsidRPr="00F51524" w:rsidRDefault="00AB3FA4" w:rsidP="00AB3FA4">
      <w:pPr>
        <w:spacing w:line="360" w:lineRule="auto"/>
        <w:ind w:left="720" w:hanging="720"/>
        <w:jc w:val="both"/>
        <w:rPr>
          <w:rFonts w:ascii="David" w:hAnsi="David"/>
          <w:rtl/>
        </w:rPr>
      </w:pPr>
    </w:p>
    <w:p w14:paraId="1805C989" w14:textId="77777777" w:rsidR="00AB3FA4" w:rsidRPr="00F51524" w:rsidRDefault="00AB3FA4" w:rsidP="00AB3FA4">
      <w:pPr>
        <w:spacing w:line="360" w:lineRule="auto"/>
        <w:ind w:left="720" w:hanging="720"/>
        <w:jc w:val="both"/>
        <w:rPr>
          <w:rFonts w:ascii="David" w:hAnsi="David"/>
          <w:b/>
          <w:bCs/>
          <w:u w:val="single"/>
          <w:rtl/>
        </w:rPr>
      </w:pPr>
      <w:r w:rsidRPr="00F51524">
        <w:rPr>
          <w:rFonts w:ascii="David" w:hAnsi="David"/>
          <w:b/>
          <w:bCs/>
          <w:u w:val="single"/>
          <w:rtl/>
        </w:rPr>
        <w:t>דיון והכרעה</w:t>
      </w:r>
    </w:p>
    <w:p w14:paraId="311141D2" w14:textId="77777777" w:rsidR="00AB3FA4" w:rsidRPr="00F51524" w:rsidRDefault="00AB3FA4" w:rsidP="00AB3FA4">
      <w:pPr>
        <w:spacing w:line="360" w:lineRule="auto"/>
        <w:ind w:left="720" w:hanging="720"/>
        <w:jc w:val="both"/>
        <w:rPr>
          <w:rFonts w:ascii="David" w:hAnsi="David"/>
          <w:rtl/>
        </w:rPr>
      </w:pPr>
    </w:p>
    <w:p w14:paraId="7E16DFD7"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rPr>
        <w:t>1.</w:t>
      </w:r>
      <w:r w:rsidRPr="00F51524">
        <w:rPr>
          <w:rFonts w:ascii="David" w:hAnsi="David"/>
          <w:rtl/>
        </w:rPr>
        <w:tab/>
      </w:r>
      <w:r w:rsidRPr="00F51524">
        <w:rPr>
          <w:rFonts w:ascii="David" w:hAnsi="David"/>
          <w:rtl/>
          <w:lang w:eastAsia="he-IL"/>
        </w:rPr>
        <w:t xml:space="preserve">השימוש בסמים גורם נזקים בריאותיים פיזיים ונפשיים חמורים; גורם לתלות; פוגע בתפקוד; חושף את הציבור לעבירות רכוש ואלימות הקשורות בצורך להשיג את הסמים; ופוגע במשתמש, בסביבתו, ובחברה בכללה. </w:t>
      </w:r>
    </w:p>
    <w:p w14:paraId="4E96310B" w14:textId="77777777" w:rsidR="00AB3FA4" w:rsidRPr="00F51524" w:rsidRDefault="00AB3FA4" w:rsidP="00AB3FA4">
      <w:pPr>
        <w:spacing w:line="360" w:lineRule="auto"/>
        <w:ind w:left="720" w:hanging="720"/>
        <w:jc w:val="both"/>
        <w:rPr>
          <w:rFonts w:ascii="David" w:hAnsi="David"/>
          <w:rtl/>
          <w:lang w:eastAsia="he-IL"/>
        </w:rPr>
      </w:pPr>
    </w:p>
    <w:p w14:paraId="72E4493C"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lastRenderedPageBreak/>
        <w:t>2.</w:t>
      </w:r>
      <w:r w:rsidRPr="00F51524">
        <w:rPr>
          <w:rFonts w:ascii="David" w:hAnsi="David"/>
          <w:rtl/>
          <w:lang w:eastAsia="he-IL"/>
        </w:rPr>
        <w:tab/>
      </w:r>
      <w:r w:rsidRPr="00F51524">
        <w:rPr>
          <w:rFonts w:ascii="David" w:hAnsi="David"/>
          <w:b/>
          <w:rtl/>
          <w:lang w:eastAsia="he-IL"/>
        </w:rPr>
        <w:t xml:space="preserve">לסם הקוקאין נודעת השפעה הרסנית במיוחד, על גופו ועל נפשו של המשתמש. </w:t>
      </w:r>
    </w:p>
    <w:p w14:paraId="3ADA859F" w14:textId="77777777" w:rsidR="00AB3FA4" w:rsidRPr="00F51524" w:rsidRDefault="00AB3FA4" w:rsidP="00AB3FA4">
      <w:pPr>
        <w:spacing w:line="360" w:lineRule="auto"/>
        <w:ind w:left="720"/>
        <w:jc w:val="both"/>
        <w:rPr>
          <w:rFonts w:ascii="David" w:hAnsi="David"/>
          <w:b/>
          <w:lang w:eastAsia="he-IL"/>
        </w:rPr>
      </w:pPr>
    </w:p>
    <w:p w14:paraId="6C45044B" w14:textId="77777777" w:rsidR="00AB3FA4" w:rsidRPr="00F51524" w:rsidRDefault="00AB3FA4" w:rsidP="00AB3FA4">
      <w:pPr>
        <w:spacing w:line="360" w:lineRule="auto"/>
        <w:ind w:left="1440"/>
        <w:jc w:val="both"/>
        <w:rPr>
          <w:rFonts w:ascii="David" w:hAnsi="David"/>
          <w:b/>
          <w:rtl/>
          <w:lang w:eastAsia="he-IL"/>
        </w:rPr>
      </w:pPr>
      <w:r w:rsidRPr="00F51524">
        <w:rPr>
          <w:rFonts w:ascii="David" w:hAnsi="David"/>
          <w:b/>
          <w:rtl/>
          <w:lang w:eastAsia="he-I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לקוקאין ולקראק השפעות מהירות על פעילות המוח והתנהגות המשתמש: ערעור מערכת העצבים המרכזית, ערנות יתר עד לכדי עצבנות וחוסר שקט נפשי, לתחושה של יכולת פיסית מוגברת. </w:t>
      </w:r>
    </w:p>
    <w:p w14:paraId="2EC2A1CA" w14:textId="77777777" w:rsidR="00AB3FA4" w:rsidRPr="00F51524" w:rsidRDefault="00AB3FA4" w:rsidP="00AB3FA4">
      <w:pPr>
        <w:spacing w:line="360" w:lineRule="auto"/>
        <w:ind w:left="1440"/>
        <w:jc w:val="both"/>
        <w:rPr>
          <w:rFonts w:ascii="David" w:hAnsi="David"/>
          <w:b/>
          <w:rtl/>
          <w:lang w:eastAsia="he-IL"/>
        </w:rPr>
      </w:pPr>
      <w:r w:rsidRPr="00F51524">
        <w:rPr>
          <w:rFonts w:ascii="David" w:hAnsi="David"/>
          <w:b/>
          <w:rtl/>
          <w:lang w:eastAsia="he-IL"/>
        </w:rPr>
        <w:t>משתמשים בקוקאין נוטים להגדיל את המנה שהם צורכים. תופעות כמו כאבי ראש, רעד, עוויתות, תוקפנות, חרדה ופחד הולכות ומתגברות עקב הגדלה תדירה של מנות הסם...". (</w:t>
      </w:r>
      <w:hyperlink r:id="rId17" w:history="1">
        <w:r w:rsidR="00121D98" w:rsidRPr="00121D98">
          <w:rPr>
            <w:rFonts w:ascii="David" w:hAnsi="David"/>
            <w:b/>
            <w:color w:val="0000FF"/>
            <w:u w:val="single"/>
            <w:rtl/>
            <w:lang w:eastAsia="he-IL"/>
          </w:rPr>
          <w:t>ע"פ6029/03 מדינת ישראל נ' גולן שמאי, פ"ד נח</w:t>
        </w:r>
      </w:hyperlink>
      <w:r w:rsidRPr="00F51524">
        <w:rPr>
          <w:rFonts w:ascii="David" w:hAnsi="David"/>
          <w:b/>
          <w:rtl/>
          <w:lang w:eastAsia="he-IL"/>
        </w:rPr>
        <w:t>(2), 734 בעמ' 739)</w:t>
      </w:r>
    </w:p>
    <w:p w14:paraId="7BC595A0" w14:textId="77777777" w:rsidR="00AB3FA4" w:rsidRPr="00F51524" w:rsidRDefault="00AB3FA4" w:rsidP="00AB3FA4">
      <w:pPr>
        <w:spacing w:line="360" w:lineRule="auto"/>
        <w:ind w:left="1440"/>
        <w:jc w:val="both"/>
        <w:rPr>
          <w:rFonts w:ascii="David" w:hAnsi="David"/>
          <w:b/>
          <w:rtl/>
          <w:lang w:eastAsia="he-IL"/>
        </w:rPr>
      </w:pPr>
    </w:p>
    <w:p w14:paraId="660A13C2" w14:textId="77777777" w:rsidR="00AB3FA4" w:rsidRPr="00F51524" w:rsidRDefault="00AB3FA4" w:rsidP="00AB3FA4">
      <w:pPr>
        <w:spacing w:line="360" w:lineRule="auto"/>
        <w:ind w:left="720" w:hanging="720"/>
        <w:jc w:val="both"/>
        <w:rPr>
          <w:rFonts w:ascii="David" w:hAnsi="David"/>
          <w:b/>
          <w:rtl/>
          <w:lang w:eastAsia="he-IL"/>
        </w:rPr>
      </w:pPr>
      <w:r w:rsidRPr="00F51524">
        <w:rPr>
          <w:rFonts w:ascii="David" w:hAnsi="David"/>
          <w:b/>
          <w:rtl/>
          <w:lang w:eastAsia="he-IL"/>
        </w:rPr>
        <w:t>3.</w:t>
      </w:r>
      <w:r w:rsidRPr="00F51524">
        <w:rPr>
          <w:rFonts w:ascii="David" w:hAnsi="David"/>
          <w:b/>
          <w:rtl/>
          <w:lang w:eastAsia="he-IL"/>
        </w:rPr>
        <w:tab/>
        <w:t xml:space="preserve">הערכים החברתיים המוגנים בעבירות הסמים החמורות הם בעיקר, שמירת בריאות הגוף והנפש, שמירת החוסן החברתי, ושמירת שלום הציבור ובטחונו.  </w:t>
      </w:r>
    </w:p>
    <w:p w14:paraId="2BA4E467" w14:textId="77777777" w:rsidR="00AB3FA4" w:rsidRPr="00F51524" w:rsidRDefault="00AB3FA4" w:rsidP="00AB3FA4">
      <w:pPr>
        <w:spacing w:line="360" w:lineRule="auto"/>
        <w:ind w:left="720" w:hanging="720"/>
        <w:jc w:val="both"/>
        <w:rPr>
          <w:rFonts w:ascii="David" w:hAnsi="David"/>
          <w:b/>
          <w:rtl/>
          <w:lang w:eastAsia="he-IL"/>
        </w:rPr>
      </w:pPr>
      <w:r w:rsidRPr="00F51524">
        <w:rPr>
          <w:rFonts w:ascii="David" w:hAnsi="David"/>
          <w:b/>
          <w:rtl/>
          <w:lang w:eastAsia="he-IL"/>
        </w:rPr>
        <w:tab/>
        <w:t xml:space="preserve">כאן, בהתחשב בסוג הסם ובכמותו, מידת הפגיעה בערכים החברתיים המוגנים הינה גבוהה. </w:t>
      </w:r>
    </w:p>
    <w:p w14:paraId="6FDAFE9C"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ab/>
      </w:r>
    </w:p>
    <w:p w14:paraId="3F66938B"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4.</w:t>
      </w:r>
      <w:r w:rsidRPr="00F51524">
        <w:rPr>
          <w:rFonts w:ascii="David" w:hAnsi="David"/>
          <w:rtl/>
          <w:lang w:eastAsia="he-IL"/>
        </w:rPr>
        <w:tab/>
        <w:t>מדיניות הענישה בעבירות הסמים החמורות הינה, מימים ימימה, של החמרה מובהקת.</w:t>
      </w:r>
    </w:p>
    <w:p w14:paraId="5D37127D" w14:textId="77777777" w:rsidR="00AB3FA4" w:rsidRPr="00F51524" w:rsidRDefault="00AB3FA4" w:rsidP="00AB3FA4">
      <w:pPr>
        <w:spacing w:line="360" w:lineRule="auto"/>
        <w:ind w:left="720" w:hanging="720"/>
        <w:jc w:val="both"/>
        <w:rPr>
          <w:rFonts w:ascii="David" w:hAnsi="David"/>
          <w:rtl/>
          <w:lang w:eastAsia="he-IL"/>
        </w:rPr>
      </w:pPr>
    </w:p>
    <w:p w14:paraId="24CD1AD5" w14:textId="77777777" w:rsidR="00AB3FA4" w:rsidRPr="00F51524" w:rsidRDefault="00AB3FA4" w:rsidP="00AB3FA4">
      <w:pPr>
        <w:spacing w:line="360" w:lineRule="auto"/>
        <w:ind w:left="720" w:hanging="1044"/>
        <w:jc w:val="both"/>
        <w:rPr>
          <w:rFonts w:ascii="David" w:hAnsi="David"/>
          <w:rtl/>
        </w:rPr>
      </w:pPr>
      <w:r w:rsidRPr="00F51524">
        <w:rPr>
          <w:rFonts w:ascii="David" w:hAnsi="David"/>
          <w:rtl/>
          <w:lang w:eastAsia="he-IL"/>
        </w:rPr>
        <w:t xml:space="preserve">      5.</w:t>
      </w:r>
      <w:r w:rsidRPr="00F51524">
        <w:rPr>
          <w:rFonts w:ascii="David" w:hAnsi="David"/>
          <w:rtl/>
          <w:lang w:eastAsia="he-IL"/>
        </w:rPr>
        <w:tab/>
      </w:r>
      <w:r w:rsidRPr="00F51524">
        <w:rPr>
          <w:rFonts w:ascii="David" w:hAnsi="David"/>
          <w:rtl/>
        </w:rPr>
        <w:t xml:space="preserve">בסופו של דבר, נזקי הסמים העיקריים נובעים מעצם השימוש בסם. ככל שסוג הסם "קשה" יותר, כך נזקי השימוש בו גדולים ורחבים יותר. על כן, סוג הסם ומשקלו הם נתונים מרכזיים בקביעת העונש בעבירה של החזקת סם שלא לצריכה עצמית. </w:t>
      </w:r>
    </w:p>
    <w:p w14:paraId="6B8B138D" w14:textId="77777777" w:rsidR="00AB3FA4" w:rsidRPr="00F51524" w:rsidRDefault="00AB3FA4" w:rsidP="00AB3FA4">
      <w:pPr>
        <w:spacing w:line="360" w:lineRule="auto"/>
        <w:ind w:left="720" w:hanging="1044"/>
        <w:jc w:val="both"/>
        <w:rPr>
          <w:rFonts w:ascii="David" w:hAnsi="David"/>
          <w:rtl/>
        </w:rPr>
      </w:pPr>
    </w:p>
    <w:p w14:paraId="5179EE93"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6.</w:t>
      </w:r>
      <w:r w:rsidRPr="00F51524">
        <w:rPr>
          <w:rFonts w:ascii="David" w:hAnsi="David"/>
          <w:rtl/>
        </w:rPr>
        <w:tab/>
        <w:t xml:space="preserve">העבירה של החזקת סם מסוכן שלא לצריכה עצמית היא אחת. והיא חולשת על כל החזקת סם שלא לצריכה עצמית, בכל כמות שהיא. העונש הקבוע לצדה – 20 שנות מאסר – הוא העונש המירבי שניתן להטיל על מעשה עבירה אחת, ובית המשפט גוזר בגדרו את העונש הקונקרטי בכל מקרה לגופו. </w:t>
      </w:r>
    </w:p>
    <w:p w14:paraId="4DC25C09" w14:textId="77777777" w:rsidR="00AB3FA4" w:rsidRPr="00F51524" w:rsidRDefault="00AB3FA4" w:rsidP="00AB3FA4">
      <w:pPr>
        <w:spacing w:after="160" w:line="360" w:lineRule="auto"/>
        <w:ind w:left="720" w:hanging="720"/>
        <w:jc w:val="both"/>
        <w:rPr>
          <w:rFonts w:ascii="David" w:hAnsi="David"/>
        </w:rPr>
      </w:pPr>
      <w:r w:rsidRPr="00F51524">
        <w:rPr>
          <w:rFonts w:ascii="David" w:hAnsi="David"/>
          <w:rtl/>
        </w:rPr>
        <w:t>7.</w:t>
      </w:r>
      <w:r w:rsidRPr="00F51524">
        <w:rPr>
          <w:rFonts w:ascii="David" w:hAnsi="David"/>
          <w:rtl/>
        </w:rPr>
        <w:tab/>
        <w:t xml:space="preserve">כפי שכבר צוין, כמות הסם היא נתון חשוב בקביעת העונש. ממילא, טווחי הענישה על החזקת סמים בכמויות שונות, שומרים על פרופורציה מסוימת ביניהם, בהתאם לכמויות הסם המשתנות. אולם, בעוד שהעונש שניתן להשית על עבירה אחת של החזקת סם הוא בעל תקרה קבועה, אין גבול לכמות הסם שניתן להחזיק. כך שמסדר גודל מסוים של כמות סם –הממקמת את נסיבות העבירה בקצה הגבוה של החומרה – ומעלה, לא ניתן עוד להביא לביטוי את החומרה העודפת הנובעת מכמות הסם. </w:t>
      </w:r>
    </w:p>
    <w:p w14:paraId="3451AEEB"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 xml:space="preserve">בהקשר זה מעניין לציין שהחוק האמריקאי, הפדראלי, קובע </w:t>
      </w:r>
      <w:r w:rsidRPr="00F51524">
        <w:rPr>
          <w:rFonts w:ascii="David" w:hAnsi="David"/>
          <w:b/>
          <w:bCs/>
          <w:rtl/>
        </w:rPr>
        <w:t>לעבירה ראשונה</w:t>
      </w:r>
      <w:r w:rsidRPr="00F51524">
        <w:rPr>
          <w:rFonts w:ascii="David" w:hAnsi="David"/>
          <w:rtl/>
        </w:rPr>
        <w:t xml:space="preserve"> של ייבוא או יצוא </w:t>
      </w:r>
      <w:r w:rsidRPr="00F51524">
        <w:rPr>
          <w:rFonts w:ascii="David" w:hAnsi="David"/>
          <w:b/>
          <w:bCs/>
          <w:rtl/>
        </w:rPr>
        <w:t>הירואין</w:t>
      </w:r>
      <w:r w:rsidRPr="00F51524">
        <w:rPr>
          <w:rFonts w:ascii="David" w:hAnsi="David"/>
          <w:rtl/>
        </w:rPr>
        <w:t xml:space="preserve"> </w:t>
      </w:r>
      <w:r w:rsidRPr="00F51524">
        <w:rPr>
          <w:rFonts w:ascii="David" w:hAnsi="David"/>
          <w:b/>
          <w:bCs/>
          <w:rtl/>
        </w:rPr>
        <w:t xml:space="preserve">בכמות של </w:t>
      </w:r>
      <w:smartTag w:uri="urn:schemas-microsoft-com:office:smarttags" w:element="metricconverter">
        <w:smartTagPr>
          <w:attr w:name="ProductID" w:val="1 ק&quot;ג"/>
        </w:smartTagPr>
        <w:r w:rsidRPr="00F51524">
          <w:rPr>
            <w:rFonts w:ascii="David" w:hAnsi="David"/>
            <w:b/>
            <w:bCs/>
            <w:rtl/>
          </w:rPr>
          <w:t>1 ק"ג</w:t>
        </w:r>
      </w:smartTag>
      <w:r w:rsidRPr="00F51524">
        <w:rPr>
          <w:rFonts w:ascii="David" w:hAnsi="David"/>
          <w:b/>
          <w:bCs/>
          <w:rtl/>
        </w:rPr>
        <w:t xml:space="preserve"> ומעלה</w:t>
      </w:r>
      <w:r w:rsidRPr="00F51524">
        <w:rPr>
          <w:rFonts w:ascii="David" w:hAnsi="David"/>
          <w:rtl/>
        </w:rPr>
        <w:t>, מאסר "</w:t>
      </w:r>
      <w:r w:rsidRPr="00F51524">
        <w:rPr>
          <w:rFonts w:ascii="David" w:hAnsi="David"/>
          <w:b/>
          <w:bCs/>
          <w:rtl/>
        </w:rPr>
        <w:t>שלא יפחת מ 10 שנים ועד מאסר עולם</w:t>
      </w:r>
      <w:r w:rsidRPr="00F51524">
        <w:rPr>
          <w:rFonts w:ascii="David" w:hAnsi="David"/>
          <w:rtl/>
        </w:rPr>
        <w:t xml:space="preserve">". כשמדובר </w:t>
      </w:r>
      <w:r w:rsidRPr="00F51524">
        <w:rPr>
          <w:rFonts w:ascii="David" w:hAnsi="David"/>
          <w:b/>
          <w:bCs/>
          <w:rtl/>
        </w:rPr>
        <w:t>בעבירה שניה, העונש לא יפחת מ 20 שנות מאסר</w:t>
      </w:r>
      <w:r w:rsidRPr="00F51524">
        <w:rPr>
          <w:rFonts w:ascii="David" w:hAnsi="David"/>
          <w:rtl/>
        </w:rPr>
        <w:t xml:space="preserve"> וכשמדובר </w:t>
      </w:r>
      <w:r w:rsidRPr="00F51524">
        <w:rPr>
          <w:rFonts w:ascii="David" w:hAnsi="David"/>
          <w:b/>
          <w:bCs/>
          <w:rtl/>
        </w:rPr>
        <w:t>בעבירה שלישית, העונש הוא מאסר עולם</w:t>
      </w:r>
      <w:r w:rsidRPr="00F51524">
        <w:rPr>
          <w:rFonts w:ascii="David" w:hAnsi="David"/>
          <w:rtl/>
        </w:rPr>
        <w:t xml:space="preserve">. </w:t>
      </w:r>
    </w:p>
    <w:p w14:paraId="3CB04B8E"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 xml:space="preserve">והחוק האוסטרלי קובע  לעבירה של </w:t>
      </w:r>
      <w:r w:rsidRPr="00F51524">
        <w:rPr>
          <w:rFonts w:ascii="David" w:hAnsi="David"/>
          <w:b/>
          <w:bCs/>
          <w:rtl/>
        </w:rPr>
        <w:t>החזקה</w:t>
      </w:r>
      <w:r w:rsidRPr="00F51524">
        <w:rPr>
          <w:rFonts w:ascii="David" w:hAnsi="David"/>
          <w:rtl/>
        </w:rPr>
        <w:t>, מכירה ואספקה של כמות מסחרית (</w:t>
      </w:r>
      <w:r w:rsidRPr="00F51524">
        <w:rPr>
          <w:rFonts w:ascii="David" w:hAnsi="David"/>
        </w:rPr>
        <w:t>commercial</w:t>
      </w:r>
      <w:r w:rsidRPr="00F51524">
        <w:rPr>
          <w:rFonts w:ascii="David" w:hAnsi="David"/>
          <w:rtl/>
        </w:rPr>
        <w:t xml:space="preserve">) של </w:t>
      </w:r>
      <w:r w:rsidRPr="00F51524">
        <w:rPr>
          <w:rFonts w:ascii="David" w:hAnsi="David"/>
          <w:b/>
          <w:bCs/>
          <w:rtl/>
        </w:rPr>
        <w:t>הירואין</w:t>
      </w:r>
      <w:r w:rsidRPr="00F51524">
        <w:rPr>
          <w:rFonts w:ascii="David" w:hAnsi="David"/>
          <w:rtl/>
        </w:rPr>
        <w:t xml:space="preserve"> - המוגדרת </w:t>
      </w:r>
      <w:r w:rsidRPr="00F51524">
        <w:rPr>
          <w:rFonts w:ascii="David" w:hAnsi="David"/>
          <w:b/>
          <w:bCs/>
          <w:rtl/>
        </w:rPr>
        <w:t xml:space="preserve">כמעל </w:t>
      </w:r>
      <w:smartTag w:uri="urn:schemas-microsoft-com:office:smarttags" w:element="metricconverter">
        <w:smartTagPr>
          <w:attr w:name="ProductID" w:val="1.5 ק&quot;ג"/>
        </w:smartTagPr>
        <w:r w:rsidRPr="00F51524">
          <w:rPr>
            <w:rFonts w:ascii="David" w:hAnsi="David"/>
            <w:b/>
            <w:bCs/>
            <w:rtl/>
          </w:rPr>
          <w:t>1.5 ק"ג</w:t>
        </w:r>
      </w:smartTag>
      <w:r w:rsidRPr="00F51524">
        <w:rPr>
          <w:rFonts w:ascii="David" w:hAnsi="David"/>
          <w:b/>
          <w:bCs/>
          <w:rtl/>
        </w:rPr>
        <w:t>,</w:t>
      </w:r>
      <w:r w:rsidRPr="00F51524">
        <w:rPr>
          <w:rFonts w:ascii="David" w:hAnsi="David"/>
          <w:rtl/>
        </w:rPr>
        <w:t xml:space="preserve"> עונש של </w:t>
      </w:r>
      <w:r w:rsidRPr="00F51524">
        <w:rPr>
          <w:rFonts w:ascii="David" w:hAnsi="David"/>
          <w:b/>
          <w:bCs/>
          <w:rtl/>
        </w:rPr>
        <w:t>מאסר עולם</w:t>
      </w:r>
      <w:r w:rsidRPr="00F51524">
        <w:rPr>
          <w:rFonts w:ascii="David" w:hAnsi="David"/>
          <w:rtl/>
        </w:rPr>
        <w:t xml:space="preserve">. </w:t>
      </w:r>
      <w:r w:rsidRPr="00F51524">
        <w:rPr>
          <w:rFonts w:ascii="David" w:hAnsi="David"/>
        </w:rPr>
        <w:t>www.antidrugs.gov.il)</w:t>
      </w:r>
      <w:r w:rsidRPr="00F51524">
        <w:rPr>
          <w:rFonts w:ascii="David" w:hAnsi="David"/>
          <w:rtl/>
        </w:rPr>
        <w:t>)</w:t>
      </w:r>
    </w:p>
    <w:p w14:paraId="524F6CCA"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8.</w:t>
      </w:r>
      <w:r w:rsidRPr="00F51524">
        <w:rPr>
          <w:rFonts w:ascii="David" w:hAnsi="David"/>
          <w:rtl/>
          <w:lang w:eastAsia="he-IL"/>
        </w:rPr>
        <w:tab/>
        <w:t xml:space="preserve">בישראל, בית המשפט העליון התבטא לא אחת, שבעבירות הסמים החמורות, כשמדובר בסמים קשים ובכמות גדולה, הענישה צריכה לשאוף לעבר הגבול העליון של העונש הקבוע בחוק. </w:t>
      </w:r>
    </w:p>
    <w:p w14:paraId="4C0D51EE" w14:textId="77777777" w:rsidR="00AB3FA4" w:rsidRPr="00F51524" w:rsidRDefault="00AB3FA4" w:rsidP="00AB3FA4">
      <w:pPr>
        <w:spacing w:line="360" w:lineRule="auto"/>
        <w:jc w:val="both"/>
        <w:rPr>
          <w:rFonts w:ascii="David" w:hAnsi="David"/>
          <w:rtl/>
          <w:lang w:eastAsia="he-IL"/>
        </w:rPr>
      </w:pPr>
    </w:p>
    <w:p w14:paraId="360CFB6B" w14:textId="77777777" w:rsidR="00AB3FA4" w:rsidRPr="00F51524" w:rsidRDefault="00AB3FA4" w:rsidP="00AB3FA4">
      <w:pPr>
        <w:spacing w:line="360" w:lineRule="auto"/>
        <w:ind w:left="720"/>
        <w:jc w:val="both"/>
        <w:rPr>
          <w:rFonts w:ascii="David" w:hAnsi="David"/>
          <w:rtl/>
        </w:rPr>
      </w:pPr>
      <w:r w:rsidRPr="00F51524">
        <w:rPr>
          <w:rFonts w:ascii="David" w:hAnsi="David"/>
          <w:rtl/>
        </w:rPr>
        <w:t>ב</w:t>
      </w:r>
      <w:hyperlink r:id="rId18" w:history="1">
        <w:r w:rsidRPr="00F51524">
          <w:rPr>
            <w:rFonts w:ascii="David" w:hAnsi="David"/>
            <w:rtl/>
          </w:rPr>
          <w:t xml:space="preserve">ע"פ 253/85 </w:t>
        </w:r>
        <w:r w:rsidRPr="00F51524">
          <w:rPr>
            <w:rFonts w:ascii="David" w:hAnsi="David"/>
            <w:b/>
            <w:bCs/>
            <w:rtl/>
          </w:rPr>
          <w:t>מדינת ישראל</w:t>
        </w:r>
        <w:r w:rsidRPr="00F51524">
          <w:rPr>
            <w:rFonts w:ascii="David" w:hAnsi="David"/>
            <w:rtl/>
          </w:rPr>
          <w:t xml:space="preserve"> נ'</w:t>
        </w:r>
        <w:r w:rsidRPr="00F51524">
          <w:rPr>
            <w:rFonts w:ascii="David" w:hAnsi="David"/>
            <w:b/>
            <w:bCs/>
            <w:rtl/>
          </w:rPr>
          <w:t xml:space="preserve"> יעיש בן מסעוד אוחיון</w:t>
        </w:r>
        <w:r w:rsidRPr="00F51524">
          <w:rPr>
            <w:rFonts w:ascii="David" w:hAnsi="David"/>
            <w:rtl/>
          </w:rPr>
          <w:t xml:space="preserve"> (פורסם בנבו, 31.12.1985)‏</w:t>
        </w:r>
      </w:hyperlink>
      <w:r w:rsidRPr="00F51524">
        <w:rPr>
          <w:rFonts w:ascii="David" w:hAnsi="David"/>
          <w:rtl/>
        </w:rPr>
        <w:t xml:space="preserve">‏ דובר בעשיית עסקה בסם מסוכן – </w:t>
      </w:r>
      <w:r w:rsidRPr="00F51524">
        <w:rPr>
          <w:rFonts w:ascii="David" w:hAnsi="David"/>
          <w:b/>
          <w:bCs/>
          <w:rtl/>
        </w:rPr>
        <w:t>הירואין במשקל 631 גרם</w:t>
      </w:r>
      <w:r w:rsidRPr="00F51524">
        <w:rPr>
          <w:rFonts w:ascii="David" w:hAnsi="David"/>
          <w:rtl/>
        </w:rPr>
        <w:t>. בית המשפט הטיל על המשיב 3 שנות מאסר בפועל, ובית המשפט העליון קיבל את ערעור המדינה והעמיד את העונש על</w:t>
      </w:r>
      <w:r w:rsidRPr="00F51524">
        <w:rPr>
          <w:rFonts w:ascii="David" w:hAnsi="David"/>
          <w:b/>
          <w:bCs/>
          <w:rtl/>
        </w:rPr>
        <w:t xml:space="preserve"> 6 שנות מאסר בפועל</w:t>
      </w:r>
      <w:r w:rsidRPr="00F51524">
        <w:rPr>
          <w:rFonts w:ascii="David" w:hAnsi="David"/>
          <w:rtl/>
        </w:rPr>
        <w:t xml:space="preserve">, תוך אמירת הדברים הבאים – </w:t>
      </w:r>
    </w:p>
    <w:p w14:paraId="2B15F730" w14:textId="77777777" w:rsidR="00AB3FA4" w:rsidRPr="00F51524" w:rsidRDefault="00AB3FA4" w:rsidP="00AB3FA4">
      <w:pPr>
        <w:spacing w:line="360" w:lineRule="auto"/>
        <w:ind w:left="1440"/>
        <w:jc w:val="both"/>
        <w:rPr>
          <w:rFonts w:ascii="David" w:hAnsi="David"/>
          <w:rtl/>
        </w:rPr>
      </w:pPr>
      <w:r w:rsidRPr="00F51524">
        <w:rPr>
          <w:rFonts w:ascii="David" w:hAnsi="David"/>
          <w:rtl/>
        </w:rPr>
        <w:t xml:space="preserve">"צודקת עורכת דין בן-אור שייצגה את המדינה, כי העונשים שהוטלו על המערערים חורגים מרמת הענישה המקובלת, וכי נסיבות המקרה חייבו עונש מאסר לתקופה ממושכת יותר. </w:t>
      </w:r>
      <w:r w:rsidRPr="00F51524">
        <w:rPr>
          <w:rFonts w:ascii="David" w:hAnsi="David"/>
          <w:b/>
          <w:bCs/>
          <w:rtl/>
        </w:rPr>
        <w:t>מוכנים אנו גם לומר כי הענישה המתחייבת במקרים דוגמת המקרה שלפנינו צריכה לשאוף לגבול העליון של העונש שקבע המחוקק,</w:t>
      </w:r>
      <w:r w:rsidRPr="00F51524">
        <w:rPr>
          <w:rFonts w:ascii="David" w:hAnsi="David"/>
          <w:rtl/>
        </w:rPr>
        <w:t xml:space="preserve"> </w:t>
      </w:r>
      <w:r w:rsidRPr="00F51524">
        <w:rPr>
          <w:rFonts w:ascii="David" w:hAnsi="David"/>
          <w:b/>
          <w:bCs/>
          <w:rtl/>
        </w:rPr>
        <w:t xml:space="preserve">ולא די כי נשלם מס שפתיים באמירה כי עיסוק בסמים "קשים" מחייב הטלת עונשים חמורים, שמפניהם מתגמד השיקול האישי של הנאשם. אמירה זו שאין "כיסוי" מאחוריה לא תתרום דבר למלחמה הבלתי נלאית שמצווים אנו להלחם במי שלמעשה סוחרים בנפשות לשם בצע כסף. </w:t>
      </w:r>
      <w:r w:rsidRPr="00F51524">
        <w:rPr>
          <w:rFonts w:ascii="David" w:hAnsi="David"/>
          <w:rtl/>
        </w:rPr>
        <w:t xml:space="preserve">אלא שבבואנו ליישם גישה זו במקרה שלפנינו מחוייבים אנו גם להביא בחשבון כי ראשיתה של הפרשה נשאר עלום, כשלדמות המרכזית בה (מוסא) הותר לחזור ללבנון, ככל הנראה כדי למנוע גילויין של כל העובדות, ותעודת החסיון אף היא הוסיפה לערפול. אין זה על כן מן הנמנע כי מי שפעל בשירות המשטרה, הוא שיזם את העסקה, וכבר אמרנו כי גם אם אין בכך לפטור מאשמה, נסיבה מקלה יש בדבר. ואם נוסיף לכך את הכלל הנקוט בידינו שאין אנו ממצים בערכאת ערעור את הדין, הייתי מציע, לאחר שדחינו את ערעורם של המערערים על הרשעתם, </w:t>
      </w:r>
      <w:r w:rsidRPr="00F51524">
        <w:rPr>
          <w:rFonts w:ascii="David" w:hAnsi="David"/>
          <w:b/>
          <w:bCs/>
          <w:rtl/>
        </w:rPr>
        <w:t>להכפיל את תקופת המאסר בפועל שנגזר עליהם</w:t>
      </w:r>
      <w:r w:rsidRPr="00F51524">
        <w:rPr>
          <w:rFonts w:ascii="David" w:hAnsi="David"/>
          <w:rtl/>
        </w:rPr>
        <w:t>..."</w:t>
      </w:r>
    </w:p>
    <w:p w14:paraId="04B8B293" w14:textId="77777777" w:rsidR="00AB3FA4" w:rsidRPr="00F51524" w:rsidRDefault="00AB3FA4" w:rsidP="00AB3FA4">
      <w:pPr>
        <w:spacing w:line="360" w:lineRule="auto"/>
        <w:jc w:val="both"/>
        <w:rPr>
          <w:rFonts w:ascii="David" w:hAnsi="David"/>
        </w:rPr>
      </w:pPr>
    </w:p>
    <w:p w14:paraId="3CA7657A" w14:textId="77777777" w:rsidR="00AB3FA4" w:rsidRPr="00F51524" w:rsidRDefault="00AB3FA4" w:rsidP="00AB3FA4">
      <w:pPr>
        <w:spacing w:line="360" w:lineRule="auto"/>
        <w:ind w:left="720"/>
        <w:jc w:val="both"/>
        <w:rPr>
          <w:rFonts w:ascii="David" w:hAnsi="David"/>
          <w:rtl/>
        </w:rPr>
      </w:pPr>
      <w:r w:rsidRPr="00F51524">
        <w:rPr>
          <w:rFonts w:ascii="David" w:hAnsi="David"/>
          <w:rtl/>
        </w:rPr>
        <w:t>ב</w:t>
      </w:r>
      <w:hyperlink r:id="rId19" w:history="1">
        <w:r w:rsidR="00121D98" w:rsidRPr="00121D98">
          <w:rPr>
            <w:rFonts w:ascii="David" w:hAnsi="David"/>
            <w:color w:val="0000FF"/>
            <w:u w:val="single"/>
            <w:rtl/>
          </w:rPr>
          <w:t>ע"פ 331/88</w:t>
        </w:r>
      </w:hyperlink>
      <w:r w:rsidRPr="00F51524">
        <w:rPr>
          <w:rFonts w:ascii="David" w:hAnsi="David"/>
          <w:rtl/>
        </w:rPr>
        <w:t xml:space="preserve"> </w:t>
      </w:r>
      <w:r w:rsidRPr="00F51524">
        <w:rPr>
          <w:rFonts w:ascii="David" w:hAnsi="David"/>
          <w:b/>
          <w:bCs/>
          <w:rtl/>
        </w:rPr>
        <w:t>יעקב בן יוסף חלובה נ' מדינת ישראל</w:t>
      </w:r>
      <w:r w:rsidRPr="00F51524">
        <w:rPr>
          <w:rFonts w:ascii="David" w:hAnsi="David"/>
          <w:rtl/>
        </w:rPr>
        <w:t xml:space="preserve">, מד(4) 141 (1990) דובר בניסיון לייבא לישראל </w:t>
      </w:r>
      <w:r w:rsidRPr="00F51524">
        <w:rPr>
          <w:rFonts w:ascii="David" w:hAnsi="David"/>
          <w:b/>
          <w:bCs/>
          <w:rtl/>
        </w:rPr>
        <w:t>1.45 ק"ג הירואין</w:t>
      </w:r>
      <w:r w:rsidRPr="00F51524">
        <w:rPr>
          <w:rFonts w:ascii="David" w:hAnsi="David"/>
          <w:rtl/>
        </w:rPr>
        <w:t>. הניסיון סוכל. בית המשפט המחוזי הטיל על המערערים 6 שנות מאסר בפועל, ובית המשפט העליון קיבל את ערעור המדינה והעמיד את עונשם על</w:t>
      </w:r>
      <w:r w:rsidRPr="00F51524">
        <w:rPr>
          <w:rFonts w:ascii="David" w:hAnsi="David"/>
          <w:b/>
          <w:bCs/>
          <w:rtl/>
        </w:rPr>
        <w:t xml:space="preserve"> 9 שנות מאסר בפועל</w:t>
      </w:r>
      <w:r w:rsidRPr="00F51524">
        <w:rPr>
          <w:rFonts w:ascii="David" w:hAnsi="David"/>
          <w:rtl/>
        </w:rPr>
        <w:t xml:space="preserve">, ואמר – </w:t>
      </w:r>
    </w:p>
    <w:p w14:paraId="7CECDC5F" w14:textId="77777777" w:rsidR="00AB3FA4" w:rsidRPr="00F51524" w:rsidRDefault="00AB3FA4" w:rsidP="00AB3FA4">
      <w:pPr>
        <w:spacing w:line="360" w:lineRule="auto"/>
        <w:jc w:val="both"/>
        <w:rPr>
          <w:rFonts w:ascii="David" w:hAnsi="David"/>
          <w:rtl/>
        </w:rPr>
      </w:pPr>
    </w:p>
    <w:p w14:paraId="25CF2DA9" w14:textId="77777777" w:rsidR="00AB3FA4" w:rsidRPr="00F51524" w:rsidRDefault="00AB3FA4" w:rsidP="00AB3FA4">
      <w:pPr>
        <w:spacing w:line="360" w:lineRule="auto"/>
        <w:ind w:left="1440"/>
        <w:jc w:val="both"/>
        <w:rPr>
          <w:rFonts w:ascii="David" w:hAnsi="David"/>
          <w:rtl/>
        </w:rPr>
      </w:pPr>
      <w:r w:rsidRPr="00F51524">
        <w:rPr>
          <w:rFonts w:ascii="David" w:hAnsi="David"/>
          <w:rtl/>
        </w:rPr>
        <w:t>"נראה לנו, כי הדין עם המדינה, כי העונש שהוטל אכן קל מדי ומצדיק את התערבותנו. כבר עמדנו בשורה ארוכה של פסקי-דין על החומרה המופלגת של עבירות סמים מן הסוג הנדון כאן. עבירות של יבוא סמים מטרתן לשלוח "חיצי מוות לעבר צבור גדול ומהווים איום רציני על שלומו הבריאותי ואף על בטחונו" (</w:t>
      </w:r>
      <w:hyperlink r:id="rId20" w:history="1">
        <w:r w:rsidR="00121D98" w:rsidRPr="00121D98">
          <w:rPr>
            <w:rFonts w:ascii="David" w:hAnsi="David"/>
            <w:color w:val="0000FF"/>
            <w:u w:val="single"/>
            <w:rtl/>
          </w:rPr>
          <w:t>ע"פ 179/88</w:t>
        </w:r>
      </w:hyperlink>
      <w:r w:rsidRPr="00F51524">
        <w:rPr>
          <w:rFonts w:ascii="David" w:hAnsi="David"/>
          <w:rtl/>
        </w:rPr>
        <w:t xml:space="preserve"> [6]). על אחת כמה וכמה כאשר מדובר, כמו במקרה זה, בכמות אדירה של 1.450ק"ג, שממנה ניתן להכין מנות סם לתושבי עיר שלמה. </w:t>
      </w:r>
      <w:r w:rsidRPr="00F51524">
        <w:rPr>
          <w:rFonts w:ascii="David" w:hAnsi="David"/>
          <w:b/>
          <w:bCs/>
          <w:rtl/>
        </w:rPr>
        <w:t>במקרים אשר כאלה העונש ההולם והראוי הוא עונש שאיננו רחוק מן העונש המירבי שקבע המחוקק,</w:t>
      </w:r>
      <w:r w:rsidRPr="00F51524">
        <w:rPr>
          <w:rFonts w:ascii="David" w:hAnsi="David"/>
          <w:rtl/>
        </w:rPr>
        <w:t xml:space="preserve"> ולנסיבות אישיות יכולה להיות השפעה מועטת בלבד. העונש שהוטל על-ידי בית המשפט קמא איננו נותן ביטוי מספיק למדיניות ענישה זו, ולפיכך החלטנו להתערב ולהחמיר. </w:t>
      </w:r>
      <w:r w:rsidRPr="00F51524">
        <w:rPr>
          <w:rFonts w:ascii="David" w:hAnsi="David"/>
          <w:b/>
          <w:bCs/>
          <w:rtl/>
        </w:rPr>
        <w:t>רק משום שבמקרה דנן לא בוצעה מזימתם של המערערים משום שהסם נתפס בדרך, ומשום מנהגנו שלא למצות את הדין עם משיבים בערעורי המדינה על קולת העונש, לא נטיל עליהם את מלוא העונש שהם ראויים לו...</w:t>
      </w:r>
      <w:r w:rsidRPr="00F51524">
        <w:rPr>
          <w:rFonts w:ascii="David" w:hAnsi="David"/>
          <w:rtl/>
        </w:rPr>
        <w:t xml:space="preserve"> "</w:t>
      </w:r>
    </w:p>
    <w:p w14:paraId="18177DB2" w14:textId="77777777" w:rsidR="00AB3FA4" w:rsidRPr="00F51524" w:rsidRDefault="00AB3FA4" w:rsidP="00AB3FA4">
      <w:pPr>
        <w:spacing w:line="360" w:lineRule="auto"/>
        <w:jc w:val="both"/>
        <w:rPr>
          <w:rFonts w:ascii="David" w:hAnsi="David"/>
          <w:rtl/>
          <w:lang w:eastAsia="he-IL"/>
        </w:rPr>
      </w:pPr>
    </w:p>
    <w:p w14:paraId="583DCC36" w14:textId="77777777" w:rsidR="00AB3FA4" w:rsidRPr="00F51524" w:rsidRDefault="00AB3FA4" w:rsidP="00AB3FA4">
      <w:pPr>
        <w:spacing w:line="360" w:lineRule="auto"/>
        <w:ind w:left="720"/>
        <w:jc w:val="both"/>
        <w:rPr>
          <w:rFonts w:ascii="David" w:hAnsi="David"/>
          <w:rtl/>
        </w:rPr>
      </w:pPr>
      <w:r w:rsidRPr="00F51524">
        <w:rPr>
          <w:rFonts w:ascii="David" w:hAnsi="David"/>
          <w:rtl/>
        </w:rPr>
        <w:t>ב</w:t>
      </w:r>
      <w:hyperlink r:id="rId21" w:history="1">
        <w:r w:rsidR="00121D98" w:rsidRPr="00121D98">
          <w:rPr>
            <w:rFonts w:ascii="David" w:hAnsi="David"/>
            <w:color w:val="0000FF"/>
            <w:u w:val="single"/>
            <w:rtl/>
          </w:rPr>
          <w:t>ע"פ 575/88</w:t>
        </w:r>
      </w:hyperlink>
      <w:r w:rsidRPr="00F51524">
        <w:rPr>
          <w:rFonts w:ascii="David" w:hAnsi="David"/>
          <w:rtl/>
        </w:rPr>
        <w:t xml:space="preserve"> </w:t>
      </w:r>
      <w:r w:rsidRPr="00F51524">
        <w:rPr>
          <w:rFonts w:ascii="David" w:hAnsi="David"/>
          <w:b/>
          <w:bCs/>
          <w:rtl/>
        </w:rPr>
        <w:t>עטאף בן-אחמד עודה נ' מדינת ישראל</w:t>
      </w:r>
      <w:r w:rsidRPr="00F51524">
        <w:rPr>
          <w:rFonts w:ascii="David" w:hAnsi="David"/>
          <w:rtl/>
        </w:rPr>
        <w:t xml:space="preserve">, מב(4) 242 (1988) – דובר במערער שקיבל בישראל </w:t>
      </w:r>
      <w:r w:rsidRPr="00F51524">
        <w:rPr>
          <w:rFonts w:ascii="David" w:hAnsi="David"/>
          <w:b/>
          <w:bCs/>
          <w:rtl/>
        </w:rPr>
        <w:t>שני קילו הרואין</w:t>
      </w:r>
      <w:r w:rsidRPr="00F51524">
        <w:rPr>
          <w:rFonts w:ascii="David" w:hAnsi="David"/>
          <w:rtl/>
        </w:rPr>
        <w:t xml:space="preserve"> שיובאו מלבנון, לצורך הפצתם. בית המשפט המחוזי גזר עליו</w:t>
      </w:r>
      <w:r w:rsidRPr="00F51524">
        <w:rPr>
          <w:rFonts w:ascii="David" w:hAnsi="David"/>
          <w:b/>
          <w:bCs/>
          <w:rtl/>
        </w:rPr>
        <w:t xml:space="preserve"> 12.5 שנות מאסר בפועל</w:t>
      </w:r>
      <w:r w:rsidRPr="00F51524">
        <w:rPr>
          <w:rFonts w:ascii="David" w:hAnsi="David"/>
          <w:rtl/>
        </w:rPr>
        <w:t xml:space="preserve">. בית המשפט העליון דחה את ערעורו על חומרת העונש, תוך אמירת הדברים הבאים – </w:t>
      </w:r>
    </w:p>
    <w:p w14:paraId="55D01672" w14:textId="77777777" w:rsidR="00AB3FA4" w:rsidRPr="00F51524" w:rsidRDefault="00AB3FA4" w:rsidP="00AB3FA4">
      <w:pPr>
        <w:spacing w:line="360" w:lineRule="auto"/>
        <w:ind w:left="1440"/>
        <w:jc w:val="both"/>
        <w:rPr>
          <w:rFonts w:ascii="David" w:hAnsi="David"/>
        </w:rPr>
      </w:pPr>
      <w:r w:rsidRPr="00F51524">
        <w:rPr>
          <w:rFonts w:ascii="David" w:hAnsi="David"/>
          <w:rtl/>
        </w:rPr>
        <w:t xml:space="preserve">"העונש שנגזר על המערער הוא עונש חמור, וכך אכן צריך להיות העונש כאשר מדובר בעבירה של סחר בכמות כה גדולה של הירואין, הצפת המדינה בכמויות גדולות של סם, מעשה שהולך ומתרחב, יכולה להיבלם רק על-ידי עונשים מרתיעים ומשמעותיים. מי שנגרר אחרי מעשיי עבירה המסכנים חיי אדם בצורה מפליגה, צריך לדעת אל נכון, כי אם יתפס יטופל עניינו בכל חומרת הדין. </w:t>
      </w:r>
      <w:r w:rsidRPr="00F51524">
        <w:rPr>
          <w:rFonts w:ascii="David" w:hAnsi="David"/>
          <w:b/>
          <w:bCs/>
          <w:rtl/>
        </w:rPr>
        <w:t>הדגשנו, לא אחת, כי במציאות המצערת שנוצרה אצלנו צריכים העונשים בעניין הסחר בהירואין להיות חמורים ולשאוף, במידה רבה יותר מן המקובל בעבר, אל העונש המקסימלי שנקבע בחוק..."</w:t>
      </w:r>
      <w:r w:rsidRPr="00F51524">
        <w:rPr>
          <w:rFonts w:ascii="David" w:hAnsi="David"/>
          <w:rtl/>
        </w:rPr>
        <w:t>.</w:t>
      </w:r>
    </w:p>
    <w:p w14:paraId="2AFA03A9" w14:textId="77777777" w:rsidR="00AB3FA4" w:rsidRPr="00F51524" w:rsidRDefault="00AB3FA4" w:rsidP="00AB3FA4">
      <w:pPr>
        <w:spacing w:line="360" w:lineRule="auto"/>
        <w:jc w:val="both"/>
        <w:rPr>
          <w:rFonts w:ascii="David" w:hAnsi="David"/>
          <w:lang w:eastAsia="he-IL"/>
        </w:rPr>
      </w:pPr>
    </w:p>
    <w:p w14:paraId="546B219E"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9.</w:t>
      </w:r>
      <w:r w:rsidRPr="00F51524">
        <w:rPr>
          <w:rFonts w:ascii="David" w:hAnsi="David"/>
          <w:rtl/>
          <w:lang w:eastAsia="he-IL"/>
        </w:rPr>
        <w:tab/>
        <w:t xml:space="preserve">הלכה למעשה, במקרים של </w:t>
      </w:r>
      <w:r w:rsidRPr="00F51524">
        <w:rPr>
          <w:rFonts w:ascii="David" w:hAnsi="David"/>
          <w:b/>
          <w:bCs/>
          <w:rtl/>
          <w:lang w:eastAsia="he-IL"/>
        </w:rPr>
        <w:t>החזקת</w:t>
      </w:r>
      <w:r w:rsidRPr="00F51524">
        <w:rPr>
          <w:rFonts w:ascii="David" w:hAnsi="David"/>
          <w:rtl/>
          <w:lang w:eastAsia="he-IL"/>
        </w:rPr>
        <w:t xml:space="preserve"> סם מסוכן מסוג </w:t>
      </w:r>
      <w:r w:rsidRPr="00F51524">
        <w:rPr>
          <w:rFonts w:ascii="David" w:hAnsi="David"/>
          <w:b/>
          <w:bCs/>
          <w:rtl/>
          <w:lang w:eastAsia="he-IL"/>
        </w:rPr>
        <w:t>הרואין או קוקאין</w:t>
      </w:r>
      <w:r w:rsidRPr="00F51524">
        <w:rPr>
          <w:rFonts w:ascii="David" w:hAnsi="David"/>
          <w:rtl/>
          <w:lang w:eastAsia="he-IL"/>
        </w:rPr>
        <w:t xml:space="preserve"> שלא לצריכה עצמית, </w:t>
      </w:r>
      <w:r w:rsidRPr="00F51524">
        <w:rPr>
          <w:rFonts w:ascii="David" w:hAnsi="David"/>
          <w:b/>
          <w:bCs/>
          <w:rtl/>
          <w:lang w:eastAsia="he-IL"/>
        </w:rPr>
        <w:t>בכמות של עשרות גרמים</w:t>
      </w:r>
      <w:r w:rsidRPr="00F51524">
        <w:rPr>
          <w:rFonts w:ascii="David" w:hAnsi="David"/>
          <w:rtl/>
          <w:lang w:eastAsia="he-IL"/>
        </w:rPr>
        <w:t xml:space="preserve">, טווח הענישה, שאושר בבית המשפט העליון, נע בין </w:t>
      </w:r>
      <w:r w:rsidRPr="00F51524">
        <w:rPr>
          <w:rFonts w:ascii="David" w:hAnsi="David"/>
          <w:b/>
          <w:bCs/>
          <w:rtl/>
          <w:lang w:eastAsia="he-IL"/>
        </w:rPr>
        <w:t>שלוש לחמש שנות מאסר בפועל</w:t>
      </w:r>
      <w:r w:rsidRPr="00F51524">
        <w:rPr>
          <w:rFonts w:ascii="David" w:hAnsi="David"/>
          <w:rtl/>
          <w:lang w:eastAsia="he-IL"/>
        </w:rPr>
        <w:t>.</w:t>
      </w:r>
    </w:p>
    <w:p w14:paraId="2CF57F38" w14:textId="77777777" w:rsidR="00AB3FA4" w:rsidRPr="00F51524" w:rsidRDefault="00AB3FA4" w:rsidP="00AB3FA4">
      <w:pPr>
        <w:spacing w:after="160" w:line="360" w:lineRule="auto"/>
        <w:ind w:left="720"/>
        <w:jc w:val="both"/>
        <w:rPr>
          <w:rFonts w:ascii="David" w:hAnsi="David"/>
          <w:rtl/>
        </w:rPr>
      </w:pPr>
    </w:p>
    <w:p w14:paraId="611E527F"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ב</w:t>
      </w:r>
      <w:r w:rsidRPr="00121D98">
        <w:rPr>
          <w:rFonts w:ascii="David" w:hAnsi="David"/>
          <w:color w:val="000000"/>
          <w:rtl/>
        </w:rPr>
        <w:t>ע"פ 14/6277</w:t>
      </w:r>
      <w:r w:rsidRPr="00121D98">
        <w:rPr>
          <w:rFonts w:ascii="David" w:hAnsi="David"/>
          <w:b/>
          <w:bCs/>
          <w:color w:val="000000"/>
          <w:rtl/>
        </w:rPr>
        <w:t xml:space="preserve"> אברהם משלטי </w:t>
      </w:r>
      <w:r w:rsidRPr="00121D98">
        <w:rPr>
          <w:rFonts w:ascii="David" w:hAnsi="David"/>
          <w:color w:val="000000"/>
          <w:rtl/>
        </w:rPr>
        <w:t>נ'</w:t>
      </w:r>
      <w:r w:rsidRPr="00121D98">
        <w:rPr>
          <w:rFonts w:ascii="David" w:hAnsi="David"/>
          <w:b/>
          <w:bCs/>
          <w:color w:val="000000"/>
          <w:rtl/>
        </w:rPr>
        <w:t xml:space="preserve"> מדינת ישראל</w:t>
      </w:r>
      <w:r w:rsidRPr="00121D98">
        <w:rPr>
          <w:rFonts w:ascii="David" w:hAnsi="David"/>
          <w:color w:val="000000"/>
          <w:rtl/>
        </w:rPr>
        <w:t xml:space="preserve"> (פורסם בנבו, 02.02.15)</w:t>
      </w:r>
      <w:r w:rsidRPr="00F51524">
        <w:rPr>
          <w:rFonts w:ascii="David" w:hAnsi="David"/>
          <w:rtl/>
        </w:rPr>
        <w:t xml:space="preserve"> המערער הורשע על פי הודאתו ב</w:t>
      </w:r>
      <w:r w:rsidRPr="00F51524">
        <w:rPr>
          <w:rFonts w:ascii="David" w:hAnsi="David"/>
          <w:b/>
          <w:bCs/>
          <w:rtl/>
        </w:rPr>
        <w:t>החזקת סם מסוכן מסוג קוקאין במשקל של כ-</w:t>
      </w:r>
      <w:r w:rsidRPr="00F51524">
        <w:rPr>
          <w:rFonts w:ascii="David" w:hAnsi="David"/>
          <w:rtl/>
        </w:rPr>
        <w:t xml:space="preserve"> </w:t>
      </w:r>
      <w:r w:rsidRPr="00F51524">
        <w:rPr>
          <w:rFonts w:ascii="David" w:hAnsi="David"/>
          <w:b/>
          <w:bCs/>
          <w:rtl/>
        </w:rPr>
        <w:t>51 גרם</w:t>
      </w:r>
      <w:r w:rsidRPr="00F51524">
        <w:rPr>
          <w:rFonts w:ascii="David" w:hAnsi="David"/>
          <w:rtl/>
        </w:rPr>
        <w:t>, שקיות ניילון קטנות גזורות ומשקל אלקטרוני. בית המשפט המחוזי קבע שמתחם העונש נע בין 3 ל-5 שנות מאסר ונגזרו על המערער</w:t>
      </w:r>
      <w:r w:rsidRPr="00F51524">
        <w:rPr>
          <w:rFonts w:ascii="David" w:hAnsi="David"/>
          <w:b/>
          <w:bCs/>
          <w:rtl/>
        </w:rPr>
        <w:t xml:space="preserve"> 4 שנות מאסר בפועל</w:t>
      </w:r>
      <w:r w:rsidRPr="00F51524">
        <w:rPr>
          <w:rFonts w:ascii="David" w:hAnsi="David"/>
          <w:rtl/>
        </w:rPr>
        <w:t xml:space="preserve"> וכן שנה נצברת של מאסר על תנאי שהופעל </w:t>
      </w:r>
      <w:r w:rsidRPr="00F51524">
        <w:rPr>
          <w:rFonts w:ascii="David" w:hAnsi="David"/>
          <w:b/>
          <w:bCs/>
          <w:rtl/>
        </w:rPr>
        <w:t>ובסך הכל  5 שנות מאסר</w:t>
      </w:r>
      <w:r w:rsidRPr="00F51524">
        <w:rPr>
          <w:rFonts w:ascii="David" w:hAnsi="David"/>
          <w:rtl/>
        </w:rPr>
        <w:t>, ו-12 חודשי מאסר על תנאי.</w:t>
      </w:r>
    </w:p>
    <w:p w14:paraId="634FB318"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בית המשפט העליון דחה את הערעור וקבע- "..המתחם שנקבע והעונש אינם חמורים יתר על המידה".</w:t>
      </w:r>
    </w:p>
    <w:p w14:paraId="03967B36"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ב</w:t>
      </w:r>
      <w:hyperlink r:id="rId22" w:history="1">
        <w:r w:rsidR="00121D98" w:rsidRPr="00121D98">
          <w:rPr>
            <w:rFonts w:ascii="David" w:hAnsi="David"/>
            <w:color w:val="0000FF"/>
            <w:u w:val="single"/>
            <w:rtl/>
          </w:rPr>
          <w:t>ע"פ 5374/12</w:t>
        </w:r>
      </w:hyperlink>
      <w:r w:rsidRPr="00F51524">
        <w:rPr>
          <w:rFonts w:ascii="David" w:hAnsi="David"/>
          <w:rtl/>
        </w:rPr>
        <w:t xml:space="preserve"> </w:t>
      </w:r>
      <w:r w:rsidRPr="00F51524">
        <w:rPr>
          <w:rFonts w:ascii="David" w:hAnsi="David"/>
          <w:b/>
          <w:bCs/>
          <w:rtl/>
        </w:rPr>
        <w:t xml:space="preserve">שלמה אברג'יל </w:t>
      </w:r>
      <w:r w:rsidRPr="00F51524">
        <w:rPr>
          <w:rFonts w:ascii="David" w:hAnsi="David"/>
          <w:rtl/>
        </w:rPr>
        <w:t>נגד</w:t>
      </w:r>
      <w:r w:rsidRPr="00F51524">
        <w:rPr>
          <w:rFonts w:ascii="David" w:hAnsi="David"/>
          <w:b/>
          <w:bCs/>
          <w:rtl/>
        </w:rPr>
        <w:t xml:space="preserve"> מדינת ישראל</w:t>
      </w:r>
      <w:r w:rsidRPr="00F51524">
        <w:rPr>
          <w:rFonts w:ascii="David" w:hAnsi="David"/>
          <w:rtl/>
        </w:rPr>
        <w:t xml:space="preserve"> (פורסם בנבו,09.01.13), המערער הורשע  </w:t>
      </w:r>
      <w:r w:rsidRPr="00F51524">
        <w:rPr>
          <w:rFonts w:ascii="David" w:hAnsi="David"/>
          <w:b/>
          <w:bCs/>
          <w:rtl/>
        </w:rPr>
        <w:t>בהחזקת סם מסוג קוקאין במשקל של כ-</w:t>
      </w:r>
      <w:r w:rsidRPr="00F51524">
        <w:rPr>
          <w:rFonts w:ascii="David" w:hAnsi="David"/>
          <w:rtl/>
        </w:rPr>
        <w:t xml:space="preserve"> </w:t>
      </w:r>
      <w:r w:rsidRPr="00F51524">
        <w:rPr>
          <w:rFonts w:ascii="David" w:hAnsi="David"/>
          <w:b/>
          <w:bCs/>
          <w:rtl/>
        </w:rPr>
        <w:t>43 גרם</w:t>
      </w:r>
      <w:r w:rsidRPr="00F51524">
        <w:rPr>
          <w:rFonts w:ascii="David" w:hAnsi="David"/>
          <w:rtl/>
        </w:rPr>
        <w:t xml:space="preserve"> שלא לצריכה עצמית ונדון ל- </w:t>
      </w:r>
      <w:r w:rsidRPr="00F51524">
        <w:rPr>
          <w:rFonts w:ascii="David" w:hAnsi="David"/>
          <w:b/>
          <w:bCs/>
          <w:rtl/>
        </w:rPr>
        <w:t>36 חודשי מאסר</w:t>
      </w:r>
      <w:r w:rsidRPr="00F51524">
        <w:rPr>
          <w:rFonts w:ascii="David" w:hAnsi="David"/>
          <w:rtl/>
        </w:rPr>
        <w:t xml:space="preserve"> בפועל. הוא ערער על חומרת עונשו ובית המשפט העליון דחה את ערעורו וקבע כי העונש שהוטל עליו איננו חורג ממדיניות הענישה המקובלת בעבירות דומות.</w:t>
      </w:r>
    </w:p>
    <w:p w14:paraId="3F0171C7"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ב</w:t>
      </w:r>
      <w:hyperlink r:id="rId23" w:history="1">
        <w:r w:rsidR="00121D98" w:rsidRPr="00121D98">
          <w:rPr>
            <w:rFonts w:ascii="David" w:hAnsi="David"/>
            <w:color w:val="0000FF"/>
            <w:u w:val="single"/>
            <w:rtl/>
          </w:rPr>
          <w:t>ע"פ 810/11</w:t>
        </w:r>
      </w:hyperlink>
      <w:r w:rsidRPr="00F51524">
        <w:rPr>
          <w:rFonts w:ascii="David" w:hAnsi="David"/>
          <w:rtl/>
        </w:rPr>
        <w:t xml:space="preserve"> </w:t>
      </w:r>
      <w:r w:rsidRPr="00F51524">
        <w:rPr>
          <w:rFonts w:ascii="David" w:hAnsi="David"/>
          <w:b/>
          <w:bCs/>
          <w:rtl/>
        </w:rPr>
        <w:t xml:space="preserve">רועי שודגוקר בורגרקר </w:t>
      </w:r>
      <w:r w:rsidRPr="00F51524">
        <w:rPr>
          <w:rFonts w:ascii="David" w:hAnsi="David"/>
          <w:rtl/>
        </w:rPr>
        <w:t>נ'</w:t>
      </w:r>
      <w:r w:rsidRPr="00F51524">
        <w:rPr>
          <w:rFonts w:ascii="David" w:hAnsi="David"/>
          <w:b/>
          <w:bCs/>
          <w:rtl/>
        </w:rPr>
        <w:t xml:space="preserve"> מדינת ישראל</w:t>
      </w:r>
      <w:r w:rsidRPr="00F51524">
        <w:rPr>
          <w:rFonts w:ascii="David" w:hAnsi="David"/>
          <w:rtl/>
        </w:rPr>
        <w:t xml:space="preserve"> (פורסם בנבו, 19.5.11) נדחה ערעורו של נאשם שנדון ל- </w:t>
      </w:r>
      <w:r w:rsidRPr="00F51524">
        <w:rPr>
          <w:rFonts w:ascii="David" w:hAnsi="David"/>
          <w:b/>
          <w:bCs/>
          <w:rtl/>
        </w:rPr>
        <w:t>36 חודשי מאסר</w:t>
      </w:r>
      <w:r w:rsidRPr="00F51524">
        <w:rPr>
          <w:rFonts w:ascii="David" w:hAnsi="David"/>
          <w:rtl/>
        </w:rPr>
        <w:t xml:space="preserve"> בפועל על החזקת כ- </w:t>
      </w:r>
      <w:r w:rsidRPr="00F51524">
        <w:rPr>
          <w:rFonts w:ascii="David" w:hAnsi="David"/>
          <w:b/>
          <w:bCs/>
          <w:rtl/>
        </w:rPr>
        <w:t>59 גרם הרואין</w:t>
      </w:r>
      <w:r w:rsidRPr="00F51524">
        <w:rPr>
          <w:rFonts w:ascii="David" w:hAnsi="David"/>
          <w:rtl/>
        </w:rPr>
        <w:t xml:space="preserve">. </w:t>
      </w:r>
    </w:p>
    <w:p w14:paraId="3576AABF" w14:textId="77777777" w:rsidR="00AB3FA4" w:rsidRPr="00F51524" w:rsidRDefault="00AB3FA4" w:rsidP="00AB3FA4">
      <w:pPr>
        <w:spacing w:after="160" w:line="360" w:lineRule="auto"/>
        <w:ind w:left="720"/>
        <w:jc w:val="both"/>
        <w:textAlignment w:val="top"/>
        <w:rPr>
          <w:rFonts w:ascii="David" w:hAnsi="David"/>
          <w:b/>
          <w:rtl/>
        </w:rPr>
      </w:pPr>
      <w:r w:rsidRPr="00F51524">
        <w:rPr>
          <w:rFonts w:ascii="David" w:hAnsi="David"/>
          <w:rtl/>
        </w:rPr>
        <w:t>ב</w:t>
      </w:r>
      <w:hyperlink r:id="rId24" w:history="1">
        <w:r w:rsidR="00121D98" w:rsidRPr="00121D98">
          <w:rPr>
            <w:rFonts w:ascii="David" w:hAnsi="David"/>
            <w:color w:val="0000FF"/>
            <w:u w:val="single"/>
            <w:rtl/>
          </w:rPr>
          <w:t>ע"פ 4938/00</w:t>
        </w:r>
      </w:hyperlink>
      <w:r w:rsidRPr="00F51524">
        <w:rPr>
          <w:rFonts w:ascii="David" w:hAnsi="David"/>
          <w:rtl/>
        </w:rPr>
        <w:t>,</w:t>
      </w:r>
      <w:r w:rsidRPr="00F51524">
        <w:rPr>
          <w:rFonts w:ascii="David" w:hAnsi="David"/>
          <w:b/>
          <w:bCs/>
          <w:rtl/>
        </w:rPr>
        <w:t xml:space="preserve"> כרים זידאן </w:t>
      </w:r>
      <w:r w:rsidRPr="00F51524">
        <w:rPr>
          <w:rFonts w:ascii="David" w:hAnsi="David"/>
          <w:rtl/>
        </w:rPr>
        <w:t>נ'</w:t>
      </w:r>
      <w:r w:rsidRPr="00F51524">
        <w:rPr>
          <w:rFonts w:ascii="David" w:hAnsi="David"/>
          <w:b/>
          <w:bCs/>
          <w:rtl/>
        </w:rPr>
        <w:t xml:space="preserve"> מדינת ישראל</w:t>
      </w:r>
      <w:r w:rsidRPr="00F51524">
        <w:rPr>
          <w:rFonts w:ascii="David" w:hAnsi="David"/>
          <w:rtl/>
        </w:rPr>
        <w:t xml:space="preserve">, (אתר הרשות השופטת, 07.06.01) </w:t>
      </w:r>
      <w:r w:rsidRPr="00F51524">
        <w:rPr>
          <w:rFonts w:ascii="David" w:hAnsi="David"/>
          <w:b/>
          <w:rtl/>
        </w:rPr>
        <w:t xml:space="preserve">דחה בית המשפט העליון ערעור על חומרת העונש, של נאשם צעיר בעל עבר נקי -  </w:t>
      </w:r>
      <w:r w:rsidRPr="00F51524">
        <w:rPr>
          <w:rFonts w:ascii="David" w:hAnsi="David"/>
          <w:bCs/>
          <w:rtl/>
        </w:rPr>
        <w:t>4 שנות מאסר</w:t>
      </w:r>
      <w:r w:rsidRPr="00F51524">
        <w:rPr>
          <w:rFonts w:ascii="David" w:hAnsi="David"/>
          <w:b/>
          <w:rtl/>
        </w:rPr>
        <w:t xml:space="preserve"> בפועל, על </w:t>
      </w:r>
      <w:r w:rsidRPr="00F51524">
        <w:rPr>
          <w:rFonts w:ascii="David" w:hAnsi="David"/>
          <w:bCs/>
          <w:rtl/>
        </w:rPr>
        <w:t>החזקת כ-</w:t>
      </w:r>
      <w:r w:rsidRPr="00F51524">
        <w:rPr>
          <w:rFonts w:ascii="David" w:hAnsi="David"/>
          <w:b/>
          <w:rtl/>
        </w:rPr>
        <w:t xml:space="preserve"> </w:t>
      </w:r>
      <w:r w:rsidRPr="00F51524">
        <w:rPr>
          <w:rFonts w:ascii="David" w:hAnsi="David"/>
          <w:bCs/>
          <w:rtl/>
        </w:rPr>
        <w:t>52 גרם הרואין</w:t>
      </w:r>
      <w:r w:rsidRPr="00F51524">
        <w:rPr>
          <w:rFonts w:ascii="David" w:hAnsi="David"/>
          <w:b/>
          <w:rtl/>
        </w:rPr>
        <w:t xml:space="preserve"> ומאזניים אלקטרוניים לשקילת סם. </w:t>
      </w:r>
    </w:p>
    <w:p w14:paraId="248137DB"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ב</w:t>
      </w:r>
      <w:hyperlink r:id="rId25" w:history="1">
        <w:r w:rsidR="00121D98" w:rsidRPr="00121D98">
          <w:rPr>
            <w:rFonts w:ascii="David" w:hAnsi="David"/>
            <w:color w:val="0000FF"/>
            <w:u w:val="single"/>
            <w:rtl/>
          </w:rPr>
          <w:t>ע"פ 6839/97</w:t>
        </w:r>
      </w:hyperlink>
      <w:r w:rsidRPr="00F51524">
        <w:rPr>
          <w:rFonts w:ascii="David" w:hAnsi="David"/>
          <w:rtl/>
        </w:rPr>
        <w:t xml:space="preserve">, </w:t>
      </w:r>
      <w:r w:rsidRPr="00F51524">
        <w:rPr>
          <w:rFonts w:ascii="David" w:hAnsi="David"/>
          <w:b/>
          <w:bCs/>
          <w:rtl/>
        </w:rPr>
        <w:t xml:space="preserve">מרדכי עזרן </w:t>
      </w:r>
      <w:r w:rsidRPr="00F51524">
        <w:rPr>
          <w:rFonts w:ascii="David" w:hAnsi="David"/>
          <w:rtl/>
        </w:rPr>
        <w:t>נ'</w:t>
      </w:r>
      <w:r w:rsidRPr="00F51524">
        <w:rPr>
          <w:rFonts w:ascii="David" w:hAnsi="David"/>
          <w:b/>
          <w:bCs/>
          <w:rtl/>
        </w:rPr>
        <w:t xml:space="preserve"> מדינת ישראל,</w:t>
      </w:r>
      <w:r w:rsidRPr="00F51524">
        <w:rPr>
          <w:rFonts w:ascii="David" w:hAnsi="David"/>
          <w:rtl/>
        </w:rPr>
        <w:t xml:space="preserve"> (פורסם בנבו, 28.4.98),</w:t>
      </w:r>
      <w:r w:rsidRPr="00F51524">
        <w:rPr>
          <w:rFonts w:ascii="David" w:hAnsi="David"/>
          <w:b/>
          <w:rtl/>
        </w:rPr>
        <w:t xml:space="preserve"> בית המשפט העליון דחה ערעור על חומרת העונש שהושת על המערער -  </w:t>
      </w:r>
      <w:r w:rsidRPr="00F51524">
        <w:rPr>
          <w:rFonts w:ascii="David" w:hAnsi="David"/>
          <w:bCs/>
          <w:rtl/>
        </w:rPr>
        <w:t>4 שנות מאסר</w:t>
      </w:r>
      <w:r w:rsidRPr="00F51524">
        <w:rPr>
          <w:rFonts w:ascii="David" w:hAnsi="David"/>
          <w:b/>
          <w:rtl/>
        </w:rPr>
        <w:t xml:space="preserve"> בפועל, על </w:t>
      </w:r>
      <w:r w:rsidRPr="00F51524">
        <w:rPr>
          <w:rFonts w:ascii="David" w:hAnsi="David"/>
          <w:bCs/>
          <w:rtl/>
        </w:rPr>
        <w:t>החזקת</w:t>
      </w:r>
      <w:r w:rsidRPr="00F51524">
        <w:rPr>
          <w:rFonts w:ascii="David" w:hAnsi="David"/>
          <w:b/>
          <w:rtl/>
        </w:rPr>
        <w:t xml:space="preserve"> </w:t>
      </w:r>
      <w:r w:rsidRPr="00F51524">
        <w:rPr>
          <w:rFonts w:ascii="David" w:hAnsi="David"/>
          <w:bCs/>
          <w:rtl/>
        </w:rPr>
        <w:t>72 גרם הרואין</w:t>
      </w:r>
      <w:r w:rsidRPr="00F51524">
        <w:rPr>
          <w:rFonts w:ascii="David" w:hAnsi="David"/>
          <w:b/>
          <w:rtl/>
        </w:rPr>
        <w:t xml:space="preserve">  ומאזניים לשקילת הסם</w:t>
      </w:r>
      <w:r w:rsidRPr="00F51524">
        <w:rPr>
          <w:rFonts w:ascii="David" w:hAnsi="David"/>
          <w:rtl/>
        </w:rPr>
        <w:t>.</w:t>
      </w:r>
    </w:p>
    <w:p w14:paraId="0C489791"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ב</w:t>
      </w:r>
      <w:hyperlink r:id="rId26" w:history="1">
        <w:r w:rsidR="00121D98" w:rsidRPr="00121D98">
          <w:rPr>
            <w:rFonts w:ascii="David" w:hAnsi="David"/>
            <w:color w:val="0000FF"/>
            <w:u w:val="single"/>
            <w:rtl/>
          </w:rPr>
          <w:t>ע"פ 1594/96</w:t>
        </w:r>
      </w:hyperlink>
      <w:r w:rsidRPr="00F51524">
        <w:rPr>
          <w:rFonts w:ascii="David" w:hAnsi="David"/>
          <w:rtl/>
        </w:rPr>
        <w:t>,</w:t>
      </w:r>
      <w:r w:rsidRPr="00F51524">
        <w:rPr>
          <w:rFonts w:ascii="David" w:hAnsi="David"/>
          <w:b/>
          <w:bCs/>
          <w:rtl/>
        </w:rPr>
        <w:t xml:space="preserve"> סלאח אלדין בן חאלד עקול </w:t>
      </w:r>
      <w:r w:rsidRPr="00F51524">
        <w:rPr>
          <w:rFonts w:ascii="David" w:hAnsi="David"/>
          <w:rtl/>
        </w:rPr>
        <w:t>נ'</w:t>
      </w:r>
      <w:r w:rsidRPr="00F51524">
        <w:rPr>
          <w:rFonts w:ascii="David" w:hAnsi="David"/>
          <w:b/>
          <w:bCs/>
          <w:rtl/>
        </w:rPr>
        <w:t xml:space="preserve"> מדינת ישראל</w:t>
      </w:r>
      <w:r w:rsidRPr="00F51524">
        <w:rPr>
          <w:rFonts w:ascii="David" w:hAnsi="David"/>
          <w:rtl/>
        </w:rPr>
        <w:t xml:space="preserve">, (פורסם בנבו, 02.04.97), </w:t>
      </w:r>
      <w:r w:rsidRPr="00F51524">
        <w:rPr>
          <w:rFonts w:ascii="David" w:hAnsi="David"/>
          <w:b/>
          <w:rtl/>
        </w:rPr>
        <w:t xml:space="preserve">דחה בית המשפט העליון ערעור על חומרת העונש שהוטל על המערער - </w:t>
      </w:r>
      <w:r w:rsidRPr="00F51524">
        <w:rPr>
          <w:rFonts w:ascii="David" w:hAnsi="David"/>
          <w:bCs/>
          <w:rtl/>
        </w:rPr>
        <w:t>5 שנות מאסר</w:t>
      </w:r>
      <w:r w:rsidRPr="00F51524">
        <w:rPr>
          <w:rFonts w:ascii="David" w:hAnsi="David"/>
          <w:b/>
          <w:rtl/>
        </w:rPr>
        <w:t xml:space="preserve"> בפועל, על החזקת </w:t>
      </w:r>
      <w:r w:rsidRPr="00F51524">
        <w:rPr>
          <w:rFonts w:ascii="David" w:hAnsi="David"/>
          <w:bCs/>
          <w:rtl/>
        </w:rPr>
        <w:t>18 גרם הרואין</w:t>
      </w:r>
      <w:r w:rsidRPr="00F51524">
        <w:rPr>
          <w:rFonts w:ascii="David" w:hAnsi="David"/>
          <w:rtl/>
        </w:rPr>
        <w:t>.</w:t>
      </w:r>
    </w:p>
    <w:p w14:paraId="57EB4255" w14:textId="77777777" w:rsidR="00AB3FA4" w:rsidRPr="00F51524" w:rsidRDefault="00AB3FA4" w:rsidP="00AB3FA4">
      <w:pPr>
        <w:spacing w:after="160" w:line="360" w:lineRule="auto"/>
        <w:ind w:left="720"/>
        <w:jc w:val="both"/>
        <w:textAlignment w:val="top"/>
        <w:rPr>
          <w:rFonts w:ascii="David" w:hAnsi="David"/>
          <w:rtl/>
        </w:rPr>
      </w:pPr>
      <w:r w:rsidRPr="00F51524">
        <w:rPr>
          <w:rFonts w:ascii="David" w:hAnsi="David"/>
          <w:b/>
          <w:rtl/>
        </w:rPr>
        <w:t>ב</w:t>
      </w:r>
      <w:hyperlink r:id="rId27" w:history="1">
        <w:r w:rsidR="00121D98" w:rsidRPr="00121D98">
          <w:rPr>
            <w:rFonts w:ascii="David" w:hAnsi="David"/>
            <w:b/>
            <w:color w:val="0000FF"/>
            <w:u w:val="single"/>
            <w:rtl/>
          </w:rPr>
          <w:t>ע"פ 211/09</w:t>
        </w:r>
      </w:hyperlink>
      <w:r w:rsidRPr="00F51524">
        <w:rPr>
          <w:rFonts w:ascii="David" w:hAnsi="David"/>
          <w:bCs/>
          <w:rtl/>
        </w:rPr>
        <w:t xml:space="preserve"> שמעון אזולאי </w:t>
      </w:r>
      <w:r w:rsidRPr="00F51524">
        <w:rPr>
          <w:rFonts w:ascii="David" w:hAnsi="David"/>
          <w:b/>
          <w:rtl/>
        </w:rPr>
        <w:t xml:space="preserve">נ' </w:t>
      </w:r>
      <w:r w:rsidRPr="00F51524">
        <w:rPr>
          <w:rFonts w:ascii="David" w:hAnsi="David"/>
          <w:bCs/>
          <w:rtl/>
        </w:rPr>
        <w:t>מדינת ישראל</w:t>
      </w:r>
      <w:r w:rsidRPr="00F51524">
        <w:rPr>
          <w:rFonts w:ascii="David" w:hAnsi="David"/>
          <w:b/>
          <w:rtl/>
        </w:rPr>
        <w:t xml:space="preserve"> (פורסם בנבו, 22.06.10), דחה בית המשפט העליון ערעור על חומרת העונש שהושת על המערער- </w:t>
      </w:r>
      <w:r w:rsidRPr="00F51524">
        <w:rPr>
          <w:rFonts w:ascii="David" w:hAnsi="David"/>
          <w:bCs/>
          <w:rtl/>
        </w:rPr>
        <w:t>5 שנות מאסר</w:t>
      </w:r>
      <w:r w:rsidRPr="00F51524">
        <w:rPr>
          <w:rFonts w:ascii="David" w:hAnsi="David"/>
          <w:b/>
          <w:rtl/>
        </w:rPr>
        <w:t xml:space="preserve"> בפועל, על החזקת כ </w:t>
      </w:r>
      <w:r w:rsidRPr="00F51524">
        <w:rPr>
          <w:rFonts w:ascii="David" w:hAnsi="David"/>
          <w:bCs/>
          <w:rtl/>
        </w:rPr>
        <w:t>176 גרם הרואין</w:t>
      </w:r>
      <w:r w:rsidRPr="00F51524">
        <w:rPr>
          <w:rFonts w:ascii="David" w:hAnsi="David"/>
          <w:b/>
          <w:rtl/>
        </w:rPr>
        <w:t>.</w:t>
      </w:r>
      <w:r w:rsidRPr="00F51524">
        <w:rPr>
          <w:rFonts w:ascii="David" w:hAnsi="David"/>
          <w:rtl/>
        </w:rPr>
        <w:t xml:space="preserve"> </w:t>
      </w:r>
    </w:p>
    <w:p w14:paraId="775C9A9B" w14:textId="77777777" w:rsidR="00AB3FA4" w:rsidRPr="00F51524" w:rsidRDefault="00AB3FA4" w:rsidP="00AB3FA4">
      <w:pPr>
        <w:spacing w:after="160" w:line="360" w:lineRule="auto"/>
        <w:ind w:left="720"/>
        <w:jc w:val="both"/>
        <w:textAlignment w:val="top"/>
        <w:rPr>
          <w:rFonts w:ascii="David" w:hAnsi="David"/>
          <w:b/>
          <w:rtl/>
        </w:rPr>
      </w:pPr>
      <w:r w:rsidRPr="00F51524">
        <w:rPr>
          <w:rFonts w:ascii="David" w:hAnsi="David"/>
          <w:rtl/>
        </w:rPr>
        <w:t xml:space="preserve">(ראה גם - </w:t>
      </w:r>
      <w:hyperlink r:id="rId28" w:history="1">
        <w:r w:rsidR="00121D98" w:rsidRPr="00121D98">
          <w:rPr>
            <w:rFonts w:ascii="David" w:hAnsi="David"/>
            <w:color w:val="0000FF"/>
            <w:u w:val="single"/>
            <w:rtl/>
            <w:lang w:eastAsia="he-IL"/>
          </w:rPr>
          <w:t>ע"פ 8820/14</w:t>
        </w:r>
      </w:hyperlink>
      <w:r w:rsidRPr="00F51524">
        <w:rPr>
          <w:rFonts w:ascii="David" w:hAnsi="David"/>
          <w:rtl/>
          <w:lang w:eastAsia="he-IL"/>
        </w:rPr>
        <w:t xml:space="preserve"> </w:t>
      </w:r>
      <w:r w:rsidRPr="00F51524">
        <w:rPr>
          <w:rFonts w:ascii="David" w:hAnsi="David"/>
          <w:b/>
          <w:bCs/>
          <w:rtl/>
          <w:lang w:eastAsia="he-IL"/>
        </w:rPr>
        <w:t xml:space="preserve">זהר שחר </w:t>
      </w:r>
      <w:r w:rsidRPr="00F51524">
        <w:rPr>
          <w:rFonts w:ascii="David" w:hAnsi="David"/>
          <w:rtl/>
          <w:lang w:eastAsia="he-IL"/>
        </w:rPr>
        <w:t>נ'</w:t>
      </w:r>
      <w:r w:rsidRPr="00F51524">
        <w:rPr>
          <w:rFonts w:ascii="David" w:hAnsi="David"/>
          <w:b/>
          <w:bCs/>
          <w:rtl/>
          <w:lang w:eastAsia="he-IL"/>
        </w:rPr>
        <w:t xml:space="preserve"> מדינת ישראל</w:t>
      </w:r>
      <w:r w:rsidRPr="00F51524">
        <w:rPr>
          <w:rFonts w:ascii="David" w:hAnsi="David"/>
          <w:rtl/>
          <w:lang w:eastAsia="he-IL"/>
        </w:rPr>
        <w:t xml:space="preserve"> (פורסם בנבו, 2015); </w:t>
      </w:r>
      <w:hyperlink r:id="rId29" w:history="1">
        <w:r w:rsidR="00121D98" w:rsidRPr="00121D98">
          <w:rPr>
            <w:rFonts w:ascii="David" w:hAnsi="David"/>
            <w:color w:val="0000FF"/>
            <w:u w:val="single"/>
            <w:rtl/>
            <w:lang w:eastAsia="he-IL"/>
          </w:rPr>
          <w:t>ע"פ 1313/14</w:t>
        </w:r>
      </w:hyperlink>
      <w:r w:rsidRPr="00F51524">
        <w:rPr>
          <w:rFonts w:ascii="David" w:hAnsi="David"/>
          <w:rtl/>
          <w:lang w:eastAsia="he-IL"/>
        </w:rPr>
        <w:t xml:space="preserve"> </w:t>
      </w:r>
      <w:r w:rsidRPr="00F51524">
        <w:rPr>
          <w:rFonts w:ascii="David" w:hAnsi="David"/>
          <w:b/>
          <w:bCs/>
          <w:rtl/>
          <w:lang w:eastAsia="he-IL"/>
        </w:rPr>
        <w:t xml:space="preserve">גמאל בהתימי </w:t>
      </w:r>
      <w:r w:rsidRPr="00F51524">
        <w:rPr>
          <w:rFonts w:ascii="David" w:hAnsi="David"/>
          <w:rtl/>
          <w:lang w:eastAsia="he-IL"/>
        </w:rPr>
        <w:t>נ'</w:t>
      </w:r>
      <w:r w:rsidRPr="00F51524">
        <w:rPr>
          <w:rFonts w:ascii="David" w:hAnsi="David"/>
          <w:b/>
          <w:bCs/>
          <w:rtl/>
          <w:lang w:eastAsia="he-IL"/>
        </w:rPr>
        <w:t xml:space="preserve"> מדינת ישראל</w:t>
      </w:r>
      <w:r w:rsidRPr="00F51524">
        <w:rPr>
          <w:rFonts w:ascii="David" w:hAnsi="David"/>
          <w:rtl/>
          <w:lang w:eastAsia="he-IL"/>
        </w:rPr>
        <w:t xml:space="preserve"> (פורסם בנבו, 2015); </w:t>
      </w:r>
      <w:hyperlink r:id="rId30" w:history="1">
        <w:r w:rsidR="00121D98" w:rsidRPr="00121D98">
          <w:rPr>
            <w:rFonts w:ascii="David" w:hAnsi="David"/>
            <w:color w:val="0000FF"/>
            <w:u w:val="single"/>
            <w:rtl/>
            <w:lang w:eastAsia="he-IL"/>
          </w:rPr>
          <w:t>ע"פ 11469/05</w:t>
        </w:r>
      </w:hyperlink>
      <w:r w:rsidRPr="00F51524">
        <w:rPr>
          <w:rFonts w:ascii="David" w:hAnsi="David"/>
          <w:rtl/>
          <w:lang w:eastAsia="he-IL"/>
        </w:rPr>
        <w:t xml:space="preserve"> </w:t>
      </w:r>
      <w:r w:rsidRPr="00F51524">
        <w:rPr>
          <w:rFonts w:ascii="David" w:hAnsi="David"/>
          <w:b/>
          <w:bCs/>
          <w:rtl/>
          <w:lang w:eastAsia="he-IL"/>
        </w:rPr>
        <w:t xml:space="preserve">מדינת ישראל </w:t>
      </w:r>
      <w:r w:rsidRPr="00F51524">
        <w:rPr>
          <w:rFonts w:ascii="David" w:hAnsi="David"/>
          <w:rtl/>
          <w:lang w:eastAsia="he-IL"/>
        </w:rPr>
        <w:t>נ'</w:t>
      </w:r>
      <w:r w:rsidRPr="00F51524">
        <w:rPr>
          <w:rFonts w:ascii="David" w:hAnsi="David"/>
          <w:b/>
          <w:bCs/>
          <w:rtl/>
          <w:lang w:eastAsia="he-IL"/>
        </w:rPr>
        <w:t xml:space="preserve"> עייש</w:t>
      </w:r>
      <w:r w:rsidRPr="00F51524">
        <w:rPr>
          <w:rFonts w:ascii="David" w:hAnsi="David"/>
          <w:rtl/>
          <w:lang w:eastAsia="he-IL"/>
        </w:rPr>
        <w:t xml:space="preserve"> (פורסם בנבו, 2006); </w:t>
      </w:r>
      <w:hyperlink r:id="rId31" w:history="1">
        <w:r w:rsidR="00121D98" w:rsidRPr="00121D98">
          <w:rPr>
            <w:rFonts w:ascii="David" w:hAnsi="David"/>
            <w:color w:val="0000FF"/>
            <w:u w:val="single"/>
            <w:rtl/>
            <w:lang w:eastAsia="he-IL"/>
          </w:rPr>
          <w:t>ע"פ 5958/13</w:t>
        </w:r>
      </w:hyperlink>
      <w:r w:rsidRPr="00F51524">
        <w:rPr>
          <w:rFonts w:ascii="David" w:hAnsi="David"/>
          <w:rtl/>
          <w:lang w:eastAsia="he-IL"/>
        </w:rPr>
        <w:t xml:space="preserve"> </w:t>
      </w:r>
      <w:r w:rsidRPr="00F51524">
        <w:rPr>
          <w:rFonts w:ascii="David" w:hAnsi="David"/>
          <w:b/>
          <w:bCs/>
          <w:rtl/>
          <w:lang w:eastAsia="he-IL"/>
        </w:rPr>
        <w:t xml:space="preserve">גיא שרגא סבג </w:t>
      </w:r>
      <w:r w:rsidRPr="00F51524">
        <w:rPr>
          <w:rFonts w:ascii="David" w:hAnsi="David"/>
          <w:rtl/>
          <w:lang w:eastAsia="he-IL"/>
        </w:rPr>
        <w:t>נ'</w:t>
      </w:r>
      <w:r w:rsidRPr="00F51524">
        <w:rPr>
          <w:rFonts w:ascii="David" w:hAnsi="David"/>
          <w:b/>
          <w:bCs/>
          <w:rtl/>
          <w:lang w:eastAsia="he-IL"/>
        </w:rPr>
        <w:t xml:space="preserve"> מדינת ישראל</w:t>
      </w:r>
      <w:r w:rsidRPr="00F51524">
        <w:rPr>
          <w:rFonts w:ascii="David" w:hAnsi="David"/>
          <w:rtl/>
          <w:lang w:eastAsia="he-IL"/>
        </w:rPr>
        <w:t xml:space="preserve"> (פורסם בנבו, 2014); ע"פ </w:t>
      </w:r>
      <w:r w:rsidRPr="00121D98">
        <w:rPr>
          <w:rFonts w:ascii="David" w:hAnsi="David"/>
          <w:color w:val="000000"/>
          <w:rtl/>
          <w:lang w:eastAsia="he-IL"/>
        </w:rPr>
        <w:t>4203/14</w:t>
      </w:r>
      <w:r w:rsidRPr="00F51524">
        <w:rPr>
          <w:rFonts w:ascii="David" w:hAnsi="David"/>
          <w:rtl/>
          <w:lang w:eastAsia="he-IL"/>
        </w:rPr>
        <w:t xml:space="preserve"> </w:t>
      </w:r>
      <w:r w:rsidRPr="00F51524">
        <w:rPr>
          <w:rFonts w:ascii="David" w:hAnsi="David"/>
          <w:b/>
          <w:bCs/>
          <w:rtl/>
          <w:lang w:eastAsia="he-IL"/>
        </w:rPr>
        <w:t xml:space="preserve">אליהו כהן </w:t>
      </w:r>
      <w:r w:rsidRPr="00F51524">
        <w:rPr>
          <w:rFonts w:ascii="David" w:hAnsi="David"/>
          <w:rtl/>
          <w:lang w:eastAsia="he-IL"/>
        </w:rPr>
        <w:t>נ'</w:t>
      </w:r>
      <w:r w:rsidRPr="00F51524">
        <w:rPr>
          <w:rFonts w:ascii="David" w:hAnsi="David"/>
          <w:b/>
          <w:bCs/>
          <w:rtl/>
          <w:lang w:eastAsia="he-IL"/>
        </w:rPr>
        <w:t xml:space="preserve"> מדינת ישראל</w:t>
      </w:r>
      <w:r w:rsidRPr="00F51524">
        <w:rPr>
          <w:rFonts w:ascii="David" w:hAnsi="David"/>
          <w:rtl/>
          <w:lang w:eastAsia="he-IL"/>
        </w:rPr>
        <w:t xml:space="preserve"> (פורסם בנבו, 2015)).</w:t>
      </w:r>
      <w:r w:rsidRPr="00F51524">
        <w:rPr>
          <w:rFonts w:ascii="David" w:hAnsi="David"/>
          <w:rtl/>
          <w:lang w:eastAsia="he-IL"/>
        </w:rPr>
        <w:tab/>
      </w:r>
    </w:p>
    <w:p w14:paraId="36A42372"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10.</w:t>
      </w:r>
      <w:r w:rsidRPr="00F51524">
        <w:rPr>
          <w:rFonts w:ascii="David" w:hAnsi="David"/>
          <w:rtl/>
          <w:lang w:eastAsia="he-IL"/>
        </w:rPr>
        <w:tab/>
        <w:t xml:space="preserve">העבירה בה הורשע הנאשם היא </w:t>
      </w:r>
      <w:r w:rsidRPr="00F51524">
        <w:rPr>
          <w:rFonts w:ascii="David" w:hAnsi="David"/>
          <w:b/>
          <w:bCs/>
          <w:rtl/>
          <w:lang w:eastAsia="he-IL"/>
        </w:rPr>
        <w:t>סיוע</w:t>
      </w:r>
      <w:r w:rsidRPr="00F51524">
        <w:rPr>
          <w:rFonts w:ascii="David" w:hAnsi="David"/>
          <w:rtl/>
          <w:lang w:eastAsia="he-IL"/>
        </w:rPr>
        <w:t xml:space="preserve"> להחזקת סם שלא לצריכה עצמית. הכלל הוא שהעונש המירבי הקבוע לעבירת הסיוע הוא מחצית העונש שנקבע לעבירה העיקרית. בענייננו, העונש הקבוע לעבירת החזקת סם שלא לצריכה עצמית הוא 20 שנות מאסר, כך שהעונש המירבי על עבירת הסיוע בה הורשע הנאשם הוא 10 שנות מאסר. </w:t>
      </w:r>
    </w:p>
    <w:p w14:paraId="51F09F0F" w14:textId="77777777" w:rsidR="00AB3FA4" w:rsidRPr="00F51524" w:rsidRDefault="00AB3FA4" w:rsidP="00AB3FA4">
      <w:pPr>
        <w:spacing w:line="360" w:lineRule="auto"/>
        <w:jc w:val="both"/>
        <w:rPr>
          <w:rFonts w:ascii="David" w:hAnsi="David"/>
          <w:rtl/>
          <w:lang w:eastAsia="he-IL"/>
        </w:rPr>
      </w:pPr>
    </w:p>
    <w:p w14:paraId="1712E9B4"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11.</w:t>
      </w:r>
      <w:r w:rsidRPr="00F51524">
        <w:rPr>
          <w:rFonts w:ascii="David" w:hAnsi="David"/>
          <w:rtl/>
          <w:lang w:eastAsia="he-IL"/>
        </w:rPr>
        <w:tab/>
        <w:t xml:space="preserve">בעבירה של סיוע, חומרת מעשה העבירה נבחנת בין היתר בזיקה לעבירה העיקרית לה נעשה הסיוע ובהתחשב בטיב הסיוע ובתרומתו לביצוע העבירה העיקרית. </w:t>
      </w:r>
    </w:p>
    <w:p w14:paraId="4B9C5D68" w14:textId="77777777" w:rsidR="00AB3FA4" w:rsidRPr="00F51524" w:rsidRDefault="00AB3FA4" w:rsidP="00AB3FA4">
      <w:pPr>
        <w:spacing w:line="360" w:lineRule="auto"/>
        <w:ind w:left="720" w:hanging="720"/>
        <w:jc w:val="both"/>
        <w:rPr>
          <w:rFonts w:ascii="David" w:hAnsi="David"/>
          <w:rtl/>
          <w:lang w:eastAsia="he-IL"/>
        </w:rPr>
      </w:pPr>
    </w:p>
    <w:p w14:paraId="48B82F67"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12.</w:t>
      </w:r>
      <w:r w:rsidRPr="00F51524">
        <w:rPr>
          <w:rFonts w:ascii="David" w:hAnsi="David"/>
          <w:rtl/>
          <w:lang w:eastAsia="he-IL"/>
        </w:rPr>
        <w:tab/>
        <w:t xml:space="preserve">כתב האישום המקורי ייחס לנאשם עבירה של החזקת סם מסוכן שלא לצריכה עצמית. בכתב האישום המתוקן, העבירה שונתה לעבירת סיוע להחזקת סם מסוכן שלא לצריכה עצמית. העובדה המרכזית שעל יסודה יוחסה לנאשם בכתב האישום המקורי עבירה של החזקת סם שלא לצריכה עצמית הינה, שהנאשם הוביל ברכבו קוקאין במשקל המתקרב לקילוגרם אחד. עובדה זו נותרה בעינה גם בכתב האישום המתוקן, אלא שלצדה נטען שבמעשה זה הנאשם סייע לאחר להחזיק את הסם שהנאשם הוביל ברכבו. </w:t>
      </w:r>
    </w:p>
    <w:p w14:paraId="5CFF6D57" w14:textId="77777777" w:rsidR="00AB3FA4" w:rsidRPr="00F51524" w:rsidRDefault="00AB3FA4" w:rsidP="00AB3FA4">
      <w:pPr>
        <w:spacing w:line="360" w:lineRule="auto"/>
        <w:ind w:left="720" w:hanging="720"/>
        <w:jc w:val="both"/>
        <w:rPr>
          <w:rFonts w:ascii="David" w:hAnsi="David"/>
          <w:rtl/>
          <w:lang w:eastAsia="he-IL"/>
        </w:rPr>
      </w:pPr>
    </w:p>
    <w:p w14:paraId="4E128429"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ab/>
        <w:t xml:space="preserve">המעשה המיוחס לנאשם בכתב האישום המתוקן – הובלת הסם, כמובן מתוך מודעות לנסיבות – כשלעצמו, משכלל עבירה של החזקת סם מסוכן שלא לצריכה עצמית. </w:t>
      </w:r>
    </w:p>
    <w:p w14:paraId="376505C4" w14:textId="77777777" w:rsidR="00AB3FA4" w:rsidRPr="00F51524" w:rsidRDefault="00AB3FA4" w:rsidP="00AB3FA4">
      <w:pPr>
        <w:spacing w:line="360" w:lineRule="auto"/>
        <w:ind w:left="720" w:hanging="720"/>
        <w:jc w:val="both"/>
        <w:rPr>
          <w:rFonts w:ascii="David" w:hAnsi="David"/>
          <w:rtl/>
          <w:lang w:eastAsia="he-IL"/>
        </w:rPr>
      </w:pPr>
    </w:p>
    <w:p w14:paraId="399B071F" w14:textId="77777777" w:rsidR="00AB3FA4" w:rsidRPr="00F51524" w:rsidRDefault="00AB3FA4" w:rsidP="00AB3FA4">
      <w:pPr>
        <w:spacing w:line="360" w:lineRule="auto"/>
        <w:ind w:left="720"/>
        <w:jc w:val="both"/>
        <w:rPr>
          <w:rFonts w:ascii="David" w:hAnsi="David"/>
          <w:rtl/>
          <w:lang w:eastAsia="he-IL"/>
        </w:rPr>
      </w:pPr>
      <w:r w:rsidRPr="00F51524">
        <w:rPr>
          <w:rFonts w:ascii="David" w:hAnsi="David"/>
          <w:rtl/>
          <w:lang w:eastAsia="he-IL"/>
        </w:rPr>
        <w:t>קרבת מעשה הסיוע של הנאשם לעבירה המושלמת לה יועד הסיוע, מעמיד את מעשה  הנאשם בנסיבותיו בדרגת חומרה גבוהה.</w:t>
      </w:r>
    </w:p>
    <w:p w14:paraId="0B6CFEB7" w14:textId="77777777" w:rsidR="00AB3FA4" w:rsidRPr="00F51524" w:rsidRDefault="00AB3FA4" w:rsidP="00AB3FA4">
      <w:pPr>
        <w:spacing w:line="360" w:lineRule="auto"/>
        <w:ind w:left="720" w:hanging="720"/>
        <w:jc w:val="both"/>
        <w:rPr>
          <w:rFonts w:ascii="David" w:hAnsi="David"/>
          <w:rtl/>
          <w:lang w:eastAsia="he-IL"/>
        </w:rPr>
      </w:pPr>
    </w:p>
    <w:p w14:paraId="6F746CC6"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13.</w:t>
      </w:r>
      <w:r w:rsidRPr="00F51524">
        <w:rPr>
          <w:rFonts w:ascii="David" w:hAnsi="David"/>
          <w:rtl/>
          <w:lang w:eastAsia="he-IL"/>
        </w:rPr>
        <w:tab/>
        <w:t>בדומה למערכת הסחר בטובין חוקיים, גם סמים אינם עוברים ישירות מהיצרן לצרכן, והסחר בהם מחייב מעורבות של גורמי ביניים עד הגעתם ללקוח הקצה. חלקם של גורמי השטח בתהליך הפצת הסמים ותרומתם להתקיימותו הינה מכרעת. בלעדיהם הסחר בסמים לא יכול להתקיים. ממילא, המלחמה בסמים חייבת להיות מופנית נגד כל חוליה בשרשרת הפצת הסם. (</w:t>
      </w:r>
      <w:hyperlink r:id="rId32" w:history="1">
        <w:r w:rsidR="00121D98" w:rsidRPr="00121D98">
          <w:rPr>
            <w:rFonts w:ascii="David" w:hAnsi="David"/>
            <w:color w:val="0000FF"/>
            <w:u w:val="single"/>
            <w:rtl/>
            <w:lang w:eastAsia="he-IL"/>
          </w:rPr>
          <w:t>ע"פ 4592/15</w:t>
        </w:r>
      </w:hyperlink>
      <w:r w:rsidRPr="00F51524">
        <w:rPr>
          <w:rFonts w:ascii="David" w:hAnsi="David"/>
          <w:rtl/>
          <w:lang w:eastAsia="he-IL"/>
        </w:rPr>
        <w:t xml:space="preserve"> </w:t>
      </w:r>
      <w:r w:rsidRPr="00F51524">
        <w:rPr>
          <w:rFonts w:ascii="David" w:hAnsi="David"/>
          <w:b/>
          <w:bCs/>
          <w:rtl/>
          <w:lang w:eastAsia="he-IL"/>
        </w:rPr>
        <w:t xml:space="preserve">‏אשר מסעוד פדידה ואמיר אבו חמדה </w:t>
      </w:r>
      <w:r w:rsidRPr="00F51524">
        <w:rPr>
          <w:rFonts w:ascii="David" w:hAnsi="David"/>
          <w:rtl/>
          <w:lang w:eastAsia="he-IL"/>
        </w:rPr>
        <w:t>נ'</w:t>
      </w:r>
      <w:r w:rsidRPr="00F51524">
        <w:rPr>
          <w:rFonts w:ascii="David" w:hAnsi="David"/>
          <w:b/>
          <w:bCs/>
          <w:rtl/>
          <w:lang w:eastAsia="he-IL"/>
        </w:rPr>
        <w:t xml:space="preserve"> מדינת ישראל</w:t>
      </w:r>
      <w:r w:rsidRPr="00F51524">
        <w:rPr>
          <w:rFonts w:ascii="David" w:hAnsi="David"/>
          <w:rtl/>
          <w:lang w:eastAsia="he-IL"/>
        </w:rPr>
        <w:t xml:space="preserve">  (פורסם בנבו, 13.1.16)).</w:t>
      </w:r>
    </w:p>
    <w:p w14:paraId="607DCDE8" w14:textId="77777777" w:rsidR="00AB3FA4" w:rsidRPr="00F51524" w:rsidRDefault="00AB3FA4" w:rsidP="00AB3FA4">
      <w:pPr>
        <w:spacing w:line="360" w:lineRule="auto"/>
        <w:ind w:left="1440"/>
        <w:jc w:val="both"/>
        <w:rPr>
          <w:rFonts w:ascii="David" w:hAnsi="David"/>
          <w:rtl/>
        </w:rPr>
      </w:pPr>
      <w:r w:rsidRPr="00F51524">
        <w:rPr>
          <w:rFonts w:ascii="David" w:hAnsi="David"/>
          <w:rtl/>
        </w:rPr>
        <w:t xml:space="preserve"> </w:t>
      </w:r>
    </w:p>
    <w:p w14:paraId="55511F5D" w14:textId="77777777" w:rsidR="00AB3FA4" w:rsidRPr="00F51524" w:rsidRDefault="00AB3FA4" w:rsidP="00AB3FA4">
      <w:pPr>
        <w:spacing w:line="360" w:lineRule="auto"/>
        <w:ind w:left="1440"/>
        <w:jc w:val="both"/>
        <w:rPr>
          <w:rFonts w:ascii="David" w:hAnsi="David"/>
          <w:rtl/>
          <w:lang w:eastAsia="he-IL"/>
        </w:rPr>
      </w:pPr>
      <w:r w:rsidRPr="00F51524">
        <w:rPr>
          <w:rFonts w:ascii="David" w:hAnsi="David"/>
          <w:rtl/>
        </w:rPr>
        <w:t>"...</w:t>
      </w:r>
      <w:r w:rsidRPr="00F51524">
        <w:rPr>
          <w:rFonts w:ascii="David" w:hAnsi="David"/>
          <w:b/>
          <w:bCs/>
          <w:rtl/>
          <w:lang w:eastAsia="he-IL"/>
        </w:rPr>
        <w:t>בסוג זה של עבירות יש להעניש בחומרה ראויה גם שליחים ובלדרים שכן "מערכת הפצת הסמים נסמכת ונשענת, במידה רבה, על שירותיהם של בעלי תפקידים (כביכול "משניים") כאלה"</w:t>
      </w:r>
      <w:r w:rsidRPr="00F51524">
        <w:rPr>
          <w:rFonts w:ascii="David" w:hAnsi="David"/>
          <w:rtl/>
          <w:lang w:eastAsia="he-IL"/>
        </w:rPr>
        <w:t xml:space="preserve"> (</w:t>
      </w:r>
      <w:hyperlink r:id="rId33" w:history="1">
        <w:r w:rsidR="00121D98" w:rsidRPr="00121D98">
          <w:rPr>
            <w:rFonts w:ascii="David" w:hAnsi="David"/>
            <w:color w:val="0000FF"/>
            <w:u w:val="single"/>
            <w:rtl/>
            <w:lang w:eastAsia="he-IL"/>
          </w:rPr>
          <w:t>ע"פ 1674/96 קנטו נ' מדינת ישראל, פ"ד נ</w:t>
        </w:r>
      </w:hyperlink>
      <w:r w:rsidRPr="00F51524">
        <w:rPr>
          <w:rFonts w:ascii="David" w:hAnsi="David"/>
          <w:rtl/>
          <w:lang w:eastAsia="he-IL"/>
        </w:rPr>
        <w:t>(3) 722,725 (1996) סעיף 5).</w:t>
      </w:r>
    </w:p>
    <w:p w14:paraId="242D03B6" w14:textId="77777777" w:rsidR="00AB3FA4" w:rsidRPr="00F51524" w:rsidRDefault="00AB3FA4" w:rsidP="00AB3FA4">
      <w:pPr>
        <w:spacing w:line="360" w:lineRule="auto"/>
        <w:ind w:left="1440"/>
        <w:jc w:val="both"/>
        <w:rPr>
          <w:rFonts w:ascii="David" w:hAnsi="David"/>
          <w:rtl/>
          <w:lang w:eastAsia="he-IL"/>
        </w:rPr>
      </w:pPr>
    </w:p>
    <w:p w14:paraId="6DF4172F"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 xml:space="preserve">14. </w:t>
      </w:r>
      <w:r w:rsidRPr="00F51524">
        <w:rPr>
          <w:rFonts w:ascii="David" w:hAnsi="David"/>
          <w:rtl/>
          <w:lang w:eastAsia="he-IL"/>
        </w:rPr>
        <w:tab/>
        <w:t>מעשה הנאשם חייב מטבעו תיאום ותכנון מוקדמים והוא היה כרוך בפעולה אקטיבית של הנאשם.</w:t>
      </w:r>
    </w:p>
    <w:p w14:paraId="482A5D82"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ab/>
      </w:r>
    </w:p>
    <w:p w14:paraId="1C5232C0" w14:textId="77777777" w:rsidR="00AB3FA4" w:rsidRPr="00F51524" w:rsidRDefault="00AB3FA4" w:rsidP="00AB3FA4">
      <w:pPr>
        <w:spacing w:line="360" w:lineRule="auto"/>
        <w:ind w:left="720"/>
        <w:jc w:val="both"/>
        <w:rPr>
          <w:rFonts w:ascii="David" w:hAnsi="David"/>
          <w:rtl/>
          <w:lang w:eastAsia="he-IL"/>
        </w:rPr>
      </w:pPr>
      <w:r w:rsidRPr="00F51524">
        <w:rPr>
          <w:rFonts w:ascii="David" w:hAnsi="David"/>
          <w:rtl/>
          <w:lang w:eastAsia="he-IL"/>
        </w:rPr>
        <w:t xml:space="preserve">מעובדות כתב האישום ניתן להסיק שהסמים היו של אדם אחר, אולם, הנאשם הוא זה שהוביל את הסמים ובנסיבות הענין תרומתו לביצוע העבירה הינה משמעותית. </w:t>
      </w:r>
    </w:p>
    <w:p w14:paraId="1871A028"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ab/>
      </w:r>
    </w:p>
    <w:p w14:paraId="5A19DF0B" w14:textId="77777777" w:rsidR="00AB3FA4" w:rsidRPr="00F51524" w:rsidRDefault="00AB3FA4" w:rsidP="00AB3FA4">
      <w:pPr>
        <w:spacing w:line="360" w:lineRule="auto"/>
        <w:ind w:left="720"/>
        <w:jc w:val="both"/>
        <w:rPr>
          <w:rFonts w:ascii="David" w:hAnsi="David"/>
          <w:rtl/>
          <w:lang w:eastAsia="he-IL"/>
        </w:rPr>
      </w:pPr>
      <w:r w:rsidRPr="00F51524">
        <w:rPr>
          <w:rFonts w:ascii="David" w:hAnsi="David"/>
          <w:rtl/>
          <w:lang w:eastAsia="he-IL"/>
        </w:rPr>
        <w:t xml:space="preserve">כמות סם הקוקאין שהנאשם הוביל יכולה להספיק להכנת </w:t>
      </w:r>
      <w:r w:rsidRPr="00F51524">
        <w:rPr>
          <w:rFonts w:ascii="David" w:hAnsi="David"/>
          <w:b/>
          <w:bCs/>
          <w:rtl/>
          <w:lang w:eastAsia="he-IL"/>
        </w:rPr>
        <w:t>אלפי</w:t>
      </w:r>
      <w:r w:rsidRPr="00F51524">
        <w:rPr>
          <w:rFonts w:ascii="David" w:hAnsi="David"/>
          <w:rtl/>
          <w:lang w:eastAsia="he-IL"/>
        </w:rPr>
        <w:t xml:space="preserve"> מנות סם. </w:t>
      </w:r>
      <w:r w:rsidRPr="00F51524">
        <w:rPr>
          <w:rFonts w:ascii="David" w:hAnsi="David"/>
          <w:rtl/>
        </w:rPr>
        <w:t xml:space="preserve">לסיבור האוזן יוזכר, כי על פי הקבוע </w:t>
      </w:r>
      <w:hyperlink r:id="rId34" w:history="1">
        <w:r w:rsidR="00501156" w:rsidRPr="00501156">
          <w:rPr>
            <w:rStyle w:val="Hyperlink"/>
            <w:rFonts w:ascii="David" w:hAnsi="David"/>
            <w:color w:val="0000FF"/>
            <w:rtl/>
          </w:rPr>
          <w:t>בסעיף 31(3)</w:t>
        </w:r>
      </w:hyperlink>
      <w:r w:rsidRPr="00F51524">
        <w:rPr>
          <w:rFonts w:ascii="David" w:hAnsi="David"/>
          <w:rtl/>
        </w:rPr>
        <w:t xml:space="preserve"> ב</w:t>
      </w:r>
      <w:hyperlink r:id="rId35" w:history="1">
        <w:r w:rsidR="00121D98" w:rsidRPr="00121D98">
          <w:rPr>
            <w:rFonts w:ascii="David" w:hAnsi="David"/>
            <w:color w:val="0000FF"/>
            <w:u w:val="single"/>
            <w:rtl/>
          </w:rPr>
          <w:t>פקודת הסמים המסוכנים</w:t>
        </w:r>
      </w:hyperlink>
      <w:r w:rsidRPr="00F51524">
        <w:rPr>
          <w:rFonts w:ascii="David" w:hAnsi="David"/>
          <w:rtl/>
        </w:rPr>
        <w:t xml:space="preserve"> [נוסח חדש], התשל"ג-1973 ובתוספת השניה לפקודת הסמים, חזקה על מי שמחזיק קוקאין במשקל העולה על 0.3 גרם כי הוא מחזיק בסם שלא לצורך צריכתו העצמית. נתון זה נותן מושג עד כמה רבה ומשמעותית היא כמות הסם שהנאשם סייע להחזיק.</w:t>
      </w:r>
    </w:p>
    <w:p w14:paraId="2D8E91E6" w14:textId="77777777" w:rsidR="00AB3FA4" w:rsidRPr="00F51524" w:rsidRDefault="00AB3FA4" w:rsidP="00AB3FA4">
      <w:pPr>
        <w:spacing w:line="360" w:lineRule="auto"/>
        <w:ind w:left="720"/>
        <w:jc w:val="both"/>
        <w:rPr>
          <w:rFonts w:ascii="David" w:hAnsi="David"/>
          <w:rtl/>
          <w:lang w:eastAsia="he-IL"/>
        </w:rPr>
      </w:pPr>
    </w:p>
    <w:p w14:paraId="517FE36B" w14:textId="77777777" w:rsidR="00AB3FA4" w:rsidRPr="00F51524" w:rsidRDefault="00AB3FA4" w:rsidP="00AB3FA4">
      <w:pPr>
        <w:spacing w:line="360" w:lineRule="auto"/>
        <w:ind w:left="720"/>
        <w:jc w:val="both"/>
        <w:rPr>
          <w:rFonts w:ascii="David" w:hAnsi="David"/>
          <w:rtl/>
          <w:lang w:eastAsia="he-IL"/>
        </w:rPr>
      </w:pPr>
      <w:r w:rsidRPr="00F51524">
        <w:rPr>
          <w:rFonts w:ascii="David" w:hAnsi="David"/>
          <w:rtl/>
          <w:lang w:eastAsia="he-IL"/>
        </w:rPr>
        <w:t xml:space="preserve">קילוגרם קוקאין היא כמות גדולה מאוד של סם, במיוחד לעיר בסדר גודל של אילת. כך שהנזק שהיה צפוי להיגרם ממעשה הנאשם למשתמשים בסם ולציבור, הוא עצום ורב.  </w:t>
      </w:r>
    </w:p>
    <w:p w14:paraId="324468EC" w14:textId="77777777" w:rsidR="00AB3FA4" w:rsidRPr="00F51524" w:rsidRDefault="00AB3FA4" w:rsidP="00AB3FA4">
      <w:pPr>
        <w:spacing w:line="360" w:lineRule="auto"/>
        <w:ind w:left="720" w:hanging="720"/>
        <w:jc w:val="both"/>
        <w:rPr>
          <w:rFonts w:ascii="David" w:hAnsi="David"/>
          <w:rtl/>
          <w:lang w:eastAsia="he-IL"/>
        </w:rPr>
      </w:pPr>
    </w:p>
    <w:p w14:paraId="0579F28A"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ab/>
        <w:t xml:space="preserve">השווי הכספי של מנות הסם שניתן להפיק מכמות הסם המדוברת נאמד בסדרי גודל של מאות אלפי שקלים. יש להניח שהנאשם ביצע את מעשהו כדי להפיק רווח כספי. </w:t>
      </w:r>
    </w:p>
    <w:p w14:paraId="325A5294"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lang w:eastAsia="he-IL"/>
        </w:rPr>
        <w:t xml:space="preserve"> </w:t>
      </w:r>
    </w:p>
    <w:p w14:paraId="4E1EC551"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15.</w:t>
      </w:r>
      <w:r w:rsidRPr="00F51524">
        <w:rPr>
          <w:rFonts w:ascii="David" w:hAnsi="David"/>
          <w:rtl/>
        </w:rPr>
        <w:tab/>
        <w:t>בהתאם לצורך לקיים יחס הולם בין חומרת מעשה העבירה בנסיבותיו ומידת אשמו של הנאשם ובין העונש שיוטל, ובהתחשב בערכים החברתיים שנפגעו מביצוע העבירה, במידת הפגיעה בהם, במדיניות הענישה הנהוגה ובנסיבות הקשורות בביצוע העבירה, אני קובע כי מתחם העונש ההולם למעשה העבירה שביצע הנאשם הוא בין 5 ל-8 שנות מאסר.</w:t>
      </w:r>
    </w:p>
    <w:p w14:paraId="0D848E31"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 xml:space="preserve">16. </w:t>
      </w:r>
      <w:r w:rsidRPr="00F51524">
        <w:rPr>
          <w:rFonts w:ascii="David" w:hAnsi="David"/>
          <w:rtl/>
        </w:rPr>
        <w:tab/>
        <w:t xml:space="preserve">במקרה זה הודאת הנאשם ניתנה במסגרת הסדר טיעון שכלל הסכמה של הצדדים להמליץ לבית המשפט להטיל על הנאשם 44 חודשי מאסר בפועל ולהפעיל מאסר על תנאי בן שנה התלוי ועומד נגדו, חציו במצטבר וחציו בחופף, כך שיהיה על הנאשם לשאת 50 חודשי מאסר בפועל. </w:t>
      </w:r>
    </w:p>
    <w:p w14:paraId="314FB881"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17.</w:t>
      </w:r>
      <w:r w:rsidRPr="00F51524">
        <w:rPr>
          <w:rFonts w:ascii="David" w:hAnsi="David"/>
          <w:rtl/>
        </w:rPr>
        <w:tab/>
        <w:t xml:space="preserve">הסדרי הטיעון מגשימים תכליות חשובות ורצויות. יתרונותיהם לצדדים, למערכת, ולאינטרס הציבורי בכללו, מובהקים. בפועל, אחוז גבוה מהתיקים הפליליים המוגשים לבתי המשפט מסתיימים בהסדרי טיעון. בתי המשפט מסתכלים על הסדרי הטיעון בעין טובה. והכלל, המיושם כדרך שגרה, הוא, שבתי המשפט מאשרים הסדרי טיעון. (ראה </w:t>
      </w:r>
      <w:hyperlink r:id="rId36" w:history="1">
        <w:r w:rsidR="00121D98" w:rsidRPr="00121D98">
          <w:rPr>
            <w:rFonts w:ascii="David" w:hAnsi="David"/>
            <w:color w:val="0000FF"/>
            <w:u w:val="single"/>
            <w:rtl/>
          </w:rPr>
          <w:t>ע"פ 2021/17</w:t>
        </w:r>
      </w:hyperlink>
      <w:r w:rsidRPr="00F51524">
        <w:rPr>
          <w:rFonts w:ascii="David" w:hAnsi="David"/>
          <w:rtl/>
        </w:rPr>
        <w:t xml:space="preserve"> </w:t>
      </w:r>
      <w:r w:rsidRPr="00F51524">
        <w:rPr>
          <w:rFonts w:ascii="David" w:hAnsi="David"/>
          <w:b/>
          <w:bCs/>
          <w:rtl/>
        </w:rPr>
        <w:t xml:space="preserve">יונה יחיאל מצגר </w:t>
      </w:r>
      <w:r w:rsidRPr="00F51524">
        <w:rPr>
          <w:rFonts w:ascii="David" w:hAnsi="David"/>
          <w:rtl/>
        </w:rPr>
        <w:t>נ'</w:t>
      </w:r>
      <w:r w:rsidRPr="00F51524">
        <w:rPr>
          <w:rFonts w:ascii="David" w:hAnsi="David"/>
          <w:b/>
          <w:bCs/>
          <w:rtl/>
        </w:rPr>
        <w:t xml:space="preserve"> מדינת ישראל</w:t>
      </w:r>
      <w:r w:rsidRPr="00F51524">
        <w:rPr>
          <w:rFonts w:ascii="David" w:hAnsi="David"/>
          <w:rtl/>
        </w:rPr>
        <w:t xml:space="preserve"> (פורסם בנבו, 30.4.17) והפסיקה הרבה המובאת שם). </w:t>
      </w:r>
    </w:p>
    <w:p w14:paraId="5A660A5F"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18.</w:t>
      </w:r>
      <w:r w:rsidRPr="00F51524">
        <w:rPr>
          <w:rFonts w:ascii="David" w:hAnsi="David"/>
          <w:rtl/>
        </w:rPr>
        <w:tab/>
        <w:t xml:space="preserve">עם זאת, תפקידו של בית המשפט בנוגע להסדרי טיעון איננו מתמצה באישור פורמאלי של הסכמות הצדדים. גזירת הדין היא תמיד באחריות בית המשפט. הוא אחראי עליו בפני החוק, בפני הציבור ובפני מצפונו. ולא יועיל לו לטעון שהתביעה היא הקטגור וזה היה רצונה ושאל לבית המשפט להיות יותר קטגור מהקטגור. (ראה </w:t>
      </w:r>
      <w:hyperlink r:id="rId37" w:history="1">
        <w:r w:rsidR="00121D98" w:rsidRPr="00121D98">
          <w:rPr>
            <w:rFonts w:ascii="David" w:hAnsi="David"/>
            <w:color w:val="0000FF"/>
            <w:u w:val="single"/>
            <w:rtl/>
          </w:rPr>
          <w:t>רע"פ 7949/04</w:t>
        </w:r>
      </w:hyperlink>
      <w:r w:rsidRPr="00F51524">
        <w:rPr>
          <w:rFonts w:ascii="David" w:hAnsi="David"/>
          <w:rtl/>
        </w:rPr>
        <w:t xml:space="preserve"> </w:t>
      </w:r>
      <w:r w:rsidRPr="00F51524">
        <w:rPr>
          <w:rFonts w:ascii="David" w:hAnsi="David"/>
          <w:b/>
          <w:bCs/>
          <w:rtl/>
        </w:rPr>
        <w:t>ויאצסלב קרמנצקי</w:t>
      </w:r>
      <w:r w:rsidRPr="00F51524">
        <w:rPr>
          <w:rFonts w:ascii="David" w:hAnsi="David"/>
          <w:rtl/>
        </w:rPr>
        <w:t xml:space="preserve"> נ' </w:t>
      </w:r>
      <w:r w:rsidRPr="00F51524">
        <w:rPr>
          <w:rFonts w:ascii="David" w:hAnsi="David"/>
          <w:b/>
          <w:bCs/>
          <w:rtl/>
        </w:rPr>
        <w:t>מדינת ישראל</w:t>
      </w:r>
      <w:r w:rsidRPr="00F51524">
        <w:rPr>
          <w:rFonts w:ascii="David" w:hAnsi="David"/>
          <w:rtl/>
        </w:rPr>
        <w:t xml:space="preserve"> (פורסם בנבו, 27.12.04))</w:t>
      </w:r>
    </w:p>
    <w:p w14:paraId="17A8D2BA" w14:textId="77777777" w:rsidR="00AB3FA4" w:rsidRPr="00F51524" w:rsidRDefault="00AB3FA4" w:rsidP="00AB3FA4">
      <w:pPr>
        <w:spacing w:line="360" w:lineRule="auto"/>
        <w:jc w:val="both"/>
        <w:rPr>
          <w:rFonts w:ascii="David" w:hAnsi="David"/>
          <w:rtl/>
        </w:rPr>
      </w:pPr>
    </w:p>
    <w:p w14:paraId="42A8F8D8" w14:textId="77777777" w:rsidR="00AB3FA4" w:rsidRPr="00F51524" w:rsidRDefault="00AB3FA4" w:rsidP="00AB3FA4">
      <w:pPr>
        <w:spacing w:line="360" w:lineRule="auto"/>
        <w:jc w:val="both"/>
        <w:rPr>
          <w:rFonts w:ascii="David" w:hAnsi="David"/>
          <w:rtl/>
        </w:rPr>
      </w:pPr>
      <w:r w:rsidRPr="00F51524">
        <w:rPr>
          <w:rFonts w:ascii="David" w:hAnsi="David"/>
          <w:rtl/>
        </w:rPr>
        <w:tab/>
        <w:t>דבריו הנכוחים הבאים של המשנה לנשיא, השופט מ' חשין, המנוח, מדברים בעד עצמם –</w:t>
      </w:r>
    </w:p>
    <w:p w14:paraId="675F570D" w14:textId="77777777" w:rsidR="00AB3FA4" w:rsidRDefault="00AB3FA4" w:rsidP="00AB3FA4">
      <w:pPr>
        <w:spacing w:line="360" w:lineRule="auto"/>
        <w:ind w:left="1440"/>
        <w:jc w:val="both"/>
        <w:rPr>
          <w:rFonts w:ascii="David" w:hAnsi="David"/>
          <w:rtl/>
        </w:rPr>
      </w:pPr>
      <w:r w:rsidRPr="00F51524">
        <w:rPr>
          <w:rFonts w:ascii="David" w:hAnsi="David"/>
          <w:rtl/>
        </w:rPr>
        <w:t>"ואולם זאת נזכור ונשמור, שבסוף-כל-הסופות בית-המשפט הוא המכריע לשבט או לחסד, ובמקום שהדין הוא לשבט – הוא הגוזר עונש. הסמכות והכוח לענישה – ובהם עיקר – הם בידי בית-המשפט; האחריות לענישה על כתפי בית-המשפט מונחת היא, ומילתו של בית-המשפט היא המילה האחרונה והקובעת. נדע מכאן כי עמדתה של התביעה באשר לגזירת העונש, חשובה ככל שתהא, אין היא אלא אחד המרכיבים בשיקול-דעתו של בית-המשפט – מרכיב חשוב, מרכיב מרכזי, ללא כל ספק – ואולם כנגדו ובצדיו יתייצבו במקרים המתאימים שיקולים כבדי-משקל העשויים למעט ממשקלו." (</w:t>
      </w:r>
      <w:hyperlink r:id="rId38" w:history="1">
        <w:r w:rsidR="00121D98" w:rsidRPr="00121D98">
          <w:rPr>
            <w:rFonts w:ascii="David" w:hAnsi="David"/>
            <w:color w:val="0000FF"/>
            <w:u w:val="single"/>
            <w:rtl/>
          </w:rPr>
          <w:t>דנ"פ 1187/03 מדינת ישראל נ' אופיר פרץ, פ"ד נט</w:t>
        </w:r>
      </w:hyperlink>
      <w:r w:rsidRPr="00F51524">
        <w:rPr>
          <w:rFonts w:ascii="David" w:hAnsi="David"/>
          <w:rtl/>
        </w:rPr>
        <w:t xml:space="preserve"> (6) 281, 325).</w:t>
      </w:r>
    </w:p>
    <w:p w14:paraId="4F9B6CBB" w14:textId="77777777" w:rsidR="00AB3FA4" w:rsidRPr="00F51524" w:rsidRDefault="00AB3FA4" w:rsidP="00AB3FA4">
      <w:pPr>
        <w:spacing w:line="360" w:lineRule="auto"/>
        <w:ind w:left="1440"/>
        <w:jc w:val="both"/>
        <w:rPr>
          <w:rFonts w:ascii="David" w:hAnsi="David"/>
          <w:rtl/>
        </w:rPr>
      </w:pPr>
    </w:p>
    <w:p w14:paraId="18A72810"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19.</w:t>
      </w:r>
      <w:r w:rsidRPr="00F51524">
        <w:rPr>
          <w:rFonts w:ascii="David" w:hAnsi="David"/>
          <w:rtl/>
        </w:rPr>
        <w:tab/>
        <w:t>בבוא בית המשפט לאשר עונש המוצע על ידי הצדדים במסגרת הסדר טיעון, עליו לוודא שמתקיים איזון ראוי בין ההקלה בעונש לה זוכה הנאשם לבין אינטרס הציבור, המתבטא בעונש שבית המשפט גוזר (</w:t>
      </w:r>
      <w:hyperlink r:id="rId39" w:history="1">
        <w:r w:rsidR="00121D98" w:rsidRPr="00121D98">
          <w:rPr>
            <w:rFonts w:ascii="David" w:hAnsi="David"/>
            <w:color w:val="0000FF"/>
            <w:u w:val="single"/>
            <w:rtl/>
          </w:rPr>
          <w:t>ע"פ 1958/98</w:t>
        </w:r>
      </w:hyperlink>
      <w:r w:rsidRPr="00F51524">
        <w:rPr>
          <w:rFonts w:ascii="David" w:hAnsi="David"/>
          <w:rtl/>
        </w:rPr>
        <w:t xml:space="preserve"> </w:t>
      </w:r>
      <w:r w:rsidRPr="00F51524">
        <w:rPr>
          <w:rFonts w:ascii="David" w:hAnsi="David"/>
          <w:b/>
          <w:bCs/>
          <w:rtl/>
        </w:rPr>
        <w:t xml:space="preserve">פלוני </w:t>
      </w:r>
      <w:r w:rsidRPr="00F51524">
        <w:rPr>
          <w:rFonts w:ascii="David" w:hAnsi="David"/>
          <w:rtl/>
        </w:rPr>
        <w:t xml:space="preserve">נ' </w:t>
      </w:r>
      <w:r w:rsidRPr="00F51524">
        <w:rPr>
          <w:rFonts w:ascii="David" w:hAnsi="David"/>
          <w:b/>
          <w:bCs/>
          <w:rtl/>
        </w:rPr>
        <w:t xml:space="preserve">מדינת ישראל </w:t>
      </w:r>
      <w:r w:rsidRPr="00F51524">
        <w:rPr>
          <w:rFonts w:ascii="David" w:hAnsi="David"/>
          <w:rtl/>
        </w:rPr>
        <w:t xml:space="preserve">(פורסם בנבו, 25.12.02)            וע"פ 512/13 </w:t>
      </w:r>
      <w:r w:rsidRPr="00F51524">
        <w:rPr>
          <w:rFonts w:ascii="David" w:hAnsi="David"/>
          <w:b/>
          <w:bCs/>
          <w:rtl/>
        </w:rPr>
        <w:t xml:space="preserve">פלוני </w:t>
      </w:r>
      <w:r w:rsidRPr="00F51524">
        <w:rPr>
          <w:rFonts w:ascii="David" w:hAnsi="David"/>
          <w:rtl/>
        </w:rPr>
        <w:t xml:space="preserve">נ' </w:t>
      </w:r>
      <w:r w:rsidRPr="00F51524">
        <w:rPr>
          <w:rFonts w:ascii="David" w:hAnsi="David"/>
          <w:b/>
          <w:bCs/>
          <w:rtl/>
        </w:rPr>
        <w:t xml:space="preserve">מדינת ישראל </w:t>
      </w:r>
      <w:r w:rsidRPr="00F51524">
        <w:rPr>
          <w:rFonts w:ascii="David" w:hAnsi="David"/>
          <w:rtl/>
        </w:rPr>
        <w:t xml:space="preserve">(פורסם בנבו, 4.12.13)). </w:t>
      </w:r>
    </w:p>
    <w:p w14:paraId="5FB8B764"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 xml:space="preserve">  </w:t>
      </w:r>
      <w:r w:rsidRPr="00F51524">
        <w:rPr>
          <w:rFonts w:ascii="David" w:hAnsi="David"/>
          <w:rtl/>
        </w:rPr>
        <w:tab/>
        <w:t xml:space="preserve">במסגרת מבחן האיזון האמור, על בית המשפט לבחון את העונש המוצע בהסדר הטיעון אל מול העונש שהיה נגזר על הנאשם לולא הסדר הטיעון. כאשר הפער בין השניים אינו גדול, בית המשפט יאשר את הסדר הטיעון. כאשר הפער הוא משמעותי, על בית המשפט לבחון את הסיבות שהביאו את התביעה להסכים להסדר המקל. קושי של התביעה להוכיח את אשמת הנאשם בלעדי הודאתו, או קו הגנה ממשי שעמד לנאשם, הם נתונים בעלי משקל רב לטובת אישור הסדר טיעון, וכך גם נשקלים נתונים מיוחדים הנוגעים למצבו הבריאותי של הנאשם, שיתוף פעולה שלו עם גורמי האכיפה, וכיוב'. </w:t>
      </w:r>
    </w:p>
    <w:p w14:paraId="4C605F67"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 xml:space="preserve">ציפיית הנאשם שהסדר הטיעון שלו עם התביעה, במסגרתו הוא נתן את הודאתו, יכובד,  היא בעלת משקל לכיבוד הסדר הטיעון והיא גם מהווה שיקול להקלה יחסית בעונש במקרה שבית המשפט אינו מכבד את הסדר הטיעון. </w:t>
      </w:r>
    </w:p>
    <w:p w14:paraId="2838D7B9" w14:textId="77777777" w:rsidR="00AB3FA4" w:rsidRDefault="00AB3FA4" w:rsidP="00AB3FA4">
      <w:pPr>
        <w:spacing w:after="160" w:line="360" w:lineRule="auto"/>
        <w:ind w:left="720" w:hanging="720"/>
        <w:jc w:val="both"/>
        <w:rPr>
          <w:rFonts w:ascii="David" w:hAnsi="David"/>
          <w:rtl/>
        </w:rPr>
      </w:pPr>
      <w:r w:rsidRPr="00F51524">
        <w:rPr>
          <w:rFonts w:ascii="David" w:hAnsi="David"/>
          <w:rtl/>
        </w:rPr>
        <w:t>20.</w:t>
      </w:r>
      <w:r w:rsidRPr="00F51524">
        <w:rPr>
          <w:rFonts w:ascii="David" w:hAnsi="David"/>
          <w:rtl/>
        </w:rPr>
        <w:tab/>
        <w:t xml:space="preserve">בענייננו, הנאשם נתפס נוהג ברכב שכור שהיה ברשותו, לבדו, בדרכו לאילת, כשמתחת למושב הנהג היו  הסמים. נסיבות אלה, כשלעצמן, באין הסבר סביר מצד הנאשם, עשויות היו לבסס הרשעה בעבירה של החזקת סמים שלא לצריכה עצמית. התביעה הצהירה מפורשות שהסדר הטיעון לא נבע מקושי שלה להוכיח את העבירה שייחסה לנאשם, וההגנה לא התכחשה לכך. הסכמת התביעה להסדר נבעה מהתחשבות בנסיבותיו האישיות של הנאשם, הנוגעות למצבם הבריאותי הנטען של שני ילדיו, ומקבלת טענת הסנגור לפיה בכוונת הנאשם לעבור הליך טיפולי ולזנוח את דרכו העבריינית. </w:t>
      </w:r>
    </w:p>
    <w:p w14:paraId="27B89DDD"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כאשר על פני הדברים לא היה לתביעה קושי להוכיח את אשמת הנאשם, והודאת הנאשם לא היתה כרוכה בוויתור על קו הגנה ממשי שעמד לו, המשקל שיש לתת לאינטרס ההסתמכות של הנאשם, קטן יותר.</w:t>
      </w:r>
    </w:p>
    <w:p w14:paraId="708CEFF7"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 xml:space="preserve">בנוסף, לאחר שבית המשפט שמע את פרטי הסדר הטיעון וקודם להודאת הנאשם, בית המשפט אמר לנאשם שעל פני הדברים העונש המוצע קל מאוד ביחס למעשה המיוחס לו, והסביר לו שבית המשפט איננו חלק מהסדר הטיעון והוא לא מחויב לאשר אותו. כך שהאפשרות שהעונש המוצע בהסדר הטיעון לא יאושר הוסברה לנאשם בהקשר קונקרטי ולא רק במסגרת ההסבר השגרתי הניתן במצבים כאלה, והיתה לנאשם האפשרות לשוב ולשקול את צעדיו קודם מסירת הודאתו.  </w:t>
      </w:r>
    </w:p>
    <w:p w14:paraId="69DEB7E9"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 xml:space="preserve">21. </w:t>
      </w:r>
      <w:r w:rsidRPr="00F51524">
        <w:rPr>
          <w:rFonts w:ascii="David" w:hAnsi="David"/>
          <w:rtl/>
        </w:rPr>
        <w:tab/>
        <w:t xml:space="preserve">העובדה המרכזית שעמדה ברקע הסכמת התביעה להסדר הטיעון - טענת הסנגור ששני בניו של הנאשם "מטופלים ברמה הפסיכיאטרית" - הסתברה כתיאור מוגזם של המצב. וההליך הטיפולי הראשוני שהנאשם משתתף בו במסגרת מעצרו - שהוא רק שלב התחלתי ומכין ולא ההליך הטיפולי הייעודי עצמו - לא הצדיק הקלה כה משמעותית, אם בכלל, בעונשו של הנאשם. יצוין, שהאפשרות של שילוב הנאשם במסגרת טיפולית משמעותית נבחנה על ידי גורמי הטיפול במסגרת הליך המעצר בתיק זה, והם סברו שהנאשם איננו בשל לטיפול ולא תמכו בכיוון זה. ועוד יוזכר, שבעברו של הנאשם הרשעות בעבירות סמים משמעותיות, אליהן אתייחס בהמשך, ושגם בעבר נטען ביחס אליו כי הוא למד את לקחו, ובסופו של דבר הוא חזר וביצע עבירת סמים חמורה. </w:t>
      </w:r>
    </w:p>
    <w:p w14:paraId="2042561D" w14:textId="77777777" w:rsidR="00AB3FA4" w:rsidRPr="00F51524" w:rsidRDefault="00AB3FA4" w:rsidP="00AB3FA4">
      <w:pPr>
        <w:spacing w:after="160" w:line="360" w:lineRule="auto"/>
        <w:ind w:left="720" w:hanging="720"/>
        <w:jc w:val="both"/>
        <w:rPr>
          <w:rFonts w:ascii="David" w:hAnsi="David"/>
          <w:rtl/>
        </w:rPr>
      </w:pPr>
      <w:r w:rsidRPr="00F51524">
        <w:rPr>
          <w:rFonts w:ascii="David" w:hAnsi="David"/>
          <w:rtl/>
        </w:rPr>
        <w:t>22.</w:t>
      </w:r>
      <w:r w:rsidRPr="00F51524">
        <w:rPr>
          <w:rFonts w:ascii="David" w:hAnsi="David"/>
          <w:rtl/>
        </w:rPr>
        <w:tab/>
        <w:t xml:space="preserve">כפי שכבר צוין, העונשים המוטלים על החזקת עשרות גרמים של סמים קשים, כמו קוקאין, נעים בטווח שבין 3 ל- 5 שנות מאסר בפועל. וכאן מדובר בסיוע להחזקת 1,000 גרם(!) קוקאין. העונש המוצע אינו עומד בשום אופן במבחן האיזון. טובת ההנאה שניתנת לנאשם בעונש המוצע עולה עשרות מונים על היתרון הנובע לאינטרס הציבורי. </w:t>
      </w:r>
    </w:p>
    <w:p w14:paraId="2BEE62AA" w14:textId="77777777" w:rsidR="00AB3FA4" w:rsidRPr="00F51524" w:rsidRDefault="00AB3FA4" w:rsidP="00AB3FA4">
      <w:pPr>
        <w:spacing w:after="160" w:line="360" w:lineRule="auto"/>
        <w:ind w:left="720"/>
        <w:jc w:val="both"/>
        <w:rPr>
          <w:rFonts w:ascii="David" w:hAnsi="David"/>
          <w:rtl/>
        </w:rPr>
      </w:pPr>
      <w:r w:rsidRPr="00F51524">
        <w:rPr>
          <w:rFonts w:ascii="David" w:hAnsi="David"/>
          <w:rtl/>
        </w:rPr>
        <w:t xml:space="preserve">העובדה שהנאשם הורשע בעבירה של סיוע "בלבד", אינה משנה את חוסר הפרופורציה בין העונש הראוי לעונש המוצע. יוזכר שהעונש על סיוע להחזקת סם שלא לצריכה עצמית הוא 10 שנות מאסר.  </w:t>
      </w:r>
    </w:p>
    <w:p w14:paraId="734BDC36"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23.</w:t>
      </w:r>
      <w:r w:rsidRPr="00F51524">
        <w:rPr>
          <w:rFonts w:ascii="David" w:hAnsi="David"/>
          <w:rtl/>
        </w:rPr>
        <w:tab/>
        <w:t xml:space="preserve">הנאשם בן 42. במלוא בגרותו. לחובתו הרשעות קודמות, כמה מהן בעבירות סמים. בשנת 1998 הוא נדון ל- 5 שנות מאסר בפועל על קשירת קשר לייבוא סמים. בשנת 2003 הוא נדון ל-60 חודשי מאסר בפועל על עבירות סמים וערכאת הערעור הקלה בעונשו והעמידה אותו על 42 חודשי מאסר בפועל. ובשנת 2014 הוא נדון ל-38 חודשי מאסר בפועל על קשירת קשר לייבוא סמים מפרו דרך מצרים. באותו מקרה הנאשם יצא לפרו ובהמשך נשלחה בלדרית מדרום אמריקה למצרים עם חומר החשוד כסם, וכשנודע לנאשם שהסם הגיע למצרים הוא ביצע פעולות שונות לקידום הבאת הסם לישראל, ובסופו של דבר הסם הוכנס לישראל ונתפס כשהוא מוסלק על גופו של אחר שהנאשם הסיע ממעבר הגבול בטאבה לישראל. </w:t>
      </w:r>
    </w:p>
    <w:p w14:paraId="404BF642" w14:textId="77777777" w:rsidR="00AB3FA4" w:rsidRPr="00F51524" w:rsidRDefault="00AB3FA4" w:rsidP="00AB3FA4">
      <w:pPr>
        <w:spacing w:line="360" w:lineRule="auto"/>
        <w:ind w:left="720"/>
        <w:jc w:val="both"/>
        <w:rPr>
          <w:rFonts w:ascii="David" w:hAnsi="David"/>
          <w:rtl/>
        </w:rPr>
      </w:pPr>
    </w:p>
    <w:p w14:paraId="3D331885" w14:textId="77777777" w:rsidR="00AB3FA4" w:rsidRPr="00F51524" w:rsidRDefault="00AB3FA4" w:rsidP="00AB3FA4">
      <w:pPr>
        <w:spacing w:line="360" w:lineRule="auto"/>
        <w:ind w:left="720"/>
        <w:jc w:val="both"/>
        <w:rPr>
          <w:rFonts w:ascii="David" w:hAnsi="David"/>
          <w:rtl/>
        </w:rPr>
      </w:pPr>
      <w:r w:rsidRPr="00F51524">
        <w:rPr>
          <w:rFonts w:ascii="David" w:hAnsi="David"/>
          <w:rtl/>
        </w:rPr>
        <w:t xml:space="preserve">בתיק אחרון זה – </w:t>
      </w:r>
      <w:hyperlink r:id="rId40" w:history="1">
        <w:r w:rsidR="00121D98" w:rsidRPr="00121D98">
          <w:rPr>
            <w:rFonts w:ascii="David" w:hAnsi="David"/>
            <w:color w:val="0000FF"/>
            <w:u w:val="single"/>
            <w:rtl/>
          </w:rPr>
          <w:t>ת.פ. 27797-04-14</w:t>
        </w:r>
      </w:hyperlink>
      <w:r w:rsidRPr="00F51524">
        <w:rPr>
          <w:rFonts w:ascii="David" w:hAnsi="David"/>
          <w:rtl/>
        </w:rPr>
        <w:t xml:space="preserve"> של בית המשפט המחוזי באר-שבע – הוטלו על הנאשם ביום 17.11.14 גם  12 חודשי מאסר על תנאי למשך 3 שנים מיום שחרורו מהמאסר, שלא יעבור עבירת סמים מסוג פשע. </w:t>
      </w:r>
    </w:p>
    <w:p w14:paraId="6C407849" w14:textId="77777777" w:rsidR="00AB3FA4" w:rsidRPr="00F51524" w:rsidRDefault="00AB3FA4" w:rsidP="00AB3FA4">
      <w:pPr>
        <w:spacing w:line="360" w:lineRule="auto"/>
        <w:ind w:left="720"/>
        <w:jc w:val="both"/>
        <w:rPr>
          <w:rFonts w:ascii="David" w:hAnsi="David"/>
          <w:rtl/>
        </w:rPr>
      </w:pPr>
      <w:r w:rsidRPr="00F51524">
        <w:rPr>
          <w:rFonts w:ascii="David" w:hAnsi="David"/>
          <w:rtl/>
        </w:rPr>
        <w:t xml:space="preserve">אין חולק שהעבירה בה הורשע הנאשם כאן, מפעילה את המאסר על תנאי. </w:t>
      </w:r>
    </w:p>
    <w:p w14:paraId="00537DC9" w14:textId="77777777" w:rsidR="00AB3FA4" w:rsidRPr="00F51524" w:rsidRDefault="00AB3FA4" w:rsidP="00AB3FA4">
      <w:pPr>
        <w:spacing w:line="360" w:lineRule="auto"/>
        <w:ind w:left="720" w:hanging="720"/>
        <w:jc w:val="both"/>
        <w:rPr>
          <w:rFonts w:ascii="David" w:hAnsi="David"/>
          <w:rtl/>
        </w:rPr>
      </w:pPr>
    </w:p>
    <w:p w14:paraId="1E0D45D6"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24.</w:t>
      </w:r>
      <w:r w:rsidRPr="00F51524">
        <w:rPr>
          <w:rFonts w:ascii="David" w:hAnsi="David"/>
          <w:rtl/>
        </w:rPr>
        <w:tab/>
        <w:t xml:space="preserve">הנה כי כן, אין המדובר בנאשם שזו לו המעידה הפלילית הראשונה, או שזו הרשעתו הראשונה בעבירת סמים. אלא במי שפעם אחר פעם מבצע עבירות סמים חמורות, ופעם אחר פעם מקבל ענישה מקלה יחסית, במסגרת הסדרי טיעון, והוא מתמיד בדרכו הרעה וממשיך לבצע עבירות סמים חמורות. </w:t>
      </w:r>
    </w:p>
    <w:p w14:paraId="7E3CF6F6" w14:textId="77777777" w:rsidR="00AB3FA4" w:rsidRPr="00F51524" w:rsidRDefault="00AB3FA4" w:rsidP="00AB3FA4">
      <w:pPr>
        <w:spacing w:line="360" w:lineRule="auto"/>
        <w:ind w:left="720" w:hanging="720"/>
        <w:jc w:val="both"/>
        <w:rPr>
          <w:rFonts w:ascii="David" w:hAnsi="David"/>
          <w:rtl/>
        </w:rPr>
      </w:pPr>
    </w:p>
    <w:p w14:paraId="03DB29E4"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25.</w:t>
      </w:r>
      <w:r w:rsidRPr="00F51524">
        <w:rPr>
          <w:rFonts w:ascii="David" w:hAnsi="David"/>
          <w:rtl/>
        </w:rPr>
        <w:tab/>
      </w:r>
      <w:hyperlink r:id="rId41" w:history="1">
        <w:r w:rsidR="00501156" w:rsidRPr="00501156">
          <w:rPr>
            <w:rStyle w:val="Hyperlink"/>
            <w:rFonts w:ascii="David" w:hAnsi="David"/>
            <w:color w:val="0000FF"/>
            <w:rtl/>
          </w:rPr>
          <w:t>סעיף 58</w:t>
        </w:r>
      </w:hyperlink>
      <w:r w:rsidRPr="00F51524">
        <w:rPr>
          <w:rFonts w:ascii="David" w:hAnsi="David"/>
          <w:rtl/>
        </w:rPr>
        <w:t xml:space="preserve"> ל</w:t>
      </w:r>
      <w:hyperlink r:id="rId42" w:history="1">
        <w:r w:rsidR="00121D98" w:rsidRPr="00121D98">
          <w:rPr>
            <w:rFonts w:ascii="David" w:hAnsi="David"/>
            <w:color w:val="0000FF"/>
            <w:u w:val="single"/>
            <w:rtl/>
          </w:rPr>
          <w:t>חוק העונשין</w:t>
        </w:r>
      </w:hyperlink>
      <w:r w:rsidRPr="00F51524">
        <w:rPr>
          <w:rFonts w:ascii="David" w:hAnsi="David"/>
          <w:rtl/>
        </w:rPr>
        <w:t xml:space="preserve"> קובע, כי מי שהוטל עליו עונש מאסר בשל עבירה נוספת והופעל נגדו עונש המאסר על תנאי, ישא את שתי תקופות המאסר בזו אחר זו, "זולת אם בית המשפט שהרשיעו בשל העבירה הנוספת ציווה, מטעמים שיירשמו, ששתי התקופות כולן או מקצתן יהיו חופפות". </w:t>
      </w:r>
    </w:p>
    <w:p w14:paraId="09E2C04F"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ab/>
        <w:t xml:space="preserve">התביעה הסכימה במסגרת הסדר הטיעון, שששה מתוך שנים עשר חודשי המאסר על תנאי המופעל, יימנו בחופף למאסר שייגזר על הנאשם בתיק זה. לא שמעתי מפי התביעה או ההגנה נימוק משכנע אחד לתוצאה זו. </w:t>
      </w:r>
    </w:p>
    <w:p w14:paraId="5AF85E2E" w14:textId="77777777" w:rsidR="00AB3FA4" w:rsidRPr="00F51524" w:rsidRDefault="00AB3FA4" w:rsidP="00AB3FA4">
      <w:pPr>
        <w:spacing w:line="360" w:lineRule="auto"/>
        <w:ind w:left="720"/>
        <w:jc w:val="both"/>
        <w:rPr>
          <w:rFonts w:ascii="David" w:hAnsi="David"/>
          <w:rtl/>
        </w:rPr>
      </w:pPr>
    </w:p>
    <w:p w14:paraId="0541EF7E" w14:textId="77777777" w:rsidR="00AB3FA4" w:rsidRPr="00F51524" w:rsidRDefault="00AB3FA4" w:rsidP="00AB3FA4">
      <w:pPr>
        <w:spacing w:line="360" w:lineRule="auto"/>
        <w:ind w:left="720"/>
        <w:jc w:val="both"/>
        <w:rPr>
          <w:rFonts w:ascii="David" w:hAnsi="David"/>
          <w:rtl/>
        </w:rPr>
      </w:pPr>
      <w:r w:rsidRPr="00F51524">
        <w:rPr>
          <w:rFonts w:ascii="David" w:hAnsi="David"/>
          <w:rtl/>
        </w:rPr>
        <w:t>אינני רואה איזו הצדקה יכולה להיות לאי הפעלת מלוא תקופת מאסר על תנאי התלויה נגד נאשם שפעם אחר פעם חוזר ומבצע  עבירות מאותו סוג, למרות שמאסר על תנאי תלוי ועומד נגדו.</w:t>
      </w:r>
    </w:p>
    <w:p w14:paraId="4D8D7403" w14:textId="77777777" w:rsidR="00AB3FA4" w:rsidRPr="00F51524" w:rsidRDefault="00AB3FA4" w:rsidP="00AB3FA4">
      <w:pPr>
        <w:spacing w:line="360" w:lineRule="auto"/>
        <w:ind w:left="720"/>
        <w:jc w:val="both"/>
        <w:rPr>
          <w:rFonts w:ascii="David" w:hAnsi="David"/>
          <w:rtl/>
        </w:rPr>
      </w:pPr>
    </w:p>
    <w:p w14:paraId="46A87C9E"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26.</w:t>
      </w:r>
      <w:r w:rsidRPr="00F51524">
        <w:rPr>
          <w:rFonts w:ascii="David" w:hAnsi="David"/>
          <w:rtl/>
        </w:rPr>
        <w:tab/>
        <w:t xml:space="preserve">לולא הסדר הטיעון, בהתחשב בהודאת הנאשם ובנסיבותיו המשפחתיות, ובהינתן עברו הפלילי החמור של הנאשם, היה מקום לקבוע את עונשו של הנאשם בשליש העליון של מתחם העונש ההולם; להעמידו על 7 שנות מאסר ולהפעיל במצטבר את המאסר על תנאי התלוי ועומד נגדו, כך שהיה עליו לשאת 8 שנות מאסר בפועל. </w:t>
      </w:r>
    </w:p>
    <w:p w14:paraId="48C197F5" w14:textId="77777777" w:rsidR="00AB3FA4" w:rsidRPr="00F51524" w:rsidRDefault="00AB3FA4" w:rsidP="00AB3FA4">
      <w:pPr>
        <w:spacing w:line="360" w:lineRule="auto"/>
        <w:ind w:left="720" w:hanging="720"/>
        <w:jc w:val="both"/>
        <w:rPr>
          <w:rFonts w:ascii="David" w:hAnsi="David"/>
          <w:rtl/>
        </w:rPr>
      </w:pPr>
    </w:p>
    <w:p w14:paraId="45EF74AF" w14:textId="77777777" w:rsidR="00AB3FA4" w:rsidRPr="00F51524" w:rsidRDefault="00AB3FA4" w:rsidP="00AB3FA4">
      <w:pPr>
        <w:tabs>
          <w:tab w:val="left" w:pos="800"/>
        </w:tabs>
        <w:overflowPunct w:val="0"/>
        <w:autoSpaceDE w:val="0"/>
        <w:autoSpaceDN w:val="0"/>
        <w:adjustRightInd w:val="0"/>
        <w:spacing w:line="360" w:lineRule="auto"/>
        <w:ind w:left="720" w:hanging="720"/>
        <w:jc w:val="both"/>
        <w:rPr>
          <w:rFonts w:ascii="David" w:hAnsi="David"/>
          <w:spacing w:val="10"/>
          <w:rtl/>
          <w:lang w:eastAsia="he-IL"/>
        </w:rPr>
      </w:pPr>
      <w:r w:rsidRPr="00F51524">
        <w:rPr>
          <w:rFonts w:ascii="David" w:hAnsi="David"/>
          <w:spacing w:val="10"/>
          <w:rtl/>
          <w:lang w:eastAsia="he-IL"/>
        </w:rPr>
        <w:t>27.</w:t>
      </w:r>
      <w:r w:rsidRPr="00F51524">
        <w:rPr>
          <w:rFonts w:ascii="David" w:hAnsi="David"/>
          <w:spacing w:val="10"/>
          <w:rtl/>
          <w:lang w:eastAsia="he-IL"/>
        </w:rPr>
        <w:tab/>
      </w:r>
      <w:r w:rsidRPr="00F51524">
        <w:rPr>
          <w:rFonts w:ascii="David" w:hAnsi="David"/>
          <w:rtl/>
          <w:lang w:eastAsia="he-IL"/>
        </w:rPr>
        <w:t xml:space="preserve">כאשר בית המשפט דוחה הסדר טיעון, עליו לקבוע איזון חדש, המשקלל בצורה נכונה את כל שיקולי הענישה כאילו נערך על ידו הסדר טיעון הולם. בסופו של דבר העונש שייקבע יהיה קל מזה שהיה מוטל על נאשם שהורשע באותה עבירה בנסיבות דומות, שלא הודה במסגרת הסדר טיעון. (ראה </w:t>
      </w:r>
      <w:hyperlink r:id="rId43" w:history="1">
        <w:r w:rsidR="00121D98" w:rsidRPr="00121D98">
          <w:rPr>
            <w:rFonts w:ascii="David" w:hAnsi="David"/>
            <w:color w:val="0000FF"/>
            <w:u w:val="single"/>
            <w:rtl/>
            <w:lang w:eastAsia="he-IL"/>
          </w:rPr>
          <w:t>ע"פ 1958/98 פלוני נ' מדינת ישראל, פ"ד נ"ז</w:t>
        </w:r>
      </w:hyperlink>
      <w:r w:rsidRPr="00F51524">
        <w:rPr>
          <w:rFonts w:ascii="David" w:hAnsi="David"/>
          <w:rtl/>
          <w:lang w:eastAsia="he-IL"/>
        </w:rPr>
        <w:t xml:space="preserve">(1) 577, 612-613). </w:t>
      </w:r>
    </w:p>
    <w:p w14:paraId="0E5C3FE2" w14:textId="77777777" w:rsidR="00AB3FA4" w:rsidRPr="00F51524" w:rsidRDefault="00AB3FA4" w:rsidP="00AB3FA4">
      <w:pPr>
        <w:tabs>
          <w:tab w:val="left" w:pos="800"/>
        </w:tabs>
        <w:overflowPunct w:val="0"/>
        <w:autoSpaceDE w:val="0"/>
        <w:autoSpaceDN w:val="0"/>
        <w:adjustRightInd w:val="0"/>
        <w:spacing w:line="360" w:lineRule="auto"/>
        <w:jc w:val="both"/>
        <w:rPr>
          <w:rFonts w:ascii="David" w:hAnsi="David"/>
          <w:rtl/>
          <w:lang w:eastAsia="he-IL"/>
        </w:rPr>
      </w:pPr>
    </w:p>
    <w:p w14:paraId="040B8092" w14:textId="77777777" w:rsidR="00AB3FA4" w:rsidRPr="00F51524" w:rsidRDefault="00AB3FA4" w:rsidP="00AB3FA4">
      <w:pPr>
        <w:spacing w:line="360" w:lineRule="auto"/>
        <w:ind w:left="720" w:hanging="720"/>
        <w:jc w:val="both"/>
        <w:rPr>
          <w:rFonts w:ascii="David" w:hAnsi="David"/>
          <w:rtl/>
          <w:lang w:eastAsia="he-IL"/>
        </w:rPr>
      </w:pPr>
      <w:r w:rsidRPr="00F51524">
        <w:rPr>
          <w:rFonts w:ascii="David" w:hAnsi="David"/>
          <w:rtl/>
        </w:rPr>
        <w:t>28.</w:t>
      </w:r>
      <w:r w:rsidRPr="00F51524">
        <w:rPr>
          <w:rFonts w:ascii="David" w:hAnsi="David"/>
          <w:rtl/>
        </w:rPr>
        <w:tab/>
        <w:t>בגזירת עונשו של הנאשם אני לוקח בחשבון בין היתר את הודאת הנאשם; את העובדה שההודאה ניתנה במסגרת הסדר טיעון שכלל הסכמה לענין העונש; את נסיבותיו האישיות והמשפחתיות של הנאשם; את השפעת עונשו של הנאשם עליו, ועל בני משפחתו הגרעינית ובמיוחד על ילדיו הקטנים; ואת סיכויי שיקומו של הנאשם.</w:t>
      </w:r>
      <w:r w:rsidRPr="00F51524">
        <w:rPr>
          <w:rFonts w:ascii="David" w:hAnsi="David"/>
          <w:rtl/>
          <w:lang w:eastAsia="he-IL"/>
        </w:rPr>
        <w:t xml:space="preserve"> ובסופו של דבר העונש שייגזר עליו יהיה עדיין קל משמעותית מהעונש שראוי לו. </w:t>
      </w:r>
    </w:p>
    <w:p w14:paraId="48500EBF" w14:textId="77777777" w:rsidR="00AB3FA4" w:rsidRPr="00F51524" w:rsidRDefault="00AB3FA4" w:rsidP="00AB3FA4">
      <w:pPr>
        <w:spacing w:line="360" w:lineRule="auto"/>
        <w:ind w:left="720" w:hanging="720"/>
        <w:jc w:val="both"/>
        <w:rPr>
          <w:rFonts w:ascii="David" w:hAnsi="David"/>
          <w:lang w:eastAsia="he-IL"/>
        </w:rPr>
      </w:pPr>
    </w:p>
    <w:p w14:paraId="42528795" w14:textId="77777777" w:rsidR="00AB3FA4" w:rsidRPr="00F51524" w:rsidRDefault="00AB3FA4" w:rsidP="00AB3FA4">
      <w:pPr>
        <w:spacing w:after="160" w:line="360" w:lineRule="auto"/>
        <w:ind w:left="720" w:hanging="720"/>
        <w:jc w:val="both"/>
        <w:rPr>
          <w:rFonts w:ascii="David" w:hAnsi="David"/>
        </w:rPr>
      </w:pPr>
      <w:r w:rsidRPr="00F51524">
        <w:rPr>
          <w:rFonts w:ascii="David" w:hAnsi="David"/>
          <w:rtl/>
        </w:rPr>
        <w:t>29.</w:t>
      </w:r>
      <w:r w:rsidRPr="00F51524">
        <w:rPr>
          <w:rFonts w:ascii="David" w:hAnsi="David"/>
          <w:rtl/>
        </w:rPr>
        <w:tab/>
        <w:t xml:space="preserve">סכומי הכסף המתגלגלים בשוק הסמים, עצומים. האפשרות להרוויח סכום כסף נכבד בתוך פרק זמן קצר ובקלות יחסית, עשויה לפתות לעסוק בסמים. עברו הפלילי של הנאשם, כמות הסם המשמעותית שהוא סייע בהחזקתו, והעובדה שהעבירה בוצעה בזמן שמאסר על תנאי תלוי ועומד נגד הנאשם, מלמדים על צורך בהרתעת הנאשם מפני ביצוע עבירה נוספת. </w:t>
      </w:r>
    </w:p>
    <w:p w14:paraId="732842EE" w14:textId="77777777" w:rsidR="00AB3FA4" w:rsidRPr="00F51524" w:rsidRDefault="00AB3FA4" w:rsidP="00AB3FA4">
      <w:pPr>
        <w:spacing w:line="360" w:lineRule="auto"/>
        <w:ind w:left="720"/>
        <w:jc w:val="both"/>
        <w:rPr>
          <w:rFonts w:ascii="David" w:hAnsi="David"/>
          <w:rtl/>
        </w:rPr>
      </w:pPr>
      <w:r w:rsidRPr="00F51524">
        <w:rPr>
          <w:rFonts w:ascii="David" w:hAnsi="David"/>
          <w:rtl/>
        </w:rPr>
        <w:t xml:space="preserve">הענישה בעבירות הסמים נועדה בין היתר להרתיע את הרבים מפני ביצוע עבירות סמים. וההנחה היא שענישה משמעותית תורמת להרתעה.    </w:t>
      </w:r>
    </w:p>
    <w:p w14:paraId="6A9CA290" w14:textId="77777777" w:rsidR="00AB3FA4" w:rsidRPr="00F51524" w:rsidRDefault="00AB3FA4" w:rsidP="00AB3FA4">
      <w:pPr>
        <w:tabs>
          <w:tab w:val="left" w:pos="800"/>
        </w:tabs>
        <w:overflowPunct w:val="0"/>
        <w:autoSpaceDE w:val="0"/>
        <w:autoSpaceDN w:val="0"/>
        <w:adjustRightInd w:val="0"/>
        <w:spacing w:line="360" w:lineRule="auto"/>
        <w:ind w:left="720" w:hanging="720"/>
        <w:jc w:val="both"/>
        <w:rPr>
          <w:rFonts w:ascii="David" w:hAnsi="David"/>
          <w:spacing w:val="10"/>
          <w:lang w:eastAsia="he-IL"/>
        </w:rPr>
      </w:pPr>
    </w:p>
    <w:p w14:paraId="16156321"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30.</w:t>
      </w:r>
      <w:r w:rsidRPr="00F51524">
        <w:rPr>
          <w:rFonts w:ascii="David" w:hAnsi="David"/>
          <w:rtl/>
        </w:rPr>
        <w:tab/>
        <w:t xml:space="preserve">מעשה הנאשם בנסיבותיו חמור מאוד ומידת אשמו של הנאשם רבה. טיב העבירות בהן הורשע הנאשם בעבר, מספרן, והעונשים שהוטלו על הנאשם בעטיין, מלמדים שהנאשם בעל דפוסים עברייניים מושרשים, שאינו נרתע מאימת הדין והתנהלותו מסכנת את שלום הציבור. </w:t>
      </w:r>
    </w:p>
    <w:p w14:paraId="4D88A348" w14:textId="77777777" w:rsidR="00AB3FA4" w:rsidRPr="00F51524" w:rsidRDefault="00AB3FA4" w:rsidP="00AB3FA4">
      <w:pPr>
        <w:spacing w:line="360" w:lineRule="auto"/>
        <w:ind w:left="720" w:hanging="720"/>
        <w:jc w:val="both"/>
        <w:rPr>
          <w:rFonts w:ascii="David" w:hAnsi="David"/>
          <w:rtl/>
        </w:rPr>
      </w:pPr>
    </w:p>
    <w:p w14:paraId="0DECE723" w14:textId="77777777" w:rsidR="00AB3FA4" w:rsidRPr="00F51524" w:rsidRDefault="00AB3FA4" w:rsidP="00AB3FA4">
      <w:pPr>
        <w:spacing w:line="360" w:lineRule="auto"/>
        <w:ind w:left="720" w:hanging="720"/>
        <w:jc w:val="both"/>
        <w:rPr>
          <w:rFonts w:ascii="David" w:hAnsi="David"/>
          <w:rtl/>
        </w:rPr>
      </w:pPr>
      <w:r w:rsidRPr="00F51524">
        <w:rPr>
          <w:rFonts w:ascii="David" w:hAnsi="David"/>
          <w:rtl/>
        </w:rPr>
        <w:t>31.</w:t>
      </w:r>
      <w:r w:rsidRPr="00F51524">
        <w:rPr>
          <w:rFonts w:ascii="David" w:hAnsi="David"/>
          <w:rtl/>
        </w:rPr>
        <w:tab/>
        <w:t>בהתחשב בכל האמור אני דן את הנאשם לעונשים הבאים:</w:t>
      </w:r>
    </w:p>
    <w:p w14:paraId="546BE55B" w14:textId="77777777" w:rsidR="00AB3FA4" w:rsidRPr="00F51524" w:rsidRDefault="00AB3FA4" w:rsidP="00AB3FA4">
      <w:pPr>
        <w:spacing w:line="360" w:lineRule="auto"/>
        <w:ind w:firstLine="720"/>
        <w:jc w:val="both"/>
        <w:rPr>
          <w:rFonts w:ascii="David" w:hAnsi="David"/>
          <w:rtl/>
          <w:lang w:eastAsia="he-IL"/>
        </w:rPr>
      </w:pPr>
      <w:r w:rsidRPr="00F51524">
        <w:rPr>
          <w:rFonts w:ascii="David" w:hAnsi="David"/>
          <w:rtl/>
          <w:lang w:eastAsia="he-IL"/>
        </w:rPr>
        <w:t>א.</w:t>
      </w:r>
      <w:r w:rsidRPr="00F51524">
        <w:rPr>
          <w:rFonts w:ascii="David" w:hAnsi="David"/>
          <w:rtl/>
          <w:lang w:eastAsia="he-IL"/>
        </w:rPr>
        <w:tab/>
        <w:t xml:space="preserve">5 שנות מאסר בפועל, מיום מעצרו. </w:t>
      </w:r>
    </w:p>
    <w:p w14:paraId="4A4AC460" w14:textId="77777777" w:rsidR="00AB3FA4" w:rsidRPr="00F51524" w:rsidRDefault="00AB3FA4" w:rsidP="00AB3FA4">
      <w:pPr>
        <w:spacing w:line="360" w:lineRule="auto"/>
        <w:ind w:left="1440"/>
        <w:jc w:val="both"/>
        <w:rPr>
          <w:rFonts w:ascii="David" w:hAnsi="David"/>
          <w:rtl/>
          <w:lang w:eastAsia="he-IL"/>
        </w:rPr>
      </w:pPr>
      <w:r w:rsidRPr="00F51524">
        <w:rPr>
          <w:rFonts w:ascii="David" w:hAnsi="David"/>
          <w:rtl/>
          <w:lang w:eastAsia="he-IL"/>
        </w:rPr>
        <w:t>ב.</w:t>
      </w:r>
      <w:r w:rsidRPr="00F51524">
        <w:rPr>
          <w:rFonts w:ascii="David" w:hAnsi="David"/>
          <w:rtl/>
          <w:lang w:eastAsia="he-IL"/>
        </w:rPr>
        <w:tab/>
        <w:t>אני מפעיל את המאסר על תנאי בן 12 החודשים התלוי ועומד נגד הנאשם מ</w:t>
      </w:r>
      <w:hyperlink r:id="rId44" w:history="1">
        <w:r w:rsidR="00121D98" w:rsidRPr="00121D98">
          <w:rPr>
            <w:rFonts w:ascii="David" w:hAnsi="David"/>
            <w:color w:val="0000FF"/>
            <w:u w:val="single"/>
            <w:rtl/>
            <w:lang w:eastAsia="he-IL"/>
          </w:rPr>
          <w:t>ת.פ.</w:t>
        </w:r>
        <w:r w:rsidR="00121D98" w:rsidRPr="00121D98">
          <w:rPr>
            <w:rFonts w:ascii="David" w:hAnsi="David"/>
            <w:color w:val="0000FF"/>
            <w:u w:val="single"/>
            <w:rtl/>
            <w:lang w:eastAsia="he-IL"/>
          </w:rPr>
          <w:cr/>
          <w:t>27797-04-14</w:t>
        </w:r>
      </w:hyperlink>
      <w:r w:rsidRPr="00F51524">
        <w:rPr>
          <w:rFonts w:ascii="David" w:hAnsi="David"/>
          <w:rtl/>
          <w:lang w:eastAsia="he-IL"/>
        </w:rPr>
        <w:t xml:space="preserve"> של בית המשפט המחוזי באר-שבע. הנאשם ישא את תקופות המאסר בזו אחר זו. ובסך הכל 6 שנות מאסר בפועל, מיום מעצרו. </w:t>
      </w:r>
    </w:p>
    <w:p w14:paraId="315C7B6E" w14:textId="77777777" w:rsidR="00AB3FA4" w:rsidRPr="00F51524" w:rsidRDefault="00AB3FA4" w:rsidP="00AB3FA4">
      <w:pPr>
        <w:spacing w:line="360" w:lineRule="auto"/>
        <w:ind w:left="1440" w:hanging="720"/>
        <w:jc w:val="both"/>
        <w:rPr>
          <w:rFonts w:ascii="David" w:hAnsi="David"/>
          <w:rtl/>
          <w:lang w:eastAsia="he-IL"/>
        </w:rPr>
      </w:pPr>
      <w:r w:rsidRPr="00F51524">
        <w:rPr>
          <w:rFonts w:ascii="David" w:hAnsi="David"/>
          <w:rtl/>
          <w:lang w:eastAsia="he-IL"/>
        </w:rPr>
        <w:t xml:space="preserve">ג. </w:t>
      </w:r>
      <w:r w:rsidRPr="00F51524">
        <w:rPr>
          <w:rFonts w:ascii="David" w:hAnsi="David"/>
          <w:rtl/>
          <w:lang w:eastAsia="he-IL"/>
        </w:rPr>
        <w:tab/>
        <w:t xml:space="preserve">12 חודשי מאסר על תנאי למשך 3 שנים מיום שחרורו מהמאסר, שלא יעבור עבירת סמים שהיא פשע. </w:t>
      </w:r>
    </w:p>
    <w:p w14:paraId="43F7FBA9" w14:textId="77777777" w:rsidR="00AB3FA4" w:rsidRDefault="00AB3FA4" w:rsidP="00AB3FA4">
      <w:pPr>
        <w:jc w:val="both"/>
        <w:rPr>
          <w:rFonts w:ascii="David" w:hAnsi="David"/>
          <w:b/>
          <w:bCs/>
          <w:rtl/>
          <w:lang w:eastAsia="he-IL"/>
        </w:rPr>
      </w:pPr>
    </w:p>
    <w:p w14:paraId="1B7E4DED" w14:textId="77777777" w:rsidR="00AB3FA4" w:rsidRDefault="00AB3FA4" w:rsidP="00AB3FA4">
      <w:pPr>
        <w:jc w:val="both"/>
        <w:rPr>
          <w:rFonts w:ascii="David" w:hAnsi="David"/>
          <w:b/>
          <w:bCs/>
          <w:rtl/>
          <w:lang w:eastAsia="he-IL"/>
        </w:rPr>
      </w:pPr>
    </w:p>
    <w:p w14:paraId="5780342B" w14:textId="77777777" w:rsidR="00AB3FA4" w:rsidRDefault="00AB3FA4" w:rsidP="00AB3FA4">
      <w:pPr>
        <w:jc w:val="both"/>
        <w:rPr>
          <w:rFonts w:ascii="David" w:hAnsi="David"/>
          <w:b/>
          <w:bCs/>
          <w:rtl/>
          <w:lang w:eastAsia="he-IL"/>
        </w:rPr>
      </w:pPr>
    </w:p>
    <w:p w14:paraId="6C5E42DD" w14:textId="77777777" w:rsidR="00AB3FA4" w:rsidRDefault="00AB3FA4" w:rsidP="00AB3FA4">
      <w:pPr>
        <w:jc w:val="both"/>
        <w:rPr>
          <w:rFonts w:ascii="David" w:hAnsi="David"/>
          <w:b/>
          <w:bCs/>
          <w:rtl/>
          <w:lang w:eastAsia="he-IL"/>
        </w:rPr>
      </w:pPr>
    </w:p>
    <w:p w14:paraId="7738120A" w14:textId="77777777" w:rsidR="00AB3FA4" w:rsidRDefault="00AB3FA4" w:rsidP="00AB3FA4">
      <w:pPr>
        <w:jc w:val="both"/>
        <w:rPr>
          <w:rFonts w:ascii="David" w:hAnsi="David"/>
          <w:b/>
          <w:bCs/>
          <w:rtl/>
          <w:lang w:eastAsia="he-IL"/>
        </w:rPr>
      </w:pPr>
    </w:p>
    <w:p w14:paraId="3D191048" w14:textId="77777777" w:rsidR="00AB3FA4" w:rsidRDefault="00AB3FA4" w:rsidP="00AB3FA4">
      <w:pPr>
        <w:jc w:val="both"/>
        <w:rPr>
          <w:rFonts w:ascii="David" w:hAnsi="David"/>
          <w:b/>
          <w:bCs/>
          <w:rtl/>
          <w:lang w:eastAsia="he-IL"/>
        </w:rPr>
      </w:pPr>
    </w:p>
    <w:p w14:paraId="05925D5F" w14:textId="77777777" w:rsidR="00AB3FA4" w:rsidRDefault="00AB3FA4" w:rsidP="00AB3FA4">
      <w:pPr>
        <w:jc w:val="both"/>
        <w:rPr>
          <w:rFonts w:ascii="David" w:hAnsi="David"/>
          <w:b/>
          <w:bCs/>
          <w:rtl/>
          <w:lang w:eastAsia="he-IL"/>
        </w:rPr>
      </w:pPr>
    </w:p>
    <w:p w14:paraId="5B14B65D" w14:textId="77777777" w:rsidR="00AB3FA4" w:rsidRDefault="00AB3FA4" w:rsidP="00AB3FA4">
      <w:pPr>
        <w:jc w:val="both"/>
        <w:rPr>
          <w:rFonts w:ascii="David" w:hAnsi="David"/>
          <w:b/>
          <w:bCs/>
          <w:rtl/>
          <w:lang w:eastAsia="he-IL"/>
        </w:rPr>
      </w:pPr>
    </w:p>
    <w:p w14:paraId="44A4F81C" w14:textId="77777777" w:rsidR="00AB3FA4" w:rsidRDefault="00AB3FA4" w:rsidP="00AB3FA4">
      <w:pPr>
        <w:jc w:val="both"/>
        <w:rPr>
          <w:rFonts w:ascii="David" w:hAnsi="David"/>
          <w:b/>
          <w:bCs/>
          <w:rtl/>
          <w:lang w:eastAsia="he-IL"/>
        </w:rPr>
      </w:pPr>
      <w:r w:rsidRPr="00F51524">
        <w:rPr>
          <w:rFonts w:ascii="David" w:hAnsi="David"/>
          <w:b/>
          <w:bCs/>
          <w:rtl/>
          <w:lang w:eastAsia="he-IL"/>
        </w:rPr>
        <w:t xml:space="preserve">זכות ערעור תוך 45 יום. </w:t>
      </w:r>
    </w:p>
    <w:p w14:paraId="07CF1A59" w14:textId="77777777" w:rsidR="00AB3FA4" w:rsidRPr="00F51524" w:rsidRDefault="00AB3FA4" w:rsidP="00AB3FA4">
      <w:pPr>
        <w:jc w:val="both"/>
        <w:rPr>
          <w:rFonts w:ascii="David" w:hAnsi="David"/>
          <w:b/>
          <w:bCs/>
          <w:rtl/>
          <w:lang w:eastAsia="he-IL"/>
        </w:rPr>
      </w:pPr>
    </w:p>
    <w:p w14:paraId="2F328972" w14:textId="77777777" w:rsidR="00AB3FA4" w:rsidRPr="00121D98" w:rsidRDefault="00121D98" w:rsidP="00AB3FA4">
      <w:pPr>
        <w:jc w:val="both"/>
        <w:rPr>
          <w:rFonts w:ascii="David" w:hAnsi="David"/>
          <w:b/>
          <w:bCs/>
          <w:color w:val="FFFFFF"/>
          <w:sz w:val="2"/>
          <w:szCs w:val="2"/>
          <w:rtl/>
        </w:rPr>
      </w:pPr>
      <w:r w:rsidRPr="00121D98">
        <w:rPr>
          <w:rFonts w:ascii="David" w:hAnsi="David"/>
          <w:b/>
          <w:bCs/>
          <w:color w:val="FFFFFF"/>
          <w:sz w:val="2"/>
          <w:szCs w:val="2"/>
          <w:rtl/>
        </w:rPr>
        <w:t>5129371</w:t>
      </w:r>
    </w:p>
    <w:p w14:paraId="40CFAE56" w14:textId="77777777" w:rsidR="00AB3FA4" w:rsidRPr="00121D98" w:rsidRDefault="00121D98" w:rsidP="00AB3FA4">
      <w:pPr>
        <w:jc w:val="both"/>
        <w:rPr>
          <w:rFonts w:ascii="David" w:hAnsi="David"/>
          <w:b/>
          <w:bCs/>
          <w:color w:val="FFFFFF"/>
          <w:sz w:val="2"/>
          <w:szCs w:val="2"/>
          <w:rtl/>
        </w:rPr>
      </w:pPr>
      <w:r w:rsidRPr="00121D98">
        <w:rPr>
          <w:rFonts w:ascii="David" w:hAnsi="David"/>
          <w:b/>
          <w:bCs/>
          <w:color w:val="FFFFFF"/>
          <w:sz w:val="2"/>
          <w:szCs w:val="2"/>
          <w:rtl/>
        </w:rPr>
        <w:t>54678313</w:t>
      </w:r>
    </w:p>
    <w:p w14:paraId="7A5FDD80" w14:textId="77777777" w:rsidR="00AB3FA4" w:rsidRDefault="00AB3FA4" w:rsidP="00AB3FA4">
      <w:pPr>
        <w:jc w:val="both"/>
        <w:rPr>
          <w:rFonts w:ascii="David" w:hAnsi="David"/>
          <w:b/>
          <w:bCs/>
          <w:rtl/>
        </w:rPr>
      </w:pPr>
    </w:p>
    <w:p w14:paraId="4AC1638C" w14:textId="77777777" w:rsidR="00AB3FA4" w:rsidRDefault="00AB3FA4" w:rsidP="00AB3FA4">
      <w:pPr>
        <w:jc w:val="both"/>
        <w:rPr>
          <w:rFonts w:ascii="David" w:hAnsi="David"/>
          <w:b/>
          <w:bCs/>
          <w:rtl/>
        </w:rPr>
      </w:pPr>
    </w:p>
    <w:p w14:paraId="7814C8FF" w14:textId="77777777" w:rsidR="00AB3FA4" w:rsidRDefault="00121D98" w:rsidP="00AB3FA4">
      <w:pPr>
        <w:jc w:val="right"/>
        <w:rPr>
          <w:rFonts w:ascii="David" w:hAnsi="David"/>
          <w:b/>
          <w:bCs/>
          <w:rtl/>
        </w:rPr>
      </w:pPr>
      <w:bookmarkStart w:id="7" w:name="Nitan"/>
      <w:r>
        <w:rPr>
          <w:rFonts w:ascii="David" w:hAnsi="David"/>
          <w:b/>
          <w:bCs/>
          <w:rtl/>
        </w:rPr>
        <w:t xml:space="preserve">ניתן היום,  כ' אייר תש"פ, 14 מאי 2020, בנוכחות הצדדים. </w:t>
      </w:r>
      <w:bookmarkEnd w:id="7"/>
    </w:p>
    <w:p w14:paraId="506FE85B" w14:textId="77777777" w:rsidR="00AB3FA4" w:rsidRPr="00F51524" w:rsidRDefault="00AB3FA4" w:rsidP="00AB3FA4">
      <w:pPr>
        <w:jc w:val="right"/>
        <w:rPr>
          <w:rFonts w:ascii="David" w:hAnsi="David"/>
          <w:b/>
          <w:bCs/>
        </w:rPr>
      </w:pPr>
    </w:p>
    <w:p w14:paraId="7031BF80" w14:textId="77777777" w:rsidR="001375CD" w:rsidRPr="00121D98" w:rsidRDefault="001375CD" w:rsidP="00121D98">
      <w:pPr>
        <w:keepNext/>
        <w:rPr>
          <w:rFonts w:ascii="David" w:hAnsi="David"/>
          <w:color w:val="000000"/>
          <w:sz w:val="22"/>
          <w:szCs w:val="22"/>
          <w:rtl/>
        </w:rPr>
      </w:pPr>
    </w:p>
    <w:p w14:paraId="3F8C868A" w14:textId="77777777" w:rsidR="00121D98" w:rsidRPr="00121D98" w:rsidRDefault="00121D98" w:rsidP="00121D98">
      <w:pPr>
        <w:keepNext/>
        <w:rPr>
          <w:rFonts w:ascii="David" w:hAnsi="David"/>
          <w:color w:val="000000"/>
          <w:sz w:val="22"/>
          <w:szCs w:val="22"/>
          <w:rtl/>
        </w:rPr>
      </w:pPr>
      <w:r w:rsidRPr="00121D98">
        <w:rPr>
          <w:rFonts w:ascii="David" w:hAnsi="David"/>
          <w:color w:val="000000"/>
          <w:sz w:val="22"/>
          <w:szCs w:val="22"/>
          <w:rtl/>
        </w:rPr>
        <w:t>אליהו ביתן 54678313</w:t>
      </w:r>
    </w:p>
    <w:p w14:paraId="0D122B7C" w14:textId="77777777" w:rsidR="00121D98" w:rsidRDefault="00121D98" w:rsidP="00121D98">
      <w:r w:rsidRPr="00121D98">
        <w:rPr>
          <w:color w:val="000000"/>
          <w:rtl/>
        </w:rPr>
        <w:t>נוסח מסמך זה כפוף לשינויי ניסוח ועריכה</w:t>
      </w:r>
    </w:p>
    <w:p w14:paraId="0D1AF53D" w14:textId="77777777" w:rsidR="00121D98" w:rsidRDefault="00121D98" w:rsidP="00121D98">
      <w:pPr>
        <w:rPr>
          <w:rtl/>
        </w:rPr>
      </w:pPr>
    </w:p>
    <w:p w14:paraId="5E3ED9AF" w14:textId="77777777" w:rsidR="00121D98" w:rsidRDefault="00121D98" w:rsidP="00121D98">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2C31F514" w14:textId="77777777" w:rsidR="00121D98" w:rsidRPr="00121D98" w:rsidRDefault="00121D98" w:rsidP="00121D98">
      <w:pPr>
        <w:jc w:val="center"/>
        <w:rPr>
          <w:color w:val="0000FF"/>
          <w:u w:val="single"/>
        </w:rPr>
      </w:pPr>
    </w:p>
    <w:sectPr w:rsidR="00121D98" w:rsidRPr="00121D98" w:rsidSect="00121D9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DB4B4" w14:textId="77777777" w:rsidR="004556E3" w:rsidRDefault="004556E3" w:rsidP="00B36460">
      <w:r>
        <w:separator/>
      </w:r>
    </w:p>
  </w:endnote>
  <w:endnote w:type="continuationSeparator" w:id="0">
    <w:p w14:paraId="0DB512ED" w14:textId="77777777" w:rsidR="004556E3" w:rsidRDefault="004556E3" w:rsidP="00B3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EAA65" w14:textId="77777777" w:rsidR="00121D98" w:rsidRDefault="00121D98" w:rsidP="00121D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8BD8FC" w14:textId="77777777" w:rsidR="005E4853" w:rsidRPr="00121D98" w:rsidRDefault="00121D98" w:rsidP="00121D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79110" w14:textId="77777777" w:rsidR="00121D98" w:rsidRDefault="00121D98" w:rsidP="00121D9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631A">
      <w:rPr>
        <w:rFonts w:ascii="FrankRuehl" w:hAnsi="FrankRuehl" w:cs="FrankRuehl"/>
        <w:noProof/>
        <w:rtl/>
      </w:rPr>
      <w:t>1</w:t>
    </w:r>
    <w:r>
      <w:rPr>
        <w:rFonts w:ascii="FrankRuehl" w:hAnsi="FrankRuehl" w:cs="FrankRuehl"/>
        <w:rtl/>
      </w:rPr>
      <w:fldChar w:fldCharType="end"/>
    </w:r>
  </w:p>
  <w:p w14:paraId="4714CBD6" w14:textId="77777777" w:rsidR="005E4853" w:rsidRPr="00121D98" w:rsidRDefault="00121D98" w:rsidP="00121D9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FD16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C31A0" w14:textId="77777777" w:rsidR="004556E3" w:rsidRDefault="004556E3" w:rsidP="00B36460">
      <w:r>
        <w:separator/>
      </w:r>
    </w:p>
  </w:footnote>
  <w:footnote w:type="continuationSeparator" w:id="0">
    <w:p w14:paraId="5C03E099" w14:textId="77777777" w:rsidR="004556E3" w:rsidRDefault="004556E3" w:rsidP="00B36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3A81" w14:textId="77777777" w:rsidR="00121D98" w:rsidRPr="00121D98" w:rsidRDefault="00121D98" w:rsidP="00121D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21477-06-19</w:t>
    </w:r>
    <w:r>
      <w:rPr>
        <w:rFonts w:ascii="David" w:hAnsi="David"/>
        <w:color w:val="000000"/>
        <w:sz w:val="22"/>
        <w:szCs w:val="22"/>
        <w:rtl/>
      </w:rPr>
      <w:tab/>
      <w:t xml:space="preserve"> מדינת ישראל נ' ערן 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3558D" w14:textId="77777777" w:rsidR="00121D98" w:rsidRPr="00121D98" w:rsidRDefault="00121D98" w:rsidP="00121D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21477-06-19</w:t>
    </w:r>
    <w:r>
      <w:rPr>
        <w:rFonts w:ascii="David" w:hAnsi="David"/>
        <w:color w:val="000000"/>
        <w:sz w:val="22"/>
        <w:szCs w:val="22"/>
        <w:rtl/>
      </w:rPr>
      <w:tab/>
      <w:t xml:space="preserve"> מדינת ישראל נ' ערן בר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3FA4"/>
    <w:rsid w:val="0001106C"/>
    <w:rsid w:val="00121D98"/>
    <w:rsid w:val="001375CD"/>
    <w:rsid w:val="001B5A3B"/>
    <w:rsid w:val="004556E3"/>
    <w:rsid w:val="0048631A"/>
    <w:rsid w:val="004A49E7"/>
    <w:rsid w:val="00501156"/>
    <w:rsid w:val="005E4853"/>
    <w:rsid w:val="00AB3FA4"/>
    <w:rsid w:val="00B364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5DF37CDF"/>
  <w15:chartTrackingRefBased/>
  <w15:docId w15:val="{D33206EE-5EC3-493E-B85C-494C4C46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3F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3FA4"/>
    <w:pPr>
      <w:tabs>
        <w:tab w:val="center" w:pos="4153"/>
        <w:tab w:val="right" w:pos="8306"/>
      </w:tabs>
    </w:pPr>
  </w:style>
  <w:style w:type="character" w:customStyle="1" w:styleId="a4">
    <w:name w:val="כותרת עליונה תו"/>
    <w:link w:val="a3"/>
    <w:rsid w:val="00AB3FA4"/>
    <w:rPr>
      <w:rFonts w:ascii="Times New Roman" w:eastAsia="Times New Roman" w:hAnsi="Times New Roman" w:cs="David"/>
      <w:sz w:val="24"/>
      <w:szCs w:val="24"/>
    </w:rPr>
  </w:style>
  <w:style w:type="paragraph" w:styleId="a5">
    <w:name w:val="footer"/>
    <w:basedOn w:val="a"/>
    <w:link w:val="a6"/>
    <w:rsid w:val="00AB3FA4"/>
    <w:pPr>
      <w:tabs>
        <w:tab w:val="center" w:pos="4153"/>
        <w:tab w:val="right" w:pos="8306"/>
      </w:tabs>
    </w:pPr>
  </w:style>
  <w:style w:type="character" w:customStyle="1" w:styleId="a6">
    <w:name w:val="כותרת תחתונה תו"/>
    <w:link w:val="a5"/>
    <w:rsid w:val="00AB3FA4"/>
    <w:rPr>
      <w:rFonts w:ascii="Times New Roman" w:eastAsia="Times New Roman" w:hAnsi="Times New Roman" w:cs="David"/>
      <w:sz w:val="24"/>
      <w:szCs w:val="24"/>
    </w:rPr>
  </w:style>
  <w:style w:type="table" w:styleId="a7">
    <w:name w:val="Table Grid"/>
    <w:basedOn w:val="a1"/>
    <w:rsid w:val="00AB3F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3FA4"/>
  </w:style>
  <w:style w:type="character" w:styleId="Hyperlink">
    <w:name w:val="Hyperlink"/>
    <w:rsid w:val="00121D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s://www.nevo.co.il/psika_html/elyon/NOPADI-N-4-094-L.htm" TargetMode="External"/><Relationship Id="rId26" Type="http://schemas.openxmlformats.org/officeDocument/2006/relationships/hyperlink" Target="http://www.nevo.co.il/case/5779418" TargetMode="External"/><Relationship Id="rId39" Type="http://schemas.openxmlformats.org/officeDocument/2006/relationships/hyperlink" Target="http://www.nevo.co.il/case/161892" TargetMode="External"/><Relationship Id="rId21" Type="http://schemas.openxmlformats.org/officeDocument/2006/relationships/hyperlink" Target="http://www.nevo.co.il/case/17939812" TargetMode="External"/><Relationship Id="rId34" Type="http://schemas.openxmlformats.org/officeDocument/2006/relationships/hyperlink" Target="http://www.nevo.co.il/law/4216/31.3" TargetMode="External"/><Relationship Id="rId42" Type="http://schemas.openxmlformats.org/officeDocument/2006/relationships/hyperlink" Target="http://www.nevo.co.il/law/7030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2063973" TargetMode="External"/><Relationship Id="rId11" Type="http://schemas.openxmlformats.org/officeDocument/2006/relationships/hyperlink" Target="http://www.nevo.co.il/law/70301/31" TargetMode="External"/><Relationship Id="rId24" Type="http://schemas.openxmlformats.org/officeDocument/2006/relationships/hyperlink" Target="http://www.nevo.co.il/case/5984454" TargetMode="External"/><Relationship Id="rId32" Type="http://schemas.openxmlformats.org/officeDocument/2006/relationships/hyperlink" Target="http://www.nevo.co.il/case/20412551" TargetMode="External"/><Relationship Id="rId37" Type="http://schemas.openxmlformats.org/officeDocument/2006/relationships/hyperlink" Target="http://www.nevo.co.il/case/6117105" TargetMode="External"/><Relationship Id="rId40" Type="http://schemas.openxmlformats.org/officeDocument/2006/relationships/hyperlink" Target="http://www.nevo.co.il/case/16880631"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31" TargetMode="External"/><Relationship Id="rId23" Type="http://schemas.openxmlformats.org/officeDocument/2006/relationships/hyperlink" Target="http://www.nevo.co.il/case/5727295" TargetMode="External"/><Relationship Id="rId28" Type="http://schemas.openxmlformats.org/officeDocument/2006/relationships/hyperlink" Target="http://www.nevo.co.il/case/18753213" TargetMode="External"/><Relationship Id="rId36" Type="http://schemas.openxmlformats.org/officeDocument/2006/relationships/hyperlink" Target="http://www.nevo.co.il/case/22294063"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17940631" TargetMode="External"/><Relationship Id="rId31" Type="http://schemas.openxmlformats.org/officeDocument/2006/relationships/hyperlink" Target="http://www.nevo.co.il/case/7980156" TargetMode="External"/><Relationship Id="rId44" Type="http://schemas.openxmlformats.org/officeDocument/2006/relationships/hyperlink" Target="http://www.nevo.co.il/case/16880631" TargetMode="External"/><Relationship Id="rId4" Type="http://schemas.openxmlformats.org/officeDocument/2006/relationships/footnotes" Target="footnotes.xml"/><Relationship Id="rId9" Type="http://schemas.openxmlformats.org/officeDocument/2006/relationships/hyperlink" Target="http://www.nevo.co.il/law/4216/3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590128"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6180833" TargetMode="External"/><Relationship Id="rId35" Type="http://schemas.openxmlformats.org/officeDocument/2006/relationships/hyperlink" Target="http://www.nevo.co.il/law/4216" TargetMode="External"/><Relationship Id="rId43" Type="http://schemas.openxmlformats.org/officeDocument/2006/relationships/hyperlink" Target="http://www.nevo.co.il/case/161892" TargetMode="External"/><Relationship Id="rId48"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58" TargetMode="External"/><Relationship Id="rId17" Type="http://schemas.openxmlformats.org/officeDocument/2006/relationships/hyperlink" Target="http://www.nevo.co.il/case/5786821" TargetMode="External"/><Relationship Id="rId25" Type="http://schemas.openxmlformats.org/officeDocument/2006/relationships/hyperlink" Target="http://www.nevo.co.il/case/6085666" TargetMode="External"/><Relationship Id="rId33" Type="http://schemas.openxmlformats.org/officeDocument/2006/relationships/hyperlink" Target="http://www.nevo.co.il/case/17912837" TargetMode="External"/><Relationship Id="rId38" Type="http://schemas.openxmlformats.org/officeDocument/2006/relationships/hyperlink" Target="http://www.nevo.co.il/case/5752835" TargetMode="External"/><Relationship Id="rId46" Type="http://schemas.openxmlformats.org/officeDocument/2006/relationships/header" Target="header1.xml"/><Relationship Id="rId20" Type="http://schemas.openxmlformats.org/officeDocument/2006/relationships/hyperlink" Target="http://www.nevo.co.il/case/17913350" TargetMode="External"/><Relationship Id="rId41" Type="http://schemas.openxmlformats.org/officeDocument/2006/relationships/hyperlink" Target="http://www.nevo.co.il/law/70301/58"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4071</Words>
  <Characters>20357</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24380</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3801212</vt:i4>
      </vt:variant>
      <vt:variant>
        <vt:i4>114</vt:i4>
      </vt:variant>
      <vt:variant>
        <vt:i4>0</vt:i4>
      </vt:variant>
      <vt:variant>
        <vt:i4>5</vt:i4>
      </vt:variant>
      <vt:variant>
        <vt:lpwstr>http://www.nevo.co.il/case/16880631</vt:lpwstr>
      </vt:variant>
      <vt:variant>
        <vt:lpwstr/>
      </vt:variant>
      <vt:variant>
        <vt:i4>589898</vt:i4>
      </vt:variant>
      <vt:variant>
        <vt:i4>111</vt:i4>
      </vt:variant>
      <vt:variant>
        <vt:i4>0</vt:i4>
      </vt:variant>
      <vt:variant>
        <vt:i4>5</vt:i4>
      </vt:variant>
      <vt:variant>
        <vt:lpwstr>http://www.nevo.co.il/case/161892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7143520</vt:i4>
      </vt:variant>
      <vt:variant>
        <vt:i4>105</vt:i4>
      </vt:variant>
      <vt:variant>
        <vt:i4>0</vt:i4>
      </vt:variant>
      <vt:variant>
        <vt:i4>5</vt:i4>
      </vt:variant>
      <vt:variant>
        <vt:lpwstr>http://www.nevo.co.il/law/70301/58</vt:lpwstr>
      </vt:variant>
      <vt:variant>
        <vt:lpwstr/>
      </vt:variant>
      <vt:variant>
        <vt:i4>3801212</vt:i4>
      </vt:variant>
      <vt:variant>
        <vt:i4>102</vt:i4>
      </vt:variant>
      <vt:variant>
        <vt:i4>0</vt:i4>
      </vt:variant>
      <vt:variant>
        <vt:i4>5</vt:i4>
      </vt:variant>
      <vt:variant>
        <vt:lpwstr>http://www.nevo.co.il/case/16880631</vt:lpwstr>
      </vt:variant>
      <vt:variant>
        <vt:lpwstr/>
      </vt:variant>
      <vt:variant>
        <vt:i4>589898</vt:i4>
      </vt:variant>
      <vt:variant>
        <vt:i4>99</vt:i4>
      </vt:variant>
      <vt:variant>
        <vt:i4>0</vt:i4>
      </vt:variant>
      <vt:variant>
        <vt:i4>5</vt:i4>
      </vt:variant>
      <vt:variant>
        <vt:lpwstr>http://www.nevo.co.il/case/161892</vt:lpwstr>
      </vt:variant>
      <vt:variant>
        <vt:lpwstr/>
      </vt:variant>
      <vt:variant>
        <vt:i4>3997810</vt:i4>
      </vt:variant>
      <vt:variant>
        <vt:i4>96</vt:i4>
      </vt:variant>
      <vt:variant>
        <vt:i4>0</vt:i4>
      </vt:variant>
      <vt:variant>
        <vt:i4>5</vt:i4>
      </vt:variant>
      <vt:variant>
        <vt:lpwstr>http://www.nevo.co.il/case/5752835</vt:lpwstr>
      </vt:variant>
      <vt:variant>
        <vt:lpwstr/>
      </vt:variant>
      <vt:variant>
        <vt:i4>3342450</vt:i4>
      </vt:variant>
      <vt:variant>
        <vt:i4>93</vt:i4>
      </vt:variant>
      <vt:variant>
        <vt:i4>0</vt:i4>
      </vt:variant>
      <vt:variant>
        <vt:i4>5</vt:i4>
      </vt:variant>
      <vt:variant>
        <vt:lpwstr>http://www.nevo.co.il/case/6117105</vt:lpwstr>
      </vt:variant>
      <vt:variant>
        <vt:lpwstr/>
      </vt:variant>
      <vt:variant>
        <vt:i4>3276927</vt:i4>
      </vt:variant>
      <vt:variant>
        <vt:i4>90</vt:i4>
      </vt:variant>
      <vt:variant>
        <vt:i4>0</vt:i4>
      </vt:variant>
      <vt:variant>
        <vt:i4>5</vt:i4>
      </vt:variant>
      <vt:variant>
        <vt:lpwstr>http://www.nevo.co.il/case/22294063</vt:lpwstr>
      </vt:variant>
      <vt:variant>
        <vt:lpwstr/>
      </vt:variant>
      <vt:variant>
        <vt:i4>8257637</vt:i4>
      </vt:variant>
      <vt:variant>
        <vt:i4>87</vt:i4>
      </vt:variant>
      <vt:variant>
        <vt:i4>0</vt:i4>
      </vt:variant>
      <vt:variant>
        <vt:i4>5</vt:i4>
      </vt:variant>
      <vt:variant>
        <vt:lpwstr>http://www.nevo.co.il/law/4216</vt:lpwstr>
      </vt:variant>
      <vt:variant>
        <vt:lpwstr/>
      </vt:variant>
      <vt:variant>
        <vt:i4>6488187</vt:i4>
      </vt:variant>
      <vt:variant>
        <vt:i4>84</vt:i4>
      </vt:variant>
      <vt:variant>
        <vt:i4>0</vt:i4>
      </vt:variant>
      <vt:variant>
        <vt:i4>5</vt:i4>
      </vt:variant>
      <vt:variant>
        <vt:lpwstr>http://www.nevo.co.il/law/4216/31.3</vt:lpwstr>
      </vt:variant>
      <vt:variant>
        <vt:lpwstr/>
      </vt:variant>
      <vt:variant>
        <vt:i4>3735674</vt:i4>
      </vt:variant>
      <vt:variant>
        <vt:i4>81</vt:i4>
      </vt:variant>
      <vt:variant>
        <vt:i4>0</vt:i4>
      </vt:variant>
      <vt:variant>
        <vt:i4>5</vt:i4>
      </vt:variant>
      <vt:variant>
        <vt:lpwstr>http://www.nevo.co.il/case/17912837</vt:lpwstr>
      </vt:variant>
      <vt:variant>
        <vt:lpwstr/>
      </vt:variant>
      <vt:variant>
        <vt:i4>3211376</vt:i4>
      </vt:variant>
      <vt:variant>
        <vt:i4>78</vt:i4>
      </vt:variant>
      <vt:variant>
        <vt:i4>0</vt:i4>
      </vt:variant>
      <vt:variant>
        <vt:i4>5</vt:i4>
      </vt:variant>
      <vt:variant>
        <vt:lpwstr>http://www.nevo.co.il/case/20412551</vt:lpwstr>
      </vt:variant>
      <vt:variant>
        <vt:lpwstr/>
      </vt:variant>
      <vt:variant>
        <vt:i4>3670136</vt:i4>
      </vt:variant>
      <vt:variant>
        <vt:i4>75</vt:i4>
      </vt:variant>
      <vt:variant>
        <vt:i4>0</vt:i4>
      </vt:variant>
      <vt:variant>
        <vt:i4>5</vt:i4>
      </vt:variant>
      <vt:variant>
        <vt:lpwstr>http://www.nevo.co.il/case/7980156</vt:lpwstr>
      </vt:variant>
      <vt:variant>
        <vt:lpwstr/>
      </vt:variant>
      <vt:variant>
        <vt:i4>3473526</vt:i4>
      </vt:variant>
      <vt:variant>
        <vt:i4>72</vt:i4>
      </vt:variant>
      <vt:variant>
        <vt:i4>0</vt:i4>
      </vt:variant>
      <vt:variant>
        <vt:i4>5</vt:i4>
      </vt:variant>
      <vt:variant>
        <vt:lpwstr>http://www.nevo.co.il/case/6180833</vt:lpwstr>
      </vt:variant>
      <vt:variant>
        <vt:lpwstr/>
      </vt:variant>
      <vt:variant>
        <vt:i4>3473529</vt:i4>
      </vt:variant>
      <vt:variant>
        <vt:i4>69</vt:i4>
      </vt:variant>
      <vt:variant>
        <vt:i4>0</vt:i4>
      </vt:variant>
      <vt:variant>
        <vt:i4>5</vt:i4>
      </vt:variant>
      <vt:variant>
        <vt:lpwstr>http://www.nevo.co.il/case/12063973</vt:lpwstr>
      </vt:variant>
      <vt:variant>
        <vt:lpwstr/>
      </vt:variant>
      <vt:variant>
        <vt:i4>3407995</vt:i4>
      </vt:variant>
      <vt:variant>
        <vt:i4>66</vt:i4>
      </vt:variant>
      <vt:variant>
        <vt:i4>0</vt:i4>
      </vt:variant>
      <vt:variant>
        <vt:i4>5</vt:i4>
      </vt:variant>
      <vt:variant>
        <vt:lpwstr>http://www.nevo.co.il/case/18753213</vt:lpwstr>
      </vt:variant>
      <vt:variant>
        <vt:lpwstr/>
      </vt:variant>
      <vt:variant>
        <vt:i4>3932283</vt:i4>
      </vt:variant>
      <vt:variant>
        <vt:i4>63</vt:i4>
      </vt:variant>
      <vt:variant>
        <vt:i4>0</vt:i4>
      </vt:variant>
      <vt:variant>
        <vt:i4>5</vt:i4>
      </vt:variant>
      <vt:variant>
        <vt:lpwstr>http://www.nevo.co.il/case/5698919</vt:lpwstr>
      </vt:variant>
      <vt:variant>
        <vt:lpwstr/>
      </vt:variant>
      <vt:variant>
        <vt:i4>4063355</vt:i4>
      </vt:variant>
      <vt:variant>
        <vt:i4>60</vt:i4>
      </vt:variant>
      <vt:variant>
        <vt:i4>0</vt:i4>
      </vt:variant>
      <vt:variant>
        <vt:i4>5</vt:i4>
      </vt:variant>
      <vt:variant>
        <vt:lpwstr>http://www.nevo.co.il/case/5779418</vt:lpwstr>
      </vt:variant>
      <vt:variant>
        <vt:lpwstr/>
      </vt:variant>
      <vt:variant>
        <vt:i4>4063351</vt:i4>
      </vt:variant>
      <vt:variant>
        <vt:i4>57</vt:i4>
      </vt:variant>
      <vt:variant>
        <vt:i4>0</vt:i4>
      </vt:variant>
      <vt:variant>
        <vt:i4>5</vt:i4>
      </vt:variant>
      <vt:variant>
        <vt:lpwstr>http://www.nevo.co.il/case/6085666</vt:lpwstr>
      </vt:variant>
      <vt:variant>
        <vt:lpwstr/>
      </vt:variant>
      <vt:variant>
        <vt:i4>3997820</vt:i4>
      </vt:variant>
      <vt:variant>
        <vt:i4>54</vt:i4>
      </vt:variant>
      <vt:variant>
        <vt:i4>0</vt:i4>
      </vt:variant>
      <vt:variant>
        <vt:i4>5</vt:i4>
      </vt:variant>
      <vt:variant>
        <vt:lpwstr>http://www.nevo.co.il/case/5984454</vt:lpwstr>
      </vt:variant>
      <vt:variant>
        <vt:lpwstr/>
      </vt:variant>
      <vt:variant>
        <vt:i4>3145853</vt:i4>
      </vt:variant>
      <vt:variant>
        <vt:i4>51</vt:i4>
      </vt:variant>
      <vt:variant>
        <vt:i4>0</vt:i4>
      </vt:variant>
      <vt:variant>
        <vt:i4>5</vt:i4>
      </vt:variant>
      <vt:variant>
        <vt:lpwstr>http://www.nevo.co.il/case/5727295</vt:lpwstr>
      </vt:variant>
      <vt:variant>
        <vt:lpwstr/>
      </vt:variant>
      <vt:variant>
        <vt:i4>3473523</vt:i4>
      </vt:variant>
      <vt:variant>
        <vt:i4>48</vt:i4>
      </vt:variant>
      <vt:variant>
        <vt:i4>0</vt:i4>
      </vt:variant>
      <vt:variant>
        <vt:i4>5</vt:i4>
      </vt:variant>
      <vt:variant>
        <vt:lpwstr>http://www.nevo.co.il/case/5590128</vt:lpwstr>
      </vt:variant>
      <vt:variant>
        <vt:lpwstr/>
      </vt:variant>
      <vt:variant>
        <vt:i4>3145848</vt:i4>
      </vt:variant>
      <vt:variant>
        <vt:i4>45</vt:i4>
      </vt:variant>
      <vt:variant>
        <vt:i4>0</vt:i4>
      </vt:variant>
      <vt:variant>
        <vt:i4>5</vt:i4>
      </vt:variant>
      <vt:variant>
        <vt:lpwstr>http://www.nevo.co.il/case/17939812</vt:lpwstr>
      </vt:variant>
      <vt:variant>
        <vt:lpwstr/>
      </vt:variant>
      <vt:variant>
        <vt:i4>4063345</vt:i4>
      </vt:variant>
      <vt:variant>
        <vt:i4>42</vt:i4>
      </vt:variant>
      <vt:variant>
        <vt:i4>0</vt:i4>
      </vt:variant>
      <vt:variant>
        <vt:i4>5</vt:i4>
      </vt:variant>
      <vt:variant>
        <vt:lpwstr>http://www.nevo.co.il/case/17913350</vt:lpwstr>
      </vt:variant>
      <vt:variant>
        <vt:lpwstr/>
      </vt:variant>
      <vt:variant>
        <vt:i4>3866737</vt:i4>
      </vt:variant>
      <vt:variant>
        <vt:i4>39</vt:i4>
      </vt:variant>
      <vt:variant>
        <vt:i4>0</vt:i4>
      </vt:variant>
      <vt:variant>
        <vt:i4>5</vt:i4>
      </vt:variant>
      <vt:variant>
        <vt:lpwstr>http://www.nevo.co.il/case/17940631</vt:lpwstr>
      </vt:variant>
      <vt:variant>
        <vt:lpwstr/>
      </vt:variant>
      <vt:variant>
        <vt:i4>5046379</vt:i4>
      </vt:variant>
      <vt:variant>
        <vt:i4>36</vt:i4>
      </vt:variant>
      <vt:variant>
        <vt:i4>0</vt:i4>
      </vt:variant>
      <vt:variant>
        <vt:i4>5</vt:i4>
      </vt:variant>
      <vt:variant>
        <vt:lpwstr>https://www.nevo.co.il/psika_html/elyon/NOPADI-N-4-094-L.htm</vt:lpwstr>
      </vt:variant>
      <vt:variant>
        <vt:lpwstr/>
      </vt:variant>
      <vt:variant>
        <vt:i4>3407991</vt:i4>
      </vt:variant>
      <vt:variant>
        <vt:i4>33</vt:i4>
      </vt:variant>
      <vt:variant>
        <vt:i4>0</vt:i4>
      </vt:variant>
      <vt:variant>
        <vt:i4>5</vt:i4>
      </vt:variant>
      <vt:variant>
        <vt:lpwstr>http://www.nevo.co.il/case/5786821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7143520</vt:i4>
      </vt:variant>
      <vt:variant>
        <vt:i4>18</vt:i4>
      </vt:variant>
      <vt:variant>
        <vt:i4>0</vt:i4>
      </vt:variant>
      <vt:variant>
        <vt:i4>5</vt:i4>
      </vt:variant>
      <vt:variant>
        <vt:lpwstr>http://www.nevo.co.il/law/70301/58</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6488187</vt:i4>
      </vt:variant>
      <vt:variant>
        <vt:i4>9</vt:i4>
      </vt:variant>
      <vt:variant>
        <vt:i4>0</vt:i4>
      </vt:variant>
      <vt:variant>
        <vt:i4>5</vt:i4>
      </vt:variant>
      <vt:variant>
        <vt:lpwstr>http://www.nevo.co.il/law/4216/31.3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2025-04-22T21:00:00Z</dcterms:created>
  <dcterms:modified xsi:type="dcterms:W3CDTF">2025-04-22T21:00:00Z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21477</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ערן בר</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20200514</vt:lpwstr>
  </property>
  <property fmtid="{D5CDD505-2E9C-101B-9397-08002B2CF9AE}" pid="13" name="TYPE_N_DATE">
    <vt:lpwstr>39020200514</vt:lpwstr>
  </property>
  <property fmtid="{D5CDD505-2E9C-101B-9397-08002B2CF9AE}" pid="14" name="CASESLISTTMP1">
    <vt:lpwstr>5786821;17940631;17913350;17939812;5590128;5727295;5984454;6085666;5779418;5698919;18753213;12063973;6180833;7980156;20412551;17912837;22294063;6117105;5752835;161892:2;16880631:2</vt:lpwstr>
  </property>
  <property fmtid="{D5CDD505-2E9C-101B-9397-08002B2CF9AE}" pid="15" name="CASENOTES1">
    <vt:lpwstr>ProcID=133;209&amp;PartA=4203&amp;PartC=14</vt:lpwstr>
  </property>
  <property fmtid="{D5CDD505-2E9C-101B-9397-08002B2CF9AE}" pid="16" name="CASENOTES2">
    <vt:lpwstr>ProcID=133;209&amp;PartA=512&amp;PartC=13</vt:lpwstr>
  </property>
  <property fmtid="{D5CDD505-2E9C-101B-9397-08002B2CF9AE}" pid="17" name="WORDNUMPAGES">
    <vt:lpwstr>13</vt:lpwstr>
  </property>
  <property fmtid="{D5CDD505-2E9C-101B-9397-08002B2CF9AE}" pid="18" name="TYPE_ABS_DATE">
    <vt:lpwstr>390020200514</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4216/007.a;007.c;031.3</vt:lpwstr>
  </property>
  <property fmtid="{D5CDD505-2E9C-101B-9397-08002B2CF9AE}" pid="39" name="LAWLISTTMP2">
    <vt:lpwstr>70301/031;058</vt:lpwstr>
  </property>
</Properties>
</file>