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224" w:type="dxa"/>
        <w:jc w:val="center"/>
        <w:tblLook w:val="0000" w:firstRow="0" w:lastRow="0" w:firstColumn="0" w:lastColumn="0" w:noHBand="0" w:noVBand="0"/>
      </w:tblPr>
      <w:tblGrid>
        <w:gridCol w:w="3671"/>
        <w:gridCol w:w="1256"/>
        <w:gridCol w:w="4297"/>
      </w:tblGrid>
      <w:tr w:rsidR="002656CA" w:rsidRPr="00BB5E7D" w14:paraId="25DB4D36" w14:textId="77777777" w:rsidTr="005B5E34">
        <w:trPr>
          <w:trHeight w:hRule="exact" w:val="339"/>
          <w:jc w:val="center"/>
        </w:trPr>
        <w:tc>
          <w:tcPr>
            <w:tcW w:w="9224" w:type="dxa"/>
            <w:gridSpan w:val="3"/>
          </w:tcPr>
          <w:p w14:paraId="7FCAE5B5" w14:textId="77777777" w:rsidR="002656CA" w:rsidRPr="00BB5E7D" w:rsidRDefault="002656CA" w:rsidP="005B5E34">
            <w:pPr>
              <w:pStyle w:val="a3"/>
              <w:jc w:val="center"/>
              <w:rPr>
                <w:rFonts w:ascii="Tahoma" w:hAnsi="Tahoma"/>
                <w:rtl/>
              </w:rPr>
            </w:pPr>
            <w:bookmarkStart w:id="0" w:name="LastJudge"/>
            <w:r w:rsidRPr="00BB5E7D">
              <w:rPr>
                <w:rFonts w:ascii="Tahoma" w:hAnsi="Tahoma" w:hint="cs"/>
                <w:b/>
                <w:bCs/>
                <w:rtl/>
              </w:rPr>
              <w:t>בתי המשפט</w:t>
            </w:r>
          </w:p>
        </w:tc>
      </w:tr>
      <w:tr w:rsidR="002656CA" w:rsidRPr="00BB5E7D" w14:paraId="19A6BB5C" w14:textId="77777777" w:rsidTr="005B5E34">
        <w:trPr>
          <w:trHeight w:val="337"/>
          <w:jc w:val="center"/>
        </w:trPr>
        <w:tc>
          <w:tcPr>
            <w:tcW w:w="4927" w:type="dxa"/>
            <w:gridSpan w:val="2"/>
          </w:tcPr>
          <w:p w14:paraId="692DDF37" w14:textId="77777777" w:rsidR="002656CA" w:rsidRPr="00BB5E7D" w:rsidRDefault="002656CA" w:rsidP="005B5E34">
            <w:pPr>
              <w:pStyle w:val="a3"/>
              <w:rPr>
                <w:b/>
                <w:bCs/>
                <w:sz w:val="32"/>
                <w:szCs w:val="32"/>
                <w:rtl/>
              </w:rPr>
            </w:pPr>
            <w:r w:rsidRPr="00BB5E7D">
              <w:rPr>
                <w:rFonts w:hint="cs"/>
                <w:b/>
                <w:bCs/>
                <w:sz w:val="32"/>
                <w:szCs w:val="32"/>
                <w:rtl/>
              </w:rPr>
              <w:t>בבית המשפט המחוזי</w:t>
            </w:r>
          </w:p>
          <w:p w14:paraId="1FD92F94" w14:textId="77777777" w:rsidR="002656CA" w:rsidRPr="00BB5E7D" w:rsidRDefault="002656CA" w:rsidP="005B5E34">
            <w:pPr>
              <w:pStyle w:val="a3"/>
              <w:rPr>
                <w:sz w:val="28"/>
                <w:szCs w:val="28"/>
                <w:rtl/>
              </w:rPr>
            </w:pPr>
            <w:r w:rsidRPr="00BB5E7D">
              <w:rPr>
                <w:rFonts w:hint="cs"/>
                <w:b/>
                <w:bCs/>
                <w:sz w:val="32"/>
                <w:szCs w:val="32"/>
                <w:rtl/>
              </w:rPr>
              <w:t>בירושלים</w:t>
            </w:r>
          </w:p>
        </w:tc>
        <w:tc>
          <w:tcPr>
            <w:tcW w:w="4297" w:type="dxa"/>
          </w:tcPr>
          <w:p w14:paraId="6A02F823" w14:textId="77777777" w:rsidR="002656CA" w:rsidRPr="00BB5E7D" w:rsidRDefault="002656CA" w:rsidP="005B5E34">
            <w:pPr>
              <w:jc w:val="right"/>
              <w:rPr>
                <w:b/>
                <w:bCs/>
                <w:sz w:val="32"/>
                <w:szCs w:val="32"/>
                <w:rtl/>
              </w:rPr>
            </w:pPr>
            <w:r w:rsidRPr="00BB5E7D">
              <w:rPr>
                <w:b/>
                <w:bCs/>
                <w:sz w:val="32"/>
                <w:szCs w:val="32"/>
                <w:rtl/>
              </w:rPr>
              <w:t>ת"פ</w:t>
            </w:r>
            <w:r w:rsidRPr="00BB5E7D">
              <w:rPr>
                <w:rFonts w:hint="cs"/>
                <w:b/>
                <w:bCs/>
                <w:sz w:val="32"/>
                <w:szCs w:val="32"/>
                <w:rtl/>
              </w:rPr>
              <w:t xml:space="preserve"> </w:t>
            </w:r>
            <w:r w:rsidRPr="00BB5E7D">
              <w:rPr>
                <w:b/>
                <w:bCs/>
                <w:sz w:val="32"/>
                <w:szCs w:val="32"/>
                <w:rtl/>
              </w:rPr>
              <w:t>31000-07-19</w:t>
            </w:r>
            <w:r w:rsidRPr="00BB5E7D">
              <w:rPr>
                <w:rFonts w:hint="cs"/>
                <w:b/>
                <w:bCs/>
                <w:sz w:val="32"/>
                <w:szCs w:val="32"/>
                <w:rtl/>
              </w:rPr>
              <w:t xml:space="preserve"> </w:t>
            </w:r>
          </w:p>
          <w:p w14:paraId="0EF63979" w14:textId="77777777" w:rsidR="002656CA" w:rsidRPr="00BB5E7D" w:rsidRDefault="002656CA" w:rsidP="005B5E34">
            <w:pPr>
              <w:pStyle w:val="a3"/>
              <w:jc w:val="right"/>
              <w:rPr>
                <w:rtl/>
              </w:rPr>
            </w:pPr>
          </w:p>
          <w:p w14:paraId="170799DF" w14:textId="77777777" w:rsidR="002656CA" w:rsidRPr="00BB5E7D" w:rsidRDefault="002656CA" w:rsidP="005B5E34">
            <w:pPr>
              <w:pStyle w:val="a3"/>
              <w:jc w:val="right"/>
              <w:rPr>
                <w:b/>
                <w:bCs/>
                <w:sz w:val="32"/>
                <w:szCs w:val="32"/>
                <w:rtl/>
              </w:rPr>
            </w:pPr>
          </w:p>
        </w:tc>
      </w:tr>
      <w:tr w:rsidR="002656CA" w:rsidRPr="00BB5E7D" w14:paraId="7663EFAB" w14:textId="77777777" w:rsidTr="005B5E34">
        <w:trPr>
          <w:trHeight w:val="337"/>
          <w:jc w:val="center"/>
        </w:trPr>
        <w:tc>
          <w:tcPr>
            <w:tcW w:w="3671" w:type="dxa"/>
          </w:tcPr>
          <w:p w14:paraId="2C6E6681" w14:textId="77777777" w:rsidR="002656CA" w:rsidRPr="00BB5E7D" w:rsidRDefault="002656CA" w:rsidP="005B5E34">
            <w:pPr>
              <w:rPr>
                <w:rFonts w:ascii="Arial" w:hAnsi="Arial"/>
                <w:b/>
                <w:bCs/>
                <w:sz w:val="28"/>
                <w:szCs w:val="28"/>
                <w:rtl/>
              </w:rPr>
            </w:pPr>
          </w:p>
          <w:p w14:paraId="225F318A" w14:textId="77777777" w:rsidR="002656CA" w:rsidRPr="00BB5E7D" w:rsidRDefault="002656CA" w:rsidP="005B5E34">
            <w:r w:rsidRPr="00BB5E7D">
              <w:rPr>
                <w:rFonts w:ascii="Arial" w:hAnsi="Arial" w:hint="cs"/>
                <w:b/>
                <w:bCs/>
                <w:sz w:val="28"/>
                <w:szCs w:val="28"/>
                <w:rtl/>
              </w:rPr>
              <w:t>ב</w:t>
            </w:r>
            <w:r w:rsidRPr="00BB5E7D">
              <w:rPr>
                <w:rFonts w:ascii="Arial" w:hAnsi="Arial"/>
                <w:b/>
                <w:bCs/>
                <w:sz w:val="28"/>
                <w:szCs w:val="28"/>
                <w:rtl/>
              </w:rPr>
              <w:t>פני</w:t>
            </w:r>
            <w:r w:rsidRPr="00BB5E7D">
              <w:rPr>
                <w:rFonts w:ascii="Arial" w:hAnsi="Arial" w:hint="cs"/>
                <w:b/>
                <w:bCs/>
                <w:sz w:val="28"/>
                <w:szCs w:val="28"/>
                <w:rtl/>
              </w:rPr>
              <w:t>: כב' ה</w:t>
            </w:r>
            <w:r w:rsidRPr="00BB5E7D">
              <w:rPr>
                <w:rFonts w:ascii="Arial" w:hAnsi="Arial"/>
                <w:b/>
                <w:bCs/>
                <w:sz w:val="28"/>
                <w:szCs w:val="28"/>
                <w:rtl/>
              </w:rPr>
              <w:t>שופט</w:t>
            </w:r>
            <w:r w:rsidRPr="00BB5E7D">
              <w:rPr>
                <w:rFonts w:ascii="Arial" w:hAnsi="Arial" w:hint="cs"/>
                <w:b/>
                <w:bCs/>
                <w:sz w:val="28"/>
                <w:szCs w:val="28"/>
                <w:rtl/>
              </w:rPr>
              <w:t xml:space="preserve"> </w:t>
            </w:r>
            <w:r w:rsidRPr="00BB5E7D">
              <w:rPr>
                <w:rFonts w:ascii="Arial" w:hAnsi="Arial"/>
                <w:b/>
                <w:bCs/>
                <w:sz w:val="28"/>
                <w:szCs w:val="28"/>
                <w:rtl/>
              </w:rPr>
              <w:t>אלכסנדר רון</w:t>
            </w:r>
          </w:p>
          <w:p w14:paraId="38FC4A55" w14:textId="77777777" w:rsidR="002656CA" w:rsidRPr="00BB5E7D" w:rsidRDefault="002656CA" w:rsidP="005B5E34">
            <w:pPr>
              <w:jc w:val="right"/>
              <w:rPr>
                <w:b/>
                <w:bCs/>
                <w:sz w:val="32"/>
                <w:szCs w:val="32"/>
              </w:rPr>
            </w:pPr>
          </w:p>
        </w:tc>
        <w:tc>
          <w:tcPr>
            <w:tcW w:w="5553" w:type="dxa"/>
            <w:gridSpan w:val="2"/>
          </w:tcPr>
          <w:p w14:paraId="41BC787E" w14:textId="77777777" w:rsidR="002656CA" w:rsidRPr="00BB5E7D" w:rsidRDefault="002656CA" w:rsidP="005B5E34">
            <w:pPr>
              <w:jc w:val="right"/>
              <w:rPr>
                <w:b/>
                <w:bCs/>
                <w:sz w:val="28"/>
                <w:szCs w:val="28"/>
                <w:rtl/>
              </w:rPr>
            </w:pPr>
          </w:p>
          <w:p w14:paraId="76675CE7" w14:textId="77777777" w:rsidR="002656CA" w:rsidRPr="00BB5E7D" w:rsidRDefault="002656CA" w:rsidP="005B5E34">
            <w:pPr>
              <w:jc w:val="right"/>
              <w:rPr>
                <w:b/>
                <w:bCs/>
                <w:sz w:val="32"/>
                <w:szCs w:val="32"/>
                <w:rtl/>
              </w:rPr>
            </w:pPr>
            <w:r w:rsidRPr="00BB5E7D">
              <w:rPr>
                <w:rFonts w:hint="cs"/>
                <w:b/>
                <w:bCs/>
                <w:sz w:val="28"/>
                <w:szCs w:val="28"/>
                <w:rtl/>
              </w:rPr>
              <w:t>תאריך: ט"ז טבת תשפ"א, 31 דצמבר 2020</w:t>
            </w:r>
          </w:p>
        </w:tc>
      </w:tr>
    </w:tbl>
    <w:p w14:paraId="72EE66BC" w14:textId="77777777" w:rsidR="002656CA" w:rsidRPr="00BB5E7D" w:rsidRDefault="002656CA" w:rsidP="002656CA">
      <w:pPr>
        <w:pStyle w:val="a3"/>
        <w:rPr>
          <w:rtl/>
        </w:rPr>
      </w:pPr>
      <w:r w:rsidRPr="00BB5E7D">
        <w:rPr>
          <w:rFonts w:hint="cs"/>
          <w:rtl/>
        </w:rPr>
        <w:t xml:space="preserve"> </w:t>
      </w:r>
    </w:p>
    <w:p w14:paraId="3EE81EA0" w14:textId="77777777" w:rsidR="002656CA" w:rsidRPr="00BB5E7D" w:rsidRDefault="002656CA" w:rsidP="002656CA">
      <w:pPr>
        <w:spacing w:line="360" w:lineRule="auto"/>
        <w:rPr>
          <w:rFonts w:ascii="Arial" w:hAnsi="Arial"/>
          <w:b/>
          <w:bCs/>
          <w:rtl/>
        </w:rPr>
      </w:pPr>
    </w:p>
    <w:p w14:paraId="69EBC25B" w14:textId="77777777" w:rsidR="002656CA" w:rsidRPr="00BB5E7D" w:rsidRDefault="002656CA" w:rsidP="002656CA">
      <w:pPr>
        <w:spacing w:line="360" w:lineRule="auto"/>
        <w:rPr>
          <w:rFonts w:ascii="Arial" w:hAnsi="Arial"/>
          <w:b/>
          <w:bCs/>
          <w:rtl/>
        </w:rPr>
      </w:pPr>
    </w:p>
    <w:tbl>
      <w:tblPr>
        <w:bidiVisual/>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3705"/>
        <w:gridCol w:w="4654"/>
      </w:tblGrid>
      <w:tr w:rsidR="002656CA" w:rsidRPr="00BB5E7D" w14:paraId="594C3E8F" w14:textId="77777777" w:rsidTr="00913C76">
        <w:trPr>
          <w:trHeight w:val="395"/>
          <w:jc w:val="center"/>
        </w:trPr>
        <w:tc>
          <w:tcPr>
            <w:tcW w:w="9200" w:type="dxa"/>
            <w:gridSpan w:val="3"/>
            <w:tcBorders>
              <w:top w:val="nil"/>
              <w:left w:val="nil"/>
              <w:bottom w:val="nil"/>
              <w:right w:val="nil"/>
            </w:tcBorders>
            <w:shd w:val="clear" w:color="auto" w:fill="auto"/>
          </w:tcPr>
          <w:p w14:paraId="148BFBEC" w14:textId="77777777" w:rsidR="002656CA" w:rsidRPr="00BB5E7D" w:rsidRDefault="002656CA" w:rsidP="002656CA">
            <w:pPr>
              <w:jc w:val="right"/>
              <w:rPr>
                <w:rFonts w:ascii="Arial" w:hAnsi="Arial"/>
                <w:b/>
                <w:bCs/>
                <w:rtl/>
              </w:rPr>
            </w:pPr>
          </w:p>
        </w:tc>
      </w:tr>
      <w:tr w:rsidR="002656CA" w:rsidRPr="00BB5E7D" w14:paraId="5557F2AA" w14:textId="77777777" w:rsidTr="00913C76">
        <w:trPr>
          <w:trHeight w:val="355"/>
          <w:jc w:val="center"/>
        </w:trPr>
        <w:tc>
          <w:tcPr>
            <w:tcW w:w="841" w:type="dxa"/>
            <w:tcBorders>
              <w:top w:val="nil"/>
              <w:left w:val="nil"/>
              <w:bottom w:val="nil"/>
              <w:right w:val="nil"/>
            </w:tcBorders>
            <w:shd w:val="clear" w:color="auto" w:fill="auto"/>
          </w:tcPr>
          <w:p w14:paraId="5D08EC22" w14:textId="77777777" w:rsidR="002656CA" w:rsidRPr="00BB5E7D" w:rsidRDefault="002656CA" w:rsidP="002656CA">
            <w:pPr>
              <w:jc w:val="both"/>
              <w:rPr>
                <w:rFonts w:ascii="Arial" w:hAnsi="Arial"/>
                <w:b/>
                <w:bCs/>
              </w:rPr>
            </w:pPr>
            <w:bookmarkStart w:id="1" w:name="FirstAppellant"/>
            <w:r w:rsidRPr="00BB5E7D">
              <w:rPr>
                <w:rFonts w:ascii="Arial" w:hAnsi="Arial" w:hint="cs"/>
                <w:b/>
                <w:bCs/>
                <w:rtl/>
              </w:rPr>
              <w:t>בעניין:</w:t>
            </w:r>
          </w:p>
        </w:tc>
        <w:tc>
          <w:tcPr>
            <w:tcW w:w="3705" w:type="dxa"/>
            <w:tcBorders>
              <w:top w:val="nil"/>
              <w:left w:val="nil"/>
              <w:bottom w:val="nil"/>
              <w:right w:val="nil"/>
            </w:tcBorders>
            <w:shd w:val="clear" w:color="auto" w:fill="auto"/>
          </w:tcPr>
          <w:p w14:paraId="3A57BBAE" w14:textId="77777777" w:rsidR="002656CA" w:rsidRPr="00BB5E7D" w:rsidRDefault="002656CA" w:rsidP="002656CA">
            <w:pPr>
              <w:spacing w:line="360" w:lineRule="auto"/>
              <w:rPr>
                <w:b/>
                <w:bCs/>
              </w:rPr>
            </w:pPr>
            <w:r w:rsidRPr="00BB5E7D">
              <w:rPr>
                <w:rFonts w:ascii="Arial" w:hAnsi="Arial"/>
                <w:b/>
                <w:bCs/>
                <w:rtl/>
              </w:rPr>
              <w:t>מדינת ישראל</w:t>
            </w:r>
          </w:p>
        </w:tc>
        <w:tc>
          <w:tcPr>
            <w:tcW w:w="4654" w:type="dxa"/>
            <w:tcBorders>
              <w:top w:val="nil"/>
              <w:left w:val="nil"/>
              <w:bottom w:val="nil"/>
              <w:right w:val="nil"/>
            </w:tcBorders>
            <w:shd w:val="clear" w:color="auto" w:fill="auto"/>
            <w:vAlign w:val="bottom"/>
          </w:tcPr>
          <w:p w14:paraId="52C7C831" w14:textId="77777777" w:rsidR="002656CA" w:rsidRPr="00BB5E7D" w:rsidRDefault="002656CA" w:rsidP="005B5E34">
            <w:pPr>
              <w:rPr>
                <w:rFonts w:ascii="Arial" w:hAnsi="Arial"/>
              </w:rPr>
            </w:pPr>
            <w:r w:rsidRPr="00BB5E7D">
              <w:rPr>
                <w:rFonts w:ascii="Arial" w:hAnsi="Arial" w:hint="cs"/>
                <w:b/>
                <w:bCs/>
                <w:rtl/>
              </w:rPr>
              <w:t>ה</w:t>
            </w:r>
            <w:r w:rsidRPr="00BB5E7D">
              <w:rPr>
                <w:rFonts w:ascii="Arial" w:hAnsi="Arial"/>
                <w:b/>
                <w:bCs/>
                <w:rtl/>
              </w:rPr>
              <w:t>מאשימה</w:t>
            </w:r>
            <w:r w:rsidRPr="00BB5E7D">
              <w:rPr>
                <w:rFonts w:ascii="Arial" w:hAnsi="Arial"/>
                <w:b/>
                <w:bCs/>
                <w:rtl/>
              </w:rPr>
              <w:br/>
            </w:r>
          </w:p>
        </w:tc>
      </w:tr>
      <w:bookmarkEnd w:id="1"/>
      <w:tr w:rsidR="002656CA" w:rsidRPr="00BB5E7D" w14:paraId="398353DB" w14:textId="77777777" w:rsidTr="00913C76">
        <w:trPr>
          <w:trHeight w:val="355"/>
          <w:jc w:val="center"/>
        </w:trPr>
        <w:tc>
          <w:tcPr>
            <w:tcW w:w="841" w:type="dxa"/>
            <w:tcBorders>
              <w:top w:val="nil"/>
              <w:left w:val="nil"/>
              <w:bottom w:val="nil"/>
              <w:right w:val="nil"/>
            </w:tcBorders>
            <w:shd w:val="clear" w:color="auto" w:fill="auto"/>
          </w:tcPr>
          <w:p w14:paraId="2A054F0F" w14:textId="77777777" w:rsidR="002656CA" w:rsidRPr="00BB5E7D" w:rsidRDefault="002656CA" w:rsidP="002656CA">
            <w:pPr>
              <w:jc w:val="both"/>
              <w:rPr>
                <w:rFonts w:ascii="Arial" w:hAnsi="Arial" w:cs="FrankRuehl"/>
                <w:sz w:val="28"/>
                <w:szCs w:val="28"/>
                <w:rtl/>
              </w:rPr>
            </w:pPr>
          </w:p>
        </w:tc>
        <w:tc>
          <w:tcPr>
            <w:tcW w:w="8359" w:type="dxa"/>
            <w:gridSpan w:val="2"/>
            <w:tcBorders>
              <w:top w:val="nil"/>
              <w:left w:val="nil"/>
              <w:bottom w:val="nil"/>
              <w:right w:val="nil"/>
            </w:tcBorders>
            <w:shd w:val="clear" w:color="auto" w:fill="auto"/>
          </w:tcPr>
          <w:p w14:paraId="28B6AA1F" w14:textId="77777777" w:rsidR="002656CA" w:rsidRPr="00BB5E7D" w:rsidRDefault="002656CA" w:rsidP="002656CA">
            <w:pPr>
              <w:jc w:val="center"/>
              <w:rPr>
                <w:rFonts w:ascii="Arial" w:hAnsi="Arial"/>
                <w:b/>
                <w:bCs/>
                <w:rtl/>
              </w:rPr>
            </w:pPr>
          </w:p>
          <w:p w14:paraId="02A93F88" w14:textId="77777777" w:rsidR="002656CA" w:rsidRPr="00BB5E7D" w:rsidRDefault="002656CA" w:rsidP="002656CA">
            <w:pPr>
              <w:jc w:val="center"/>
              <w:rPr>
                <w:rFonts w:ascii="Arial" w:hAnsi="Arial"/>
                <w:b/>
                <w:bCs/>
                <w:rtl/>
              </w:rPr>
            </w:pPr>
            <w:r w:rsidRPr="00BB5E7D">
              <w:rPr>
                <w:rFonts w:ascii="Arial" w:hAnsi="Arial"/>
                <w:b/>
                <w:bCs/>
                <w:rtl/>
              </w:rPr>
              <w:t>נ</w:t>
            </w:r>
            <w:r w:rsidRPr="00BB5E7D">
              <w:rPr>
                <w:rFonts w:ascii="Arial" w:hAnsi="Arial" w:hint="cs"/>
                <w:b/>
                <w:bCs/>
                <w:rtl/>
              </w:rPr>
              <w:t xml:space="preserve"> </w:t>
            </w:r>
            <w:r w:rsidRPr="00BB5E7D">
              <w:rPr>
                <w:rFonts w:ascii="Arial" w:hAnsi="Arial"/>
                <w:b/>
                <w:bCs/>
                <w:rtl/>
              </w:rPr>
              <w:t>ג</w:t>
            </w:r>
            <w:r w:rsidRPr="00BB5E7D">
              <w:rPr>
                <w:rFonts w:ascii="Arial" w:hAnsi="Arial" w:hint="cs"/>
                <w:b/>
                <w:bCs/>
                <w:rtl/>
              </w:rPr>
              <w:t xml:space="preserve"> </w:t>
            </w:r>
            <w:r w:rsidRPr="00BB5E7D">
              <w:rPr>
                <w:rFonts w:ascii="Arial" w:hAnsi="Arial"/>
                <w:b/>
                <w:bCs/>
                <w:rtl/>
              </w:rPr>
              <w:t>ד</w:t>
            </w:r>
          </w:p>
          <w:p w14:paraId="31F6F6D6" w14:textId="77777777" w:rsidR="002656CA" w:rsidRPr="00BB5E7D" w:rsidRDefault="002656CA" w:rsidP="002656CA">
            <w:pPr>
              <w:jc w:val="both"/>
              <w:rPr>
                <w:rFonts w:ascii="Arial" w:hAnsi="Arial"/>
                <w:rtl/>
              </w:rPr>
            </w:pPr>
          </w:p>
          <w:p w14:paraId="6A682C96" w14:textId="77777777" w:rsidR="002656CA" w:rsidRPr="00BB5E7D" w:rsidRDefault="002656CA" w:rsidP="002656CA">
            <w:pPr>
              <w:jc w:val="both"/>
              <w:rPr>
                <w:rFonts w:ascii="Arial" w:hAnsi="Arial"/>
              </w:rPr>
            </w:pPr>
          </w:p>
        </w:tc>
      </w:tr>
      <w:tr w:rsidR="002656CA" w:rsidRPr="00BB5E7D" w14:paraId="4E82A16F" w14:textId="77777777" w:rsidTr="00913C76">
        <w:trPr>
          <w:trHeight w:val="355"/>
          <w:jc w:val="center"/>
        </w:trPr>
        <w:tc>
          <w:tcPr>
            <w:tcW w:w="841" w:type="dxa"/>
            <w:tcBorders>
              <w:top w:val="nil"/>
              <w:left w:val="nil"/>
              <w:bottom w:val="nil"/>
              <w:right w:val="nil"/>
            </w:tcBorders>
            <w:shd w:val="clear" w:color="auto" w:fill="auto"/>
          </w:tcPr>
          <w:p w14:paraId="7E34B878" w14:textId="77777777" w:rsidR="002656CA" w:rsidRPr="00BB5E7D" w:rsidRDefault="002656CA" w:rsidP="002656CA">
            <w:pPr>
              <w:jc w:val="both"/>
              <w:rPr>
                <w:rFonts w:ascii="Arial" w:hAnsi="Arial" w:cs="FrankRuehl"/>
                <w:sz w:val="28"/>
                <w:szCs w:val="28"/>
                <w:rtl/>
              </w:rPr>
            </w:pPr>
          </w:p>
        </w:tc>
        <w:tc>
          <w:tcPr>
            <w:tcW w:w="3705" w:type="dxa"/>
            <w:tcBorders>
              <w:top w:val="nil"/>
              <w:left w:val="nil"/>
              <w:bottom w:val="nil"/>
              <w:right w:val="nil"/>
            </w:tcBorders>
            <w:shd w:val="clear" w:color="auto" w:fill="auto"/>
          </w:tcPr>
          <w:p w14:paraId="4795D179" w14:textId="77777777" w:rsidR="002656CA" w:rsidRPr="00BB5E7D" w:rsidRDefault="002656CA" w:rsidP="002656CA">
            <w:pPr>
              <w:spacing w:line="360" w:lineRule="auto"/>
              <w:rPr>
                <w:b/>
                <w:bCs/>
                <w:rtl/>
              </w:rPr>
            </w:pPr>
            <w:r w:rsidRPr="00BB5E7D">
              <w:rPr>
                <w:rFonts w:ascii="Arial" w:hAnsi="Arial"/>
                <w:b/>
                <w:bCs/>
                <w:rtl/>
              </w:rPr>
              <w:t>סהר בן ישי</w:t>
            </w:r>
          </w:p>
        </w:tc>
        <w:tc>
          <w:tcPr>
            <w:tcW w:w="4654" w:type="dxa"/>
            <w:tcBorders>
              <w:top w:val="nil"/>
              <w:left w:val="nil"/>
              <w:bottom w:val="nil"/>
              <w:right w:val="nil"/>
            </w:tcBorders>
            <w:shd w:val="clear" w:color="auto" w:fill="auto"/>
            <w:vAlign w:val="bottom"/>
          </w:tcPr>
          <w:p w14:paraId="5991EECA" w14:textId="77777777" w:rsidR="002656CA" w:rsidRPr="00BB5E7D" w:rsidRDefault="002656CA" w:rsidP="005B5E34">
            <w:pPr>
              <w:rPr>
                <w:rFonts w:ascii="Arial" w:hAnsi="Arial"/>
              </w:rPr>
            </w:pPr>
            <w:r w:rsidRPr="00BB5E7D">
              <w:rPr>
                <w:rFonts w:ascii="Arial" w:hAnsi="Arial" w:hint="cs"/>
                <w:b/>
                <w:bCs/>
                <w:rtl/>
              </w:rPr>
              <w:t>הנאשם</w:t>
            </w:r>
          </w:p>
        </w:tc>
      </w:tr>
    </w:tbl>
    <w:p w14:paraId="0478084D" w14:textId="77777777" w:rsidR="002656CA" w:rsidRPr="00BB5E7D" w:rsidRDefault="002656CA" w:rsidP="002656CA">
      <w:pPr>
        <w:spacing w:line="360" w:lineRule="auto"/>
        <w:rPr>
          <w:rFonts w:ascii="Arial" w:hAnsi="Arial"/>
          <w:b/>
          <w:bCs/>
          <w:rtl/>
        </w:rPr>
      </w:pPr>
    </w:p>
    <w:p w14:paraId="0BE337CF" w14:textId="77777777" w:rsidR="002656CA" w:rsidRPr="00BB5E7D" w:rsidRDefault="002656CA" w:rsidP="002656CA">
      <w:pPr>
        <w:spacing w:line="360" w:lineRule="auto"/>
        <w:rPr>
          <w:rFonts w:ascii="Arial" w:hAnsi="Arial"/>
          <w:b/>
          <w:bCs/>
          <w:rtl/>
        </w:rPr>
      </w:pPr>
      <w:r w:rsidRPr="00BB5E7D">
        <w:rPr>
          <w:rFonts w:ascii="Arial" w:hAnsi="Arial" w:hint="cs"/>
          <w:b/>
          <w:bCs/>
          <w:rtl/>
        </w:rPr>
        <w:t>נוכחים:-</w:t>
      </w:r>
    </w:p>
    <w:p w14:paraId="26E0BEC4" w14:textId="77777777" w:rsidR="002656CA" w:rsidRPr="00BB5E7D" w:rsidRDefault="002656CA" w:rsidP="002656CA">
      <w:pPr>
        <w:spacing w:line="360" w:lineRule="auto"/>
        <w:rPr>
          <w:rFonts w:ascii="Arial" w:hAnsi="Arial"/>
          <w:rtl/>
        </w:rPr>
      </w:pPr>
      <w:bookmarkStart w:id="2" w:name="FirstLawyer"/>
      <w:r w:rsidRPr="00BB5E7D">
        <w:rPr>
          <w:rFonts w:ascii="Arial" w:hAnsi="Arial" w:hint="cs"/>
          <w:rtl/>
        </w:rPr>
        <w:t>ב"כ</w:t>
      </w:r>
      <w:bookmarkEnd w:id="2"/>
      <w:r w:rsidRPr="00BB5E7D">
        <w:rPr>
          <w:rFonts w:ascii="Arial" w:hAnsi="Arial" w:hint="cs"/>
          <w:rtl/>
        </w:rPr>
        <w:t xml:space="preserve"> המאשימה עו"ד בן חמו</w:t>
      </w:r>
    </w:p>
    <w:p w14:paraId="17033262" w14:textId="77777777" w:rsidR="00913C76" w:rsidRDefault="002656CA" w:rsidP="002656CA">
      <w:pPr>
        <w:spacing w:line="360" w:lineRule="auto"/>
        <w:rPr>
          <w:rFonts w:ascii="Arial" w:hAnsi="Arial"/>
          <w:rtl/>
        </w:rPr>
      </w:pPr>
      <w:r w:rsidRPr="00BB5E7D">
        <w:rPr>
          <w:rFonts w:ascii="Arial" w:hAnsi="Arial" w:hint="cs"/>
          <w:rtl/>
        </w:rPr>
        <w:t xml:space="preserve">הנאשם וב"כ עו"ד מיכאל עירוני </w:t>
      </w:r>
    </w:p>
    <w:p w14:paraId="70B09085" w14:textId="77777777" w:rsidR="00913C76" w:rsidRPr="00913C76" w:rsidRDefault="00913C76" w:rsidP="00913C76">
      <w:pPr>
        <w:spacing w:after="120" w:line="240" w:lineRule="exact"/>
        <w:ind w:left="283" w:hanging="283"/>
        <w:jc w:val="both"/>
        <w:rPr>
          <w:rFonts w:ascii="FrankRuehl" w:hAnsi="FrankRuehl" w:cs="FrankRuehl"/>
          <w:rtl/>
        </w:rPr>
      </w:pPr>
    </w:p>
    <w:p w14:paraId="40A543FD" w14:textId="77777777" w:rsidR="006A039A" w:rsidRDefault="006A039A" w:rsidP="006A039A">
      <w:pPr>
        <w:spacing w:line="360" w:lineRule="auto"/>
        <w:rPr>
          <w:rFonts w:ascii="Arial" w:hAnsi="Arial"/>
          <w:rtl/>
        </w:rPr>
      </w:pPr>
      <w:bookmarkStart w:id="3" w:name="LawTable"/>
      <w:bookmarkEnd w:id="3"/>
    </w:p>
    <w:p w14:paraId="1F2E1C8D" w14:textId="77777777" w:rsidR="006A039A" w:rsidRPr="006A039A" w:rsidRDefault="006A039A" w:rsidP="006A039A">
      <w:pPr>
        <w:spacing w:before="120" w:after="120" w:line="240" w:lineRule="exact"/>
        <w:ind w:left="283" w:hanging="283"/>
        <w:jc w:val="both"/>
        <w:rPr>
          <w:rFonts w:ascii="FrankRuehl" w:hAnsi="FrankRuehl" w:cs="FrankRuehl"/>
          <w:rtl/>
        </w:rPr>
      </w:pPr>
    </w:p>
    <w:p w14:paraId="470A0651" w14:textId="77777777" w:rsidR="006A039A" w:rsidRPr="006A039A" w:rsidRDefault="006A039A" w:rsidP="006A039A">
      <w:pPr>
        <w:spacing w:before="120" w:after="120" w:line="240" w:lineRule="exact"/>
        <w:ind w:left="283" w:hanging="283"/>
        <w:jc w:val="both"/>
        <w:rPr>
          <w:rFonts w:ascii="FrankRuehl" w:hAnsi="FrankRuehl" w:cs="FrankRuehl"/>
          <w:rtl/>
        </w:rPr>
      </w:pPr>
    </w:p>
    <w:p w14:paraId="66A13AFF" w14:textId="77777777" w:rsidR="006A039A" w:rsidRPr="006A039A" w:rsidRDefault="006A039A" w:rsidP="006A039A">
      <w:pPr>
        <w:spacing w:before="120" w:after="120" w:line="240" w:lineRule="exact"/>
        <w:ind w:left="283" w:hanging="283"/>
        <w:jc w:val="both"/>
        <w:rPr>
          <w:rFonts w:ascii="FrankRuehl" w:hAnsi="FrankRuehl" w:cs="FrankRuehl"/>
          <w:rtl/>
        </w:rPr>
      </w:pPr>
      <w:r w:rsidRPr="006A039A">
        <w:rPr>
          <w:rFonts w:ascii="FrankRuehl" w:hAnsi="FrankRuehl" w:cs="FrankRuehl"/>
          <w:rtl/>
        </w:rPr>
        <w:t xml:space="preserve">חקיקה שאוזכרה: </w:t>
      </w:r>
    </w:p>
    <w:p w14:paraId="52614637" w14:textId="77777777" w:rsidR="006A039A" w:rsidRPr="006A039A" w:rsidRDefault="006A039A" w:rsidP="006A039A">
      <w:pPr>
        <w:spacing w:before="120" w:after="120" w:line="240" w:lineRule="exact"/>
        <w:ind w:left="283" w:hanging="283"/>
        <w:jc w:val="both"/>
        <w:rPr>
          <w:rFonts w:ascii="FrankRuehl" w:hAnsi="FrankRuehl" w:cs="FrankRuehl"/>
          <w:rtl/>
        </w:rPr>
      </w:pPr>
      <w:hyperlink r:id="rId6" w:history="1">
        <w:r w:rsidRPr="006A039A">
          <w:rPr>
            <w:rFonts w:ascii="FrankRuehl" w:hAnsi="FrankRuehl" w:cs="FrankRuehl"/>
            <w:color w:val="0000FF"/>
            <w:rtl/>
          </w:rPr>
          <w:t>פקודת הסמים המסוכנים [נוסח חדש], תשל"ג-1973</w:t>
        </w:r>
      </w:hyperlink>
      <w:r w:rsidRPr="006A039A">
        <w:rPr>
          <w:rFonts w:ascii="FrankRuehl" w:hAnsi="FrankRuehl" w:cs="FrankRuehl"/>
          <w:rtl/>
        </w:rPr>
        <w:t xml:space="preserve">: סע'  </w:t>
      </w:r>
      <w:hyperlink r:id="rId7" w:history="1">
        <w:r w:rsidRPr="006A039A">
          <w:rPr>
            <w:rFonts w:ascii="FrankRuehl" w:hAnsi="FrankRuehl" w:cs="FrankRuehl"/>
            <w:color w:val="0000FF"/>
            <w:rtl/>
          </w:rPr>
          <w:t>13</w:t>
        </w:r>
      </w:hyperlink>
      <w:r w:rsidRPr="006A039A">
        <w:rPr>
          <w:rFonts w:ascii="FrankRuehl" w:hAnsi="FrankRuehl" w:cs="FrankRuehl"/>
          <w:rtl/>
        </w:rPr>
        <w:t xml:space="preserve">, </w:t>
      </w:r>
      <w:hyperlink r:id="rId8" w:history="1">
        <w:r w:rsidRPr="006A039A">
          <w:rPr>
            <w:rFonts w:ascii="FrankRuehl" w:hAnsi="FrankRuehl" w:cs="FrankRuehl"/>
            <w:color w:val="0000FF"/>
            <w:rtl/>
          </w:rPr>
          <w:t>19.א</w:t>
        </w:r>
      </w:hyperlink>
    </w:p>
    <w:p w14:paraId="78CF964D" w14:textId="77777777" w:rsidR="006A039A" w:rsidRPr="006A039A" w:rsidRDefault="006A039A" w:rsidP="006A039A">
      <w:pPr>
        <w:spacing w:line="360" w:lineRule="auto"/>
        <w:rPr>
          <w:rFonts w:ascii="Arial" w:hAnsi="Arial"/>
          <w:rtl/>
        </w:rPr>
      </w:pPr>
      <w:bookmarkStart w:id="4" w:name="LawTable_End"/>
      <w:bookmarkEnd w:id="4"/>
    </w:p>
    <w:p w14:paraId="4EC5FE82" w14:textId="77777777" w:rsidR="002656CA" w:rsidRPr="00913C76" w:rsidRDefault="002656CA" w:rsidP="002656CA">
      <w:pPr>
        <w:spacing w:line="360" w:lineRule="auto"/>
        <w:rPr>
          <w:rFonts w:ascii="Arial" w:hAnsi="Arial"/>
          <w:rtl/>
        </w:rPr>
      </w:pPr>
    </w:p>
    <w:p w14:paraId="1CC1A8DB" w14:textId="77777777" w:rsidR="00BB5E7D" w:rsidRPr="00BB5E7D" w:rsidRDefault="00BB5E7D" w:rsidP="00BB5E7D">
      <w:pPr>
        <w:spacing w:line="480" w:lineRule="auto"/>
        <w:jc w:val="center"/>
        <w:rPr>
          <w:rFonts w:ascii="Arial" w:hAnsi="Arial"/>
          <w:b/>
          <w:bCs/>
          <w:sz w:val="36"/>
          <w:szCs w:val="36"/>
          <w:u w:val="single"/>
          <w:rtl/>
        </w:rPr>
      </w:pPr>
      <w:bookmarkStart w:id="5" w:name="PsakDin"/>
      <w:bookmarkEnd w:id="0"/>
      <w:r w:rsidRPr="00BB5E7D">
        <w:rPr>
          <w:rFonts w:ascii="Arial" w:hAnsi="Arial"/>
          <w:b/>
          <w:bCs/>
          <w:sz w:val="36"/>
          <w:szCs w:val="36"/>
          <w:u w:val="single"/>
          <w:rtl/>
        </w:rPr>
        <w:t>גזר דין</w:t>
      </w:r>
    </w:p>
    <w:p w14:paraId="4C77950D" w14:textId="77777777" w:rsidR="002656CA" w:rsidRPr="00F112C8" w:rsidRDefault="002656CA" w:rsidP="002656CA">
      <w:pPr>
        <w:spacing w:line="480" w:lineRule="auto"/>
        <w:jc w:val="both"/>
        <w:rPr>
          <w:rFonts w:ascii="Arial" w:hAnsi="Arial"/>
          <w:rtl/>
        </w:rPr>
      </w:pPr>
      <w:bookmarkStart w:id="6" w:name="ABSTRACT_START"/>
      <w:bookmarkEnd w:id="5"/>
      <w:bookmarkEnd w:id="6"/>
    </w:p>
    <w:p w14:paraId="229DF61B" w14:textId="77777777" w:rsidR="002656CA" w:rsidRDefault="002656CA" w:rsidP="002656CA">
      <w:pPr>
        <w:spacing w:line="480" w:lineRule="auto"/>
        <w:ind w:left="510" w:hanging="510"/>
        <w:jc w:val="both"/>
        <w:rPr>
          <w:rtl/>
        </w:rPr>
      </w:pPr>
      <w:r>
        <w:rPr>
          <w:rtl/>
        </w:rPr>
        <w:t>1.</w:t>
      </w:r>
      <w:r>
        <w:rPr>
          <w:rFonts w:hint="cs"/>
          <w:rtl/>
        </w:rPr>
        <w:tab/>
        <w:t xml:space="preserve">הנאשם הורשע על פי הודאתו בייבוא סם מסוכן, עבירה לפי סעיף </w:t>
      </w:r>
      <w:hyperlink r:id="rId9" w:history="1">
        <w:r w:rsidR="00913C76" w:rsidRPr="00913C76">
          <w:rPr>
            <w:color w:val="0000FF"/>
            <w:u w:val="single"/>
            <w:rtl/>
          </w:rPr>
          <w:t>13 + 19א</w:t>
        </w:r>
      </w:hyperlink>
      <w:r>
        <w:rPr>
          <w:rFonts w:hint="cs"/>
          <w:rtl/>
        </w:rPr>
        <w:t xml:space="preserve"> ל</w:t>
      </w:r>
      <w:hyperlink r:id="rId10" w:history="1">
        <w:r w:rsidR="00BB5E7D" w:rsidRPr="00BB5E7D">
          <w:rPr>
            <w:color w:val="0000FF"/>
            <w:u w:val="single"/>
            <w:rtl/>
          </w:rPr>
          <w:t>פקודת הסמים המסוכנים</w:t>
        </w:r>
      </w:hyperlink>
      <w:r>
        <w:rPr>
          <w:rFonts w:hint="cs"/>
          <w:rtl/>
        </w:rPr>
        <w:t xml:space="preserve">; זאת לאחר שהגיע לישראל בטיסה מאמסטרדם ונתפסו בשני מקומות בגופו ובאמתחתו שלושה סוגי סם כדלקמן: </w:t>
      </w:r>
    </w:p>
    <w:p w14:paraId="20F7303E" w14:textId="77777777" w:rsidR="002656CA" w:rsidRDefault="002656CA" w:rsidP="002656CA">
      <w:pPr>
        <w:spacing w:line="480" w:lineRule="auto"/>
        <w:ind w:left="510" w:hanging="510"/>
        <w:jc w:val="both"/>
        <w:rPr>
          <w:rtl/>
        </w:rPr>
      </w:pPr>
    </w:p>
    <w:p w14:paraId="46028A79" w14:textId="77777777" w:rsidR="002656CA" w:rsidRDefault="002656CA" w:rsidP="002656CA">
      <w:pPr>
        <w:spacing w:line="480" w:lineRule="auto"/>
        <w:ind w:left="1440" w:hanging="930"/>
        <w:jc w:val="both"/>
        <w:rPr>
          <w:rtl/>
        </w:rPr>
      </w:pPr>
      <w:bookmarkStart w:id="7" w:name="ABSTRACT_END"/>
      <w:bookmarkEnd w:id="7"/>
      <w:r>
        <w:rPr>
          <w:rFonts w:hint="cs"/>
          <w:rtl/>
        </w:rPr>
        <w:lastRenderedPageBreak/>
        <w:t>א.</w:t>
      </w:r>
      <w:r>
        <w:rPr>
          <w:rFonts w:hint="cs"/>
          <w:rtl/>
        </w:rPr>
        <w:tab/>
        <w:t>בכיס מכנסיו של הנאשם נמצא 0.5810 גרם נטו של חומר המכיל את חומרים קטמין ו</w:t>
      </w:r>
      <w:r>
        <w:rPr>
          <w:rFonts w:hint="cs"/>
        </w:rPr>
        <w:t xml:space="preserve"> -</w:t>
      </w:r>
      <w:r>
        <w:rPr>
          <w:rFonts w:hint="cs"/>
          <w:rtl/>
        </w:rPr>
        <w:t xml:space="preserve"> </w:t>
      </w:r>
      <w:r w:rsidRPr="00005F8F">
        <w:rPr>
          <w:sz w:val="20"/>
          <w:szCs w:val="20"/>
        </w:rPr>
        <w:t>Delta-9-THC</w:t>
      </w:r>
      <w:r w:rsidRPr="00005F8F">
        <w:rPr>
          <w:rFonts w:hint="cs"/>
          <w:sz w:val="20"/>
          <w:szCs w:val="20"/>
          <w:rtl/>
        </w:rPr>
        <w:t>.</w:t>
      </w:r>
    </w:p>
    <w:p w14:paraId="6A871687" w14:textId="77777777" w:rsidR="002656CA" w:rsidRDefault="002656CA" w:rsidP="002656CA">
      <w:pPr>
        <w:spacing w:line="480" w:lineRule="auto"/>
        <w:ind w:left="1440" w:hanging="930"/>
        <w:jc w:val="both"/>
        <w:rPr>
          <w:rtl/>
        </w:rPr>
      </w:pPr>
    </w:p>
    <w:p w14:paraId="5B781953" w14:textId="77777777" w:rsidR="002656CA" w:rsidRDefault="002656CA" w:rsidP="002656CA">
      <w:pPr>
        <w:spacing w:line="480" w:lineRule="auto"/>
        <w:ind w:left="1440" w:hanging="930"/>
        <w:jc w:val="both"/>
        <w:rPr>
          <w:rtl/>
        </w:rPr>
      </w:pPr>
      <w:r>
        <w:rPr>
          <w:rFonts w:hint="cs"/>
          <w:rtl/>
        </w:rPr>
        <w:t>ב.</w:t>
      </w:r>
      <w:r>
        <w:rPr>
          <w:rFonts w:hint="cs"/>
          <w:rtl/>
        </w:rPr>
        <w:tab/>
        <w:t xml:space="preserve">בתחתית תיקו של הנאשם נמצא 7.5320 גרם נטו של סם מסוכן מסוג </w:t>
      </w:r>
      <w:r w:rsidRPr="00005F8F">
        <w:rPr>
          <w:sz w:val="20"/>
          <w:szCs w:val="20"/>
        </w:rPr>
        <w:t>MDMA</w:t>
      </w:r>
      <w:r>
        <w:rPr>
          <w:rFonts w:hint="cs"/>
          <w:rtl/>
        </w:rPr>
        <w:t xml:space="preserve"> וכן כלי עישון.</w:t>
      </w:r>
    </w:p>
    <w:p w14:paraId="29706EA7" w14:textId="77777777" w:rsidR="002656CA" w:rsidRDefault="002656CA" w:rsidP="002656CA">
      <w:pPr>
        <w:spacing w:line="480" w:lineRule="auto"/>
        <w:ind w:left="1440" w:hanging="930"/>
        <w:jc w:val="both"/>
        <w:rPr>
          <w:rtl/>
        </w:rPr>
      </w:pPr>
    </w:p>
    <w:p w14:paraId="5951CCEA" w14:textId="77777777" w:rsidR="002656CA" w:rsidRDefault="002656CA" w:rsidP="002656CA">
      <w:pPr>
        <w:spacing w:line="480" w:lineRule="auto"/>
        <w:ind w:left="1440" w:hanging="930"/>
        <w:jc w:val="both"/>
        <w:rPr>
          <w:rtl/>
        </w:rPr>
      </w:pPr>
      <w:r>
        <w:rPr>
          <w:rFonts w:hint="cs"/>
          <w:rtl/>
        </w:rPr>
        <w:t>ג.</w:t>
      </w:r>
      <w:r>
        <w:rPr>
          <w:rFonts w:hint="cs"/>
          <w:rtl/>
        </w:rPr>
        <w:tab/>
        <w:t xml:space="preserve">בתיקו של הנאשם נמצאו 3 זוגות מכנסיים, כאשר בגומי המכנסיים נמצאו מוסלקים ב </w:t>
      </w:r>
      <w:r>
        <w:rPr>
          <w:rtl/>
        </w:rPr>
        <w:t>–</w:t>
      </w:r>
      <w:r>
        <w:rPr>
          <w:rFonts w:hint="cs"/>
          <w:rtl/>
        </w:rPr>
        <w:t xml:space="preserve"> 8 שקיות 122 ריבועים ו-36 משולשים של סם מסוכן מסוג </w:t>
      </w:r>
      <w:r w:rsidRPr="00005F8F">
        <w:rPr>
          <w:sz w:val="20"/>
          <w:szCs w:val="20"/>
        </w:rPr>
        <w:t>LSD</w:t>
      </w:r>
      <w:r>
        <w:rPr>
          <w:rFonts w:hint="cs"/>
          <w:rtl/>
        </w:rPr>
        <w:t>.</w:t>
      </w:r>
    </w:p>
    <w:p w14:paraId="322F1B74" w14:textId="77777777" w:rsidR="002656CA" w:rsidRDefault="002656CA" w:rsidP="002656CA">
      <w:pPr>
        <w:spacing w:line="480" w:lineRule="auto"/>
        <w:jc w:val="both"/>
        <w:rPr>
          <w:rtl/>
        </w:rPr>
      </w:pPr>
    </w:p>
    <w:p w14:paraId="543D00F0" w14:textId="77777777" w:rsidR="002656CA" w:rsidRDefault="002656CA" w:rsidP="002656CA">
      <w:pPr>
        <w:spacing w:line="480" w:lineRule="auto"/>
        <w:ind w:left="510" w:hanging="510"/>
        <w:jc w:val="both"/>
        <w:rPr>
          <w:rtl/>
        </w:rPr>
      </w:pPr>
      <w:r>
        <w:rPr>
          <w:rtl/>
        </w:rPr>
        <w:t>2.</w:t>
      </w:r>
      <w:r>
        <w:rPr>
          <w:rFonts w:hint="cs"/>
          <w:rtl/>
        </w:rPr>
        <w:tab/>
        <w:t xml:space="preserve">עובר להודיית הנאשם, הסכימו הצדדים שתגביל עצמה המאשימה ל-14 חודשי מאסר. נוכח זאת, ועל פי </w:t>
      </w:r>
      <w:hyperlink r:id="rId11" w:history="1">
        <w:r w:rsidR="00BB5E7D" w:rsidRPr="00BB5E7D">
          <w:rPr>
            <w:color w:val="0000FF"/>
            <w:u w:val="single"/>
            <w:rtl/>
          </w:rPr>
          <w:t>ע"פ 2524/15</w:t>
        </w:r>
      </w:hyperlink>
      <w:r>
        <w:rPr>
          <w:rtl/>
        </w:rPr>
        <w:t xml:space="preserve"> </w:t>
      </w:r>
      <w:r>
        <w:rPr>
          <w:b/>
          <w:bCs/>
          <w:rtl/>
        </w:rPr>
        <w:t>שפרנוביץ נ' מדינת ישראל</w:t>
      </w:r>
      <w:r>
        <w:rPr>
          <w:rFonts w:hint="cs"/>
          <w:rtl/>
        </w:rPr>
        <w:t xml:space="preserve">, לא מצאתי לנכון להידרש לדיון בשאלת מתחם הענישה. </w:t>
      </w:r>
    </w:p>
    <w:p w14:paraId="4359E22F" w14:textId="77777777" w:rsidR="002656CA" w:rsidRDefault="002656CA" w:rsidP="002656CA">
      <w:pPr>
        <w:spacing w:line="480" w:lineRule="auto"/>
        <w:jc w:val="both"/>
        <w:rPr>
          <w:rtl/>
        </w:rPr>
      </w:pPr>
    </w:p>
    <w:p w14:paraId="6A470D99" w14:textId="77777777" w:rsidR="002656CA" w:rsidRDefault="002656CA" w:rsidP="002656CA">
      <w:pPr>
        <w:spacing w:line="480" w:lineRule="auto"/>
        <w:ind w:left="510" w:hanging="510"/>
        <w:jc w:val="both"/>
        <w:rPr>
          <w:rtl/>
        </w:rPr>
      </w:pPr>
      <w:r>
        <w:rPr>
          <w:rtl/>
        </w:rPr>
        <w:t>3.</w:t>
      </w:r>
      <w:r>
        <w:rPr>
          <w:rFonts w:hint="cs"/>
          <w:rtl/>
        </w:rPr>
        <w:tab/>
        <w:t>נתונים רלוונטיים נוספים:-</w:t>
      </w:r>
    </w:p>
    <w:p w14:paraId="42E18F55" w14:textId="77777777" w:rsidR="002656CA" w:rsidRDefault="002656CA" w:rsidP="002656CA">
      <w:pPr>
        <w:spacing w:line="480" w:lineRule="auto"/>
        <w:ind w:left="510" w:hanging="510"/>
        <w:jc w:val="both"/>
        <w:rPr>
          <w:rtl/>
        </w:rPr>
      </w:pPr>
    </w:p>
    <w:p w14:paraId="6244872B" w14:textId="77777777" w:rsidR="002656CA" w:rsidRDefault="002656CA" w:rsidP="002656CA">
      <w:pPr>
        <w:spacing w:line="480" w:lineRule="auto"/>
        <w:ind w:left="1440" w:hanging="930"/>
        <w:jc w:val="both"/>
        <w:rPr>
          <w:rtl/>
        </w:rPr>
      </w:pPr>
      <w:r>
        <w:rPr>
          <w:rFonts w:hint="cs"/>
          <w:rtl/>
        </w:rPr>
        <w:t>א.</w:t>
      </w:r>
      <w:r>
        <w:rPr>
          <w:rFonts w:hint="cs"/>
          <w:rtl/>
        </w:rPr>
        <w:tab/>
        <w:t xml:space="preserve">לחובת הנאשם הרשעה קודמת אחת בגין החזקת סמים לצריכה עצמית, ואולם, מועד ההרשעה </w:t>
      </w:r>
      <w:r>
        <w:rPr>
          <w:rtl/>
        </w:rPr>
        <w:t>–</w:t>
      </w:r>
      <w:r>
        <w:rPr>
          <w:rFonts w:hint="cs"/>
          <w:rtl/>
        </w:rPr>
        <w:t xml:space="preserve"> לאחר מועד ביצוע העבירה. עם זאת, ציינה המאשימה בטיעוניה, שיש לייחס מעט משקל לעצם העובדה שביצע הנאשם את העבירות דנן לאחר שנתפס ונחקר בגין אותה עבירה.</w:t>
      </w:r>
    </w:p>
    <w:p w14:paraId="7A026DE9" w14:textId="77777777" w:rsidR="002656CA" w:rsidRDefault="002656CA" w:rsidP="002656CA">
      <w:pPr>
        <w:spacing w:line="480" w:lineRule="auto"/>
        <w:ind w:left="510" w:hanging="510"/>
        <w:jc w:val="both"/>
        <w:rPr>
          <w:rtl/>
        </w:rPr>
      </w:pPr>
    </w:p>
    <w:p w14:paraId="4A3F760F" w14:textId="77777777" w:rsidR="002656CA" w:rsidRPr="007E136C" w:rsidRDefault="002656CA" w:rsidP="002656CA">
      <w:pPr>
        <w:spacing w:line="480" w:lineRule="auto"/>
        <w:ind w:left="1440" w:hanging="930"/>
        <w:jc w:val="both"/>
        <w:rPr>
          <w:b/>
          <w:bCs/>
          <w:i/>
          <w:iCs/>
          <w:u w:val="single"/>
          <w:rtl/>
        </w:rPr>
      </w:pPr>
      <w:r>
        <w:rPr>
          <w:rFonts w:hint="cs"/>
          <w:rtl/>
        </w:rPr>
        <w:t>ב.</w:t>
      </w:r>
      <w:r>
        <w:rPr>
          <w:rFonts w:hint="cs"/>
          <w:rtl/>
        </w:rPr>
        <w:tab/>
        <w:t xml:space="preserve">כתב האישום הוגש כ- 11 חודשים לאחר האירוע. למרות חומרת כתב האישום, לא נלוותה להגשתו בקשה למעצרו של הנאשם. </w:t>
      </w:r>
    </w:p>
    <w:p w14:paraId="7FA1055F" w14:textId="77777777" w:rsidR="002656CA" w:rsidRPr="007E136C" w:rsidRDefault="002656CA" w:rsidP="002656CA">
      <w:pPr>
        <w:spacing w:line="480" w:lineRule="auto"/>
        <w:ind w:left="1440" w:hanging="930"/>
        <w:jc w:val="both"/>
        <w:rPr>
          <w:b/>
          <w:bCs/>
          <w:i/>
          <w:iCs/>
          <w:u w:val="single"/>
          <w:rtl/>
        </w:rPr>
      </w:pPr>
    </w:p>
    <w:p w14:paraId="5F580B3D" w14:textId="77777777" w:rsidR="002656CA" w:rsidRDefault="002656CA" w:rsidP="002656CA">
      <w:pPr>
        <w:spacing w:line="480" w:lineRule="auto"/>
        <w:ind w:left="1440" w:hanging="930"/>
        <w:jc w:val="both"/>
        <w:rPr>
          <w:rtl/>
        </w:rPr>
      </w:pPr>
      <w:r>
        <w:rPr>
          <w:rFonts w:hint="cs"/>
          <w:rtl/>
        </w:rPr>
        <w:t>ג.</w:t>
      </w:r>
      <w:r>
        <w:rPr>
          <w:rFonts w:hint="cs"/>
          <w:rtl/>
        </w:rPr>
        <w:tab/>
        <w:t xml:space="preserve">בהסכמת הצדדים נערך תסקיר בעניינו של הנאשם ואתייחס אליו בהמשך. </w:t>
      </w:r>
    </w:p>
    <w:p w14:paraId="4FB41B92" w14:textId="77777777" w:rsidR="002656CA" w:rsidRDefault="002656CA" w:rsidP="002656CA">
      <w:pPr>
        <w:spacing w:line="480" w:lineRule="auto"/>
        <w:ind w:left="510" w:hanging="510"/>
        <w:jc w:val="both"/>
        <w:rPr>
          <w:rtl/>
        </w:rPr>
      </w:pPr>
    </w:p>
    <w:p w14:paraId="4B9285E8" w14:textId="77777777" w:rsidR="002656CA" w:rsidRDefault="002656CA" w:rsidP="002656CA">
      <w:pPr>
        <w:spacing w:line="480" w:lineRule="auto"/>
        <w:ind w:left="510" w:hanging="510"/>
        <w:jc w:val="both"/>
        <w:rPr>
          <w:rtl/>
        </w:rPr>
      </w:pPr>
      <w:r>
        <w:rPr>
          <w:rFonts w:hint="cs"/>
          <w:rtl/>
        </w:rPr>
        <w:t>4</w:t>
      </w:r>
      <w:r>
        <w:rPr>
          <w:rtl/>
        </w:rPr>
        <w:t>.</w:t>
      </w:r>
      <w:r>
        <w:rPr>
          <w:rFonts w:hint="cs"/>
          <w:rtl/>
        </w:rPr>
        <w:tab/>
        <w:t>טענות המאשימה:-</w:t>
      </w:r>
    </w:p>
    <w:p w14:paraId="4F27F544" w14:textId="77777777" w:rsidR="002656CA" w:rsidRDefault="002656CA" w:rsidP="002656CA">
      <w:pPr>
        <w:spacing w:line="480" w:lineRule="auto"/>
        <w:ind w:left="510" w:hanging="510"/>
        <w:jc w:val="both"/>
        <w:rPr>
          <w:rtl/>
        </w:rPr>
      </w:pPr>
    </w:p>
    <w:p w14:paraId="4AF8FF54" w14:textId="77777777" w:rsidR="002656CA" w:rsidRDefault="002656CA" w:rsidP="002656CA">
      <w:pPr>
        <w:spacing w:line="480" w:lineRule="auto"/>
        <w:ind w:left="510" w:hanging="510"/>
        <w:jc w:val="both"/>
        <w:rPr>
          <w:rtl/>
        </w:rPr>
      </w:pPr>
      <w:r>
        <w:rPr>
          <w:rtl/>
        </w:rPr>
        <w:tab/>
      </w:r>
      <w:r>
        <w:rPr>
          <w:rFonts w:hint="cs"/>
          <w:rtl/>
        </w:rPr>
        <w:t>תחילה התייחסה המאשימה לשאלת מתחמי הענישה וזאת על אף הסדר הטיעון הנ"ל. לשיטתה, המתחם הראוי הינו בן 14 לבין 30 חודשי מאסר. נוכח הסדר הטיעון והטעמים שהביאו לו, נכונה הייתה המאשימה להסתפק ב 14 חודשי מאסר. מעבר לכך, נטען לחומרה הגלומה בעבירות ייבוא סם, ולרמת הענישה המתחייבת, כשבמוקד, מאסר ממשי בפועל.</w:t>
      </w:r>
    </w:p>
    <w:p w14:paraId="4D681A3F" w14:textId="77777777" w:rsidR="002656CA" w:rsidRDefault="002656CA" w:rsidP="002656CA">
      <w:pPr>
        <w:spacing w:line="480" w:lineRule="auto"/>
        <w:ind w:left="510" w:hanging="510"/>
        <w:jc w:val="both"/>
        <w:rPr>
          <w:rtl/>
        </w:rPr>
      </w:pPr>
    </w:p>
    <w:p w14:paraId="2DC3CFD5" w14:textId="77777777" w:rsidR="002656CA" w:rsidRDefault="002656CA" w:rsidP="002656CA">
      <w:pPr>
        <w:spacing w:line="480" w:lineRule="auto"/>
        <w:ind w:left="510" w:hanging="510"/>
        <w:jc w:val="both"/>
        <w:rPr>
          <w:rtl/>
        </w:rPr>
      </w:pPr>
      <w:r>
        <w:rPr>
          <w:rFonts w:hint="cs"/>
          <w:rtl/>
        </w:rPr>
        <w:t>5</w:t>
      </w:r>
      <w:r>
        <w:rPr>
          <w:rtl/>
        </w:rPr>
        <w:t>.</w:t>
      </w:r>
      <w:r>
        <w:rPr>
          <w:rFonts w:hint="cs"/>
          <w:rtl/>
        </w:rPr>
        <w:tab/>
        <w:t>טענות ההגנה:-</w:t>
      </w:r>
    </w:p>
    <w:p w14:paraId="4C08FC43" w14:textId="77777777" w:rsidR="002656CA" w:rsidRDefault="002656CA" w:rsidP="002656CA">
      <w:pPr>
        <w:spacing w:line="480" w:lineRule="auto"/>
        <w:ind w:left="510" w:hanging="510"/>
        <w:jc w:val="both"/>
        <w:rPr>
          <w:rtl/>
        </w:rPr>
      </w:pPr>
    </w:p>
    <w:p w14:paraId="0FC28709" w14:textId="77777777" w:rsidR="002656CA" w:rsidRDefault="002656CA" w:rsidP="002656CA">
      <w:pPr>
        <w:spacing w:line="480" w:lineRule="auto"/>
        <w:ind w:left="1440" w:hanging="930"/>
        <w:jc w:val="both"/>
        <w:rPr>
          <w:rtl/>
        </w:rPr>
      </w:pPr>
      <w:r>
        <w:rPr>
          <w:rFonts w:hint="cs"/>
          <w:rtl/>
        </w:rPr>
        <w:t>א.</w:t>
      </w:r>
      <w:r>
        <w:rPr>
          <w:rFonts w:hint="cs"/>
          <w:rtl/>
        </w:rPr>
        <w:tab/>
        <w:t>ראשית, הודגשה הודיית הנאשם בכתב האישום</w:t>
      </w:r>
      <w:r>
        <w:rPr>
          <w:rFonts w:hint="cs"/>
        </w:rPr>
        <w:t xml:space="preserve"> </w:t>
      </w:r>
      <w:r>
        <w:rPr>
          <w:rFonts w:hint="cs"/>
          <w:rtl/>
        </w:rPr>
        <w:t xml:space="preserve">(המקורי) שאף מלמדת על קבלת אחריותו למעשיו; עוד הודגש גילו הצעיר, כבן 20 במועד ביצוע העבירה וכבן 22 כיום וללא שעבר עבירות נוספות גם מאז נעצר בפרשתנו.  </w:t>
      </w:r>
    </w:p>
    <w:p w14:paraId="34C31EF0" w14:textId="77777777" w:rsidR="002656CA" w:rsidRDefault="002656CA" w:rsidP="002656CA">
      <w:pPr>
        <w:spacing w:line="480" w:lineRule="auto"/>
        <w:ind w:left="1440" w:hanging="930"/>
        <w:jc w:val="both"/>
        <w:rPr>
          <w:rtl/>
        </w:rPr>
      </w:pPr>
    </w:p>
    <w:p w14:paraId="3C86BFA5" w14:textId="77777777" w:rsidR="002656CA" w:rsidRDefault="002656CA" w:rsidP="002656CA">
      <w:pPr>
        <w:spacing w:line="480" w:lineRule="auto"/>
        <w:ind w:left="1440" w:hanging="930"/>
        <w:jc w:val="both"/>
        <w:rPr>
          <w:rtl/>
        </w:rPr>
      </w:pPr>
      <w:r>
        <w:rPr>
          <w:rFonts w:hint="cs"/>
          <w:rtl/>
        </w:rPr>
        <w:t>ב.</w:t>
      </w:r>
      <w:r>
        <w:rPr>
          <w:rFonts w:hint="cs"/>
          <w:rtl/>
        </w:rPr>
        <w:tab/>
        <w:t xml:space="preserve">עוד התבקש בית המשפט שלא לייחס משקל להרשעתו הקודמת, הן בשל קלותה היחסית של העבירה, והן בשים לב לכך שבוצעה העבירה דנן קודם שהורשע בגין אותה החזקת סמים לצריכה עצמית שפורטה. </w:t>
      </w:r>
    </w:p>
    <w:p w14:paraId="1872EA58" w14:textId="77777777" w:rsidR="002656CA" w:rsidRDefault="002656CA" w:rsidP="002656CA">
      <w:pPr>
        <w:spacing w:line="480" w:lineRule="auto"/>
        <w:ind w:left="1440" w:hanging="930"/>
        <w:jc w:val="both"/>
        <w:rPr>
          <w:rtl/>
        </w:rPr>
      </w:pPr>
    </w:p>
    <w:p w14:paraId="0B94FDCD" w14:textId="77777777" w:rsidR="002656CA" w:rsidRDefault="002656CA" w:rsidP="002656CA">
      <w:pPr>
        <w:spacing w:line="480" w:lineRule="auto"/>
        <w:ind w:left="1440" w:hanging="930"/>
        <w:jc w:val="both"/>
        <w:rPr>
          <w:rtl/>
        </w:rPr>
      </w:pPr>
      <w:r>
        <w:rPr>
          <w:rFonts w:hint="cs"/>
          <w:rtl/>
        </w:rPr>
        <w:t>ג.</w:t>
      </w:r>
      <w:r>
        <w:rPr>
          <w:rFonts w:hint="cs"/>
          <w:rtl/>
        </w:rPr>
        <w:tab/>
        <w:t xml:space="preserve">מהמהותיות שבטענות ההגנה, היא, כי, בפועל, נועדה החזקת סמים לצריכה עצמית. נטען, שהגם שעל פני הדברים, כמות הסם, אינה מתיישבת עם החזקות בדבר צריכה עצמית, ולמרות העובדה, שעל הפרק נאשם שהגיע מאמסטרדם עם שלושה סוגי סם, לא בכדי לא ביקשה המאשימה את מעצרו, וזאת, בניגוד מוחלט למקרים אחרים, לכאורה דומים. אף העובדה, שהמתינה המאשימה קרוב לשנה עד להגשת כתב האישום בעודו משוחרר, מצביעה, כך נטען, על כך, שגם המאשימה הבינה שאין על הפרק אלא בגיר צעיר אשר, עם כל החומרה העגומה בכך, את הסמים שהביא, הביא לעצמו בלבד. </w:t>
      </w:r>
    </w:p>
    <w:p w14:paraId="6DD94E0D" w14:textId="77777777" w:rsidR="002656CA" w:rsidRDefault="002656CA" w:rsidP="002656CA">
      <w:pPr>
        <w:spacing w:line="480" w:lineRule="auto"/>
        <w:ind w:left="1440" w:hanging="930"/>
        <w:jc w:val="both"/>
        <w:rPr>
          <w:rtl/>
        </w:rPr>
      </w:pPr>
    </w:p>
    <w:p w14:paraId="44944BD9" w14:textId="77777777" w:rsidR="002656CA" w:rsidRDefault="002656CA" w:rsidP="002656CA">
      <w:pPr>
        <w:spacing w:line="480" w:lineRule="auto"/>
        <w:ind w:left="1440" w:hanging="930"/>
        <w:jc w:val="both"/>
        <w:rPr>
          <w:rtl/>
        </w:rPr>
      </w:pPr>
      <w:r>
        <w:rPr>
          <w:rFonts w:hint="cs"/>
          <w:rtl/>
        </w:rPr>
        <w:t>ד.</w:t>
      </w:r>
      <w:r>
        <w:rPr>
          <w:rFonts w:hint="cs"/>
          <w:rtl/>
        </w:rPr>
        <w:tab/>
        <w:t>ולבסוף, הופנה בית המשפט לנסיבותיו של הנאשם שאף פורטו בתסקירו ולכך אייחד את הפסקה הבאה.</w:t>
      </w:r>
    </w:p>
    <w:p w14:paraId="082E98E1" w14:textId="77777777" w:rsidR="002656CA" w:rsidRDefault="002656CA" w:rsidP="002656CA">
      <w:pPr>
        <w:spacing w:line="480" w:lineRule="auto"/>
        <w:ind w:left="510" w:hanging="510"/>
        <w:jc w:val="both"/>
        <w:rPr>
          <w:rtl/>
        </w:rPr>
      </w:pPr>
    </w:p>
    <w:p w14:paraId="7EABA96E" w14:textId="77777777" w:rsidR="002656CA" w:rsidRDefault="002656CA" w:rsidP="002656CA">
      <w:pPr>
        <w:spacing w:line="480" w:lineRule="auto"/>
        <w:ind w:left="510" w:hanging="510"/>
        <w:jc w:val="both"/>
        <w:rPr>
          <w:rtl/>
        </w:rPr>
      </w:pPr>
      <w:r>
        <w:rPr>
          <w:rtl/>
        </w:rPr>
        <w:t>6.</w:t>
      </w:r>
      <w:r>
        <w:rPr>
          <w:rFonts w:hint="cs"/>
          <w:rtl/>
        </w:rPr>
        <w:tab/>
      </w:r>
      <w:r w:rsidRPr="001B04CA">
        <w:rPr>
          <w:rFonts w:hint="cs"/>
          <w:b/>
          <w:bCs/>
          <w:u w:val="single"/>
          <w:rtl/>
        </w:rPr>
        <w:t>תסקיר שירות המבחן, וטענות ההגנה לנסיבות חייו של הנאשם</w:t>
      </w:r>
      <w:r>
        <w:rPr>
          <w:rFonts w:hint="cs"/>
          <w:rtl/>
        </w:rPr>
        <w:t xml:space="preserve"> </w:t>
      </w:r>
    </w:p>
    <w:p w14:paraId="1A8FDBEC" w14:textId="77777777" w:rsidR="002656CA" w:rsidRDefault="002656CA" w:rsidP="002656CA">
      <w:pPr>
        <w:spacing w:line="480" w:lineRule="auto"/>
        <w:ind w:left="510" w:hanging="510"/>
        <w:jc w:val="both"/>
        <w:rPr>
          <w:rtl/>
        </w:rPr>
      </w:pPr>
    </w:p>
    <w:p w14:paraId="1BF4A30F" w14:textId="77777777" w:rsidR="002656CA" w:rsidRDefault="002656CA" w:rsidP="002656CA">
      <w:pPr>
        <w:spacing w:line="480" w:lineRule="auto"/>
        <w:ind w:left="1440" w:hanging="930"/>
        <w:jc w:val="both"/>
        <w:rPr>
          <w:rtl/>
        </w:rPr>
      </w:pPr>
      <w:r>
        <w:rPr>
          <w:rFonts w:hint="cs"/>
          <w:rtl/>
        </w:rPr>
        <w:t>א.</w:t>
      </w:r>
      <w:r>
        <w:rPr>
          <w:rtl/>
        </w:rPr>
        <w:tab/>
      </w:r>
      <w:r>
        <w:rPr>
          <w:rFonts w:hint="cs"/>
          <w:rtl/>
        </w:rPr>
        <w:t xml:space="preserve">במצוות החוק אמנע מפירוט האמור בתסקיר ועם זאת, נדרש לתת ביטוי לעיקרי מסקנותיו. </w:t>
      </w:r>
    </w:p>
    <w:p w14:paraId="13204461" w14:textId="77777777" w:rsidR="002656CA" w:rsidRDefault="002656CA" w:rsidP="002656CA">
      <w:pPr>
        <w:spacing w:line="480" w:lineRule="auto"/>
        <w:ind w:left="1440" w:hanging="930"/>
        <w:jc w:val="both"/>
        <w:rPr>
          <w:rtl/>
        </w:rPr>
      </w:pPr>
    </w:p>
    <w:p w14:paraId="57EBED1E" w14:textId="77777777" w:rsidR="002656CA" w:rsidRDefault="002656CA" w:rsidP="002656CA">
      <w:pPr>
        <w:spacing w:line="480" w:lineRule="auto"/>
        <w:ind w:left="1440" w:hanging="930"/>
        <w:jc w:val="both"/>
        <w:rPr>
          <w:rtl/>
        </w:rPr>
      </w:pPr>
      <w:r>
        <w:rPr>
          <w:rFonts w:hint="cs"/>
          <w:rtl/>
        </w:rPr>
        <w:t>ב.</w:t>
      </w:r>
      <w:r>
        <w:rPr>
          <w:rFonts w:hint="cs"/>
          <w:rtl/>
        </w:rPr>
        <w:tab/>
        <w:t xml:space="preserve">על הפרק נאשם, שהיה כבן 20 במועד ביצוע העבירה, שהחל לצרוך סמים מגיל 16, בתחילה סמים קלים. לדבריו, הסתובב זמן רב בעולם, צרך סמים, וזאת עד למועד תפיסתו בשדה התעופה בישראל, לאחר שובו מאמסטרדם. </w:t>
      </w:r>
    </w:p>
    <w:p w14:paraId="10F4745D" w14:textId="77777777" w:rsidR="002656CA" w:rsidRDefault="002656CA" w:rsidP="002656CA">
      <w:pPr>
        <w:spacing w:line="480" w:lineRule="auto"/>
        <w:ind w:left="1440" w:hanging="930"/>
        <w:jc w:val="both"/>
        <w:rPr>
          <w:rtl/>
        </w:rPr>
      </w:pPr>
    </w:p>
    <w:p w14:paraId="0D20CCCF" w14:textId="77777777" w:rsidR="002656CA" w:rsidRDefault="002656CA" w:rsidP="002656CA">
      <w:pPr>
        <w:spacing w:line="480" w:lineRule="auto"/>
        <w:ind w:left="1440" w:hanging="930"/>
        <w:jc w:val="both"/>
        <w:rPr>
          <w:rtl/>
        </w:rPr>
      </w:pPr>
      <w:r>
        <w:rPr>
          <w:rFonts w:hint="cs"/>
          <w:rtl/>
        </w:rPr>
        <w:t>ג.</w:t>
      </w:r>
      <w:r>
        <w:rPr>
          <w:rtl/>
        </w:rPr>
        <w:tab/>
      </w:r>
      <w:r>
        <w:rPr>
          <w:rFonts w:hint="cs"/>
          <w:rtl/>
        </w:rPr>
        <w:t xml:space="preserve">את התרשמות שירות המבחן מהנאשם ניתן באופן כללי לאפיין כהתרשמות חיובית, גם אם מסויגת. להערכת השירות, הנאשם בעל תפקוד נורמטיבי בבסיסו, שואף לתפקוד חיובי. ועם זאת, משקף תסקירו של הנאשם קשיים לא מעטים על רקע משברים שעבר ואף קשיים במישור האישיותי. </w:t>
      </w:r>
    </w:p>
    <w:p w14:paraId="3E5DDD71" w14:textId="77777777" w:rsidR="002656CA" w:rsidRDefault="002656CA" w:rsidP="002656CA">
      <w:pPr>
        <w:spacing w:line="480" w:lineRule="auto"/>
        <w:ind w:left="1440" w:hanging="930"/>
        <w:jc w:val="both"/>
        <w:rPr>
          <w:rtl/>
        </w:rPr>
      </w:pPr>
    </w:p>
    <w:p w14:paraId="32051364" w14:textId="77777777" w:rsidR="002656CA" w:rsidRDefault="002656CA" w:rsidP="002656CA">
      <w:pPr>
        <w:spacing w:line="480" w:lineRule="auto"/>
        <w:ind w:left="1440" w:hanging="930"/>
        <w:jc w:val="both"/>
        <w:rPr>
          <w:rtl/>
        </w:rPr>
      </w:pPr>
      <w:r>
        <w:rPr>
          <w:rFonts w:hint="cs"/>
          <w:rtl/>
        </w:rPr>
        <w:t>ד.</w:t>
      </w:r>
      <w:r>
        <w:rPr>
          <w:rFonts w:hint="cs"/>
          <w:rtl/>
        </w:rPr>
        <w:tab/>
        <w:t xml:space="preserve">בנסיבותיו של הנאשם שקל שירות המבחן מתווה טיפולי, ואולם, הצהיר הנאשם, וחזר והצהיר, שאין הוא מעוניין בכך. </w:t>
      </w:r>
    </w:p>
    <w:p w14:paraId="07C5A6EB" w14:textId="77777777" w:rsidR="002656CA" w:rsidRDefault="002656CA" w:rsidP="002656CA">
      <w:pPr>
        <w:spacing w:line="480" w:lineRule="auto"/>
        <w:ind w:left="1440" w:hanging="930"/>
        <w:jc w:val="both"/>
        <w:rPr>
          <w:rtl/>
        </w:rPr>
      </w:pPr>
    </w:p>
    <w:p w14:paraId="44A132B4" w14:textId="77777777" w:rsidR="002656CA" w:rsidRDefault="002656CA" w:rsidP="002656CA">
      <w:pPr>
        <w:spacing w:line="480" w:lineRule="auto"/>
        <w:ind w:left="1440" w:hanging="930"/>
        <w:jc w:val="both"/>
        <w:rPr>
          <w:rtl/>
        </w:rPr>
      </w:pPr>
      <w:r>
        <w:rPr>
          <w:rFonts w:hint="cs"/>
          <w:rtl/>
        </w:rPr>
        <w:t>ה.</w:t>
      </w:r>
      <w:r>
        <w:rPr>
          <w:rFonts w:hint="cs"/>
          <w:rtl/>
        </w:rPr>
        <w:tab/>
        <w:t xml:space="preserve">מסקנת שירות המבחן היא, כי בהיעדר רצון מצד הנאשם, אין מקום להמלצה טיפולית בעניינו, ותחת זאת נכללת בתסקיר המלצה שישקול בית המשפט עבודות שירות. עם כל זאת, בשים לב לחשיבות שבכך לצורך הבנת טעמיי לגזר הדין שייגזר על הנאשם, אוסיף, שעובר להמלצתו הסופית נתן שירות המבחן ביטוי להערכתו שיש מקום לענישה, שבין היתר, תעביר לנאשם מסר מוחשי ומחזק ביחס לאחריותו למעשיו. </w:t>
      </w:r>
    </w:p>
    <w:p w14:paraId="7722F91B" w14:textId="77777777" w:rsidR="002656CA" w:rsidRDefault="002656CA" w:rsidP="002656CA">
      <w:pPr>
        <w:spacing w:line="480" w:lineRule="auto"/>
        <w:jc w:val="both"/>
        <w:rPr>
          <w:rtl/>
        </w:rPr>
      </w:pPr>
      <w:r>
        <w:rPr>
          <w:rFonts w:hint="cs"/>
          <w:rtl/>
        </w:rPr>
        <w:t xml:space="preserve"> </w:t>
      </w:r>
    </w:p>
    <w:p w14:paraId="13BB7939" w14:textId="77777777" w:rsidR="002656CA" w:rsidRDefault="002656CA" w:rsidP="002656CA">
      <w:pPr>
        <w:spacing w:line="480" w:lineRule="auto"/>
        <w:ind w:left="510" w:hanging="510"/>
        <w:jc w:val="both"/>
        <w:rPr>
          <w:rtl/>
        </w:rPr>
      </w:pPr>
      <w:r>
        <w:rPr>
          <w:rtl/>
        </w:rPr>
        <w:t>7.</w:t>
      </w:r>
      <w:r>
        <w:rPr>
          <w:rFonts w:hint="cs"/>
          <w:rtl/>
        </w:rPr>
        <w:tab/>
        <w:t>הדיון המסכם:-</w:t>
      </w:r>
    </w:p>
    <w:p w14:paraId="1A262F4A" w14:textId="77777777" w:rsidR="002656CA" w:rsidRDefault="002656CA" w:rsidP="002656CA">
      <w:pPr>
        <w:spacing w:line="480" w:lineRule="auto"/>
        <w:ind w:left="510" w:hanging="510"/>
        <w:jc w:val="both"/>
        <w:rPr>
          <w:rtl/>
        </w:rPr>
      </w:pPr>
    </w:p>
    <w:p w14:paraId="45F0EA79" w14:textId="77777777" w:rsidR="002656CA" w:rsidRDefault="002656CA" w:rsidP="002656CA">
      <w:pPr>
        <w:spacing w:line="480" w:lineRule="auto"/>
        <w:ind w:left="1440" w:hanging="930"/>
        <w:jc w:val="both"/>
        <w:rPr>
          <w:rtl/>
        </w:rPr>
      </w:pPr>
      <w:r>
        <w:rPr>
          <w:rFonts w:hint="cs"/>
          <w:rtl/>
        </w:rPr>
        <w:t>א.</w:t>
      </w:r>
      <w:r>
        <w:rPr>
          <w:rFonts w:hint="cs"/>
          <w:rtl/>
        </w:rPr>
        <w:tab/>
        <w:t xml:space="preserve">כלל ועיקר: החזקת סמים שלא לצריכה עצמית, ומה עוד שעל הפרק שלושה סוגי סם שהוסלקו במספר מקומות על גופו של הנאשם ובחפציו, טעון מאסר בפועל, לא כל שכן </w:t>
      </w:r>
      <w:r>
        <w:rPr>
          <w:rtl/>
        </w:rPr>
        <w:t>–</w:t>
      </w:r>
      <w:r>
        <w:rPr>
          <w:rFonts w:hint="cs"/>
          <w:rtl/>
        </w:rPr>
        <w:t xml:space="preserve"> ייבוא סמים כאמור. אמנם, לא נעלמה מעיניי טענת בא-כוח הנאשם, שלא בכדי לא הואשם מרשו בהחזקת סמים, ואולם, טענה זו מוקשית בנסיבות בהן ברור שיסודות עבירת החזקת הסם ממילא נכללות מהותית בעבירת הייבוא.</w:t>
      </w:r>
    </w:p>
    <w:p w14:paraId="465FED76" w14:textId="77777777" w:rsidR="002656CA" w:rsidRDefault="002656CA" w:rsidP="002656CA">
      <w:pPr>
        <w:spacing w:line="480" w:lineRule="auto"/>
        <w:ind w:left="1440" w:hanging="930"/>
        <w:jc w:val="both"/>
        <w:rPr>
          <w:rtl/>
        </w:rPr>
      </w:pPr>
    </w:p>
    <w:p w14:paraId="6925A8F9" w14:textId="77777777" w:rsidR="002656CA" w:rsidRDefault="002656CA" w:rsidP="002656CA">
      <w:pPr>
        <w:spacing w:line="480" w:lineRule="auto"/>
        <w:ind w:left="1440" w:hanging="930"/>
        <w:jc w:val="both"/>
        <w:rPr>
          <w:b/>
          <w:bCs/>
          <w:rtl/>
        </w:rPr>
      </w:pPr>
      <w:r>
        <w:rPr>
          <w:rFonts w:hint="cs"/>
          <w:rtl/>
        </w:rPr>
        <w:t>ב.</w:t>
      </w:r>
      <w:r>
        <w:rPr>
          <w:rtl/>
        </w:rPr>
        <w:tab/>
      </w:r>
      <w:r>
        <w:rPr>
          <w:rFonts w:hint="cs"/>
          <w:rtl/>
        </w:rPr>
        <w:t xml:space="preserve">בידוע, שכמות הסם, סוגיו, ונסיבות התפיסה, כל אלה משליכים על חומרת העבירה </w:t>
      </w:r>
      <w:r w:rsidRPr="00EE10E0">
        <w:rPr>
          <w:rFonts w:hint="cs"/>
          <w:rtl/>
        </w:rPr>
        <w:t>באופן כללי, אך בפרט על השאלה,</w:t>
      </w:r>
      <w:r>
        <w:rPr>
          <w:rFonts w:hint="cs"/>
          <w:rtl/>
        </w:rPr>
        <w:t xml:space="preserve"> שהיא רבת חשיבות לענייננו, והיא ע</w:t>
      </w:r>
      <w:r w:rsidRPr="00FA5EE0">
        <w:rPr>
          <w:rFonts w:hint="cs"/>
          <w:rtl/>
        </w:rPr>
        <w:t>ד כמה ניתן לקבל את טענת ההגנה לצריכה עצמית. ו</w:t>
      </w:r>
      <w:r>
        <w:rPr>
          <w:rFonts w:hint="cs"/>
          <w:rtl/>
        </w:rPr>
        <w:t>ה</w:t>
      </w:r>
      <w:r w:rsidRPr="00FA5EE0">
        <w:rPr>
          <w:rFonts w:hint="cs"/>
          <w:rtl/>
        </w:rPr>
        <w:t>התלבטות ב</w:t>
      </w:r>
      <w:r>
        <w:rPr>
          <w:rFonts w:hint="cs"/>
          <w:rtl/>
        </w:rPr>
        <w:t>נקודה זו, משמעותית במיוחד. מן הצד האחד, קשה שלא להבין את טענות ההגנה, שדרך ההתנהלות של המשטרה, ובהמשך, של המאשימה, מצביעים על מידה של הבנה לנקודת מבטו של הנאשם, הטוען לסמים שרכש לעצמו בחו"ל. אף לא נטען על ידי המאשימה, שעל הפרק בלדר סמים. ואולם, מן הצד האחר, על הפרק נאשם, שהסליק בדרכו לישראל מאמסטרדם, שלושה סוגי סם, בכללם סמים קשים, ובכמות העולה עשרת מונים על חזקת הצריכה העצמית הקבועה בפקודת הסמים. כמפורט להלן, אמנע ממיצוי הדין עם הנאשם, ואולם, נוכח ההיבט הכמותי, ממאסר בפועל מאחורי סורג ובריח, לא אוכל להימנע לחלוטין.</w:t>
      </w:r>
      <w:r w:rsidRPr="00FA5EE0">
        <w:rPr>
          <w:rFonts w:hint="cs"/>
          <w:rtl/>
        </w:rPr>
        <w:t xml:space="preserve"> </w:t>
      </w:r>
    </w:p>
    <w:p w14:paraId="64D041E1" w14:textId="77777777" w:rsidR="002656CA" w:rsidRDefault="002656CA" w:rsidP="002656CA">
      <w:pPr>
        <w:spacing w:line="480" w:lineRule="auto"/>
        <w:ind w:left="1440" w:hanging="930"/>
        <w:jc w:val="both"/>
        <w:rPr>
          <w:b/>
          <w:bCs/>
          <w:rtl/>
        </w:rPr>
      </w:pPr>
    </w:p>
    <w:p w14:paraId="247C4462" w14:textId="77777777" w:rsidR="002656CA" w:rsidRPr="004D36CD" w:rsidRDefault="002656CA" w:rsidP="002656CA">
      <w:pPr>
        <w:spacing w:line="480" w:lineRule="auto"/>
        <w:ind w:left="1440" w:hanging="930"/>
        <w:jc w:val="both"/>
        <w:rPr>
          <w:rtl/>
        </w:rPr>
      </w:pPr>
      <w:r>
        <w:rPr>
          <w:rFonts w:hint="cs"/>
          <w:rtl/>
        </w:rPr>
        <w:t>ג</w:t>
      </w:r>
      <w:r w:rsidRPr="004D36CD">
        <w:rPr>
          <w:rFonts w:hint="cs"/>
          <w:rtl/>
        </w:rPr>
        <w:t>.</w:t>
      </w:r>
      <w:r w:rsidRPr="004D36CD">
        <w:rPr>
          <w:rtl/>
        </w:rPr>
        <w:tab/>
      </w:r>
      <w:r>
        <w:rPr>
          <w:rFonts w:hint="cs"/>
          <w:rtl/>
        </w:rPr>
        <w:t xml:space="preserve">לדברי הנאשם, אינו נצרך להליך שיקומי. על הפרק מצד הנאשם הצהרה, שמבקש כל צד לפרשה לטובתו: המאשימה מבקשת שלא לזקוף לזכות הנאשם מהלך שיקומי מוצלח, שהרי, אכן, אין ברקע מהלך כאמור; וההגנה </w:t>
      </w:r>
      <w:r>
        <w:rPr>
          <w:rtl/>
        </w:rPr>
        <w:t>–</w:t>
      </w:r>
      <w:r>
        <w:rPr>
          <w:rFonts w:hint="cs"/>
          <w:rtl/>
        </w:rPr>
        <w:t xml:space="preserve"> כי בפנינו נאשם שמאז תפיסתו לא עבר כל עבירה, והוא סבור שבכוחו לייצב את עצמו, ומה לנו כי נלין על כך. הא ראיה, שלמרות זאת, ממליץ שירות המבחן על עבודות שירות. לאחר ששקלתי בכך, מצאתי לנכון להניח לנושא זה, ולא לראות בכך חיזוק לכיוון כלשהוא: אין כאן טענה לטובת הנאשם, ואולם, ככל שבעזרת משפחתו חותר הוא לשוב לפסים, אף לא יהא נכון לזקוף לחובתו את עמדתו. </w:t>
      </w:r>
    </w:p>
    <w:p w14:paraId="4E582FCE" w14:textId="77777777" w:rsidR="002656CA" w:rsidRDefault="002656CA" w:rsidP="002656CA">
      <w:pPr>
        <w:spacing w:line="480" w:lineRule="auto"/>
        <w:ind w:left="1440" w:hanging="930"/>
        <w:jc w:val="both"/>
        <w:rPr>
          <w:b/>
          <w:bCs/>
          <w:rtl/>
        </w:rPr>
      </w:pPr>
    </w:p>
    <w:p w14:paraId="282EC143" w14:textId="77777777" w:rsidR="002656CA" w:rsidRDefault="002656CA" w:rsidP="002656CA">
      <w:pPr>
        <w:spacing w:line="480" w:lineRule="auto"/>
        <w:ind w:left="1440" w:hanging="930"/>
        <w:jc w:val="both"/>
        <w:rPr>
          <w:rtl/>
        </w:rPr>
      </w:pPr>
      <w:r>
        <w:rPr>
          <w:rFonts w:hint="cs"/>
          <w:rtl/>
        </w:rPr>
        <w:t>ד.</w:t>
      </w:r>
      <w:r>
        <w:rPr>
          <w:rFonts w:hint="cs"/>
          <w:rtl/>
        </w:rPr>
        <w:tab/>
        <w:t>על בית המשפט לחתור לאיזון בין מקבץ השיקולים המצדיקים הקלה בעונש, לבין מדיניות הענישה המתחייבת מכך שעל הפרק עבירת סם, כשבמוקד סמים שגיוונם וכמותם, כאמור. ואפתח בשיקולים לקולא, המצדיקים מסקנה לפיה לא יהא נכון למצות עם הנאשם את הדין:</w:t>
      </w:r>
    </w:p>
    <w:p w14:paraId="24B8EF7F" w14:textId="77777777" w:rsidR="002656CA" w:rsidRDefault="002656CA" w:rsidP="002656CA">
      <w:pPr>
        <w:spacing w:line="480" w:lineRule="auto"/>
        <w:ind w:left="1440" w:hanging="930"/>
        <w:jc w:val="both"/>
        <w:rPr>
          <w:rtl/>
        </w:rPr>
      </w:pPr>
    </w:p>
    <w:p w14:paraId="65C8B1E7" w14:textId="77777777" w:rsidR="002656CA" w:rsidRDefault="002656CA" w:rsidP="002656CA">
      <w:pPr>
        <w:spacing w:line="480" w:lineRule="auto"/>
        <w:ind w:left="2160" w:hanging="630"/>
        <w:jc w:val="both"/>
        <w:rPr>
          <w:rtl/>
        </w:rPr>
      </w:pPr>
      <w:r>
        <w:rPr>
          <w:rFonts w:hint="cs"/>
          <w:rtl/>
        </w:rPr>
        <w:t>1.</w:t>
      </w:r>
      <w:r>
        <w:rPr>
          <w:rFonts w:hint="cs"/>
          <w:rtl/>
        </w:rPr>
        <w:tab/>
        <w:t>ראשית, מקום בו על הפרק נאשם המקבל אחריות למעשיו, נכון לזקוף זאת לזכותו ולייחס לכך את המשקל ההולם.</w:t>
      </w:r>
    </w:p>
    <w:p w14:paraId="5F5DD1CB" w14:textId="77777777" w:rsidR="002656CA" w:rsidRDefault="002656CA" w:rsidP="002656CA">
      <w:pPr>
        <w:spacing w:line="480" w:lineRule="auto"/>
        <w:ind w:left="2160" w:hanging="630"/>
        <w:jc w:val="both"/>
        <w:rPr>
          <w:rtl/>
        </w:rPr>
      </w:pPr>
    </w:p>
    <w:p w14:paraId="2D4641A6" w14:textId="77777777" w:rsidR="002656CA" w:rsidRDefault="002656CA" w:rsidP="002656CA">
      <w:pPr>
        <w:spacing w:line="480" w:lineRule="auto"/>
        <w:ind w:left="2160" w:hanging="630"/>
        <w:jc w:val="both"/>
        <w:rPr>
          <w:rtl/>
        </w:rPr>
      </w:pPr>
      <w:r>
        <w:rPr>
          <w:rFonts w:hint="cs"/>
          <w:rtl/>
        </w:rPr>
        <w:t>2.</w:t>
      </w:r>
      <w:r>
        <w:rPr>
          <w:rFonts w:hint="cs"/>
          <w:rtl/>
        </w:rPr>
        <w:tab/>
        <w:t xml:space="preserve">אף גילו הצעיר עומד לזכותו; </w:t>
      </w:r>
    </w:p>
    <w:p w14:paraId="7B513C2B" w14:textId="77777777" w:rsidR="002656CA" w:rsidRDefault="002656CA" w:rsidP="002656CA">
      <w:pPr>
        <w:spacing w:line="480" w:lineRule="auto"/>
        <w:ind w:left="2160" w:hanging="630"/>
        <w:jc w:val="both"/>
        <w:rPr>
          <w:rtl/>
        </w:rPr>
      </w:pPr>
    </w:p>
    <w:p w14:paraId="767E26AB" w14:textId="77777777" w:rsidR="002656CA" w:rsidRDefault="002656CA" w:rsidP="002656CA">
      <w:pPr>
        <w:spacing w:line="480" w:lineRule="auto"/>
        <w:ind w:left="2160" w:hanging="630"/>
        <w:jc w:val="both"/>
        <w:rPr>
          <w:rtl/>
        </w:rPr>
      </w:pPr>
      <w:r>
        <w:rPr>
          <w:rFonts w:hint="cs"/>
          <w:rtl/>
        </w:rPr>
        <w:t>3.</w:t>
      </w:r>
      <w:r>
        <w:rPr>
          <w:rFonts w:hint="cs"/>
          <w:rtl/>
        </w:rPr>
        <w:tab/>
        <w:t xml:space="preserve">התנהלות המאשימה, למרות חומרת העבירה, מעוררת תהיות שראוי שתעמודנה לזכות הנאשם, לפחות במידה ידועה. </w:t>
      </w:r>
    </w:p>
    <w:p w14:paraId="609E616F" w14:textId="77777777" w:rsidR="002656CA" w:rsidRDefault="002656CA" w:rsidP="002656CA">
      <w:pPr>
        <w:spacing w:line="480" w:lineRule="auto"/>
        <w:ind w:left="2160" w:hanging="630"/>
        <w:jc w:val="both"/>
        <w:rPr>
          <w:rtl/>
        </w:rPr>
      </w:pPr>
    </w:p>
    <w:p w14:paraId="370CCE25" w14:textId="77777777" w:rsidR="002656CA" w:rsidRDefault="002656CA" w:rsidP="002656CA">
      <w:pPr>
        <w:spacing w:line="480" w:lineRule="auto"/>
        <w:ind w:left="2160" w:hanging="630"/>
        <w:jc w:val="both"/>
        <w:rPr>
          <w:rtl/>
        </w:rPr>
      </w:pPr>
      <w:r>
        <w:rPr>
          <w:rFonts w:hint="cs"/>
          <w:rtl/>
        </w:rPr>
        <w:t>4.</w:t>
      </w:r>
      <w:r>
        <w:rPr>
          <w:rFonts w:hint="cs"/>
          <w:rtl/>
        </w:rPr>
        <w:tab/>
        <w:t>ולבסוף גם להתרשמות שירות המבחן שהמליץ על עבודות שירות, משקל הולם.</w:t>
      </w:r>
    </w:p>
    <w:p w14:paraId="014D2DB9" w14:textId="77777777" w:rsidR="002656CA" w:rsidRDefault="002656CA" w:rsidP="002656CA">
      <w:pPr>
        <w:spacing w:line="480" w:lineRule="auto"/>
        <w:ind w:left="1440" w:hanging="720"/>
        <w:jc w:val="both"/>
        <w:rPr>
          <w:rtl/>
        </w:rPr>
      </w:pPr>
    </w:p>
    <w:p w14:paraId="08DFC23D" w14:textId="77777777" w:rsidR="002656CA" w:rsidRDefault="002656CA" w:rsidP="002656CA">
      <w:pPr>
        <w:spacing w:line="480" w:lineRule="auto"/>
        <w:ind w:left="1440" w:hanging="720"/>
        <w:jc w:val="both"/>
        <w:rPr>
          <w:rtl/>
        </w:rPr>
      </w:pPr>
      <w:r>
        <w:rPr>
          <w:rFonts w:hint="cs"/>
          <w:rtl/>
        </w:rPr>
        <w:t>ה.</w:t>
      </w:r>
      <w:r>
        <w:rPr>
          <w:rFonts w:hint="cs"/>
          <w:rtl/>
        </w:rPr>
        <w:tab/>
        <w:t xml:space="preserve">במוקד הדיון בעונשו של הנאשם, דילמה של ממש בין חומרת העבירה בדגש על כך שעל הפרק שלושה סוגי סם, ייבואו של הסם, וכמות הסמים ובפרט הסמים הקשים שהובאו, לבין העובדה שעל הפרק נאשם צעיר לימים, בשלבי גיבוש אישיותו ועל פני הדברים, לא בכדי, למרות חומרתן של עבירות אלה והגם שלא ניתן לנאשם חלק במתווה טיפולי ממשי, נקט שירות המבחן בהמלצה מושכלת שבמרכזה מאסר שירוצה בעבודות שירות בלבד. </w:t>
      </w:r>
    </w:p>
    <w:p w14:paraId="0B2B6233" w14:textId="77777777" w:rsidR="002656CA" w:rsidRDefault="002656CA" w:rsidP="002656CA">
      <w:pPr>
        <w:spacing w:line="480" w:lineRule="auto"/>
        <w:ind w:left="1440" w:hanging="720"/>
        <w:jc w:val="both"/>
        <w:rPr>
          <w:rtl/>
        </w:rPr>
      </w:pPr>
    </w:p>
    <w:p w14:paraId="1A62FACF" w14:textId="77777777" w:rsidR="002656CA" w:rsidRDefault="002656CA" w:rsidP="002656CA">
      <w:pPr>
        <w:spacing w:line="480" w:lineRule="auto"/>
        <w:ind w:left="1440" w:hanging="720"/>
        <w:jc w:val="both"/>
        <w:rPr>
          <w:rtl/>
        </w:rPr>
      </w:pPr>
      <w:r>
        <w:rPr>
          <w:rFonts w:hint="cs"/>
          <w:rtl/>
        </w:rPr>
        <w:t>ו.</w:t>
      </w:r>
      <w:r>
        <w:rPr>
          <w:rFonts w:hint="cs"/>
          <w:rtl/>
        </w:rPr>
        <w:tab/>
        <w:t xml:space="preserve">לסופו של יום, ולא בלי לבטים, הגעתי לכלל מסקנה שיש לחתור לנקודת איזון שתעניק מקום הולם לשיקולים שמשני הכיוונים. תקופת מאסר ממושכת מאחורי סורג ובריח, כפי בקשת המאשימה, עלולה לסכן ממשית את סיכוייו של הנאשם לעלות על פסים נורמטיביים-סבירים, וכאמור גם שירות המבחן מעריך שיש סיכוי לא מבוטל שיעלה בידי הנאשם לייצב את אורחות חייו. זו לנאשם דנן, עבירה חמורה ראשונה מימיו, וזהו גיל קריטי בחייו של האדם. ועם כל זאת, מתקשה אני עד מאוד לראות הכיצד תסתיים פרשה שכזו ללא עונש של מאסר בפועל מאחורי סורג ובריח, ולו גם לתקופה מסוימת. לטעמי, נדרש הדבר הן בשל רמת הענישה הנוהגת בעבירות סם, הן בשל המסר המתחייב לציבור, אך גם על רקע הערכת שירות המבחן ודברי קצינת המבחן בפסקת הסיכום לתסקירה, שלא בכדי מצאתי להביאה. ענישה מוחשית ממשית, בנסיבותיו של הנאשם, לטעמי מתחייבת. ובמילים פשוטות יותר </w:t>
      </w:r>
      <w:r>
        <w:rPr>
          <w:rtl/>
        </w:rPr>
        <w:t>–</w:t>
      </w:r>
      <w:r>
        <w:rPr>
          <w:rFonts w:hint="cs"/>
          <w:rtl/>
        </w:rPr>
        <w:t xml:space="preserve"> גם אם נכון להימנע ממאסר ממושך שעלול לסכן משמעותית את מאמצי הנאשם לשקם את עצמו, אין די במאסר שירוצה בעבודות שירות, שהיא ענישה שתיתפס כמקלה מידי, ועלולה להתפרש, הן על ידי הנאשם אך גם על ידי הציבור, שלא כהלכה. גם אם לא אמצה את הדין עם הנאשם, עבודות שירות, אין די בהן.</w:t>
      </w:r>
    </w:p>
    <w:p w14:paraId="623CA2D6" w14:textId="77777777" w:rsidR="002656CA" w:rsidRDefault="002656CA" w:rsidP="002656CA">
      <w:pPr>
        <w:spacing w:line="480" w:lineRule="auto"/>
        <w:ind w:left="1440" w:hanging="720"/>
        <w:jc w:val="both"/>
        <w:rPr>
          <w:rtl/>
        </w:rPr>
      </w:pPr>
    </w:p>
    <w:p w14:paraId="4B3FE6D0" w14:textId="77777777" w:rsidR="002656CA" w:rsidRDefault="002656CA" w:rsidP="002656CA">
      <w:pPr>
        <w:spacing w:line="480" w:lineRule="auto"/>
        <w:ind w:left="1440" w:hanging="720"/>
        <w:jc w:val="both"/>
        <w:rPr>
          <w:rtl/>
        </w:rPr>
      </w:pPr>
      <w:r>
        <w:rPr>
          <w:rFonts w:hint="cs"/>
          <w:rtl/>
        </w:rPr>
        <w:t>ז.</w:t>
      </w:r>
      <w:r>
        <w:rPr>
          <w:rtl/>
        </w:rPr>
        <w:tab/>
      </w:r>
      <w:r>
        <w:rPr>
          <w:rFonts w:hint="cs"/>
          <w:rtl/>
        </w:rPr>
        <w:t>ולצד כל האמור, נכון להורות הן על ענישה במישור הכספי והן על מאסר צופה פני עתיד.</w:t>
      </w:r>
    </w:p>
    <w:p w14:paraId="6D868D7B" w14:textId="77777777" w:rsidR="002656CA" w:rsidRPr="00644DEC" w:rsidRDefault="002656CA" w:rsidP="002656CA">
      <w:pPr>
        <w:spacing w:line="480" w:lineRule="auto"/>
        <w:jc w:val="both"/>
        <w:rPr>
          <w:rtl/>
        </w:rPr>
      </w:pPr>
    </w:p>
    <w:p w14:paraId="5DEE924E" w14:textId="77777777" w:rsidR="002656CA" w:rsidRDefault="002656CA" w:rsidP="002656CA">
      <w:pPr>
        <w:spacing w:line="480" w:lineRule="auto"/>
        <w:ind w:left="510" w:hanging="510"/>
        <w:jc w:val="both"/>
        <w:rPr>
          <w:rtl/>
        </w:rPr>
      </w:pPr>
      <w:r>
        <w:rPr>
          <w:rFonts w:hint="cs"/>
          <w:rtl/>
        </w:rPr>
        <w:t>8</w:t>
      </w:r>
      <w:r>
        <w:rPr>
          <w:rtl/>
        </w:rPr>
        <w:t>.</w:t>
      </w:r>
      <w:r>
        <w:rPr>
          <w:rFonts w:hint="cs"/>
          <w:rtl/>
        </w:rPr>
        <w:tab/>
      </w:r>
      <w:r w:rsidRPr="008C309D">
        <w:rPr>
          <w:rFonts w:hint="cs"/>
          <w:u w:val="single"/>
          <w:rtl/>
        </w:rPr>
        <w:t>סוף דבר</w:t>
      </w:r>
      <w:r>
        <w:rPr>
          <w:rFonts w:hint="cs"/>
          <w:rtl/>
        </w:rPr>
        <w:t>, גוזר אני כדלקמן:</w:t>
      </w:r>
    </w:p>
    <w:p w14:paraId="246FA676" w14:textId="77777777" w:rsidR="002656CA" w:rsidRDefault="002656CA" w:rsidP="002656CA">
      <w:pPr>
        <w:spacing w:line="480" w:lineRule="auto"/>
        <w:ind w:left="510" w:hanging="510"/>
        <w:jc w:val="both"/>
        <w:rPr>
          <w:rtl/>
        </w:rPr>
      </w:pPr>
    </w:p>
    <w:p w14:paraId="6A51B476" w14:textId="77777777" w:rsidR="002656CA" w:rsidRDefault="002656CA" w:rsidP="002656CA">
      <w:pPr>
        <w:spacing w:line="480" w:lineRule="auto"/>
        <w:ind w:left="1440" w:hanging="930"/>
        <w:jc w:val="both"/>
        <w:rPr>
          <w:rtl/>
        </w:rPr>
      </w:pPr>
      <w:r>
        <w:rPr>
          <w:rFonts w:hint="cs"/>
          <w:rtl/>
        </w:rPr>
        <w:t>א.</w:t>
      </w:r>
      <w:r>
        <w:rPr>
          <w:rFonts w:hint="cs"/>
          <w:rtl/>
        </w:rPr>
        <w:tab/>
        <w:t>מאסר שיחולק לשניים: 30 יום מאחורי סורג ובריח; יתייצב לריצוי עונשו ביום 1.3.21; ומאסר לתקופה של 7 חודשים וחצי שירוצה בעבודות שירות בהתאם לאישור הממונה, במועד שייקבע על ידי הממונה, לאחר גמר ריצוי המאסר בפועל.</w:t>
      </w:r>
    </w:p>
    <w:p w14:paraId="5B850A87" w14:textId="77777777" w:rsidR="002656CA" w:rsidRDefault="002656CA" w:rsidP="002656CA">
      <w:pPr>
        <w:spacing w:line="480" w:lineRule="auto"/>
        <w:ind w:left="1440" w:hanging="930"/>
        <w:jc w:val="both"/>
        <w:rPr>
          <w:rtl/>
        </w:rPr>
      </w:pPr>
    </w:p>
    <w:p w14:paraId="19F1B9F5" w14:textId="77777777" w:rsidR="002656CA" w:rsidRDefault="002656CA" w:rsidP="002656CA">
      <w:pPr>
        <w:spacing w:line="480" w:lineRule="auto"/>
        <w:ind w:left="1440" w:hanging="930"/>
        <w:jc w:val="both"/>
        <w:rPr>
          <w:rtl/>
        </w:rPr>
      </w:pPr>
      <w:r>
        <w:rPr>
          <w:rFonts w:hint="cs"/>
          <w:rtl/>
        </w:rPr>
        <w:t>ב.</w:t>
      </w:r>
      <w:r>
        <w:rPr>
          <w:rFonts w:hint="cs"/>
          <w:rtl/>
        </w:rPr>
        <w:tab/>
        <w:t xml:space="preserve">כמו כן, ירצה הנאשם 6 חודשי מאסר אם בשנתיים הקרובות יעבור עבירה נוספת על </w:t>
      </w:r>
      <w:hyperlink r:id="rId12" w:history="1">
        <w:r w:rsidR="00BB5E7D" w:rsidRPr="00BB5E7D">
          <w:rPr>
            <w:color w:val="0000FF"/>
            <w:u w:val="single"/>
            <w:rtl/>
          </w:rPr>
          <w:t>פקודת הסמים המסוכנים</w:t>
        </w:r>
      </w:hyperlink>
      <w:r>
        <w:rPr>
          <w:rFonts w:hint="cs"/>
          <w:rtl/>
        </w:rPr>
        <w:t>.</w:t>
      </w:r>
    </w:p>
    <w:p w14:paraId="6977A878" w14:textId="77777777" w:rsidR="002656CA" w:rsidRDefault="002656CA" w:rsidP="002656CA">
      <w:pPr>
        <w:spacing w:line="480" w:lineRule="auto"/>
        <w:ind w:left="1440" w:hanging="930"/>
        <w:jc w:val="both"/>
        <w:rPr>
          <w:rtl/>
        </w:rPr>
      </w:pPr>
    </w:p>
    <w:p w14:paraId="2E86F3D6" w14:textId="77777777" w:rsidR="002656CA" w:rsidRDefault="00BB5E7D" w:rsidP="002656CA">
      <w:pPr>
        <w:spacing w:line="480" w:lineRule="auto"/>
        <w:ind w:left="1440" w:hanging="930"/>
        <w:jc w:val="both"/>
        <w:rPr>
          <w:rtl/>
        </w:rPr>
      </w:pPr>
      <w:r w:rsidRPr="00BB5E7D">
        <w:rPr>
          <w:color w:val="FFFFFF"/>
          <w:sz w:val="2"/>
          <w:szCs w:val="2"/>
          <w:rtl/>
        </w:rPr>
        <w:t>5129371</w:t>
      </w:r>
      <w:r w:rsidR="002656CA">
        <w:rPr>
          <w:rFonts w:hint="cs"/>
          <w:rtl/>
        </w:rPr>
        <w:t>ג.</w:t>
      </w:r>
      <w:r w:rsidR="002656CA">
        <w:rPr>
          <w:rFonts w:hint="cs"/>
          <w:rtl/>
        </w:rPr>
        <w:tab/>
        <w:t>הנאשם ישלם קנס בסך של 10,000 ₪. זאת ב- 20 תשלומים מיום 1.2.2021. באי תשלום ייאסר ל- 100 יום.</w:t>
      </w:r>
    </w:p>
    <w:p w14:paraId="0A453655" w14:textId="77777777" w:rsidR="002656CA" w:rsidRPr="00BB5E7D" w:rsidRDefault="00BB5E7D" w:rsidP="002656CA">
      <w:pPr>
        <w:spacing w:line="480" w:lineRule="auto"/>
        <w:ind w:left="1440" w:hanging="930"/>
        <w:jc w:val="both"/>
        <w:rPr>
          <w:color w:val="FFFFFF"/>
          <w:sz w:val="2"/>
          <w:szCs w:val="2"/>
          <w:rtl/>
        </w:rPr>
      </w:pPr>
      <w:r w:rsidRPr="00BB5E7D">
        <w:rPr>
          <w:color w:val="FFFFFF"/>
          <w:sz w:val="2"/>
          <w:szCs w:val="2"/>
          <w:rtl/>
        </w:rPr>
        <w:t>54678313</w:t>
      </w:r>
    </w:p>
    <w:p w14:paraId="1C420956" w14:textId="77777777" w:rsidR="002656CA" w:rsidRDefault="00BB5E7D" w:rsidP="002656CA">
      <w:pPr>
        <w:spacing w:line="480" w:lineRule="auto"/>
        <w:rPr>
          <w:rFonts w:cs="FrankRuehl"/>
          <w:sz w:val="28"/>
          <w:szCs w:val="28"/>
          <w:rtl/>
        </w:rPr>
      </w:pPr>
      <w:bookmarkStart w:id="8" w:name="Nitan"/>
      <w:r>
        <w:rPr>
          <w:rFonts w:ascii="Arial" w:hAnsi="Arial"/>
          <w:b/>
          <w:bCs/>
          <w:rtl/>
        </w:rPr>
        <w:t xml:space="preserve">ניתן היום, ט"ז טבת תשפ"א, 31 דצמבר 2020, במעמד הצדדים. </w:t>
      </w:r>
      <w:bookmarkEnd w:id="8"/>
    </w:p>
    <w:p w14:paraId="2C6CF366" w14:textId="77777777" w:rsidR="002656CA" w:rsidRDefault="002656CA" w:rsidP="002656CA">
      <w:pPr>
        <w:spacing w:line="480" w:lineRule="auto"/>
        <w:ind w:left="4320" w:firstLine="720"/>
      </w:pPr>
    </w:p>
    <w:p w14:paraId="6AC24AA5" w14:textId="77777777" w:rsidR="002656CA" w:rsidRDefault="002656CA" w:rsidP="002656CA">
      <w:pPr>
        <w:spacing w:line="480" w:lineRule="auto"/>
        <w:ind w:left="4320" w:firstLine="720"/>
        <w:rPr>
          <w:rFonts w:ascii="Arial" w:hAnsi="Arial" w:cs="FrankRuehl"/>
          <w:sz w:val="28"/>
          <w:szCs w:val="28"/>
          <w:rtl/>
        </w:rPr>
      </w:pPr>
    </w:p>
    <w:p w14:paraId="3AB69DCB" w14:textId="77777777" w:rsidR="002656CA" w:rsidRDefault="002656CA" w:rsidP="002656CA">
      <w:pPr>
        <w:spacing w:line="480" w:lineRule="auto"/>
        <w:rPr>
          <w:rFonts w:cs="FrankRuehl"/>
          <w:sz w:val="28"/>
          <w:szCs w:val="28"/>
          <w:rtl/>
        </w:rPr>
      </w:pPr>
    </w:p>
    <w:p w14:paraId="0AD04646" w14:textId="77777777" w:rsidR="008C3DC2" w:rsidRPr="00BB5E7D" w:rsidRDefault="008C3DC2" w:rsidP="00BB5E7D">
      <w:pPr>
        <w:keepNext/>
        <w:rPr>
          <w:rFonts w:ascii="David" w:hAnsi="David"/>
          <w:color w:val="000000"/>
          <w:sz w:val="22"/>
          <w:szCs w:val="22"/>
          <w:rtl/>
        </w:rPr>
      </w:pPr>
    </w:p>
    <w:p w14:paraId="73249084" w14:textId="77777777" w:rsidR="00BB5E7D" w:rsidRPr="00BB5E7D" w:rsidRDefault="00BB5E7D" w:rsidP="00BB5E7D">
      <w:pPr>
        <w:keepNext/>
        <w:rPr>
          <w:rFonts w:ascii="David" w:hAnsi="David"/>
          <w:color w:val="000000"/>
          <w:sz w:val="22"/>
          <w:szCs w:val="22"/>
          <w:rtl/>
        </w:rPr>
      </w:pPr>
      <w:r w:rsidRPr="00BB5E7D">
        <w:rPr>
          <w:rFonts w:ascii="David" w:hAnsi="David"/>
          <w:color w:val="000000"/>
          <w:sz w:val="22"/>
          <w:szCs w:val="22"/>
          <w:rtl/>
        </w:rPr>
        <w:t>אלכסנדר רון 54678313</w:t>
      </w:r>
    </w:p>
    <w:p w14:paraId="5CC914C8" w14:textId="77777777" w:rsidR="00BB5E7D" w:rsidRDefault="00BB5E7D" w:rsidP="00BB5E7D">
      <w:r w:rsidRPr="00BB5E7D">
        <w:rPr>
          <w:color w:val="000000"/>
          <w:rtl/>
        </w:rPr>
        <w:t>נוסח מסמך זה כפוף לשינויי ניסוח ועריכה</w:t>
      </w:r>
    </w:p>
    <w:p w14:paraId="292F2E2D" w14:textId="77777777" w:rsidR="00BB5E7D" w:rsidRDefault="00BB5E7D" w:rsidP="00BB5E7D">
      <w:pPr>
        <w:rPr>
          <w:rtl/>
        </w:rPr>
      </w:pPr>
    </w:p>
    <w:p w14:paraId="120B2EF2" w14:textId="77777777" w:rsidR="00BB5E7D" w:rsidRDefault="00BB5E7D" w:rsidP="00BB5E7D">
      <w:pPr>
        <w:jc w:val="center"/>
        <w:rPr>
          <w:rFonts w:hint="cs"/>
          <w:color w:val="0000FF"/>
          <w:u w:val="single"/>
        </w:rPr>
      </w:pPr>
      <w:hyperlink r:id="rId13" w:history="1">
        <w:r>
          <w:rPr>
            <w:color w:val="0000FF"/>
            <w:u w:val="single"/>
            <w:rtl/>
          </w:rPr>
          <w:t>בעניין עריכה ושינויים במסמכי פסיקה, חקיקה ועוד באתר נבו – הקש כאן</w:t>
        </w:r>
      </w:hyperlink>
      <w:r w:rsidR="00F7607B">
        <w:rPr>
          <w:rFonts w:hint="cs"/>
          <w:color w:val="0000FF"/>
          <w:u w:val="single"/>
          <w:rtl/>
        </w:rPr>
        <w:t xml:space="preserve"> </w:t>
      </w:r>
    </w:p>
    <w:p w14:paraId="5214AF0A" w14:textId="77777777" w:rsidR="00BB5E7D" w:rsidRPr="00BB5E7D" w:rsidRDefault="00BB5E7D" w:rsidP="00BB5E7D">
      <w:pPr>
        <w:jc w:val="center"/>
        <w:rPr>
          <w:color w:val="0000FF"/>
          <w:u w:val="single"/>
        </w:rPr>
      </w:pPr>
    </w:p>
    <w:sectPr w:rsidR="00BB5E7D" w:rsidRPr="00BB5E7D" w:rsidSect="00BB5E7D">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7CA5A" w14:textId="77777777" w:rsidR="008201D9" w:rsidRDefault="008201D9" w:rsidP="002C5F90">
      <w:r>
        <w:separator/>
      </w:r>
    </w:p>
  </w:endnote>
  <w:endnote w:type="continuationSeparator" w:id="0">
    <w:p w14:paraId="4A1C92EC" w14:textId="77777777" w:rsidR="008201D9" w:rsidRDefault="008201D9" w:rsidP="002C5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7017F" w14:textId="77777777" w:rsidR="00BB5E7D" w:rsidRDefault="00BB5E7D" w:rsidP="00BB5E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6142DE" w14:textId="77777777" w:rsidR="00BB5E7D" w:rsidRPr="00BB5E7D" w:rsidRDefault="00BB5E7D" w:rsidP="00BB5E7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113A1" w14:textId="77777777" w:rsidR="00BB5E7D" w:rsidRDefault="00BB5E7D" w:rsidP="00BB5E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7461">
      <w:rPr>
        <w:rFonts w:ascii="FrankRuehl" w:hAnsi="FrankRuehl" w:cs="FrankRuehl"/>
        <w:noProof/>
        <w:rtl/>
      </w:rPr>
      <w:t>1</w:t>
    </w:r>
    <w:r>
      <w:rPr>
        <w:rFonts w:ascii="FrankRuehl" w:hAnsi="FrankRuehl" w:cs="FrankRuehl"/>
        <w:rtl/>
      </w:rPr>
      <w:fldChar w:fldCharType="end"/>
    </w:r>
  </w:p>
  <w:p w14:paraId="08DAD0C6" w14:textId="77777777" w:rsidR="00BB5E7D" w:rsidRPr="00BB5E7D" w:rsidRDefault="00BB5E7D" w:rsidP="00BB5E7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D80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C9DFC" w14:textId="77777777" w:rsidR="008201D9" w:rsidRDefault="008201D9" w:rsidP="002C5F90">
      <w:r>
        <w:separator/>
      </w:r>
    </w:p>
  </w:footnote>
  <w:footnote w:type="continuationSeparator" w:id="0">
    <w:p w14:paraId="454E7B54" w14:textId="77777777" w:rsidR="008201D9" w:rsidRDefault="008201D9" w:rsidP="002C5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2CE21" w14:textId="77777777" w:rsidR="00BB5E7D" w:rsidRPr="00BB5E7D" w:rsidRDefault="00BB5E7D" w:rsidP="00BB5E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31000-07-19</w:t>
    </w:r>
    <w:r>
      <w:rPr>
        <w:rFonts w:ascii="David" w:hAnsi="David"/>
        <w:color w:val="000000"/>
        <w:sz w:val="22"/>
        <w:szCs w:val="22"/>
        <w:rtl/>
      </w:rPr>
      <w:tab/>
      <w:t xml:space="preserve"> מדינת ישראל נ' סהר בן ישי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115C2" w14:textId="77777777" w:rsidR="00BB5E7D" w:rsidRPr="00BB5E7D" w:rsidRDefault="00BB5E7D" w:rsidP="00BB5E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31000-07-19</w:t>
    </w:r>
    <w:r>
      <w:rPr>
        <w:rFonts w:ascii="David" w:hAnsi="David"/>
        <w:color w:val="000000"/>
        <w:sz w:val="22"/>
        <w:szCs w:val="22"/>
        <w:rtl/>
      </w:rPr>
      <w:tab/>
      <w:t xml:space="preserve"> מדינת ישראל נ' סהר בן ישי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56CA"/>
    <w:rsid w:val="002656CA"/>
    <w:rsid w:val="002C5F90"/>
    <w:rsid w:val="003A33AF"/>
    <w:rsid w:val="005B5E34"/>
    <w:rsid w:val="006A039A"/>
    <w:rsid w:val="008201D9"/>
    <w:rsid w:val="008C3DC2"/>
    <w:rsid w:val="00913C76"/>
    <w:rsid w:val="00925A58"/>
    <w:rsid w:val="00B45336"/>
    <w:rsid w:val="00BB5E7D"/>
    <w:rsid w:val="00C20F95"/>
    <w:rsid w:val="00CD010F"/>
    <w:rsid w:val="00E87461"/>
    <w:rsid w:val="00F7607B"/>
    <w:rsid w:val="00F84FE5"/>
    <w:rsid w:val="00FF2A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4B5D51"/>
  <w15:chartTrackingRefBased/>
  <w15:docId w15:val="{5949A1EA-1B00-480D-A46E-62FB9F22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56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56CA"/>
    <w:pPr>
      <w:tabs>
        <w:tab w:val="center" w:pos="4153"/>
        <w:tab w:val="right" w:pos="8306"/>
      </w:tabs>
    </w:pPr>
  </w:style>
  <w:style w:type="character" w:customStyle="1" w:styleId="a4">
    <w:name w:val="כותרת עליונה תו"/>
    <w:link w:val="a3"/>
    <w:rsid w:val="002656CA"/>
    <w:rPr>
      <w:rFonts w:ascii="Times New Roman" w:eastAsia="Times New Roman" w:hAnsi="Times New Roman" w:cs="David"/>
      <w:sz w:val="24"/>
      <w:szCs w:val="24"/>
    </w:rPr>
  </w:style>
  <w:style w:type="paragraph" w:styleId="a5">
    <w:name w:val="footer"/>
    <w:basedOn w:val="a"/>
    <w:link w:val="a6"/>
    <w:rsid w:val="002656CA"/>
    <w:pPr>
      <w:tabs>
        <w:tab w:val="center" w:pos="4153"/>
        <w:tab w:val="right" w:pos="8306"/>
      </w:tabs>
    </w:pPr>
  </w:style>
  <w:style w:type="character" w:customStyle="1" w:styleId="a6">
    <w:name w:val="כותרת תחתונה תו"/>
    <w:link w:val="a5"/>
    <w:rsid w:val="002656CA"/>
    <w:rPr>
      <w:rFonts w:ascii="Times New Roman" w:eastAsia="Times New Roman" w:hAnsi="Times New Roman" w:cs="David"/>
      <w:sz w:val="24"/>
      <w:szCs w:val="24"/>
    </w:rPr>
  </w:style>
  <w:style w:type="table" w:styleId="a7">
    <w:name w:val="Table Grid"/>
    <w:basedOn w:val="a1"/>
    <w:rsid w:val="002656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rsid w:val="002656CA"/>
  </w:style>
  <w:style w:type="character" w:styleId="a9">
    <w:name w:val="page number"/>
    <w:rsid w:val="00BB5E7D"/>
  </w:style>
  <w:style w:type="character" w:styleId="Hyperlink">
    <w:name w:val="Hyperlink"/>
    <w:rsid w:val="00BB5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13"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0181627"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3;19.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1420</Words>
  <Characters>7100</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8503</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3145850</vt:i4>
      </vt:variant>
      <vt:variant>
        <vt:i4>15</vt:i4>
      </vt:variant>
      <vt:variant>
        <vt:i4>0</vt:i4>
      </vt:variant>
      <vt:variant>
        <vt:i4>5</vt:i4>
      </vt:variant>
      <vt:variant>
        <vt:lpwstr>http://www.nevo.co.il/case/20181627</vt:lpwstr>
      </vt:variant>
      <vt:variant>
        <vt:lpwstr/>
      </vt:variant>
      <vt:variant>
        <vt:i4>8257637</vt:i4>
      </vt:variant>
      <vt:variant>
        <vt:i4>12</vt:i4>
      </vt:variant>
      <vt:variant>
        <vt:i4>0</vt:i4>
      </vt:variant>
      <vt:variant>
        <vt:i4>5</vt:i4>
      </vt:variant>
      <vt:variant>
        <vt:lpwstr>http://www.nevo.co.il/law/4216</vt:lpwstr>
      </vt:variant>
      <vt:variant>
        <vt:lpwstr/>
      </vt:variant>
      <vt:variant>
        <vt:i4>2883686</vt:i4>
      </vt:variant>
      <vt:variant>
        <vt:i4>9</vt:i4>
      </vt:variant>
      <vt:variant>
        <vt:i4>0</vt:i4>
      </vt:variant>
      <vt:variant>
        <vt:i4>5</vt:i4>
      </vt:variant>
      <vt:variant>
        <vt:lpwstr>http://www.nevo.co.il/law/4216/13;19.a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2025-04-22T21:01:00Z</dcterms:created>
  <dcterms:modified xsi:type="dcterms:W3CDTF">2025-04-22T21:01:00Z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31000</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סהר בן ישי</vt:lpwstr>
  </property>
  <property fmtid="{D5CDD505-2E9C-101B-9397-08002B2CF9AE}" pid="10" name="LAWYER">
    <vt:lpwstr>בן חמו;מיכאל עירוני</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20201231</vt:lpwstr>
  </property>
  <property fmtid="{D5CDD505-2E9C-101B-9397-08002B2CF9AE}" pid="14" name="TYPE_N_DATE">
    <vt:lpwstr>39020201231</vt:lpwstr>
  </property>
  <property fmtid="{D5CDD505-2E9C-101B-9397-08002B2CF9AE}" pid="15" name="WORDNUMPAGES">
    <vt:lpwstr>8</vt:lpwstr>
  </property>
  <property fmtid="{D5CDD505-2E9C-101B-9397-08002B2CF9AE}" pid="16" name="TYPE_ABS_DATE">
    <vt:lpwstr>390020201231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20181627</vt:lpwstr>
  </property>
  <property fmtid="{D5CDD505-2E9C-101B-9397-08002B2CF9AE}" pid="36" name="LAWLISTTMP1">
    <vt:lpwstr>4216/013;019.a</vt:lpwstr>
  </property>
</Properties>
</file>