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C65451" w:rsidRPr="00FF6585" w14:paraId="37A2D3E5" w14:textId="77777777" w:rsidTr="00820B59">
        <w:trPr>
          <w:trHeight w:hRule="exact" w:val="418"/>
          <w:jc w:val="center"/>
        </w:trPr>
        <w:tc>
          <w:tcPr>
            <w:tcW w:w="8721" w:type="dxa"/>
            <w:gridSpan w:val="2"/>
          </w:tcPr>
          <w:p w14:paraId="25E0AEE8" w14:textId="77777777" w:rsidR="00C65451" w:rsidRPr="00FF6585" w:rsidRDefault="00C65451" w:rsidP="00355755">
            <w:pPr>
              <w:pStyle w:val="a3"/>
              <w:jc w:val="center"/>
              <w:rPr>
                <w:rFonts w:ascii="Tahoma" w:hAnsi="Tahoma" w:cs="Tahoma"/>
                <w:color w:val="000080"/>
                <w:rtl/>
              </w:rPr>
            </w:pPr>
            <w:bookmarkStart w:id="0" w:name="LastJudge"/>
            <w:r w:rsidRPr="00FF6585">
              <w:rPr>
                <w:rFonts w:ascii="Tahoma" w:hAnsi="Tahoma" w:cs="Tahoma"/>
                <w:b/>
                <w:bCs/>
                <w:color w:val="000080"/>
                <w:rtl/>
              </w:rPr>
              <w:t>בית המשפט המחוזי בירושלים</w:t>
            </w:r>
          </w:p>
        </w:tc>
      </w:tr>
      <w:tr w:rsidR="00C65451" w:rsidRPr="00FF6585" w14:paraId="771F2EA3" w14:textId="77777777" w:rsidTr="00820B59">
        <w:trPr>
          <w:trHeight w:val="337"/>
          <w:jc w:val="center"/>
        </w:trPr>
        <w:tc>
          <w:tcPr>
            <w:tcW w:w="5058" w:type="dxa"/>
          </w:tcPr>
          <w:p w14:paraId="7CA7DB51" w14:textId="77777777" w:rsidR="00C65451" w:rsidRPr="00FF6585" w:rsidRDefault="00C65451" w:rsidP="00355755">
            <w:pPr>
              <w:rPr>
                <w:rFonts w:cs="FrankRuehl"/>
                <w:sz w:val="28"/>
                <w:szCs w:val="28"/>
                <w:rtl/>
              </w:rPr>
            </w:pPr>
            <w:r w:rsidRPr="00FF6585">
              <w:rPr>
                <w:rFonts w:cs="FrankRuehl"/>
                <w:sz w:val="28"/>
                <w:szCs w:val="28"/>
                <w:rtl/>
              </w:rPr>
              <w:t>ת"פ</w:t>
            </w:r>
            <w:r w:rsidRPr="00FF6585">
              <w:rPr>
                <w:rFonts w:cs="FrankRuehl" w:hint="cs"/>
                <w:sz w:val="28"/>
                <w:szCs w:val="28"/>
                <w:rtl/>
              </w:rPr>
              <w:t xml:space="preserve"> </w:t>
            </w:r>
            <w:r w:rsidRPr="00FF6585">
              <w:rPr>
                <w:rFonts w:cs="FrankRuehl"/>
                <w:sz w:val="28"/>
                <w:szCs w:val="28"/>
                <w:rtl/>
              </w:rPr>
              <w:t>60444-08-19</w:t>
            </w:r>
            <w:r w:rsidRPr="00FF6585">
              <w:rPr>
                <w:rFonts w:cs="FrankRuehl" w:hint="cs"/>
                <w:sz w:val="28"/>
                <w:szCs w:val="28"/>
                <w:rtl/>
              </w:rPr>
              <w:t xml:space="preserve"> </w:t>
            </w:r>
            <w:r w:rsidRPr="00FF6585">
              <w:rPr>
                <w:rFonts w:cs="FrankRuehl"/>
                <w:sz w:val="28"/>
                <w:szCs w:val="28"/>
                <w:rtl/>
              </w:rPr>
              <w:t>מדינת ישראל נ' צלאח(עציר)</w:t>
            </w:r>
          </w:p>
          <w:p w14:paraId="4E95BE8B" w14:textId="77777777" w:rsidR="00C65451" w:rsidRPr="00FF6585" w:rsidRDefault="00C65451" w:rsidP="00355755">
            <w:pPr>
              <w:pStyle w:val="a3"/>
              <w:rPr>
                <w:rFonts w:cs="FrankRuehl"/>
                <w:sz w:val="28"/>
                <w:szCs w:val="28"/>
                <w:rtl/>
              </w:rPr>
            </w:pPr>
          </w:p>
        </w:tc>
        <w:tc>
          <w:tcPr>
            <w:tcW w:w="3663" w:type="dxa"/>
          </w:tcPr>
          <w:p w14:paraId="61BBA7BF" w14:textId="77777777" w:rsidR="00C65451" w:rsidRPr="00FF6585" w:rsidRDefault="00C65451" w:rsidP="00355755">
            <w:pPr>
              <w:pStyle w:val="a3"/>
              <w:jc w:val="right"/>
              <w:rPr>
                <w:rFonts w:cs="FrankRuehl"/>
                <w:sz w:val="28"/>
                <w:szCs w:val="28"/>
                <w:rtl/>
              </w:rPr>
            </w:pPr>
          </w:p>
        </w:tc>
      </w:tr>
    </w:tbl>
    <w:p w14:paraId="024D24C5" w14:textId="77777777" w:rsidR="00C65451" w:rsidRPr="00FF6585" w:rsidRDefault="00C65451" w:rsidP="00C65451">
      <w:pPr>
        <w:pStyle w:val="a3"/>
        <w:rPr>
          <w:rtl/>
        </w:rPr>
      </w:pPr>
      <w:r w:rsidRPr="00FF6585">
        <w:rPr>
          <w:rFonts w:hint="cs"/>
          <w:rtl/>
        </w:rPr>
        <w:t xml:space="preserve"> </w:t>
      </w:r>
    </w:p>
    <w:p w14:paraId="64884F4A" w14:textId="77777777" w:rsidR="00C65451" w:rsidRPr="00FF6585" w:rsidRDefault="00C65451" w:rsidP="00C65451">
      <w:pPr>
        <w:rPr>
          <w:rtl/>
        </w:rPr>
      </w:pPr>
    </w:p>
    <w:p w14:paraId="5C56ACCA" w14:textId="77777777" w:rsidR="00C65451" w:rsidRPr="00FF6585" w:rsidRDefault="00C65451" w:rsidP="00C6545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C65451" w:rsidRPr="00FF6585" w14:paraId="65C3493C" w14:textId="77777777" w:rsidTr="00C65451">
        <w:trPr>
          <w:trHeight w:val="295"/>
          <w:jc w:val="center"/>
        </w:trPr>
        <w:tc>
          <w:tcPr>
            <w:tcW w:w="923" w:type="dxa"/>
            <w:tcBorders>
              <w:top w:val="nil"/>
              <w:left w:val="nil"/>
              <w:bottom w:val="nil"/>
              <w:right w:val="nil"/>
            </w:tcBorders>
            <w:shd w:val="clear" w:color="auto" w:fill="auto"/>
          </w:tcPr>
          <w:p w14:paraId="042FA93D" w14:textId="77777777" w:rsidR="00C65451" w:rsidRPr="00FF6585" w:rsidRDefault="00C65451" w:rsidP="00C65451">
            <w:pPr>
              <w:jc w:val="both"/>
              <w:rPr>
                <w:rFonts w:ascii="David" w:hAnsi="David"/>
                <w:b/>
                <w:bCs/>
                <w:sz w:val="28"/>
                <w:szCs w:val="28"/>
                <w:rtl/>
              </w:rPr>
            </w:pPr>
            <w:r w:rsidRPr="00FF6585">
              <w:rPr>
                <w:rFonts w:ascii="David" w:hAnsi="David" w:hint="cs"/>
                <w:b/>
                <w:bCs/>
                <w:sz w:val="28"/>
                <w:szCs w:val="28"/>
                <w:rtl/>
              </w:rPr>
              <w:t>ל</w:t>
            </w:r>
            <w:r w:rsidRPr="00FF6585">
              <w:rPr>
                <w:rFonts w:ascii="David" w:hAnsi="David"/>
                <w:b/>
                <w:bCs/>
                <w:sz w:val="28"/>
                <w:szCs w:val="28"/>
                <w:rtl/>
              </w:rPr>
              <w:t xml:space="preserve">פני </w:t>
            </w:r>
          </w:p>
        </w:tc>
        <w:tc>
          <w:tcPr>
            <w:tcW w:w="7897" w:type="dxa"/>
            <w:gridSpan w:val="2"/>
            <w:tcBorders>
              <w:top w:val="nil"/>
              <w:left w:val="nil"/>
              <w:bottom w:val="nil"/>
              <w:right w:val="nil"/>
            </w:tcBorders>
            <w:shd w:val="clear" w:color="auto" w:fill="auto"/>
          </w:tcPr>
          <w:p w14:paraId="337C3332" w14:textId="77777777" w:rsidR="00C65451" w:rsidRPr="00FF6585" w:rsidRDefault="00C65451" w:rsidP="00355755">
            <w:pPr>
              <w:rPr>
                <w:rFonts w:ascii="David" w:hAnsi="David"/>
                <w:b/>
                <w:bCs/>
                <w:sz w:val="28"/>
                <w:szCs w:val="28"/>
              </w:rPr>
            </w:pPr>
            <w:r w:rsidRPr="00FF6585">
              <w:rPr>
                <w:rFonts w:ascii="David" w:hAnsi="David"/>
                <w:b/>
                <w:bCs/>
                <w:sz w:val="28"/>
                <w:szCs w:val="28"/>
                <w:rtl/>
              </w:rPr>
              <w:t>כבוד השופטת  חנה מרים לומפ</w:t>
            </w:r>
          </w:p>
          <w:p w14:paraId="3EC4DB2F" w14:textId="77777777" w:rsidR="00C65451" w:rsidRPr="00FF6585" w:rsidRDefault="00C65451" w:rsidP="00355755">
            <w:pPr>
              <w:rPr>
                <w:rFonts w:ascii="David" w:hAnsi="David"/>
                <w:b/>
                <w:bCs/>
                <w:sz w:val="28"/>
                <w:szCs w:val="28"/>
                <w:rtl/>
              </w:rPr>
            </w:pPr>
          </w:p>
          <w:p w14:paraId="211961A2" w14:textId="77777777" w:rsidR="00C65451" w:rsidRPr="00FF6585" w:rsidRDefault="00C65451" w:rsidP="00C65451">
            <w:pPr>
              <w:jc w:val="both"/>
              <w:rPr>
                <w:rFonts w:ascii="David" w:hAnsi="David"/>
                <w:b/>
                <w:bCs/>
                <w:sz w:val="28"/>
                <w:szCs w:val="28"/>
                <w:rtl/>
              </w:rPr>
            </w:pPr>
          </w:p>
        </w:tc>
      </w:tr>
      <w:tr w:rsidR="00C65451" w:rsidRPr="00FF6585" w14:paraId="64A05777" w14:textId="77777777" w:rsidTr="00C65451">
        <w:trPr>
          <w:trHeight w:val="355"/>
          <w:jc w:val="center"/>
        </w:trPr>
        <w:tc>
          <w:tcPr>
            <w:tcW w:w="923" w:type="dxa"/>
            <w:tcBorders>
              <w:top w:val="nil"/>
              <w:left w:val="nil"/>
              <w:bottom w:val="nil"/>
              <w:right w:val="nil"/>
            </w:tcBorders>
            <w:shd w:val="clear" w:color="auto" w:fill="auto"/>
          </w:tcPr>
          <w:p w14:paraId="0FDD6448" w14:textId="77777777" w:rsidR="00C65451" w:rsidRPr="00FF6585" w:rsidRDefault="00C65451" w:rsidP="00C65451">
            <w:pPr>
              <w:jc w:val="both"/>
              <w:rPr>
                <w:rFonts w:ascii="David" w:hAnsi="David"/>
                <w:b/>
                <w:bCs/>
                <w:sz w:val="28"/>
                <w:szCs w:val="28"/>
              </w:rPr>
            </w:pPr>
            <w:bookmarkStart w:id="1" w:name="FirstAppellant"/>
            <w:r w:rsidRPr="00FF6585">
              <w:rPr>
                <w:rFonts w:ascii="David" w:hAnsi="David"/>
                <w:b/>
                <w:bCs/>
                <w:sz w:val="28"/>
                <w:szCs w:val="28"/>
                <w:rtl/>
              </w:rPr>
              <w:t>בעניין:</w:t>
            </w:r>
          </w:p>
        </w:tc>
        <w:tc>
          <w:tcPr>
            <w:tcW w:w="4126" w:type="dxa"/>
            <w:tcBorders>
              <w:top w:val="nil"/>
              <w:left w:val="nil"/>
              <w:bottom w:val="nil"/>
              <w:right w:val="nil"/>
            </w:tcBorders>
            <w:shd w:val="clear" w:color="auto" w:fill="auto"/>
          </w:tcPr>
          <w:p w14:paraId="3B5CDDB2" w14:textId="77777777" w:rsidR="00C65451" w:rsidRPr="00FF6585" w:rsidRDefault="00C65451" w:rsidP="00355755">
            <w:pPr>
              <w:rPr>
                <w:rFonts w:ascii="David" w:hAnsi="David"/>
                <w:b/>
                <w:bCs/>
                <w:sz w:val="28"/>
                <w:szCs w:val="28"/>
              </w:rPr>
            </w:pPr>
            <w:r w:rsidRPr="00FF6585">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74B1D0B3" w14:textId="77777777" w:rsidR="00C65451" w:rsidRPr="00FF6585" w:rsidRDefault="00C65451" w:rsidP="00C65451">
            <w:pPr>
              <w:jc w:val="both"/>
              <w:rPr>
                <w:rFonts w:ascii="David" w:hAnsi="David"/>
                <w:b/>
                <w:bCs/>
                <w:sz w:val="28"/>
                <w:szCs w:val="28"/>
              </w:rPr>
            </w:pPr>
          </w:p>
        </w:tc>
      </w:tr>
      <w:bookmarkEnd w:id="1"/>
      <w:tr w:rsidR="00C65451" w:rsidRPr="00FF6585" w14:paraId="520C5A14" w14:textId="77777777" w:rsidTr="00C65451">
        <w:trPr>
          <w:trHeight w:val="355"/>
          <w:jc w:val="center"/>
        </w:trPr>
        <w:tc>
          <w:tcPr>
            <w:tcW w:w="923" w:type="dxa"/>
            <w:tcBorders>
              <w:top w:val="nil"/>
              <w:left w:val="nil"/>
              <w:bottom w:val="nil"/>
              <w:right w:val="nil"/>
            </w:tcBorders>
            <w:shd w:val="clear" w:color="auto" w:fill="auto"/>
          </w:tcPr>
          <w:p w14:paraId="7648548E" w14:textId="77777777" w:rsidR="00C65451" w:rsidRPr="00FF6585" w:rsidRDefault="00C65451" w:rsidP="00C65451">
            <w:pPr>
              <w:jc w:val="both"/>
              <w:rPr>
                <w:rFonts w:ascii="David" w:hAnsi="David"/>
                <w:b/>
                <w:bCs/>
                <w:sz w:val="28"/>
                <w:szCs w:val="28"/>
              </w:rPr>
            </w:pPr>
          </w:p>
        </w:tc>
        <w:tc>
          <w:tcPr>
            <w:tcW w:w="4126" w:type="dxa"/>
            <w:tcBorders>
              <w:top w:val="nil"/>
              <w:left w:val="nil"/>
              <w:bottom w:val="nil"/>
              <w:right w:val="nil"/>
            </w:tcBorders>
            <w:shd w:val="clear" w:color="auto" w:fill="auto"/>
          </w:tcPr>
          <w:p w14:paraId="4FE0D41B" w14:textId="77777777" w:rsidR="00C65451" w:rsidRPr="00FF6585" w:rsidRDefault="00C65451" w:rsidP="00C65451">
            <w:pPr>
              <w:jc w:val="both"/>
              <w:rPr>
                <w:rFonts w:ascii="David" w:hAnsi="David"/>
                <w:b/>
                <w:bCs/>
                <w:sz w:val="28"/>
                <w:szCs w:val="28"/>
                <w:rtl/>
              </w:rPr>
            </w:pPr>
          </w:p>
        </w:tc>
        <w:tc>
          <w:tcPr>
            <w:tcW w:w="3771" w:type="dxa"/>
            <w:tcBorders>
              <w:top w:val="nil"/>
              <w:left w:val="nil"/>
              <w:bottom w:val="nil"/>
              <w:right w:val="nil"/>
            </w:tcBorders>
            <w:shd w:val="clear" w:color="auto" w:fill="auto"/>
          </w:tcPr>
          <w:p w14:paraId="7F35E7D9" w14:textId="77777777" w:rsidR="00C65451" w:rsidRPr="00FF6585" w:rsidRDefault="00C65451" w:rsidP="00C65451">
            <w:pPr>
              <w:jc w:val="right"/>
              <w:rPr>
                <w:rFonts w:ascii="David" w:hAnsi="David"/>
                <w:b/>
                <w:bCs/>
                <w:sz w:val="28"/>
                <w:szCs w:val="28"/>
                <w:rtl/>
              </w:rPr>
            </w:pPr>
            <w:r w:rsidRPr="00FF6585">
              <w:rPr>
                <w:rFonts w:ascii="David" w:hAnsi="David"/>
                <w:b/>
                <w:bCs/>
                <w:sz w:val="28"/>
                <w:szCs w:val="28"/>
                <w:rtl/>
              </w:rPr>
              <w:t>המאשימה</w:t>
            </w:r>
          </w:p>
        </w:tc>
      </w:tr>
      <w:tr w:rsidR="00C65451" w:rsidRPr="00FF6585" w14:paraId="147E445D" w14:textId="77777777" w:rsidTr="00C65451">
        <w:trPr>
          <w:trHeight w:val="355"/>
          <w:jc w:val="center"/>
        </w:trPr>
        <w:tc>
          <w:tcPr>
            <w:tcW w:w="923" w:type="dxa"/>
            <w:tcBorders>
              <w:top w:val="nil"/>
              <w:left w:val="nil"/>
              <w:bottom w:val="nil"/>
              <w:right w:val="nil"/>
            </w:tcBorders>
            <w:shd w:val="clear" w:color="auto" w:fill="auto"/>
          </w:tcPr>
          <w:p w14:paraId="3EE8A0FC" w14:textId="77777777" w:rsidR="00C65451" w:rsidRPr="00FF6585" w:rsidRDefault="00C65451" w:rsidP="00C65451">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7D74B6B7" w14:textId="77777777" w:rsidR="00C65451" w:rsidRPr="00FF6585" w:rsidRDefault="00C65451" w:rsidP="00C65451">
            <w:pPr>
              <w:jc w:val="center"/>
              <w:rPr>
                <w:rFonts w:ascii="David" w:hAnsi="David"/>
                <w:b/>
                <w:bCs/>
                <w:sz w:val="28"/>
                <w:szCs w:val="28"/>
                <w:rtl/>
              </w:rPr>
            </w:pPr>
          </w:p>
          <w:p w14:paraId="01927C27" w14:textId="77777777" w:rsidR="00C65451" w:rsidRPr="00FF6585" w:rsidRDefault="00C65451" w:rsidP="00C65451">
            <w:pPr>
              <w:jc w:val="center"/>
              <w:rPr>
                <w:rFonts w:ascii="David" w:hAnsi="David"/>
                <w:b/>
                <w:bCs/>
                <w:sz w:val="28"/>
                <w:szCs w:val="28"/>
                <w:rtl/>
              </w:rPr>
            </w:pPr>
            <w:r w:rsidRPr="00FF6585">
              <w:rPr>
                <w:rFonts w:ascii="David" w:hAnsi="David"/>
                <w:b/>
                <w:bCs/>
                <w:sz w:val="28"/>
                <w:szCs w:val="28"/>
                <w:rtl/>
              </w:rPr>
              <w:t>נגד</w:t>
            </w:r>
          </w:p>
          <w:p w14:paraId="6BB18668" w14:textId="77777777" w:rsidR="00C65451" w:rsidRPr="00FF6585" w:rsidRDefault="00C65451" w:rsidP="00C65451">
            <w:pPr>
              <w:jc w:val="both"/>
              <w:rPr>
                <w:rFonts w:ascii="David" w:hAnsi="David"/>
                <w:b/>
                <w:bCs/>
                <w:sz w:val="28"/>
                <w:szCs w:val="28"/>
                <w:rtl/>
              </w:rPr>
            </w:pPr>
          </w:p>
        </w:tc>
      </w:tr>
      <w:tr w:rsidR="00C65451" w:rsidRPr="00FF6585" w14:paraId="6350A794" w14:textId="77777777" w:rsidTr="00C65451">
        <w:trPr>
          <w:trHeight w:val="355"/>
          <w:jc w:val="center"/>
        </w:trPr>
        <w:tc>
          <w:tcPr>
            <w:tcW w:w="923" w:type="dxa"/>
            <w:tcBorders>
              <w:top w:val="nil"/>
              <w:left w:val="nil"/>
              <w:bottom w:val="nil"/>
              <w:right w:val="nil"/>
            </w:tcBorders>
            <w:shd w:val="clear" w:color="auto" w:fill="auto"/>
          </w:tcPr>
          <w:p w14:paraId="4B11571C" w14:textId="77777777" w:rsidR="00C65451" w:rsidRPr="00FF6585" w:rsidRDefault="00C65451" w:rsidP="00355755">
            <w:pPr>
              <w:rPr>
                <w:rFonts w:ascii="David" w:hAnsi="David"/>
                <w:b/>
                <w:bCs/>
                <w:sz w:val="28"/>
                <w:szCs w:val="28"/>
              </w:rPr>
            </w:pPr>
          </w:p>
        </w:tc>
        <w:tc>
          <w:tcPr>
            <w:tcW w:w="4126" w:type="dxa"/>
            <w:tcBorders>
              <w:top w:val="nil"/>
              <w:left w:val="nil"/>
              <w:bottom w:val="nil"/>
              <w:right w:val="nil"/>
            </w:tcBorders>
            <w:shd w:val="clear" w:color="auto" w:fill="auto"/>
          </w:tcPr>
          <w:p w14:paraId="7347B744" w14:textId="77777777" w:rsidR="00C65451" w:rsidRPr="00FF6585" w:rsidRDefault="00C65451" w:rsidP="00355755">
            <w:pPr>
              <w:rPr>
                <w:rFonts w:ascii="David" w:hAnsi="David"/>
                <w:b/>
                <w:bCs/>
                <w:sz w:val="28"/>
                <w:szCs w:val="28"/>
                <w:rtl/>
              </w:rPr>
            </w:pPr>
            <w:r w:rsidRPr="00FF6585">
              <w:rPr>
                <w:rFonts w:ascii="David" w:hAnsi="David"/>
                <w:b/>
                <w:bCs/>
                <w:sz w:val="28"/>
                <w:szCs w:val="28"/>
                <w:rtl/>
              </w:rPr>
              <w:t>אמיר צלאח (עציר)</w:t>
            </w:r>
          </w:p>
        </w:tc>
        <w:tc>
          <w:tcPr>
            <w:tcW w:w="3771" w:type="dxa"/>
            <w:tcBorders>
              <w:top w:val="nil"/>
              <w:left w:val="nil"/>
              <w:bottom w:val="nil"/>
              <w:right w:val="nil"/>
            </w:tcBorders>
            <w:shd w:val="clear" w:color="auto" w:fill="auto"/>
          </w:tcPr>
          <w:p w14:paraId="214EB3B3" w14:textId="77777777" w:rsidR="00C65451" w:rsidRPr="00FF6585" w:rsidRDefault="00C65451" w:rsidP="00C65451">
            <w:pPr>
              <w:jc w:val="right"/>
              <w:rPr>
                <w:rFonts w:ascii="David" w:hAnsi="David"/>
                <w:b/>
                <w:bCs/>
                <w:sz w:val="28"/>
                <w:szCs w:val="28"/>
                <w:rtl/>
              </w:rPr>
            </w:pPr>
          </w:p>
        </w:tc>
      </w:tr>
      <w:tr w:rsidR="00C65451" w:rsidRPr="00FF6585" w14:paraId="294B806D" w14:textId="77777777" w:rsidTr="00C65451">
        <w:trPr>
          <w:trHeight w:val="355"/>
          <w:jc w:val="center"/>
        </w:trPr>
        <w:tc>
          <w:tcPr>
            <w:tcW w:w="923" w:type="dxa"/>
            <w:tcBorders>
              <w:top w:val="nil"/>
              <w:left w:val="nil"/>
              <w:bottom w:val="nil"/>
              <w:right w:val="nil"/>
            </w:tcBorders>
            <w:shd w:val="clear" w:color="auto" w:fill="auto"/>
          </w:tcPr>
          <w:p w14:paraId="2839B288" w14:textId="77777777" w:rsidR="00C65451" w:rsidRPr="00FF6585" w:rsidRDefault="00C65451" w:rsidP="00C65451">
            <w:pPr>
              <w:jc w:val="both"/>
              <w:rPr>
                <w:rFonts w:ascii="David" w:hAnsi="David"/>
                <w:b/>
                <w:bCs/>
                <w:sz w:val="28"/>
                <w:szCs w:val="28"/>
              </w:rPr>
            </w:pPr>
          </w:p>
        </w:tc>
        <w:tc>
          <w:tcPr>
            <w:tcW w:w="4126" w:type="dxa"/>
            <w:tcBorders>
              <w:top w:val="nil"/>
              <w:left w:val="nil"/>
              <w:bottom w:val="nil"/>
              <w:right w:val="nil"/>
            </w:tcBorders>
            <w:shd w:val="clear" w:color="auto" w:fill="auto"/>
          </w:tcPr>
          <w:p w14:paraId="4882D61C" w14:textId="77777777" w:rsidR="00C65451" w:rsidRPr="00FF6585" w:rsidRDefault="00C65451" w:rsidP="00C65451">
            <w:pPr>
              <w:jc w:val="both"/>
              <w:rPr>
                <w:rFonts w:ascii="David" w:hAnsi="David"/>
                <w:b/>
                <w:bCs/>
                <w:sz w:val="28"/>
                <w:szCs w:val="28"/>
                <w:rtl/>
              </w:rPr>
            </w:pPr>
          </w:p>
        </w:tc>
        <w:tc>
          <w:tcPr>
            <w:tcW w:w="3771" w:type="dxa"/>
            <w:tcBorders>
              <w:top w:val="nil"/>
              <w:left w:val="nil"/>
              <w:bottom w:val="nil"/>
              <w:right w:val="nil"/>
            </w:tcBorders>
            <w:shd w:val="clear" w:color="auto" w:fill="auto"/>
          </w:tcPr>
          <w:p w14:paraId="5E5CCDAE" w14:textId="77777777" w:rsidR="00C65451" w:rsidRPr="00FF6585" w:rsidRDefault="00C65451" w:rsidP="00C65451">
            <w:pPr>
              <w:jc w:val="right"/>
              <w:rPr>
                <w:rFonts w:ascii="David" w:hAnsi="David"/>
                <w:b/>
                <w:bCs/>
                <w:sz w:val="28"/>
                <w:szCs w:val="28"/>
                <w:rtl/>
              </w:rPr>
            </w:pPr>
            <w:r w:rsidRPr="00FF6585">
              <w:rPr>
                <w:rFonts w:ascii="David" w:hAnsi="David"/>
                <w:b/>
                <w:bCs/>
                <w:sz w:val="28"/>
                <w:szCs w:val="28"/>
                <w:rtl/>
              </w:rPr>
              <w:t>הנאשמים</w:t>
            </w:r>
          </w:p>
        </w:tc>
      </w:tr>
    </w:tbl>
    <w:p w14:paraId="508AA4DF" w14:textId="77777777" w:rsidR="00820B59" w:rsidRPr="00820B59" w:rsidRDefault="00820B59" w:rsidP="00820B59">
      <w:pPr>
        <w:spacing w:before="120" w:after="120" w:line="240" w:lineRule="exact"/>
        <w:ind w:left="283" w:hanging="283"/>
        <w:jc w:val="both"/>
        <w:rPr>
          <w:rFonts w:ascii="FrankRuehl" w:hAnsi="FrankRuehl" w:cs="FrankRuehl"/>
          <w:rtl/>
        </w:rPr>
      </w:pPr>
      <w:bookmarkStart w:id="2" w:name="LawTable"/>
      <w:bookmarkEnd w:id="2"/>
    </w:p>
    <w:p w14:paraId="71E3DF97" w14:textId="77777777" w:rsidR="00820B59" w:rsidRPr="00820B59" w:rsidRDefault="00820B59" w:rsidP="00820B59">
      <w:pPr>
        <w:spacing w:before="120" w:after="120" w:line="240" w:lineRule="exact"/>
        <w:ind w:left="283" w:hanging="283"/>
        <w:jc w:val="both"/>
        <w:rPr>
          <w:rFonts w:ascii="FrankRuehl" w:hAnsi="FrankRuehl" w:cs="FrankRuehl"/>
          <w:rtl/>
        </w:rPr>
      </w:pPr>
      <w:r w:rsidRPr="00820B59">
        <w:rPr>
          <w:rFonts w:ascii="FrankRuehl" w:hAnsi="FrankRuehl" w:cs="FrankRuehl"/>
          <w:rtl/>
        </w:rPr>
        <w:t xml:space="preserve">חקיקה שאוזכרה: </w:t>
      </w:r>
    </w:p>
    <w:p w14:paraId="4E05A93A" w14:textId="77777777" w:rsidR="00820B59" w:rsidRPr="00820B59" w:rsidRDefault="00820B59" w:rsidP="00820B59">
      <w:pPr>
        <w:spacing w:before="120" w:after="120" w:line="240" w:lineRule="exact"/>
        <w:ind w:left="283" w:hanging="283"/>
        <w:jc w:val="both"/>
        <w:rPr>
          <w:rFonts w:ascii="FrankRuehl" w:hAnsi="FrankRuehl" w:cs="FrankRuehl"/>
          <w:color w:val="0000FF"/>
          <w:rtl/>
        </w:rPr>
      </w:pPr>
      <w:hyperlink r:id="rId7" w:history="1">
        <w:r w:rsidRPr="00820B59">
          <w:rPr>
            <w:rStyle w:val="Hyperlink"/>
            <w:rFonts w:ascii="FrankRuehl" w:hAnsi="FrankRuehl" w:cs="FrankRuehl"/>
            <w:rtl/>
          </w:rPr>
          <w:t>פקודת הסמים המסוכנים [נוסח חדש], תשל"ג-1973</w:t>
        </w:r>
      </w:hyperlink>
      <w:r w:rsidRPr="00820B59">
        <w:rPr>
          <w:rFonts w:ascii="FrankRuehl" w:hAnsi="FrankRuehl" w:cs="FrankRuehl"/>
          <w:color w:val="0000FF"/>
          <w:u w:val="single"/>
          <w:rtl/>
        </w:rPr>
        <w:t xml:space="preserve">: סע'  </w:t>
      </w:r>
      <w:hyperlink r:id="rId8" w:history="1">
        <w:r w:rsidRPr="00820B59">
          <w:rPr>
            <w:rStyle w:val="Hyperlink"/>
            <w:rFonts w:ascii="FrankRuehl" w:hAnsi="FrankRuehl" w:cs="FrankRuehl"/>
          </w:rPr>
          <w:t>7</w:t>
        </w:r>
      </w:hyperlink>
      <w:r w:rsidRPr="00820B59">
        <w:rPr>
          <w:rFonts w:ascii="FrankRuehl" w:hAnsi="FrankRuehl" w:cs="FrankRuehl"/>
          <w:color w:val="0000FF"/>
          <w:rtl/>
        </w:rPr>
        <w:t xml:space="preserve">(א), </w:t>
      </w:r>
      <w:hyperlink r:id="rId9" w:history="1">
        <w:r w:rsidRPr="00820B59">
          <w:rPr>
            <w:rStyle w:val="Hyperlink"/>
            <w:rFonts w:ascii="FrankRuehl" w:hAnsi="FrankRuehl" w:cs="FrankRuehl"/>
          </w:rPr>
          <w:t>(</w:t>
        </w:r>
        <w:r w:rsidRPr="00820B59">
          <w:rPr>
            <w:rStyle w:val="Hyperlink"/>
            <w:rFonts w:ascii="FrankRuehl" w:hAnsi="FrankRuehl" w:cs="FrankRuehl"/>
            <w:rtl/>
          </w:rPr>
          <w:t>ג</w:t>
        </w:r>
        <w:r w:rsidRPr="00820B59">
          <w:rPr>
            <w:rStyle w:val="Hyperlink"/>
            <w:rFonts w:ascii="FrankRuehl" w:hAnsi="FrankRuehl" w:cs="FrankRuehl"/>
          </w:rPr>
          <w:t>)</w:t>
        </w:r>
      </w:hyperlink>
    </w:p>
    <w:p w14:paraId="4A39FC33" w14:textId="77777777" w:rsidR="00820B59" w:rsidRPr="00820B59" w:rsidRDefault="00820B59" w:rsidP="00820B59">
      <w:pPr>
        <w:spacing w:before="120" w:after="120" w:line="240" w:lineRule="exact"/>
        <w:ind w:left="283" w:hanging="283"/>
        <w:jc w:val="both"/>
        <w:rPr>
          <w:rFonts w:ascii="FrankRuehl" w:hAnsi="FrankRuehl" w:cs="FrankRuehl"/>
          <w:color w:val="0000FF"/>
          <w:u w:val="single"/>
          <w:rtl/>
        </w:rPr>
      </w:pPr>
      <w:hyperlink r:id="rId10" w:history="1">
        <w:r w:rsidRPr="00820B59">
          <w:rPr>
            <w:rStyle w:val="Hyperlink"/>
            <w:rFonts w:ascii="FrankRuehl" w:hAnsi="FrankRuehl" w:cs="FrankRuehl"/>
            <w:rtl/>
          </w:rPr>
          <w:t>חוק העונשין, תשל"ז-1977</w:t>
        </w:r>
      </w:hyperlink>
      <w:r w:rsidRPr="00820B59">
        <w:rPr>
          <w:rFonts w:ascii="FrankRuehl" w:hAnsi="FrankRuehl" w:cs="FrankRuehl"/>
          <w:color w:val="0000FF"/>
          <w:u w:val="single"/>
          <w:rtl/>
        </w:rPr>
        <w:t xml:space="preserve">: סע'  </w:t>
      </w:r>
      <w:hyperlink r:id="rId11" w:history="1">
        <w:r w:rsidRPr="00820B59">
          <w:rPr>
            <w:rStyle w:val="Hyperlink"/>
            <w:rFonts w:ascii="FrankRuehl" w:hAnsi="FrankRuehl" w:cs="FrankRuehl"/>
          </w:rPr>
          <w:t xml:space="preserve">40 </w:t>
        </w:r>
        <w:r w:rsidRPr="00820B59">
          <w:rPr>
            <w:rStyle w:val="Hyperlink"/>
            <w:rFonts w:ascii="FrankRuehl" w:hAnsi="FrankRuehl" w:cs="FrankRuehl"/>
            <w:rtl/>
          </w:rPr>
          <w:t>ג</w:t>
        </w:r>
        <w:r w:rsidRPr="00820B59">
          <w:rPr>
            <w:rStyle w:val="Hyperlink"/>
            <w:rFonts w:ascii="FrankRuehl" w:hAnsi="FrankRuehl" w:cs="FrankRuehl"/>
          </w:rPr>
          <w:t>'</w:t>
        </w:r>
      </w:hyperlink>
      <w:r w:rsidRPr="00820B59">
        <w:rPr>
          <w:rFonts w:ascii="FrankRuehl" w:hAnsi="FrankRuehl" w:cs="FrankRuehl"/>
          <w:color w:val="0000FF"/>
          <w:u w:val="single"/>
          <w:rtl/>
        </w:rPr>
        <w:t xml:space="preserve">, </w:t>
      </w:r>
      <w:hyperlink r:id="rId12" w:history="1">
        <w:r w:rsidRPr="00820B59">
          <w:rPr>
            <w:rStyle w:val="Hyperlink"/>
            <w:rFonts w:ascii="FrankRuehl" w:hAnsi="FrankRuehl" w:cs="FrankRuehl"/>
          </w:rPr>
          <w:t xml:space="preserve">40 </w:t>
        </w:r>
        <w:r w:rsidRPr="00820B59">
          <w:rPr>
            <w:rStyle w:val="Hyperlink"/>
            <w:rFonts w:ascii="FrankRuehl" w:hAnsi="FrankRuehl" w:cs="FrankRuehl"/>
            <w:rtl/>
          </w:rPr>
          <w:t>ט</w:t>
        </w:r>
        <w:r w:rsidRPr="00820B59">
          <w:rPr>
            <w:rStyle w:val="Hyperlink"/>
            <w:rFonts w:ascii="FrankRuehl" w:hAnsi="FrankRuehl" w:cs="FrankRuehl"/>
          </w:rPr>
          <w:t>'</w:t>
        </w:r>
      </w:hyperlink>
    </w:p>
    <w:p w14:paraId="2D8CFA1C" w14:textId="77777777" w:rsidR="00C65451" w:rsidRPr="00820B59" w:rsidRDefault="00C65451" w:rsidP="00820B59">
      <w:pPr>
        <w:rPr>
          <w:rFonts w:ascii="David" w:hAnsi="David"/>
          <w:sz w:val="28"/>
          <w:szCs w:val="28"/>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65451" w:rsidRPr="0037076A" w14:paraId="11D1E370" w14:textId="77777777" w:rsidTr="00C65451">
        <w:trPr>
          <w:trHeight w:val="355"/>
          <w:jc w:val="center"/>
        </w:trPr>
        <w:tc>
          <w:tcPr>
            <w:tcW w:w="8820" w:type="dxa"/>
            <w:tcBorders>
              <w:top w:val="nil"/>
              <w:left w:val="nil"/>
              <w:bottom w:val="nil"/>
              <w:right w:val="nil"/>
            </w:tcBorders>
            <w:shd w:val="clear" w:color="auto" w:fill="auto"/>
          </w:tcPr>
          <w:p w14:paraId="1463C5E3" w14:textId="77777777" w:rsidR="00FF6585" w:rsidRPr="00FF6585" w:rsidRDefault="00FF6585" w:rsidP="00FF6585">
            <w:pPr>
              <w:jc w:val="center"/>
              <w:rPr>
                <w:rFonts w:ascii="David" w:hAnsi="David"/>
                <w:b/>
                <w:bCs/>
                <w:sz w:val="28"/>
                <w:szCs w:val="28"/>
                <w:u w:val="single"/>
                <w:rtl/>
              </w:rPr>
            </w:pPr>
            <w:bookmarkStart w:id="4" w:name="PsakDin" w:colFirst="0" w:colLast="0"/>
            <w:bookmarkEnd w:id="0"/>
            <w:r w:rsidRPr="00FF6585">
              <w:rPr>
                <w:rFonts w:ascii="David" w:hAnsi="David"/>
                <w:b/>
                <w:bCs/>
                <w:sz w:val="28"/>
                <w:szCs w:val="28"/>
                <w:u w:val="single"/>
                <w:rtl/>
              </w:rPr>
              <w:t>גזר דין</w:t>
            </w:r>
          </w:p>
          <w:p w14:paraId="52AB5467" w14:textId="77777777" w:rsidR="00C65451" w:rsidRPr="00FF6585" w:rsidRDefault="00C65451" w:rsidP="00FF6585">
            <w:pPr>
              <w:jc w:val="center"/>
              <w:rPr>
                <w:rFonts w:ascii="David" w:hAnsi="David"/>
                <w:b/>
                <w:bCs/>
                <w:sz w:val="28"/>
                <w:szCs w:val="28"/>
                <w:u w:val="single"/>
              </w:rPr>
            </w:pPr>
          </w:p>
        </w:tc>
      </w:tr>
      <w:bookmarkEnd w:id="4"/>
    </w:tbl>
    <w:p w14:paraId="3C0F085E" w14:textId="77777777" w:rsidR="00C65451" w:rsidRPr="0037076A" w:rsidRDefault="00C65451" w:rsidP="00C65451">
      <w:pPr>
        <w:rPr>
          <w:rFonts w:ascii="Arial" w:hAnsi="Arial"/>
          <w:b/>
          <w:bCs/>
          <w:rtl/>
        </w:rPr>
      </w:pPr>
    </w:p>
    <w:p w14:paraId="27C0DF55" w14:textId="77777777" w:rsidR="00C65451" w:rsidRDefault="00C65451" w:rsidP="00C65451">
      <w:pPr>
        <w:rPr>
          <w:rtl/>
        </w:rPr>
      </w:pPr>
    </w:p>
    <w:p w14:paraId="2D4489E9" w14:textId="77777777" w:rsidR="00C65451" w:rsidRDefault="00C65451" w:rsidP="00C65451">
      <w:pPr>
        <w:pStyle w:val="a9"/>
        <w:spacing w:line="360" w:lineRule="auto"/>
        <w:ind w:left="283"/>
        <w:jc w:val="both"/>
        <w:rPr>
          <w:b/>
          <w:bCs/>
          <w:u w:val="single"/>
          <w:rtl/>
        </w:rPr>
      </w:pPr>
      <w:r>
        <w:rPr>
          <w:b/>
          <w:bCs/>
          <w:u w:val="single"/>
          <w:rtl/>
        </w:rPr>
        <w:t>רקע</w:t>
      </w:r>
    </w:p>
    <w:p w14:paraId="396B74CE" w14:textId="77777777" w:rsidR="00C65451" w:rsidRPr="0037076A" w:rsidRDefault="00C65451" w:rsidP="00C65451">
      <w:pPr>
        <w:pStyle w:val="a9"/>
        <w:numPr>
          <w:ilvl w:val="0"/>
          <w:numId w:val="1"/>
        </w:numPr>
        <w:spacing w:after="160" w:line="360" w:lineRule="auto"/>
        <w:ind w:left="283"/>
        <w:jc w:val="both"/>
      </w:pPr>
      <w:bookmarkStart w:id="5" w:name="ABSTRACT_START"/>
      <w:bookmarkEnd w:id="5"/>
      <w:r w:rsidRPr="0037076A">
        <w:rPr>
          <w:rtl/>
        </w:rPr>
        <w:t xml:space="preserve">הנאשם הורשע ביום 6.5.20 על-פי הודאתו, לאחר שחזר בו מכפירתו בעקבות הסדר טיעון, בעבירות לפי </w:t>
      </w:r>
      <w:hyperlink r:id="rId13" w:history="1">
        <w:r w:rsidR="00820B59" w:rsidRPr="00820B59">
          <w:rPr>
            <w:rStyle w:val="Hyperlink"/>
            <w:rtl/>
          </w:rPr>
          <w:t>סעיף 7(א)</w:t>
        </w:r>
      </w:hyperlink>
      <w:r w:rsidRPr="0037076A">
        <w:rPr>
          <w:rtl/>
        </w:rPr>
        <w:t xml:space="preserve"> בצירוף</w:t>
      </w:r>
      <w:r w:rsidRPr="00FF6585">
        <w:rPr>
          <w:rFonts w:cs="Times New Roman"/>
          <w:color w:val="000000"/>
          <w:rtl/>
        </w:rPr>
        <w:t xml:space="preserve"> </w:t>
      </w:r>
      <w:hyperlink r:id="rId14" w:history="1">
        <w:r w:rsidR="00820B59" w:rsidRPr="00820B59">
          <w:rPr>
            <w:rStyle w:val="Hyperlink"/>
            <w:rtl/>
          </w:rPr>
          <w:t>(ג)</w:t>
        </w:r>
      </w:hyperlink>
      <w:r w:rsidRPr="0037076A">
        <w:rPr>
          <w:rtl/>
        </w:rPr>
        <w:t xml:space="preserve"> ל</w:t>
      </w:r>
      <w:hyperlink r:id="rId15" w:history="1">
        <w:r w:rsidR="00FF6585" w:rsidRPr="00FF6585">
          <w:rPr>
            <w:rFonts w:cs="Times New Roman"/>
            <w:color w:val="0000FF"/>
            <w:u w:val="single"/>
            <w:rtl/>
          </w:rPr>
          <w:t>פקודת הסמים המסוכנים</w:t>
        </w:r>
      </w:hyperlink>
      <w:r w:rsidRPr="0037076A">
        <w:rPr>
          <w:rtl/>
        </w:rPr>
        <w:t xml:space="preserve"> [נוסח חדש], התשל"ג - 1973, בכך שביום 15.8.19 בביתו שבמחנה פליטים שעפאט בירושלים, החזיק בסם מסוכן מסוג הרואין במשקל של 181 גרם. הסם היה מחולק ל-276 מנות. הסם הוסלק בתוך גרב אשר הוחזקה בחדר נעול בבית הנאשם בו נהג לאחסן את בגדיו.</w:t>
      </w:r>
    </w:p>
    <w:p w14:paraId="6A6CCF69" w14:textId="77777777" w:rsidR="00C65451" w:rsidRPr="0037076A" w:rsidRDefault="00C65451" w:rsidP="00C65451">
      <w:pPr>
        <w:pStyle w:val="a9"/>
        <w:spacing w:line="360" w:lineRule="auto"/>
        <w:jc w:val="both"/>
        <w:rPr>
          <w:sz w:val="12"/>
          <w:szCs w:val="12"/>
        </w:rPr>
      </w:pPr>
      <w:bookmarkStart w:id="6" w:name="ABSTRACT_END"/>
      <w:bookmarkEnd w:id="6"/>
    </w:p>
    <w:p w14:paraId="6B5DE168" w14:textId="77777777" w:rsidR="00C65451" w:rsidRPr="0037076A" w:rsidRDefault="00C65451" w:rsidP="00C65451">
      <w:pPr>
        <w:pStyle w:val="a9"/>
        <w:numPr>
          <w:ilvl w:val="0"/>
          <w:numId w:val="1"/>
        </w:numPr>
        <w:spacing w:after="160" w:line="360" w:lineRule="auto"/>
        <w:ind w:left="283"/>
        <w:jc w:val="both"/>
      </w:pPr>
      <w:r w:rsidRPr="0037076A">
        <w:rPr>
          <w:rtl/>
        </w:rPr>
        <w:t>הצדדים לא הגיעו להסכמה לעניין העונש. ב"כ הנאשם לא ביקש לקבל תסקיר שירות מבחן בעניינו של הנאשם, וביקש לדחות את מועד הטיעונים לעונש למועד קרוב. בגדרי הסדר הטיעון הוסכם, כי הנאשם יוכל לטעון שקיבל את הסמים מאחר והחזיק בהם למשך כיממה, והמאשימה לא תביא ראיות לסתור טענה זו.</w:t>
      </w:r>
    </w:p>
    <w:p w14:paraId="0B9D5310" w14:textId="77777777" w:rsidR="00C65451" w:rsidRPr="0037076A" w:rsidRDefault="00C65451" w:rsidP="00C65451">
      <w:pPr>
        <w:pStyle w:val="a9"/>
        <w:spacing w:line="360" w:lineRule="auto"/>
        <w:jc w:val="both"/>
        <w:rPr>
          <w:b/>
          <w:bCs/>
        </w:rPr>
      </w:pPr>
    </w:p>
    <w:p w14:paraId="2D883F17" w14:textId="77777777" w:rsidR="00C65451" w:rsidRPr="0037076A" w:rsidRDefault="00C65451" w:rsidP="00C65451">
      <w:pPr>
        <w:pStyle w:val="a9"/>
        <w:spacing w:line="360" w:lineRule="auto"/>
        <w:ind w:left="283"/>
        <w:jc w:val="both"/>
        <w:rPr>
          <w:b/>
          <w:bCs/>
          <w:rtl/>
        </w:rPr>
      </w:pPr>
      <w:r w:rsidRPr="0037076A">
        <w:rPr>
          <w:b/>
          <w:bCs/>
          <w:rtl/>
        </w:rPr>
        <w:t>טיעוני הצדדים</w:t>
      </w:r>
    </w:p>
    <w:p w14:paraId="5EE92A9F" w14:textId="77777777" w:rsidR="00C65451" w:rsidRPr="0037076A" w:rsidRDefault="00C65451" w:rsidP="00C65451">
      <w:pPr>
        <w:pStyle w:val="a9"/>
        <w:numPr>
          <w:ilvl w:val="0"/>
          <w:numId w:val="1"/>
        </w:numPr>
        <w:spacing w:after="160" w:line="360" w:lineRule="auto"/>
        <w:ind w:left="283"/>
        <w:jc w:val="both"/>
        <w:rPr>
          <w:rFonts w:ascii="Calibri" w:hAnsi="Calibri"/>
          <w:sz w:val="12"/>
          <w:szCs w:val="12"/>
          <w:rtl/>
        </w:rPr>
      </w:pPr>
      <w:r w:rsidRPr="0037076A">
        <w:rPr>
          <w:rFonts w:ascii="Calibri" w:hAnsi="Calibri"/>
          <w:rtl/>
        </w:rPr>
        <w:lastRenderedPageBreak/>
        <w:t>ב"כ המאשימה טענה, שהערכים המוגנים שנפגעו כתוצאה ממעשי הנאשם הם הגנה על  הציבור מפני ההשפעה הממכרת של הסמים. הפסיקה גם הכירה בנזק הנלווה מעבירות הסמים, שנגרמות למי שמתמכר והעבירות הנלוות בדרך כלל לעבירות מעין אלה. . עוד הוסיפה, שעל פי הפסיקה הנוהגת יש להחמיר בדינם של כל מי שממלא פונקציה בשרשרת העברת הסמים, ויש לראות בחומרה את עבירת ההחזקה שלא לצריכה עצמית בדומה לעבירת הסחר.</w:t>
      </w:r>
    </w:p>
    <w:p w14:paraId="32150ABA" w14:textId="77777777" w:rsidR="00C65451" w:rsidRPr="0037076A" w:rsidRDefault="00C65451" w:rsidP="00C65451">
      <w:pPr>
        <w:pStyle w:val="a9"/>
        <w:spacing w:after="160" w:line="360" w:lineRule="auto"/>
        <w:ind w:left="283"/>
        <w:jc w:val="both"/>
        <w:rPr>
          <w:rFonts w:ascii="Calibri" w:hAnsi="Calibri"/>
          <w:sz w:val="12"/>
          <w:szCs w:val="12"/>
        </w:rPr>
      </w:pPr>
    </w:p>
    <w:p w14:paraId="6C4949CC" w14:textId="77777777" w:rsidR="00C65451" w:rsidRDefault="00C65451" w:rsidP="00C65451">
      <w:pPr>
        <w:pStyle w:val="a9"/>
        <w:numPr>
          <w:ilvl w:val="0"/>
          <w:numId w:val="1"/>
        </w:numPr>
        <w:spacing w:after="160" w:line="360" w:lineRule="auto"/>
        <w:ind w:left="283"/>
        <w:jc w:val="both"/>
        <w:rPr>
          <w:sz w:val="12"/>
          <w:szCs w:val="12"/>
        </w:rPr>
      </w:pPr>
      <w:r>
        <w:rPr>
          <w:rFonts w:ascii="Calibri" w:hAnsi="Calibri"/>
          <w:rtl/>
        </w:rPr>
        <w:t xml:space="preserve">אשר לפסיקה הנוהגת, טענה ב"כ המאשימה שמתחם העונש ההולם נע בין 3 שנות מאסר ל 5 שנות מאסר, והגישה פסיקה לתמיכה בטענותיה. אשר לנסיבות ביצוע העבירה, הדגישה ב"כ המאשימה כי מדובר ב-276 מנות של הרואין, כך שפוטנציאל הנזק הוא עצום, ומדובר בלשון המשפטית ב"הרעלת הציבור". </w:t>
      </w:r>
    </w:p>
    <w:p w14:paraId="52A11B35" w14:textId="77777777" w:rsidR="00C65451" w:rsidRDefault="00C65451" w:rsidP="00C65451">
      <w:pPr>
        <w:pStyle w:val="a9"/>
        <w:spacing w:after="160" w:line="360" w:lineRule="auto"/>
        <w:ind w:left="283"/>
        <w:jc w:val="both"/>
        <w:rPr>
          <w:sz w:val="12"/>
          <w:szCs w:val="12"/>
        </w:rPr>
      </w:pPr>
    </w:p>
    <w:p w14:paraId="099DA317" w14:textId="77777777" w:rsidR="00C65451" w:rsidRDefault="00C65451" w:rsidP="00C65451">
      <w:pPr>
        <w:pStyle w:val="a9"/>
        <w:numPr>
          <w:ilvl w:val="0"/>
          <w:numId w:val="1"/>
        </w:numPr>
        <w:spacing w:after="160" w:line="360" w:lineRule="auto"/>
        <w:ind w:left="360"/>
        <w:jc w:val="both"/>
        <w:rPr>
          <w:sz w:val="12"/>
          <w:szCs w:val="12"/>
        </w:rPr>
      </w:pPr>
      <w:r>
        <w:rPr>
          <w:rtl/>
        </w:rPr>
        <w:t xml:space="preserve">אשר למיקומו של הנאשם בתוך מתחם העונש ההולם, הרי שמדובר במי שעונשו צריך להיות בתחתית המתחם, וזאת נוכח החיסכון בזמן שיפוטי ולקיחת האחריות, אך אין מקום לחרוג ממתחם העונש ההולם מטעמי שיקום בהיעדר תסקיר והליך טיפולי יוצא דופן. בסופו של יום, עתרה המאשימה להטיל על הנאשם עונש מאסר בפועל בצירוף הענישה הנלווית של מאסר על תנאי וקנס, וכן כי בית המשפט יורה על השמדת הסמים. </w:t>
      </w:r>
    </w:p>
    <w:p w14:paraId="7F864CDE" w14:textId="77777777" w:rsidR="00C65451" w:rsidRDefault="00C65451" w:rsidP="00C65451">
      <w:pPr>
        <w:pStyle w:val="a9"/>
        <w:spacing w:after="160" w:line="360" w:lineRule="auto"/>
        <w:ind w:left="360"/>
        <w:jc w:val="both"/>
        <w:rPr>
          <w:sz w:val="12"/>
          <w:szCs w:val="12"/>
        </w:rPr>
      </w:pPr>
    </w:p>
    <w:p w14:paraId="5E3FE498" w14:textId="77777777" w:rsidR="00C65451" w:rsidRDefault="00C65451" w:rsidP="00C65451">
      <w:pPr>
        <w:pStyle w:val="a9"/>
        <w:numPr>
          <w:ilvl w:val="0"/>
          <w:numId w:val="1"/>
        </w:numPr>
        <w:spacing w:after="160" w:line="360" w:lineRule="auto"/>
        <w:ind w:left="360"/>
        <w:jc w:val="both"/>
        <w:rPr>
          <w:sz w:val="12"/>
          <w:szCs w:val="12"/>
        </w:rPr>
      </w:pPr>
      <w:r>
        <w:rPr>
          <w:rtl/>
        </w:rPr>
        <w:t>בא כוח הנאשם תמה על עמדתה של המאשימה שכן, היא מתעלמת מכך שמדובר במי שהחזיק בסם למשך יממה ואין חולק כי הוא החזיק בו עבור אחר, כך שמתחם העונש ההולם בנסיבות אלו צריך להיות נמוך בהרבה מהמתחם לו עתרה המאשימה, והוא צריך לעמוד על עונש שמתחיל        מ-12 חודשי מאסר. ב"כ הנאשם הגיש פסיקה לתמיכה בטענותיו. אשר לנסיבותיו האישיות של הנאשם, מסר כי מדובר בצעיר בן 25, ללא עבר פלילי, אשר לקח אחריות למעשיו, בשל מעצרו נדחתה חתונתו, וארוסתו וכל משפחתו נרתמו לתת לו עוגן רגשי. בא-כוחו ביקש להטיל עליו עונש מאסר קצר על מנת שיוכל לשוב לשגרת חייו, להקים משפחה ולחזור לנהל אורח חיים נורמטיבי.</w:t>
      </w:r>
    </w:p>
    <w:p w14:paraId="5431967A" w14:textId="77777777" w:rsidR="00C65451" w:rsidRDefault="00C65451" w:rsidP="00C65451">
      <w:pPr>
        <w:pStyle w:val="a9"/>
        <w:spacing w:after="160" w:line="360" w:lineRule="auto"/>
        <w:ind w:left="360"/>
        <w:jc w:val="both"/>
        <w:rPr>
          <w:sz w:val="12"/>
          <w:szCs w:val="12"/>
        </w:rPr>
      </w:pPr>
    </w:p>
    <w:p w14:paraId="0D669872" w14:textId="77777777" w:rsidR="00C65451" w:rsidRDefault="00C65451" w:rsidP="00C65451">
      <w:pPr>
        <w:pStyle w:val="a9"/>
        <w:numPr>
          <w:ilvl w:val="0"/>
          <w:numId w:val="1"/>
        </w:numPr>
        <w:spacing w:after="160" w:line="360" w:lineRule="auto"/>
        <w:ind w:left="360"/>
        <w:jc w:val="both"/>
        <w:rPr>
          <w:sz w:val="12"/>
          <w:szCs w:val="12"/>
        </w:rPr>
      </w:pPr>
      <w:r>
        <w:rPr>
          <w:rtl/>
        </w:rPr>
        <w:t>אביו של הנאשם העיד לעונש ומסר כי משפחתו מנהלת אורח חיים נורמטיבי, הוא גידל את ילדיו בצורה טובה, הוא הופתע עם מה שקרה עם הנאשם וכעס עליו מאוד. אביו הבטיח לשמור עליו לאחר שישתחרר על מנת שלא יחזור על מעשיו. עוד הוסיף כי ארוסתו של הנאשם ממתינה לו על מנת להינשא מיד לאחר השחרור, וכן מסר כי הנאשם עבד בבית חולים בעבודות ניקיון טרם מעצרו.</w:t>
      </w:r>
    </w:p>
    <w:p w14:paraId="33F303E3" w14:textId="77777777" w:rsidR="00C65451" w:rsidRDefault="00C65451" w:rsidP="00C65451">
      <w:pPr>
        <w:pStyle w:val="a9"/>
        <w:spacing w:after="160" w:line="360" w:lineRule="auto"/>
        <w:ind w:left="360"/>
        <w:jc w:val="both"/>
        <w:rPr>
          <w:sz w:val="12"/>
          <w:szCs w:val="12"/>
        </w:rPr>
      </w:pPr>
    </w:p>
    <w:p w14:paraId="0CE8F755" w14:textId="77777777" w:rsidR="00C65451" w:rsidRDefault="00C65451" w:rsidP="00C65451">
      <w:pPr>
        <w:pStyle w:val="a9"/>
        <w:numPr>
          <w:ilvl w:val="0"/>
          <w:numId w:val="1"/>
        </w:numPr>
        <w:spacing w:after="160" w:line="360" w:lineRule="auto"/>
        <w:ind w:left="360"/>
        <w:jc w:val="both"/>
        <w:rPr>
          <w:sz w:val="12"/>
          <w:szCs w:val="12"/>
        </w:rPr>
      </w:pPr>
      <w:r>
        <w:rPr>
          <w:rtl/>
        </w:rPr>
        <w:t>הנאשם הסתפק בדברי ב"כ ולא ביקש להוסיף עליהם.</w:t>
      </w:r>
    </w:p>
    <w:p w14:paraId="60651F84" w14:textId="77777777" w:rsidR="00C65451" w:rsidRDefault="00C65451" w:rsidP="00C65451">
      <w:pPr>
        <w:spacing w:after="160" w:line="360" w:lineRule="auto"/>
        <w:jc w:val="both"/>
        <w:rPr>
          <w:sz w:val="12"/>
          <w:szCs w:val="12"/>
        </w:rPr>
      </w:pPr>
    </w:p>
    <w:p w14:paraId="2276E82B" w14:textId="77777777" w:rsidR="00C65451" w:rsidRDefault="00C65451" w:rsidP="00C65451">
      <w:pPr>
        <w:spacing w:after="200" w:line="360" w:lineRule="auto"/>
        <w:contextualSpacing/>
        <w:jc w:val="both"/>
        <w:rPr>
          <w:rFonts w:ascii="Calibri" w:hAnsi="Calibri"/>
          <w:b/>
          <w:bCs/>
          <w:u w:val="single"/>
        </w:rPr>
      </w:pPr>
      <w:r>
        <w:rPr>
          <w:rFonts w:ascii="Calibri" w:hAnsi="Calibri"/>
          <w:b/>
          <w:bCs/>
          <w:u w:val="single"/>
          <w:rtl/>
        </w:rPr>
        <w:t>מתחם העונש ההולם</w:t>
      </w:r>
    </w:p>
    <w:p w14:paraId="46B56B99" w14:textId="77777777" w:rsidR="00C65451" w:rsidRPr="0037076A" w:rsidRDefault="00C65451" w:rsidP="00C65451">
      <w:pPr>
        <w:pStyle w:val="a9"/>
        <w:numPr>
          <w:ilvl w:val="0"/>
          <w:numId w:val="1"/>
        </w:numPr>
        <w:spacing w:after="160" w:line="360" w:lineRule="auto"/>
        <w:ind w:left="360"/>
        <w:jc w:val="both"/>
        <w:rPr>
          <w:rFonts w:ascii="David" w:hAnsi="David"/>
        </w:rPr>
      </w:pPr>
      <w:bookmarkStart w:id="7" w:name="casename_body"/>
      <w:r w:rsidRPr="0037076A">
        <w:rPr>
          <w:rFonts w:ascii="David" w:hAnsi="David"/>
          <w:rtl/>
        </w:rPr>
        <w:lastRenderedPageBreak/>
        <w:t>ב</w:t>
      </w:r>
      <w:bookmarkEnd w:id="7"/>
      <w:r w:rsidR="00FF6585" w:rsidRPr="00FF6585">
        <w:rPr>
          <w:rFonts w:ascii="David" w:hAnsi="David" w:cs="Times New Roman"/>
          <w:color w:val="0000FF"/>
          <w:u w:val="single"/>
          <w:rtl/>
        </w:rPr>
        <w:fldChar w:fldCharType="begin"/>
      </w:r>
      <w:r w:rsidR="00FF6585" w:rsidRPr="00FF6585">
        <w:rPr>
          <w:rFonts w:ascii="David" w:hAnsi="David" w:cs="Times New Roman"/>
          <w:color w:val="0000FF"/>
          <w:u w:val="single"/>
          <w:rtl/>
        </w:rPr>
        <w:instrText xml:space="preserve"> </w:instrText>
      </w:r>
      <w:r w:rsidR="00FF6585" w:rsidRPr="00FF6585">
        <w:rPr>
          <w:rFonts w:ascii="David" w:hAnsi="David" w:cs="Times New Roman"/>
          <w:color w:val="0000FF"/>
          <w:u w:val="single"/>
        </w:rPr>
        <w:instrText xml:space="preserve">HYPERLINK </w:instrText>
      </w:r>
      <w:r w:rsidR="00FF6585" w:rsidRPr="00FF6585">
        <w:rPr>
          <w:rFonts w:ascii="David" w:hAnsi="David" w:cs="Times New Roman"/>
          <w:color w:val="0000FF"/>
          <w:u w:val="single"/>
          <w:rtl/>
        </w:rPr>
        <w:instrText>"</w:instrText>
      </w:r>
      <w:r w:rsidR="00FF6585" w:rsidRPr="00FF6585">
        <w:rPr>
          <w:rFonts w:ascii="David" w:hAnsi="David" w:cs="Times New Roman"/>
          <w:color w:val="0000FF"/>
          <w:u w:val="single"/>
        </w:rPr>
        <w:instrText>http://www.nevo.co.il/case/5585052"</w:instrText>
      </w:r>
      <w:r w:rsidR="00FF6585" w:rsidRPr="00FF6585">
        <w:rPr>
          <w:rFonts w:ascii="David" w:hAnsi="David" w:cs="Times New Roman"/>
          <w:color w:val="0000FF"/>
          <w:u w:val="single"/>
          <w:rtl/>
        </w:rPr>
        <w:instrText xml:space="preserve"> </w:instrText>
      </w:r>
      <w:r w:rsidR="00FF6585" w:rsidRPr="00FF6585">
        <w:rPr>
          <w:rFonts w:ascii="David" w:hAnsi="David" w:cs="Times New Roman"/>
          <w:color w:val="0000FF"/>
          <w:u w:val="single"/>
          <w:rtl/>
        </w:rPr>
      </w:r>
      <w:r w:rsidR="00FF6585" w:rsidRPr="00FF6585">
        <w:rPr>
          <w:rFonts w:ascii="David" w:hAnsi="David" w:cs="Times New Roman"/>
          <w:color w:val="0000FF"/>
          <w:u w:val="single"/>
          <w:rtl/>
        </w:rPr>
        <w:fldChar w:fldCharType="separate"/>
      </w:r>
      <w:r w:rsidR="00FF6585" w:rsidRPr="00FF6585">
        <w:rPr>
          <w:rFonts w:ascii="David" w:hAnsi="David" w:cs="Times New Roman"/>
          <w:color w:val="0000FF"/>
          <w:u w:val="single"/>
          <w:rtl/>
        </w:rPr>
        <w:t>ע"פ  6747/11</w:t>
      </w:r>
      <w:r w:rsidR="00FF6585" w:rsidRPr="00FF6585">
        <w:rPr>
          <w:rFonts w:ascii="David" w:hAnsi="David" w:cs="Times New Roman"/>
          <w:color w:val="0000FF"/>
          <w:u w:val="single"/>
          <w:rtl/>
        </w:rPr>
        <w:fldChar w:fldCharType="end"/>
      </w:r>
      <w:r w:rsidRPr="0037076A">
        <w:rPr>
          <w:rFonts w:ascii="David" w:hAnsi="David"/>
          <w:rtl/>
        </w:rPr>
        <w:t xml:space="preserve"> </w:t>
      </w:r>
      <w:r w:rsidRPr="0037076A">
        <w:rPr>
          <w:rFonts w:ascii="David" w:hAnsi="David" w:hint="cs"/>
          <w:b/>
          <w:bCs/>
          <w:rtl/>
        </w:rPr>
        <w:t>מדינת ישראל</w:t>
      </w:r>
      <w:r w:rsidRPr="0037076A">
        <w:rPr>
          <w:rFonts w:ascii="David" w:hAnsi="David" w:hint="cs"/>
          <w:rtl/>
        </w:rPr>
        <w:t xml:space="preserve"> נ' </w:t>
      </w:r>
      <w:r w:rsidRPr="0037076A">
        <w:rPr>
          <w:rFonts w:ascii="David" w:hAnsi="David" w:hint="cs"/>
          <w:b/>
          <w:bCs/>
          <w:rtl/>
        </w:rPr>
        <w:t>מערוף אבו רקיק</w:t>
      </w:r>
      <w:r w:rsidRPr="0037076A">
        <w:rPr>
          <w:rFonts w:ascii="David" w:hAnsi="David" w:hint="cs"/>
          <w:rtl/>
        </w:rPr>
        <w:t xml:space="preserve"> (מיום 3.1.13) חזר בית משפט העליון על החומרה הטמונה בעבירות הקשורות בסמים והנזק הרב אשר הן גורמות לחברה. בית המשפט העליון הפנה לקביעה שנקבעה ב</w:t>
      </w:r>
      <w:hyperlink r:id="rId16" w:history="1">
        <w:r w:rsidR="00FF6585" w:rsidRPr="00FF6585">
          <w:rPr>
            <w:rFonts w:ascii="David" w:hAnsi="David" w:cs="Times New Roman"/>
            <w:color w:val="0000FF"/>
            <w:u w:val="single"/>
            <w:rtl/>
          </w:rPr>
          <w:t>ע"פ 211/09</w:t>
        </w:r>
      </w:hyperlink>
      <w:r w:rsidRPr="0037076A">
        <w:rPr>
          <w:rFonts w:ascii="David" w:hAnsi="David"/>
          <w:rtl/>
        </w:rPr>
        <w:t xml:space="preserve"> </w:t>
      </w:r>
      <w:r w:rsidRPr="0037076A">
        <w:rPr>
          <w:rFonts w:ascii="David" w:hAnsi="David" w:hint="cs"/>
          <w:b/>
          <w:bCs/>
          <w:rtl/>
        </w:rPr>
        <w:t>אזולאי נ' מדינת ישראל</w:t>
      </w:r>
      <w:r w:rsidRPr="0037076A">
        <w:rPr>
          <w:rFonts w:ascii="David" w:hAnsi="David" w:hint="cs"/>
          <w:rtl/>
        </w:rPr>
        <w:t xml:space="preserve"> ([פורסם בנבו], 22.6.2010):</w:t>
      </w:r>
    </w:p>
    <w:p w14:paraId="38EDAC57" w14:textId="77777777" w:rsidR="00C65451" w:rsidRPr="0037076A" w:rsidRDefault="00C65451" w:rsidP="00C65451">
      <w:pPr>
        <w:pStyle w:val="Ruller4"/>
        <w:ind w:left="720" w:hanging="153"/>
        <w:rPr>
          <w:rFonts w:cs="David"/>
          <w:sz w:val="12"/>
          <w:szCs w:val="12"/>
          <w:rtl/>
        </w:rPr>
      </w:pPr>
    </w:p>
    <w:p w14:paraId="10F964B1" w14:textId="77777777" w:rsidR="00C65451" w:rsidRPr="0037076A" w:rsidRDefault="00C65451" w:rsidP="00C65451">
      <w:pPr>
        <w:overflowPunct w:val="0"/>
        <w:autoSpaceDE w:val="0"/>
        <w:autoSpaceDN w:val="0"/>
        <w:spacing w:line="360" w:lineRule="auto"/>
        <w:ind w:left="1134" w:right="567"/>
        <w:jc w:val="both"/>
        <w:rPr>
          <w:rFonts w:ascii="Arial TUR" w:hAnsi="Arial TUR"/>
          <w:b/>
          <w:bCs/>
          <w:spacing w:val="10"/>
        </w:rPr>
      </w:pPr>
      <w:r w:rsidRPr="0037076A">
        <w:rPr>
          <w:rFonts w:ascii="Arial TUR" w:hAnsi="Arial TUR"/>
          <w:b/>
          <w:bCs/>
          <w:spacing w:val="10"/>
          <w:rtl/>
        </w:rPr>
        <w:t xml:space="preserve">"הענישה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(שם, בפיסקה 10, וראו גם, </w:t>
      </w:r>
      <w:hyperlink r:id="rId17" w:history="1">
        <w:r w:rsidR="00FF6585" w:rsidRPr="00FF6585">
          <w:rPr>
            <w:rFonts w:ascii="Arial TUR" w:hAnsi="Arial TUR" w:cs="Times New Roman"/>
            <w:b/>
            <w:bCs/>
            <w:color w:val="0000FF"/>
            <w:spacing w:val="10"/>
            <w:u w:val="single"/>
            <w:rtl/>
          </w:rPr>
          <w:t>ע"פ 9482/09</w:t>
        </w:r>
      </w:hyperlink>
      <w:r w:rsidRPr="0037076A">
        <w:rPr>
          <w:rFonts w:ascii="Arial TUR" w:hAnsi="Arial TUR"/>
          <w:b/>
          <w:bCs/>
          <w:spacing w:val="10"/>
          <w:rtl/>
        </w:rPr>
        <w:t xml:space="preserve"> ביטון נ' מדינת ישראל ([פורסם בנבו], 24.7.2011); </w:t>
      </w:r>
      <w:hyperlink r:id="rId18" w:history="1">
        <w:r w:rsidR="00FF6585" w:rsidRPr="00FF6585">
          <w:rPr>
            <w:rFonts w:ascii="Arial TUR" w:hAnsi="Arial TUR" w:cs="Times New Roman"/>
            <w:b/>
            <w:bCs/>
            <w:color w:val="0000FF"/>
            <w:spacing w:val="10"/>
            <w:u w:val="single"/>
            <w:rtl/>
          </w:rPr>
          <w:t>ע"פ 5765/10</w:t>
        </w:r>
      </w:hyperlink>
      <w:r w:rsidRPr="0037076A">
        <w:rPr>
          <w:rFonts w:ascii="Arial TUR" w:hAnsi="Arial TUR"/>
          <w:b/>
          <w:bCs/>
          <w:spacing w:val="10"/>
          <w:rtl/>
        </w:rPr>
        <w:t xml:space="preserve"> פלוני נ' מדינת ישראל ([פורסם בנבו], 5.6.2011); </w:t>
      </w:r>
      <w:hyperlink r:id="rId19" w:history="1">
        <w:r w:rsidR="00FF6585" w:rsidRPr="00FF6585">
          <w:rPr>
            <w:rFonts w:ascii="Arial TUR" w:hAnsi="Arial TUR" w:cs="Times New Roman"/>
            <w:b/>
            <w:bCs/>
            <w:color w:val="0000FF"/>
            <w:spacing w:val="10"/>
            <w:u w:val="single"/>
            <w:rtl/>
          </w:rPr>
          <w:t>ע"פ 3570/09</w:t>
        </w:r>
      </w:hyperlink>
      <w:r w:rsidRPr="0037076A">
        <w:rPr>
          <w:rFonts w:ascii="Arial TUR" w:hAnsi="Arial TUR"/>
          <w:b/>
          <w:bCs/>
          <w:spacing w:val="10"/>
          <w:rtl/>
        </w:rPr>
        <w:t xml:space="preserve"> אבו עמרה נ' מדינת ישראל ([פורסם בנבו], 3.5.2010)).</w:t>
      </w:r>
    </w:p>
    <w:p w14:paraId="4A98A108" w14:textId="77777777" w:rsidR="00C65451" w:rsidRPr="0037076A" w:rsidRDefault="00C65451" w:rsidP="00C65451">
      <w:pPr>
        <w:pStyle w:val="a9"/>
        <w:spacing w:line="360" w:lineRule="auto"/>
        <w:jc w:val="both"/>
        <w:rPr>
          <w:rFonts w:ascii="Arial" w:hAnsi="Arial"/>
          <w:b/>
          <w:bCs/>
          <w:sz w:val="12"/>
          <w:szCs w:val="12"/>
          <w:rtl/>
        </w:rPr>
      </w:pPr>
    </w:p>
    <w:p w14:paraId="5C669BBA" w14:textId="77777777" w:rsidR="00C65451" w:rsidRPr="0037076A" w:rsidRDefault="00C65451" w:rsidP="00C65451">
      <w:pPr>
        <w:pStyle w:val="a9"/>
        <w:spacing w:line="360" w:lineRule="auto"/>
        <w:jc w:val="both"/>
        <w:rPr>
          <w:rFonts w:ascii="Arial" w:hAnsi="Arial"/>
          <w:b/>
          <w:bCs/>
          <w:sz w:val="12"/>
          <w:szCs w:val="12"/>
          <w:rtl/>
        </w:rPr>
      </w:pPr>
    </w:p>
    <w:p w14:paraId="67711705" w14:textId="77777777" w:rsidR="00C65451" w:rsidRPr="0037076A" w:rsidRDefault="00C65451" w:rsidP="00C65451">
      <w:pPr>
        <w:pStyle w:val="a9"/>
        <w:numPr>
          <w:ilvl w:val="0"/>
          <w:numId w:val="1"/>
        </w:numPr>
        <w:spacing w:line="360" w:lineRule="auto"/>
        <w:jc w:val="both"/>
        <w:rPr>
          <w:rtl/>
        </w:rPr>
      </w:pPr>
      <w:r w:rsidRPr="0037076A">
        <w:rPr>
          <w:rtl/>
        </w:rPr>
        <w:t>אשר לעוצמת הפגיעה בערך המוגן כאשר מדובר בסם מסוכן מסוג הרואין, יפים הדברים שנאמרו ב</w:t>
      </w:r>
      <w:hyperlink r:id="rId20" w:history="1">
        <w:r w:rsidR="00FF6585" w:rsidRPr="00FF6585">
          <w:rPr>
            <w:rFonts w:cs="Times New Roman"/>
            <w:color w:val="0000FF"/>
            <w:u w:val="single"/>
            <w:rtl/>
          </w:rPr>
          <w:t>ע"פ 1945/13</w:t>
        </w:r>
      </w:hyperlink>
      <w:r w:rsidRPr="0037076A">
        <w:rPr>
          <w:rtl/>
        </w:rPr>
        <w:t xml:space="preserve"> </w:t>
      </w:r>
      <w:r w:rsidRPr="0037076A">
        <w:rPr>
          <w:rFonts w:hint="cs"/>
          <w:b/>
          <w:bCs/>
          <w:rtl/>
        </w:rPr>
        <w:t>עאמר אחמד נ' מדינת ישראל</w:t>
      </w:r>
      <w:r w:rsidRPr="0037076A">
        <w:rPr>
          <w:rFonts w:hint="cs"/>
          <w:rtl/>
        </w:rPr>
        <w:t xml:space="preserve"> (ניתן ביום 5.10.14), אשר נאמרו בהקשר לעבירת סחר בסמים אך ניתן ללמוד מהם גם לעניינינו: </w:t>
      </w:r>
    </w:p>
    <w:p w14:paraId="788CFC98" w14:textId="77777777" w:rsidR="00C65451" w:rsidRPr="0037076A" w:rsidRDefault="00C65451" w:rsidP="00C65451">
      <w:pPr>
        <w:spacing w:line="360" w:lineRule="auto"/>
        <w:ind w:left="720"/>
        <w:contextualSpacing/>
        <w:jc w:val="both"/>
        <w:rPr>
          <w:sz w:val="12"/>
          <w:szCs w:val="12"/>
          <w:rtl/>
        </w:rPr>
      </w:pPr>
    </w:p>
    <w:p w14:paraId="53C354FE" w14:textId="77777777" w:rsidR="00C65451" w:rsidRDefault="00C65451" w:rsidP="00C65451">
      <w:pPr>
        <w:overflowPunct w:val="0"/>
        <w:autoSpaceDE w:val="0"/>
        <w:autoSpaceDN w:val="0"/>
        <w:spacing w:line="360" w:lineRule="auto"/>
        <w:ind w:left="1134" w:right="567"/>
        <w:jc w:val="both"/>
        <w:rPr>
          <w:rFonts w:ascii="Arial TUR" w:hAnsi="Arial TUR"/>
          <w:b/>
          <w:bCs/>
          <w:spacing w:val="10"/>
        </w:rPr>
      </w:pPr>
      <w:r w:rsidRPr="0037076A">
        <w:rPr>
          <w:rFonts w:ascii="Arial TUR" w:hAnsi="Arial TUR"/>
          <w:b/>
          <w:bCs/>
          <w:spacing w:val="10"/>
          <w:rtl/>
        </w:rPr>
        <w:t xml:space="preserve">"רבות </w:t>
      </w:r>
      <w:r>
        <w:rPr>
          <w:rFonts w:ascii="Arial TUR" w:hAnsi="Arial TUR"/>
          <w:b/>
          <w:bCs/>
          <w:spacing w:val="10"/>
          <w:rtl/>
        </w:rPr>
        <w:t xml:space="preserve">נכתב ונאמר על חומרתן היתרה של עבירות הסמים, ובעיקר כאשר מדובר בסחר בסמים מסוכנים, המוגדרים כסמים "קשים", ועל כך איננו רואים צורך להכביר מילים. בית משפט זה הביע לא אחת את עמדתו, כי את נגע הסמים יש לשרש מן היסוד, וכי לנוכח הנזק העצום שמסבים עבירות הסמים, ובפרט כאשר מדובר בסמים מסוכנים כדוגמת  הרואין, יש להיאבק בתופעה על ידי הטלת עונשים מרתיעים על המעורבים בכל שרשרת תעשיית הסם. עם זאת, ברי כי כל מקרה ומקרה יבחן לפי נסיבותיו המיוחדות, תוך התחשבות, בין היתר, בכמות הסם ובטיבו, בעברו הפלילי של הנאשם, במצבו האישי והמשפחתי, ובנסיבות ביצוע..." </w:t>
      </w:r>
    </w:p>
    <w:p w14:paraId="07A08532" w14:textId="77777777" w:rsidR="00C65451" w:rsidRDefault="00C65451" w:rsidP="00C65451">
      <w:pPr>
        <w:pStyle w:val="a9"/>
        <w:spacing w:line="360" w:lineRule="auto"/>
        <w:jc w:val="both"/>
        <w:rPr>
          <w:rFonts w:ascii="Arial TUR" w:hAnsi="Arial TUR"/>
          <w:b/>
          <w:bCs/>
          <w:spacing w:val="10"/>
          <w:sz w:val="12"/>
          <w:szCs w:val="12"/>
        </w:rPr>
      </w:pPr>
    </w:p>
    <w:p w14:paraId="34227860" w14:textId="77777777" w:rsidR="00C65451" w:rsidRDefault="00C65451" w:rsidP="00C65451">
      <w:pPr>
        <w:pStyle w:val="a9"/>
        <w:numPr>
          <w:ilvl w:val="0"/>
          <w:numId w:val="1"/>
        </w:numPr>
        <w:spacing w:line="360" w:lineRule="auto"/>
        <w:jc w:val="both"/>
        <w:rPr>
          <w:rFonts w:ascii="Arial" w:hAnsi="Arial"/>
          <w:sz w:val="12"/>
          <w:szCs w:val="12"/>
          <w:rtl/>
        </w:rPr>
      </w:pPr>
      <w:r>
        <w:rPr>
          <w:rFonts w:ascii="Arial" w:hAnsi="Arial"/>
          <w:rtl/>
        </w:rPr>
        <w:t xml:space="preserve">עמדת בית המשפט העליון וכן העובדה שהמחוקק קבע לצד עבירת החזקת סם שלא לצריכה עצמית, עונש מאסר של 20 שנה, מלמדים על כך שמדובר בערך חברתי ממעלה ראשונה. </w:t>
      </w:r>
    </w:p>
    <w:p w14:paraId="2970D0F8" w14:textId="77777777" w:rsidR="00C65451" w:rsidRDefault="00C65451" w:rsidP="00C65451">
      <w:pPr>
        <w:spacing w:line="360" w:lineRule="auto"/>
        <w:jc w:val="both"/>
        <w:rPr>
          <w:rFonts w:ascii="Arial" w:hAnsi="Arial"/>
          <w:sz w:val="12"/>
          <w:szCs w:val="12"/>
        </w:rPr>
      </w:pPr>
    </w:p>
    <w:p w14:paraId="680D889E" w14:textId="77777777" w:rsidR="00C65451" w:rsidRPr="0037076A" w:rsidRDefault="00C65451" w:rsidP="00C65451">
      <w:pPr>
        <w:pStyle w:val="a9"/>
        <w:numPr>
          <w:ilvl w:val="0"/>
          <w:numId w:val="1"/>
        </w:numPr>
        <w:spacing w:line="360" w:lineRule="auto"/>
        <w:jc w:val="both"/>
        <w:rPr>
          <w:rFonts w:ascii="David" w:hAnsi="David"/>
        </w:rPr>
      </w:pPr>
      <w:r w:rsidRPr="00FF6585">
        <w:rPr>
          <w:rFonts w:ascii="David" w:hAnsi="David" w:cs="Times New Roman"/>
          <w:color w:val="000000"/>
          <w:rtl/>
        </w:rPr>
        <w:t xml:space="preserve">סעיף </w:t>
      </w:r>
      <w:hyperlink r:id="rId21" w:history="1">
        <w:r w:rsidR="00820B59" w:rsidRPr="00820B59">
          <w:rPr>
            <w:rStyle w:val="Hyperlink"/>
            <w:rFonts w:ascii="David" w:hAnsi="David"/>
            <w:rtl/>
          </w:rPr>
          <w:t>40 ג'</w:t>
        </w:r>
      </w:hyperlink>
      <w:r w:rsidRPr="0037076A">
        <w:rPr>
          <w:rFonts w:ascii="David" w:hAnsi="David"/>
          <w:rtl/>
        </w:rPr>
        <w:t xml:space="preserve"> ל</w:t>
      </w:r>
      <w:hyperlink r:id="rId22" w:history="1">
        <w:r w:rsidR="00FF6585" w:rsidRPr="00FF6585">
          <w:rPr>
            <w:rFonts w:ascii="David" w:hAnsi="David" w:cs="Times New Roman"/>
            <w:color w:val="0000FF"/>
            <w:u w:val="single"/>
            <w:rtl/>
          </w:rPr>
          <w:t>חוק העונשין</w:t>
        </w:r>
      </w:hyperlink>
      <w:r w:rsidRPr="0037076A">
        <w:rPr>
          <w:rFonts w:ascii="David" w:hAnsi="David"/>
          <w:rtl/>
        </w:rPr>
        <w:t xml:space="preserve"> קובע, כי בקביעת מתחם העונש ההולם על בית המשפט להתחשב בנסיבות הקשורות בביצוע העבירה בהתאם לסעיף </w:t>
      </w:r>
      <w:hyperlink r:id="rId23" w:history="1">
        <w:r w:rsidR="00820B59" w:rsidRPr="00820B59">
          <w:rPr>
            <w:rStyle w:val="Hyperlink"/>
            <w:rFonts w:ascii="David" w:hAnsi="David"/>
            <w:rtl/>
          </w:rPr>
          <w:t>40 ט'</w:t>
        </w:r>
      </w:hyperlink>
      <w:r w:rsidRPr="0037076A">
        <w:rPr>
          <w:rFonts w:ascii="David" w:hAnsi="David"/>
          <w:rtl/>
        </w:rPr>
        <w:t xml:space="preserve"> לחוק העונשין. מנסיבות ביצוע העבירה עולה כי הנאשם החזיק כמות שהיא פי כ-600 מהחזקה הקבועה בחוק, הסם היה מחולק ל-276 ומדובר בסם במדרג חומרה גבוה. מנגד, אין חולק כי הנאשם החזיק בסמים ליממה אחת לאחר שקיבל אותם מאחר.</w:t>
      </w:r>
    </w:p>
    <w:p w14:paraId="6A3EFD06" w14:textId="77777777" w:rsidR="00C65451" w:rsidRPr="0037076A" w:rsidRDefault="00C65451" w:rsidP="00C65451">
      <w:pPr>
        <w:pStyle w:val="a9"/>
        <w:spacing w:line="360" w:lineRule="auto"/>
        <w:jc w:val="both"/>
        <w:rPr>
          <w:rFonts w:ascii="David" w:hAnsi="David"/>
          <w:sz w:val="12"/>
          <w:szCs w:val="12"/>
        </w:rPr>
      </w:pPr>
    </w:p>
    <w:p w14:paraId="0D7DB10A" w14:textId="77777777" w:rsidR="00C65451" w:rsidRDefault="00C65451" w:rsidP="00C65451">
      <w:pPr>
        <w:pStyle w:val="a9"/>
        <w:numPr>
          <w:ilvl w:val="0"/>
          <w:numId w:val="1"/>
        </w:numPr>
        <w:spacing w:line="360" w:lineRule="auto"/>
        <w:jc w:val="both"/>
        <w:rPr>
          <w:rFonts w:ascii="Calibri" w:hAnsi="Calibri"/>
        </w:rPr>
      </w:pPr>
      <w:r w:rsidRPr="0037076A">
        <w:rPr>
          <w:rFonts w:ascii="David" w:hAnsi="David"/>
          <w:rtl/>
        </w:rPr>
        <w:t xml:space="preserve">אשר לענישה הנוהגת אשר הציגה ב"כ המאשימה, מדובר בנסיבות בהן החזיקו הנאשמים בסמים שלהם ולא בשביל אחרים, או שהחזיקו בסמים ביחד עם משקל או ברחוב, דבר המחזק את הקשר בין החזקת הסם לבין הסחר בו, בעוד שכאן אין חולק  כי הנאשם החזיק בסמים לזמן קצר בשביל אדם אחר. </w:t>
      </w:r>
      <w:r w:rsidRPr="0037076A">
        <w:rPr>
          <w:rFonts w:ascii="Calibri" w:hAnsi="Calibri"/>
          <w:rtl/>
        </w:rPr>
        <w:t xml:space="preserve">אשר לענישה הנוהגת </w:t>
      </w:r>
      <w:r>
        <w:rPr>
          <w:rFonts w:ascii="Calibri" w:hAnsi="Calibri"/>
          <w:rtl/>
        </w:rPr>
        <w:t xml:space="preserve">אותה הציג ב"כ הנאשם, היא מתייחסת בעיקרה לנאשמים אשר עברו הליכי שיקום, כאשר בית משפט החליט שלא למצות עימם את הדין, ולהעדיף את אפיק השיקום, ולכן מדובר בעונשים החורגים ממתחם העונש ההולם.  </w:t>
      </w:r>
    </w:p>
    <w:p w14:paraId="29FD88A7" w14:textId="77777777" w:rsidR="00C65451" w:rsidRDefault="00C65451" w:rsidP="00C65451">
      <w:pPr>
        <w:pStyle w:val="a9"/>
        <w:spacing w:line="360" w:lineRule="auto"/>
        <w:jc w:val="both"/>
        <w:rPr>
          <w:rFonts w:ascii="Calibri" w:hAnsi="Calibri"/>
          <w:sz w:val="14"/>
          <w:szCs w:val="14"/>
        </w:rPr>
      </w:pPr>
    </w:p>
    <w:p w14:paraId="7E703519" w14:textId="77777777" w:rsidR="00C65451" w:rsidRDefault="00C65451" w:rsidP="00C65451">
      <w:pPr>
        <w:numPr>
          <w:ilvl w:val="0"/>
          <w:numId w:val="1"/>
        </w:numPr>
        <w:spacing w:after="160" w:line="360" w:lineRule="auto"/>
        <w:ind w:left="283"/>
        <w:contextualSpacing/>
        <w:jc w:val="both"/>
        <w:rPr>
          <w:sz w:val="12"/>
          <w:szCs w:val="12"/>
        </w:rPr>
      </w:pPr>
      <w:r>
        <w:rPr>
          <w:rFonts w:ascii="Calibri" w:hAnsi="Calibri"/>
          <w:rtl/>
        </w:rPr>
        <w:t xml:space="preserve">סקירת הענישה הנוהגת מלמדת כי העונשים שהוטלו הם מאסר בפועל ממש לתקופות ממושכות הנעות בין 18 חודשי מאסר ועד ל-48 חודשי מאסר בפועל, וזאת בהתחשב בטיב הסם, בכמות ובנסיבות תפיסת הסם. (ראה </w:t>
      </w:r>
      <w:r>
        <w:rPr>
          <w:rFonts w:ascii="Arial" w:hAnsi="Arial"/>
          <w:rtl/>
        </w:rPr>
        <w:t>ב</w:t>
      </w:r>
      <w:hyperlink r:id="rId24" w:history="1">
        <w:r w:rsidR="00FF6585" w:rsidRPr="00FF6585">
          <w:rPr>
            <w:color w:val="0000FF"/>
            <w:u w:val="single"/>
            <w:rtl/>
          </w:rPr>
          <w:t>ע"פ 7196/11</w:t>
        </w:r>
      </w:hyperlink>
      <w:r>
        <w:rPr>
          <w:rtl/>
        </w:rPr>
        <w:t xml:space="preserve"> </w:t>
      </w:r>
      <w:r>
        <w:rPr>
          <w:b/>
          <w:bCs/>
          <w:rtl/>
        </w:rPr>
        <w:t xml:space="preserve">מדינת ישראל נ' טיזאוי </w:t>
      </w:r>
      <w:r>
        <w:rPr>
          <w:rtl/>
        </w:rPr>
        <w:t>(19.6.12); ב</w:t>
      </w:r>
      <w:hyperlink r:id="rId25" w:history="1">
        <w:r w:rsidR="00FF6585" w:rsidRPr="00FF6585">
          <w:rPr>
            <w:color w:val="0000FF"/>
            <w:u w:val="single"/>
            <w:rtl/>
          </w:rPr>
          <w:t>ת"פ 24514-09-15</w:t>
        </w:r>
      </w:hyperlink>
      <w:r>
        <w:rPr>
          <w:rtl/>
        </w:rPr>
        <w:t xml:space="preserve"> </w:t>
      </w:r>
      <w:r>
        <w:rPr>
          <w:b/>
          <w:bCs/>
          <w:rtl/>
        </w:rPr>
        <w:t xml:space="preserve">מדינת ישראל נ' פורת ואח' </w:t>
      </w:r>
      <w:r>
        <w:rPr>
          <w:rtl/>
        </w:rPr>
        <w:t xml:space="preserve">(2.1.17); </w:t>
      </w:r>
      <w:hyperlink r:id="rId26" w:history="1">
        <w:r w:rsidR="00FF6585" w:rsidRPr="00FF6585">
          <w:rPr>
            <w:color w:val="0000FF"/>
            <w:u w:val="single"/>
            <w:rtl/>
          </w:rPr>
          <w:t>ת"פ 58488-08-18</w:t>
        </w:r>
      </w:hyperlink>
      <w:r>
        <w:rPr>
          <w:rtl/>
        </w:rPr>
        <w:t xml:space="preserve"> </w:t>
      </w:r>
      <w:r>
        <w:rPr>
          <w:b/>
          <w:bCs/>
          <w:rtl/>
        </w:rPr>
        <w:t>מדינת ישראל נ' ז'בניה</w:t>
      </w:r>
      <w:r>
        <w:rPr>
          <w:rtl/>
        </w:rPr>
        <w:t xml:space="preserve"> (16.4.19).</w:t>
      </w:r>
    </w:p>
    <w:p w14:paraId="31B1F665" w14:textId="77777777" w:rsidR="00C65451" w:rsidRDefault="00C65451" w:rsidP="00C65451">
      <w:pPr>
        <w:spacing w:line="360" w:lineRule="auto"/>
        <w:ind w:left="360"/>
        <w:jc w:val="both"/>
        <w:rPr>
          <w:sz w:val="12"/>
          <w:szCs w:val="12"/>
        </w:rPr>
      </w:pPr>
    </w:p>
    <w:p w14:paraId="13465357" w14:textId="77777777" w:rsidR="00C65451" w:rsidRDefault="00C65451" w:rsidP="00C65451">
      <w:pPr>
        <w:numPr>
          <w:ilvl w:val="0"/>
          <w:numId w:val="1"/>
        </w:numPr>
        <w:spacing w:after="160" w:line="360" w:lineRule="auto"/>
        <w:ind w:left="283"/>
        <w:contextualSpacing/>
        <w:jc w:val="both"/>
      </w:pPr>
      <w:r>
        <w:rPr>
          <w:rFonts w:ascii="Arial" w:hAnsi="Arial"/>
          <w:rtl/>
        </w:rPr>
        <w:t xml:space="preserve">בהתחשב בכל אלה </w:t>
      </w:r>
      <w:r>
        <w:rPr>
          <w:rtl/>
        </w:rPr>
        <w:t xml:space="preserve">אני סבורה כי מתחם הענישה ההולם, בנסיבותיו של תיק זה, כאשר מדובר בכמות סמים גדולה ובסם מסוכן במדרג חומרה גבוה ביותר , ומנגד מדובר בהחזקה קצרה עבור אחר, נע בין עונש של 15 חודשי מאסר בפועל ועד ל- 30 חודשי מאסר בפועל. </w:t>
      </w:r>
    </w:p>
    <w:p w14:paraId="0BF7F17F" w14:textId="77777777" w:rsidR="00C65451" w:rsidRDefault="00C65451" w:rsidP="00C65451">
      <w:pPr>
        <w:pStyle w:val="a9"/>
        <w:spacing w:line="360" w:lineRule="auto"/>
        <w:jc w:val="both"/>
        <w:rPr>
          <w:sz w:val="12"/>
          <w:szCs w:val="12"/>
        </w:rPr>
      </w:pPr>
    </w:p>
    <w:p w14:paraId="41F85427" w14:textId="77777777" w:rsidR="00C65451" w:rsidRDefault="00C65451" w:rsidP="00C65451">
      <w:pPr>
        <w:numPr>
          <w:ilvl w:val="0"/>
          <w:numId w:val="1"/>
        </w:numPr>
        <w:spacing w:after="160" w:line="360" w:lineRule="auto"/>
        <w:ind w:left="283"/>
        <w:contextualSpacing/>
        <w:jc w:val="both"/>
        <w:rPr>
          <w:rtl/>
        </w:rPr>
      </w:pPr>
      <w:r>
        <w:rPr>
          <w:rFonts w:ascii="David" w:hAnsi="David"/>
          <w:color w:val="000000"/>
          <w:rtl/>
        </w:rPr>
        <w:t>במקרה דנן, לא קיימים שיקולים אשר מצדיקים חריגה מהמתחם, לחומרה או לקולה, שכן  בתיק זה לא התקבל תסקיר שירות מבחן על כן אין אופק שיקומי בעניינו של הנאשם. כמו כן לא עולה כי יש לחרוג ממתחם העונש ההולם מטעמי הגנה על הציבור בעניינו של הנאשם.</w:t>
      </w:r>
    </w:p>
    <w:p w14:paraId="6EC12CCA" w14:textId="77777777" w:rsidR="00C65451" w:rsidRDefault="00C65451" w:rsidP="00C65451">
      <w:pPr>
        <w:spacing w:after="160" w:line="360" w:lineRule="auto"/>
        <w:contextualSpacing/>
        <w:jc w:val="both"/>
        <w:rPr>
          <w:rFonts w:ascii="David" w:hAnsi="David"/>
          <w:b/>
          <w:bCs/>
          <w:u w:val="single"/>
        </w:rPr>
      </w:pPr>
    </w:p>
    <w:p w14:paraId="03E02C4F" w14:textId="77777777" w:rsidR="00C65451" w:rsidRPr="0037076A" w:rsidRDefault="00C65451" w:rsidP="00C65451">
      <w:pPr>
        <w:spacing w:after="160" w:line="360" w:lineRule="auto"/>
        <w:contextualSpacing/>
        <w:jc w:val="both"/>
        <w:rPr>
          <w:rFonts w:ascii="David" w:hAnsi="David"/>
          <w:b/>
          <w:bCs/>
          <w:rtl/>
        </w:rPr>
      </w:pPr>
      <w:r w:rsidRPr="0037076A">
        <w:rPr>
          <w:rFonts w:ascii="David" w:hAnsi="David"/>
          <w:b/>
          <w:bCs/>
          <w:rtl/>
        </w:rPr>
        <w:t>העונש המתאים</w:t>
      </w:r>
    </w:p>
    <w:p w14:paraId="4A108DF8" w14:textId="77777777" w:rsidR="00C65451" w:rsidRPr="0037076A" w:rsidRDefault="00C65451" w:rsidP="00C65451">
      <w:pPr>
        <w:numPr>
          <w:ilvl w:val="0"/>
          <w:numId w:val="1"/>
        </w:numPr>
        <w:spacing w:after="160" w:line="360" w:lineRule="auto"/>
        <w:ind w:left="283"/>
        <w:contextualSpacing/>
        <w:jc w:val="both"/>
        <w:rPr>
          <w:rFonts w:ascii="David" w:hAnsi="David"/>
          <w:sz w:val="12"/>
          <w:szCs w:val="12"/>
        </w:rPr>
      </w:pPr>
      <w:r w:rsidRPr="0037076A">
        <w:rPr>
          <w:rFonts w:ascii="David" w:hAnsi="David"/>
          <w:rtl/>
        </w:rPr>
        <w:t xml:space="preserve">אשר לנסיבות שאינן קשורות לביצוע העבירה שקלתי, בין היתר, את גילו של הנאשם שהוא בן 25 שנים; רווק, מאורס המתעתד להתחתן עם שחרורו; הנאשם עבד טרם מעצרו וניהל אורח חיים נורמטיבי; הוא נעדר עבר פלילי; לקח אחריות מלאה למעשיו וחסך זמן שיפוטי משמעותי. משפחתו תומכת בו ותסייע לו לאחר שחרורו לחזור לדרך הישר. עוד התחשבתי בכך במי ששהה במעצר מזה כ-9 חודשים, וידוע כי תנאי מעצר קשים מתנאי מאסר. </w:t>
      </w:r>
    </w:p>
    <w:p w14:paraId="78233091" w14:textId="77777777" w:rsidR="00C65451" w:rsidRPr="0037076A" w:rsidRDefault="00C65451" w:rsidP="00C65451">
      <w:pPr>
        <w:spacing w:after="160" w:line="360" w:lineRule="auto"/>
        <w:ind w:left="283"/>
        <w:contextualSpacing/>
        <w:jc w:val="both"/>
        <w:rPr>
          <w:rFonts w:ascii="David" w:hAnsi="David"/>
          <w:sz w:val="12"/>
          <w:szCs w:val="12"/>
        </w:rPr>
      </w:pPr>
    </w:p>
    <w:p w14:paraId="790B23D5" w14:textId="77777777" w:rsidR="00C65451" w:rsidRPr="0037076A" w:rsidRDefault="00C65451" w:rsidP="00C65451">
      <w:pPr>
        <w:numPr>
          <w:ilvl w:val="0"/>
          <w:numId w:val="1"/>
        </w:numPr>
        <w:spacing w:after="160" w:line="360" w:lineRule="auto"/>
        <w:ind w:left="283"/>
        <w:contextualSpacing/>
        <w:jc w:val="both"/>
        <w:rPr>
          <w:rFonts w:ascii="David" w:hAnsi="David"/>
          <w:sz w:val="12"/>
          <w:szCs w:val="12"/>
        </w:rPr>
      </w:pPr>
      <w:r w:rsidRPr="0037076A">
        <w:rPr>
          <w:rtl/>
        </w:rPr>
        <w:t>עוד שקלתי את הצורך בהרתעת הנאשם בהיעדר אופק שיקומי, וכן את הצורך בהרתעת הרבים, ולעניין זה יפים דבריו של בית המשפט העליון בדבר הצורך במלחמה בתופעה ובמיגורה, תוך הטלת עונשים מרתיעים, שנאמרו מפי כב' השופט ס' ג'ובראן ב</w:t>
      </w:r>
      <w:hyperlink r:id="rId27" w:history="1">
        <w:r w:rsidR="00FF6585" w:rsidRPr="00FF6585">
          <w:rPr>
            <w:rFonts w:cs="Times New Roman"/>
            <w:color w:val="0000FF"/>
            <w:u w:val="single"/>
            <w:rtl/>
          </w:rPr>
          <w:t>ע"פ 9482/09</w:t>
        </w:r>
      </w:hyperlink>
      <w:r w:rsidRPr="0037076A">
        <w:rPr>
          <w:rtl/>
        </w:rPr>
        <w:t xml:space="preserve"> </w:t>
      </w:r>
      <w:r w:rsidRPr="0037076A">
        <w:rPr>
          <w:rFonts w:hint="cs"/>
          <w:b/>
          <w:bCs/>
          <w:rtl/>
        </w:rPr>
        <w:t>שמעון ביטון נ' מדינת ישראל</w:t>
      </w:r>
      <w:r w:rsidRPr="0037076A">
        <w:rPr>
          <w:rFonts w:hint="cs"/>
          <w:rtl/>
        </w:rPr>
        <w:t xml:space="preserve"> (פורסם בנבו, 24.07.2011) בפסקה 24:</w:t>
      </w:r>
    </w:p>
    <w:p w14:paraId="3B6A97A4" w14:textId="77777777" w:rsidR="00C65451" w:rsidRPr="0037076A" w:rsidRDefault="00C65451" w:rsidP="00C65451">
      <w:pPr>
        <w:spacing w:after="160" w:line="360" w:lineRule="auto"/>
        <w:ind w:left="720"/>
        <w:contextualSpacing/>
        <w:jc w:val="both"/>
        <w:rPr>
          <w:sz w:val="12"/>
          <w:szCs w:val="12"/>
        </w:rPr>
      </w:pPr>
      <w:r w:rsidRPr="0037076A">
        <w:rPr>
          <w:sz w:val="14"/>
          <w:szCs w:val="14"/>
          <w:rtl/>
        </w:rPr>
        <w:softHyphen/>
      </w:r>
    </w:p>
    <w:p w14:paraId="034852C3" w14:textId="77777777" w:rsidR="00C65451" w:rsidRPr="0037076A" w:rsidRDefault="00C65451" w:rsidP="00C65451">
      <w:pPr>
        <w:shd w:val="clear" w:color="auto" w:fill="FFFFFF"/>
        <w:adjustRightInd w:val="0"/>
        <w:spacing w:before="100" w:after="100"/>
        <w:ind w:left="1134" w:right="567"/>
        <w:contextualSpacing/>
        <w:jc w:val="both"/>
        <w:rPr>
          <w:rFonts w:ascii="Arial TUR" w:hAnsi="Arial TUR"/>
          <w:b/>
          <w:bCs/>
          <w:spacing w:val="10"/>
        </w:rPr>
      </w:pPr>
      <w:r w:rsidRPr="0037076A">
        <w:rPr>
          <w:rFonts w:ascii="Arial TUR" w:hAnsi="Arial TUR"/>
          <w:b/>
          <w:bCs/>
          <w:spacing w:val="10"/>
          <w:rtl/>
        </w:rPr>
        <w:t>"אכן,</w:t>
      </w:r>
      <w:r w:rsidRPr="0037076A">
        <w:rPr>
          <w:rFonts w:ascii="Arial TUR" w:hAnsi="Arial TUR"/>
          <w:b/>
          <w:bCs/>
          <w:spacing w:val="10"/>
        </w:rPr>
        <w:t xml:space="preserve"> </w:t>
      </w:r>
      <w:r w:rsidRPr="0037076A">
        <w:rPr>
          <w:rFonts w:ascii="Arial TUR" w:hAnsi="Arial TUR"/>
          <w:b/>
          <w:bCs/>
          <w:spacing w:val="10"/>
          <w:rtl/>
        </w:rPr>
        <w:t>נגע</w:t>
      </w:r>
      <w:r w:rsidRPr="0037076A">
        <w:rPr>
          <w:rFonts w:ascii="Arial TUR" w:hAnsi="Arial TUR"/>
          <w:b/>
          <w:bCs/>
          <w:spacing w:val="10"/>
        </w:rPr>
        <w:t xml:space="preserve"> </w:t>
      </w:r>
      <w:r w:rsidRPr="0037076A">
        <w:rPr>
          <w:rFonts w:ascii="Arial TUR" w:hAnsi="Arial TUR"/>
          <w:b/>
          <w:bCs/>
          <w:spacing w:val="10"/>
          <w:rtl/>
        </w:rPr>
        <w:t>הסמים</w:t>
      </w:r>
      <w:r w:rsidRPr="0037076A">
        <w:rPr>
          <w:rFonts w:ascii="Arial TUR" w:hAnsi="Arial TUR"/>
          <w:b/>
          <w:bCs/>
          <w:spacing w:val="10"/>
        </w:rPr>
        <w:t xml:space="preserve"> </w:t>
      </w:r>
      <w:r w:rsidRPr="0037076A">
        <w:rPr>
          <w:rFonts w:ascii="Arial TUR" w:hAnsi="Arial TUR"/>
          <w:b/>
          <w:bCs/>
          <w:spacing w:val="10"/>
          <w:rtl/>
        </w:rPr>
        <w:t>הפוגע</w:t>
      </w:r>
      <w:r w:rsidRPr="0037076A">
        <w:rPr>
          <w:rFonts w:ascii="Arial TUR" w:hAnsi="Arial TUR"/>
          <w:b/>
          <w:bCs/>
          <w:spacing w:val="10"/>
        </w:rPr>
        <w:t xml:space="preserve"> </w:t>
      </w:r>
      <w:r w:rsidRPr="0037076A">
        <w:rPr>
          <w:rFonts w:ascii="Arial TUR" w:hAnsi="Arial TUR"/>
          <w:b/>
          <w:bCs/>
          <w:spacing w:val="10"/>
          <w:rtl/>
        </w:rPr>
        <w:t>קשות</w:t>
      </w:r>
      <w:r w:rsidRPr="0037076A">
        <w:rPr>
          <w:rFonts w:ascii="Arial TUR" w:hAnsi="Arial TUR"/>
          <w:b/>
          <w:bCs/>
          <w:spacing w:val="10"/>
        </w:rPr>
        <w:t xml:space="preserve"> </w:t>
      </w:r>
      <w:r w:rsidRPr="0037076A">
        <w:rPr>
          <w:rFonts w:ascii="Arial TUR" w:hAnsi="Arial TUR"/>
          <w:b/>
          <w:bCs/>
          <w:spacing w:val="10"/>
          <w:rtl/>
        </w:rPr>
        <w:t>בחברתנו</w:t>
      </w:r>
      <w:r w:rsidRPr="0037076A">
        <w:rPr>
          <w:rFonts w:ascii="Arial TUR" w:hAnsi="Arial TUR"/>
          <w:b/>
          <w:bCs/>
          <w:spacing w:val="10"/>
        </w:rPr>
        <w:t xml:space="preserve"> </w:t>
      </w:r>
      <w:r w:rsidRPr="0037076A">
        <w:rPr>
          <w:rFonts w:ascii="Arial TUR" w:hAnsi="Arial TUR"/>
          <w:b/>
          <w:bCs/>
          <w:spacing w:val="10"/>
          <w:rtl/>
        </w:rPr>
        <w:t>מחייב</w:t>
      </w:r>
      <w:r w:rsidRPr="0037076A">
        <w:rPr>
          <w:rFonts w:ascii="Arial TUR" w:hAnsi="Arial TUR"/>
          <w:b/>
          <w:bCs/>
          <w:spacing w:val="10"/>
        </w:rPr>
        <w:t xml:space="preserve"> </w:t>
      </w:r>
      <w:r w:rsidRPr="0037076A">
        <w:rPr>
          <w:rFonts w:ascii="Arial TUR" w:hAnsi="Arial TUR"/>
          <w:b/>
          <w:bCs/>
          <w:spacing w:val="10"/>
          <w:rtl/>
        </w:rPr>
        <w:t>מלחמת</w:t>
      </w:r>
      <w:r w:rsidRPr="0037076A">
        <w:rPr>
          <w:rFonts w:ascii="Arial TUR" w:hAnsi="Arial TUR"/>
          <w:b/>
          <w:bCs/>
          <w:spacing w:val="10"/>
        </w:rPr>
        <w:t xml:space="preserve"> </w:t>
      </w:r>
      <w:r w:rsidRPr="0037076A">
        <w:rPr>
          <w:rFonts w:ascii="Arial TUR" w:hAnsi="Arial TUR"/>
          <w:b/>
          <w:bCs/>
          <w:spacing w:val="10"/>
          <w:rtl/>
        </w:rPr>
        <w:t>חורמה</w:t>
      </w:r>
      <w:r w:rsidRPr="0037076A">
        <w:rPr>
          <w:rFonts w:ascii="Arial TUR" w:hAnsi="Arial TUR"/>
          <w:b/>
          <w:bCs/>
          <w:spacing w:val="10"/>
        </w:rPr>
        <w:t xml:space="preserve"> </w:t>
      </w:r>
      <w:r w:rsidRPr="0037076A">
        <w:rPr>
          <w:rFonts w:ascii="Arial TUR" w:hAnsi="Arial TUR"/>
          <w:b/>
          <w:bCs/>
          <w:spacing w:val="10"/>
          <w:rtl/>
        </w:rPr>
        <w:t>והעונשים</w:t>
      </w:r>
      <w:r w:rsidRPr="0037076A">
        <w:rPr>
          <w:rFonts w:ascii="Arial TUR" w:hAnsi="Arial TUR"/>
          <w:b/>
          <w:bCs/>
          <w:spacing w:val="10"/>
        </w:rPr>
        <w:t xml:space="preserve"> </w:t>
      </w:r>
      <w:r w:rsidRPr="0037076A">
        <w:rPr>
          <w:rFonts w:ascii="Arial TUR" w:hAnsi="Arial TUR"/>
          <w:b/>
          <w:bCs/>
          <w:spacing w:val="10"/>
          <w:rtl/>
        </w:rPr>
        <w:t>שיגזרו</w:t>
      </w:r>
      <w:r w:rsidRPr="0037076A">
        <w:rPr>
          <w:rFonts w:ascii="Arial TUR" w:hAnsi="Arial TUR"/>
          <w:b/>
          <w:bCs/>
          <w:spacing w:val="10"/>
        </w:rPr>
        <w:t xml:space="preserve"> </w:t>
      </w:r>
      <w:r w:rsidRPr="0037076A">
        <w:rPr>
          <w:rFonts w:ascii="Arial TUR" w:hAnsi="Arial TUR"/>
          <w:b/>
          <w:bCs/>
          <w:spacing w:val="10"/>
          <w:rtl/>
        </w:rPr>
        <w:t>על</w:t>
      </w:r>
      <w:r w:rsidRPr="0037076A">
        <w:rPr>
          <w:rFonts w:ascii="Arial TUR" w:hAnsi="Arial TUR"/>
          <w:b/>
          <w:bCs/>
          <w:spacing w:val="10"/>
        </w:rPr>
        <w:t xml:space="preserve"> </w:t>
      </w:r>
      <w:r w:rsidRPr="0037076A">
        <w:rPr>
          <w:rFonts w:ascii="Arial TUR" w:hAnsi="Arial TUR"/>
          <w:b/>
          <w:bCs/>
          <w:spacing w:val="10"/>
          <w:rtl/>
        </w:rPr>
        <w:t>ידי</w:t>
      </w:r>
      <w:r w:rsidRPr="0037076A">
        <w:rPr>
          <w:rFonts w:ascii="Arial TUR" w:hAnsi="Arial TUR"/>
          <w:b/>
          <w:bCs/>
          <w:spacing w:val="10"/>
        </w:rPr>
        <w:t xml:space="preserve"> </w:t>
      </w:r>
      <w:r w:rsidRPr="0037076A">
        <w:rPr>
          <w:rFonts w:ascii="Arial TUR" w:hAnsi="Arial TUR"/>
          <w:b/>
          <w:bCs/>
          <w:spacing w:val="10"/>
          <w:rtl/>
        </w:rPr>
        <w:t>בתי</w:t>
      </w:r>
      <w:r w:rsidRPr="0037076A">
        <w:rPr>
          <w:rFonts w:ascii="Arial TUR" w:hAnsi="Arial TUR"/>
          <w:b/>
          <w:bCs/>
          <w:spacing w:val="10"/>
        </w:rPr>
        <w:t xml:space="preserve"> </w:t>
      </w:r>
      <w:r w:rsidRPr="0037076A">
        <w:rPr>
          <w:rFonts w:ascii="Arial TUR" w:hAnsi="Arial TUR"/>
          <w:b/>
          <w:bCs/>
          <w:spacing w:val="10"/>
          <w:rtl/>
        </w:rPr>
        <w:t>המשפט</w:t>
      </w:r>
      <w:r w:rsidRPr="0037076A">
        <w:rPr>
          <w:rFonts w:ascii="Arial TUR" w:hAnsi="Arial TUR"/>
          <w:b/>
          <w:bCs/>
          <w:spacing w:val="10"/>
        </w:rPr>
        <w:t xml:space="preserve"> </w:t>
      </w:r>
      <w:r w:rsidRPr="0037076A">
        <w:rPr>
          <w:rFonts w:ascii="Arial TUR" w:hAnsi="Arial TUR"/>
          <w:b/>
          <w:bCs/>
          <w:spacing w:val="10"/>
          <w:rtl/>
        </w:rPr>
        <w:t>בשל</w:t>
      </w:r>
      <w:r w:rsidRPr="0037076A">
        <w:rPr>
          <w:rFonts w:ascii="Arial TUR" w:hAnsi="Arial TUR"/>
          <w:b/>
          <w:bCs/>
          <w:spacing w:val="10"/>
        </w:rPr>
        <w:t xml:space="preserve"> </w:t>
      </w:r>
      <w:r w:rsidRPr="0037076A">
        <w:rPr>
          <w:rFonts w:ascii="Arial TUR" w:hAnsi="Arial TUR"/>
          <w:b/>
          <w:bCs/>
          <w:spacing w:val="10"/>
          <w:rtl/>
        </w:rPr>
        <w:t>עבירות</w:t>
      </w:r>
      <w:r w:rsidRPr="0037076A">
        <w:rPr>
          <w:rFonts w:ascii="Arial TUR" w:hAnsi="Arial TUR"/>
          <w:b/>
          <w:bCs/>
          <w:spacing w:val="10"/>
        </w:rPr>
        <w:t xml:space="preserve"> </w:t>
      </w:r>
      <w:r w:rsidRPr="0037076A">
        <w:rPr>
          <w:rFonts w:ascii="Arial TUR" w:hAnsi="Arial TUR"/>
          <w:b/>
          <w:bCs/>
          <w:spacing w:val="10"/>
          <w:rtl/>
        </w:rPr>
        <w:t>סמים</w:t>
      </w:r>
      <w:r w:rsidRPr="0037076A">
        <w:rPr>
          <w:rFonts w:ascii="Arial TUR" w:hAnsi="Arial TUR"/>
          <w:b/>
          <w:bCs/>
          <w:spacing w:val="10"/>
        </w:rPr>
        <w:t xml:space="preserve"> </w:t>
      </w:r>
      <w:r w:rsidRPr="0037076A">
        <w:rPr>
          <w:rFonts w:ascii="Arial TUR" w:hAnsi="Arial TUR"/>
          <w:b/>
          <w:bCs/>
          <w:spacing w:val="10"/>
          <w:rtl/>
        </w:rPr>
        <w:t>צריכים</w:t>
      </w:r>
      <w:r w:rsidRPr="0037076A">
        <w:rPr>
          <w:rFonts w:ascii="Arial TUR" w:hAnsi="Arial TUR"/>
          <w:b/>
          <w:bCs/>
          <w:spacing w:val="10"/>
        </w:rPr>
        <w:t xml:space="preserve"> </w:t>
      </w:r>
      <w:r w:rsidRPr="0037076A">
        <w:rPr>
          <w:rFonts w:ascii="Arial TUR" w:hAnsi="Arial TUR"/>
          <w:b/>
          <w:bCs/>
          <w:spacing w:val="10"/>
          <w:rtl/>
        </w:rPr>
        <w:t>להשתלב</w:t>
      </w:r>
      <w:r w:rsidRPr="0037076A">
        <w:rPr>
          <w:rFonts w:ascii="Arial TUR" w:hAnsi="Arial TUR"/>
          <w:b/>
          <w:bCs/>
          <w:spacing w:val="10"/>
        </w:rPr>
        <w:t xml:space="preserve"> </w:t>
      </w:r>
      <w:r w:rsidRPr="0037076A">
        <w:rPr>
          <w:rFonts w:ascii="Arial TUR" w:hAnsi="Arial TUR"/>
          <w:b/>
          <w:bCs/>
          <w:spacing w:val="10"/>
          <w:rtl/>
        </w:rPr>
        <w:t>במאבק</w:t>
      </w:r>
      <w:r w:rsidRPr="0037076A">
        <w:rPr>
          <w:rFonts w:ascii="Arial TUR" w:hAnsi="Arial TUR"/>
          <w:b/>
          <w:bCs/>
          <w:spacing w:val="10"/>
        </w:rPr>
        <w:t xml:space="preserve"> </w:t>
      </w:r>
      <w:r w:rsidRPr="0037076A">
        <w:rPr>
          <w:rFonts w:ascii="Arial TUR" w:hAnsi="Arial TUR"/>
          <w:b/>
          <w:bCs/>
          <w:spacing w:val="10"/>
          <w:rtl/>
        </w:rPr>
        <w:t>הכולל</w:t>
      </w:r>
      <w:r w:rsidRPr="0037076A">
        <w:rPr>
          <w:rFonts w:ascii="Arial TUR" w:hAnsi="Arial TUR"/>
          <w:b/>
          <w:bCs/>
          <w:spacing w:val="10"/>
        </w:rPr>
        <w:t xml:space="preserve"> </w:t>
      </w:r>
      <w:r w:rsidRPr="0037076A">
        <w:rPr>
          <w:rFonts w:ascii="Arial TUR" w:hAnsi="Arial TUR"/>
          <w:b/>
          <w:bCs/>
          <w:spacing w:val="10"/>
          <w:rtl/>
        </w:rPr>
        <w:t>להדברת</w:t>
      </w:r>
      <w:r w:rsidRPr="0037076A">
        <w:rPr>
          <w:rFonts w:ascii="Arial TUR" w:hAnsi="Arial TUR"/>
          <w:b/>
          <w:bCs/>
          <w:spacing w:val="10"/>
        </w:rPr>
        <w:t xml:space="preserve"> </w:t>
      </w:r>
      <w:r w:rsidRPr="0037076A">
        <w:rPr>
          <w:rFonts w:ascii="Arial TUR" w:hAnsi="Arial TUR"/>
          <w:b/>
          <w:bCs/>
          <w:spacing w:val="10"/>
          <w:rtl/>
        </w:rPr>
        <w:t>הנגע.</w:t>
      </w:r>
      <w:r w:rsidRPr="0037076A">
        <w:rPr>
          <w:rFonts w:ascii="Arial TUR" w:hAnsi="Arial TUR"/>
          <w:b/>
          <w:bCs/>
          <w:spacing w:val="10"/>
        </w:rPr>
        <w:t xml:space="preserve"> </w:t>
      </w:r>
      <w:r w:rsidRPr="0037076A">
        <w:rPr>
          <w:rFonts w:ascii="Arial TUR" w:hAnsi="Arial TUR"/>
          <w:b/>
          <w:bCs/>
          <w:spacing w:val="10"/>
          <w:rtl/>
        </w:rPr>
        <w:t>על</w:t>
      </w:r>
      <w:r w:rsidRPr="0037076A">
        <w:rPr>
          <w:rFonts w:ascii="Arial TUR" w:hAnsi="Arial TUR"/>
          <w:b/>
          <w:bCs/>
          <w:spacing w:val="10"/>
        </w:rPr>
        <w:t xml:space="preserve"> </w:t>
      </w:r>
      <w:r w:rsidRPr="0037076A">
        <w:rPr>
          <w:rFonts w:ascii="Arial TUR" w:hAnsi="Arial TUR"/>
          <w:b/>
          <w:bCs/>
          <w:spacing w:val="10"/>
          <w:rtl/>
        </w:rPr>
        <w:t>כן,</w:t>
      </w:r>
      <w:r w:rsidRPr="0037076A">
        <w:rPr>
          <w:rFonts w:ascii="Arial TUR" w:hAnsi="Arial TUR"/>
          <w:b/>
          <w:bCs/>
          <w:spacing w:val="10"/>
        </w:rPr>
        <w:t xml:space="preserve"> </w:t>
      </w:r>
      <w:r w:rsidRPr="0037076A">
        <w:rPr>
          <w:rFonts w:ascii="Arial TUR" w:hAnsi="Arial TUR"/>
          <w:b/>
          <w:bCs/>
          <w:spacing w:val="10"/>
          <w:rtl/>
        </w:rPr>
        <w:t>יש</w:t>
      </w:r>
      <w:r w:rsidRPr="0037076A">
        <w:rPr>
          <w:rFonts w:ascii="Arial TUR" w:hAnsi="Arial TUR"/>
          <w:b/>
          <w:bCs/>
          <w:spacing w:val="10"/>
        </w:rPr>
        <w:t xml:space="preserve"> </w:t>
      </w:r>
      <w:r w:rsidRPr="0037076A">
        <w:rPr>
          <w:rFonts w:ascii="Arial TUR" w:hAnsi="Arial TUR"/>
          <w:b/>
          <w:bCs/>
          <w:spacing w:val="10"/>
          <w:rtl/>
        </w:rPr>
        <w:t>ליתן</w:t>
      </w:r>
      <w:r w:rsidRPr="0037076A">
        <w:rPr>
          <w:rFonts w:ascii="Arial TUR" w:hAnsi="Arial TUR"/>
          <w:b/>
          <w:bCs/>
          <w:spacing w:val="10"/>
        </w:rPr>
        <w:t xml:space="preserve"> </w:t>
      </w:r>
      <w:r w:rsidRPr="0037076A">
        <w:rPr>
          <w:rFonts w:ascii="Arial TUR" w:hAnsi="Arial TUR"/>
          <w:b/>
          <w:bCs/>
          <w:spacing w:val="10"/>
          <w:rtl/>
        </w:rPr>
        <w:t>משקל</w:t>
      </w:r>
      <w:r w:rsidRPr="0037076A">
        <w:rPr>
          <w:rFonts w:ascii="Arial TUR" w:hAnsi="Arial TUR"/>
          <w:b/>
          <w:bCs/>
          <w:spacing w:val="10"/>
        </w:rPr>
        <w:t xml:space="preserve"> </w:t>
      </w:r>
      <w:r w:rsidRPr="0037076A">
        <w:rPr>
          <w:rFonts w:ascii="Arial TUR" w:hAnsi="Arial TUR"/>
          <w:b/>
          <w:bCs/>
          <w:spacing w:val="10"/>
          <w:rtl/>
        </w:rPr>
        <w:t>ממשי</w:t>
      </w:r>
      <w:r w:rsidRPr="0037076A">
        <w:rPr>
          <w:rFonts w:ascii="Arial TUR" w:hAnsi="Arial TUR"/>
          <w:b/>
          <w:bCs/>
          <w:spacing w:val="10"/>
        </w:rPr>
        <w:t xml:space="preserve"> </w:t>
      </w:r>
      <w:r w:rsidRPr="0037076A">
        <w:rPr>
          <w:rFonts w:ascii="Arial TUR" w:hAnsi="Arial TUR"/>
          <w:b/>
          <w:bCs/>
          <w:spacing w:val="10"/>
          <w:rtl/>
        </w:rPr>
        <w:t>לשיקול</w:t>
      </w:r>
      <w:r w:rsidRPr="0037076A">
        <w:rPr>
          <w:rFonts w:ascii="Arial TUR" w:hAnsi="Arial TUR"/>
          <w:b/>
          <w:bCs/>
          <w:spacing w:val="10"/>
        </w:rPr>
        <w:t xml:space="preserve"> </w:t>
      </w:r>
      <w:r w:rsidRPr="0037076A">
        <w:rPr>
          <w:rFonts w:ascii="Arial TUR" w:hAnsi="Arial TUR"/>
          <w:b/>
          <w:bCs/>
          <w:spacing w:val="10"/>
          <w:rtl/>
        </w:rPr>
        <w:t>ההרתעתי</w:t>
      </w:r>
      <w:r w:rsidRPr="0037076A">
        <w:rPr>
          <w:rFonts w:ascii="Arial TUR" w:hAnsi="Arial TUR"/>
          <w:b/>
          <w:bCs/>
          <w:spacing w:val="10"/>
        </w:rPr>
        <w:t xml:space="preserve"> </w:t>
      </w:r>
      <w:r w:rsidRPr="0037076A">
        <w:rPr>
          <w:rFonts w:ascii="Arial TUR" w:hAnsi="Arial TUR"/>
          <w:b/>
          <w:bCs/>
          <w:spacing w:val="10"/>
          <w:rtl/>
        </w:rPr>
        <w:t>אל</w:t>
      </w:r>
      <w:r w:rsidRPr="0037076A">
        <w:rPr>
          <w:rFonts w:ascii="Arial TUR" w:hAnsi="Arial TUR"/>
          <w:b/>
          <w:bCs/>
          <w:spacing w:val="10"/>
        </w:rPr>
        <w:t xml:space="preserve"> </w:t>
      </w:r>
      <w:r w:rsidRPr="0037076A">
        <w:rPr>
          <w:rFonts w:ascii="Arial TUR" w:hAnsi="Arial TUR"/>
          <w:b/>
          <w:bCs/>
          <w:spacing w:val="10"/>
          <w:rtl/>
        </w:rPr>
        <w:t>מול</w:t>
      </w:r>
      <w:r w:rsidRPr="0037076A">
        <w:rPr>
          <w:rFonts w:ascii="Arial TUR" w:hAnsi="Arial TUR"/>
          <w:b/>
          <w:bCs/>
          <w:spacing w:val="10"/>
        </w:rPr>
        <w:t xml:space="preserve"> </w:t>
      </w:r>
      <w:r w:rsidRPr="0037076A">
        <w:rPr>
          <w:rFonts w:ascii="Arial TUR" w:hAnsi="Arial TUR"/>
          <w:b/>
          <w:bCs/>
          <w:spacing w:val="10"/>
          <w:rtl/>
        </w:rPr>
        <w:t>השיקולים</w:t>
      </w:r>
      <w:r w:rsidRPr="0037076A">
        <w:rPr>
          <w:rFonts w:ascii="Arial TUR" w:hAnsi="Arial TUR"/>
          <w:b/>
          <w:bCs/>
          <w:spacing w:val="10"/>
        </w:rPr>
        <w:t xml:space="preserve"> </w:t>
      </w:r>
      <w:r w:rsidRPr="0037076A">
        <w:rPr>
          <w:rFonts w:ascii="Arial TUR" w:hAnsi="Arial TUR"/>
          <w:b/>
          <w:bCs/>
          <w:spacing w:val="10"/>
          <w:rtl/>
        </w:rPr>
        <w:t>האישיים,</w:t>
      </w:r>
      <w:r w:rsidRPr="0037076A">
        <w:rPr>
          <w:rFonts w:ascii="Arial TUR" w:hAnsi="Arial TUR"/>
          <w:b/>
          <w:bCs/>
          <w:spacing w:val="10"/>
        </w:rPr>
        <w:t xml:space="preserve"> </w:t>
      </w:r>
      <w:r w:rsidRPr="0037076A">
        <w:rPr>
          <w:rFonts w:ascii="Arial TUR" w:hAnsi="Arial TUR"/>
          <w:b/>
          <w:bCs/>
          <w:spacing w:val="10"/>
          <w:rtl/>
        </w:rPr>
        <w:t>אשר</w:t>
      </w:r>
      <w:r w:rsidRPr="0037076A">
        <w:rPr>
          <w:rFonts w:ascii="Arial TUR" w:hAnsi="Arial TUR"/>
          <w:b/>
          <w:bCs/>
          <w:spacing w:val="10"/>
        </w:rPr>
        <w:t xml:space="preserve"> </w:t>
      </w:r>
      <w:r w:rsidRPr="0037076A">
        <w:rPr>
          <w:rFonts w:ascii="Arial TUR" w:hAnsi="Arial TUR"/>
          <w:b/>
          <w:bCs/>
          <w:spacing w:val="10"/>
          <w:rtl/>
        </w:rPr>
        <w:t>משקלם</w:t>
      </w:r>
      <w:r w:rsidRPr="0037076A">
        <w:rPr>
          <w:rFonts w:ascii="Arial TUR" w:hAnsi="Arial TUR"/>
          <w:b/>
          <w:bCs/>
          <w:spacing w:val="10"/>
        </w:rPr>
        <w:t xml:space="preserve"> </w:t>
      </w:r>
      <w:r w:rsidRPr="0037076A">
        <w:rPr>
          <w:rFonts w:ascii="Arial TUR" w:hAnsi="Arial TUR"/>
          <w:b/>
          <w:bCs/>
          <w:spacing w:val="10"/>
          <w:rtl/>
        </w:rPr>
        <w:t>יהיה</w:t>
      </w:r>
      <w:r w:rsidRPr="0037076A">
        <w:rPr>
          <w:rFonts w:ascii="Arial TUR" w:hAnsi="Arial TUR"/>
          <w:b/>
          <w:bCs/>
          <w:spacing w:val="10"/>
        </w:rPr>
        <w:t xml:space="preserve"> </w:t>
      </w:r>
      <w:r w:rsidRPr="0037076A">
        <w:rPr>
          <w:rFonts w:ascii="Arial TUR" w:hAnsi="Arial TUR"/>
          <w:b/>
          <w:bCs/>
          <w:spacing w:val="10"/>
          <w:rtl/>
        </w:rPr>
        <w:t>נמוך</w:t>
      </w:r>
      <w:r w:rsidRPr="0037076A">
        <w:rPr>
          <w:rFonts w:ascii="Arial TUR" w:hAnsi="Arial TUR"/>
          <w:b/>
          <w:bCs/>
          <w:spacing w:val="10"/>
        </w:rPr>
        <w:t xml:space="preserve"> </w:t>
      </w:r>
      <w:r w:rsidRPr="0037076A">
        <w:rPr>
          <w:rFonts w:ascii="Arial TUR" w:hAnsi="Arial TUR"/>
          <w:b/>
          <w:bCs/>
          <w:spacing w:val="10"/>
          <w:rtl/>
        </w:rPr>
        <w:t>יותר</w:t>
      </w:r>
      <w:r w:rsidRPr="0037076A">
        <w:rPr>
          <w:rFonts w:ascii="Arial TUR" w:hAnsi="Arial TUR"/>
          <w:b/>
          <w:bCs/>
          <w:spacing w:val="10"/>
        </w:rPr>
        <w:t xml:space="preserve"> </w:t>
      </w:r>
      <w:r w:rsidRPr="0037076A">
        <w:rPr>
          <w:rFonts w:ascii="Arial TUR" w:hAnsi="Arial TUR"/>
          <w:b/>
          <w:bCs/>
          <w:spacing w:val="10"/>
          <w:rtl/>
        </w:rPr>
        <w:t>במקרים</w:t>
      </w:r>
      <w:r w:rsidRPr="0037076A">
        <w:rPr>
          <w:rFonts w:ascii="Arial TUR" w:hAnsi="Arial TUR"/>
          <w:b/>
          <w:bCs/>
          <w:spacing w:val="10"/>
        </w:rPr>
        <w:t xml:space="preserve"> </w:t>
      </w:r>
      <w:r w:rsidRPr="0037076A">
        <w:rPr>
          <w:rFonts w:ascii="Arial TUR" w:hAnsi="Arial TUR"/>
          <w:b/>
          <w:bCs/>
          <w:spacing w:val="10"/>
          <w:rtl/>
        </w:rPr>
        <w:t>כגון</w:t>
      </w:r>
      <w:r w:rsidRPr="0037076A">
        <w:rPr>
          <w:rFonts w:ascii="Arial TUR" w:hAnsi="Arial TUR"/>
          <w:b/>
          <w:bCs/>
          <w:spacing w:val="10"/>
        </w:rPr>
        <w:t xml:space="preserve"> </w:t>
      </w:r>
      <w:r w:rsidRPr="0037076A">
        <w:rPr>
          <w:rFonts w:ascii="Arial TUR" w:hAnsi="Arial TUR"/>
          <w:b/>
          <w:bCs/>
          <w:spacing w:val="10"/>
          <w:rtl/>
        </w:rPr>
        <w:t>אלה</w:t>
      </w:r>
      <w:r w:rsidRPr="0037076A">
        <w:rPr>
          <w:rFonts w:ascii="Arial TUR" w:hAnsi="Arial TUR"/>
          <w:b/>
          <w:bCs/>
          <w:spacing w:val="10"/>
        </w:rPr>
        <w:t>".</w:t>
      </w:r>
      <w:r w:rsidRPr="0037076A">
        <w:rPr>
          <w:rFonts w:ascii="Arial TUR" w:hAnsi="Arial TUR"/>
          <w:b/>
          <w:bCs/>
          <w:spacing w:val="10"/>
          <w:rtl/>
        </w:rPr>
        <w:t xml:space="preserve"> </w:t>
      </w:r>
    </w:p>
    <w:p w14:paraId="089BB0B3" w14:textId="77777777" w:rsidR="00C65451" w:rsidRPr="0037076A" w:rsidRDefault="00C65451" w:rsidP="00C65451">
      <w:pPr>
        <w:shd w:val="clear" w:color="auto" w:fill="FFFFFF"/>
        <w:adjustRightInd w:val="0"/>
        <w:spacing w:before="100" w:after="100"/>
        <w:ind w:left="1134" w:right="567"/>
        <w:contextualSpacing/>
        <w:jc w:val="both"/>
        <w:rPr>
          <w:rFonts w:ascii="Arial TUR" w:hAnsi="Arial TUR"/>
          <w:b/>
          <w:bCs/>
          <w:spacing w:val="10"/>
          <w:rtl/>
        </w:rPr>
      </w:pPr>
    </w:p>
    <w:p w14:paraId="57D67CCC" w14:textId="77777777" w:rsidR="00C65451" w:rsidRDefault="00C65451" w:rsidP="00C65451">
      <w:pPr>
        <w:numPr>
          <w:ilvl w:val="0"/>
          <w:numId w:val="1"/>
        </w:numPr>
        <w:spacing w:after="160" w:line="360" w:lineRule="auto"/>
        <w:ind w:left="283"/>
        <w:contextualSpacing/>
        <w:jc w:val="both"/>
        <w:rPr>
          <w:rFonts w:ascii="David" w:hAnsi="David"/>
        </w:rPr>
      </w:pPr>
      <w:r w:rsidRPr="0037076A">
        <w:rPr>
          <w:rtl/>
        </w:rPr>
        <w:t>אשר</w:t>
      </w:r>
      <w:r w:rsidRPr="0037076A">
        <w:rPr>
          <w:rFonts w:ascii="David" w:hAnsi="David"/>
          <w:rtl/>
        </w:rPr>
        <w:t xml:space="preserve"> על כן, ולאחר ששקלתי את הנסיבות לחומרה ולקולה, מצאתי להטיל על הנאשם עונש ברף התחתון של המתחם אך לא הנמ</w:t>
      </w:r>
      <w:r>
        <w:rPr>
          <w:rFonts w:ascii="David" w:hAnsi="David"/>
          <w:rtl/>
        </w:rPr>
        <w:t>וך ביותר כדלקמן:</w:t>
      </w:r>
    </w:p>
    <w:p w14:paraId="5A7E90AA" w14:textId="77777777" w:rsidR="00C65451" w:rsidRDefault="00C65451" w:rsidP="00C65451">
      <w:pPr>
        <w:pStyle w:val="a9"/>
        <w:numPr>
          <w:ilvl w:val="1"/>
          <w:numId w:val="2"/>
        </w:numPr>
        <w:spacing w:line="360" w:lineRule="auto"/>
        <w:jc w:val="both"/>
      </w:pPr>
      <w:r>
        <w:rPr>
          <w:rtl/>
        </w:rPr>
        <w:t>מאסר לתקופה של 18 חודשי מאסר, אשר ירוצו מיום מעצרו.</w:t>
      </w:r>
    </w:p>
    <w:p w14:paraId="4480B042" w14:textId="77777777" w:rsidR="00C65451" w:rsidRDefault="00C65451" w:rsidP="00C65451">
      <w:pPr>
        <w:pStyle w:val="a9"/>
        <w:spacing w:line="360" w:lineRule="auto"/>
        <w:ind w:left="1995"/>
        <w:jc w:val="both"/>
        <w:rPr>
          <w:sz w:val="8"/>
          <w:szCs w:val="8"/>
        </w:rPr>
      </w:pPr>
    </w:p>
    <w:p w14:paraId="17F6C067" w14:textId="77777777" w:rsidR="00C65451" w:rsidRDefault="00C65451" w:rsidP="00C65451">
      <w:pPr>
        <w:pStyle w:val="a9"/>
        <w:numPr>
          <w:ilvl w:val="1"/>
          <w:numId w:val="2"/>
        </w:numPr>
        <w:spacing w:line="360" w:lineRule="auto"/>
        <w:jc w:val="both"/>
      </w:pPr>
      <w:r>
        <w:rPr>
          <w:rtl/>
        </w:rPr>
        <w:t xml:space="preserve">12 חודשי מאסר, הנאשם לא ירצה עונש זה אלא אם יעבור בתוך שנתיים מיום שחרורו על כל עבירת סמים מסוג פשע. </w:t>
      </w:r>
    </w:p>
    <w:p w14:paraId="703FDC86" w14:textId="77777777" w:rsidR="00C65451" w:rsidRDefault="00C65451" w:rsidP="00C65451">
      <w:pPr>
        <w:pStyle w:val="a9"/>
        <w:spacing w:line="360" w:lineRule="auto"/>
        <w:ind w:left="1995"/>
        <w:jc w:val="both"/>
        <w:rPr>
          <w:sz w:val="8"/>
          <w:szCs w:val="8"/>
        </w:rPr>
      </w:pPr>
    </w:p>
    <w:p w14:paraId="5CFBE7DB" w14:textId="77777777" w:rsidR="00C65451" w:rsidRDefault="00C65451" w:rsidP="00C65451">
      <w:pPr>
        <w:pStyle w:val="a9"/>
        <w:numPr>
          <w:ilvl w:val="1"/>
          <w:numId w:val="2"/>
        </w:numPr>
        <w:spacing w:line="360" w:lineRule="auto"/>
        <w:ind w:right="142"/>
        <w:jc w:val="both"/>
      </w:pPr>
      <w:r>
        <w:rPr>
          <w:rtl/>
        </w:rPr>
        <w:t xml:space="preserve">3 חודשי מאסר, הנאשם לא ירצה עונש זה אלא אם יעבור בתוך שנתיים מיום שחרורו על כל עבירת סמים מסוג עוון. </w:t>
      </w:r>
    </w:p>
    <w:p w14:paraId="46FA9B0B" w14:textId="77777777" w:rsidR="00C65451" w:rsidRDefault="00C65451" w:rsidP="00C65451">
      <w:pPr>
        <w:pStyle w:val="a9"/>
        <w:spacing w:line="360" w:lineRule="auto"/>
        <w:ind w:left="1995" w:right="142"/>
        <w:jc w:val="both"/>
        <w:rPr>
          <w:sz w:val="12"/>
          <w:szCs w:val="12"/>
        </w:rPr>
      </w:pPr>
    </w:p>
    <w:p w14:paraId="171AD0B6" w14:textId="77777777" w:rsidR="00C65451" w:rsidRDefault="00C65451" w:rsidP="00C65451">
      <w:pPr>
        <w:pStyle w:val="a9"/>
        <w:numPr>
          <w:ilvl w:val="1"/>
          <w:numId w:val="2"/>
        </w:numPr>
        <w:spacing w:line="360" w:lineRule="auto"/>
        <w:ind w:right="142"/>
        <w:jc w:val="both"/>
      </w:pPr>
      <w:r>
        <w:rPr>
          <w:rtl/>
        </w:rPr>
        <w:t xml:space="preserve">לא מצאתי להטיל קנס בהתחשב באורך המאסר ובכך שהנאשם החזיק בסם בשביל אחר למשך זמן קצר. </w:t>
      </w:r>
    </w:p>
    <w:p w14:paraId="7AC5962D" w14:textId="77777777" w:rsidR="00C65451" w:rsidRDefault="00C65451" w:rsidP="00C65451">
      <w:pPr>
        <w:pStyle w:val="a9"/>
        <w:spacing w:line="360" w:lineRule="auto"/>
        <w:ind w:left="1995" w:right="142"/>
        <w:jc w:val="both"/>
        <w:rPr>
          <w:sz w:val="12"/>
          <w:szCs w:val="12"/>
        </w:rPr>
      </w:pPr>
    </w:p>
    <w:p w14:paraId="091F482B" w14:textId="77777777" w:rsidR="00C65451" w:rsidRDefault="00C65451" w:rsidP="00C65451">
      <w:pPr>
        <w:pStyle w:val="a9"/>
        <w:numPr>
          <w:ilvl w:val="1"/>
          <w:numId w:val="2"/>
        </w:numPr>
        <w:spacing w:line="360" w:lineRule="auto"/>
        <w:ind w:right="142"/>
        <w:jc w:val="both"/>
      </w:pPr>
      <w:r>
        <w:rPr>
          <w:rtl/>
        </w:rPr>
        <w:t>אני מורה על השמדת הסמים.</w:t>
      </w:r>
    </w:p>
    <w:p w14:paraId="10204B01" w14:textId="77777777" w:rsidR="00C65451" w:rsidRDefault="00C65451" w:rsidP="00C65451">
      <w:pPr>
        <w:pStyle w:val="a9"/>
        <w:spacing w:line="360" w:lineRule="auto"/>
        <w:ind w:left="1995" w:right="142"/>
        <w:jc w:val="both"/>
        <w:rPr>
          <w:sz w:val="8"/>
          <w:szCs w:val="8"/>
        </w:rPr>
      </w:pPr>
    </w:p>
    <w:p w14:paraId="41EA0D60" w14:textId="77777777" w:rsidR="00C65451" w:rsidRDefault="00C65451" w:rsidP="00C65451">
      <w:pPr>
        <w:spacing w:line="360" w:lineRule="auto"/>
        <w:ind w:right="142"/>
        <w:jc w:val="both"/>
        <w:rPr>
          <w:sz w:val="8"/>
          <w:szCs w:val="8"/>
          <w:rtl/>
        </w:rPr>
      </w:pPr>
    </w:p>
    <w:p w14:paraId="4B0FF590" w14:textId="77777777" w:rsidR="00C65451" w:rsidRDefault="00C65451" w:rsidP="00C65451">
      <w:pPr>
        <w:spacing w:line="360" w:lineRule="auto"/>
        <w:jc w:val="both"/>
        <w:rPr>
          <w:b/>
          <w:bCs/>
          <w:color w:val="FFFFFF"/>
          <w:sz w:val="2"/>
          <w:szCs w:val="2"/>
          <w:u w:val="single"/>
        </w:rPr>
      </w:pPr>
    </w:p>
    <w:p w14:paraId="3E4C7F69" w14:textId="77777777" w:rsidR="00C65451" w:rsidRDefault="00C65451" w:rsidP="00C65451">
      <w:pPr>
        <w:spacing w:line="360" w:lineRule="auto"/>
        <w:jc w:val="both"/>
        <w:rPr>
          <w:b/>
          <w:bCs/>
          <w:color w:val="FFFFFF"/>
          <w:sz w:val="2"/>
          <w:szCs w:val="2"/>
          <w:u w:val="single"/>
          <w:rtl/>
        </w:rPr>
      </w:pPr>
    </w:p>
    <w:p w14:paraId="17C0C0C7" w14:textId="77777777" w:rsidR="00C65451" w:rsidRDefault="00C65451" w:rsidP="00C65451">
      <w:pPr>
        <w:spacing w:line="360" w:lineRule="auto"/>
        <w:jc w:val="both"/>
        <w:rPr>
          <w:b/>
          <w:bCs/>
          <w:color w:val="FFFFFF"/>
          <w:sz w:val="2"/>
          <w:szCs w:val="2"/>
          <w:u w:val="single"/>
          <w:rtl/>
        </w:rPr>
      </w:pPr>
    </w:p>
    <w:p w14:paraId="58B05FC5" w14:textId="77777777" w:rsidR="00C65451" w:rsidRDefault="00C65451" w:rsidP="00C65451">
      <w:pPr>
        <w:spacing w:line="360" w:lineRule="auto"/>
        <w:jc w:val="both"/>
        <w:rPr>
          <w:b/>
          <w:bCs/>
          <w:color w:val="FFFFFF"/>
          <w:sz w:val="2"/>
          <w:szCs w:val="2"/>
          <w:u w:val="single"/>
          <w:rtl/>
        </w:rPr>
      </w:pPr>
    </w:p>
    <w:p w14:paraId="0156DB5E" w14:textId="77777777" w:rsidR="00C65451" w:rsidRDefault="00C65451" w:rsidP="00C65451">
      <w:pPr>
        <w:spacing w:line="360" w:lineRule="auto"/>
        <w:jc w:val="both"/>
        <w:rPr>
          <w:b/>
          <w:bCs/>
          <w:color w:val="FFFFFF"/>
          <w:sz w:val="2"/>
          <w:szCs w:val="2"/>
          <w:u w:val="single"/>
          <w:rtl/>
        </w:rPr>
      </w:pPr>
    </w:p>
    <w:p w14:paraId="7C2A4D9B" w14:textId="77777777" w:rsidR="00C65451" w:rsidRDefault="00C65451" w:rsidP="00C65451">
      <w:pPr>
        <w:spacing w:line="360" w:lineRule="auto"/>
        <w:jc w:val="both"/>
        <w:rPr>
          <w:b/>
          <w:bCs/>
          <w:u w:val="single"/>
          <w:rtl/>
        </w:rPr>
      </w:pPr>
      <w:r>
        <w:rPr>
          <w:b/>
          <w:bCs/>
          <w:color w:val="FFFFFF"/>
          <w:sz w:val="2"/>
          <w:szCs w:val="2"/>
          <w:u w:val="single"/>
          <w:rtl/>
        </w:rPr>
        <w:t>54678313</w:t>
      </w:r>
      <w:r>
        <w:rPr>
          <w:b/>
          <w:bCs/>
          <w:u w:val="single"/>
          <w:rtl/>
        </w:rPr>
        <w:t>זכות ערעור לבית המשפט העליון תוך 45 יום מהיום.</w:t>
      </w:r>
    </w:p>
    <w:p w14:paraId="7DF036CE" w14:textId="77777777" w:rsidR="00C65451" w:rsidRDefault="00C65451" w:rsidP="00C65451">
      <w:pPr>
        <w:rPr>
          <w:rtl/>
        </w:rPr>
      </w:pPr>
    </w:p>
    <w:p w14:paraId="03738030" w14:textId="77777777" w:rsidR="00C65451" w:rsidRDefault="00FF6585" w:rsidP="00C65451">
      <w:pPr>
        <w:spacing w:line="360" w:lineRule="auto"/>
        <w:jc w:val="both"/>
        <w:rPr>
          <w:rFonts w:ascii="Arial" w:hAnsi="Arial"/>
          <w:b/>
          <w:bCs/>
          <w:rtl/>
        </w:rPr>
      </w:pPr>
      <w:bookmarkStart w:id="8" w:name="Nitan"/>
      <w:r w:rsidRPr="00FF6585">
        <w:rPr>
          <w:rFonts w:ascii="Arial" w:hAnsi="Arial"/>
          <w:b/>
          <w:bCs/>
          <w:color w:val="FFFFFF"/>
          <w:sz w:val="2"/>
          <w:szCs w:val="2"/>
          <w:rtl/>
        </w:rPr>
        <w:t>5129371</w:t>
      </w:r>
      <w:r>
        <w:rPr>
          <w:rFonts w:ascii="Arial" w:hAnsi="Arial"/>
          <w:b/>
          <w:bCs/>
          <w:rtl/>
        </w:rPr>
        <w:t xml:space="preserve">ניתן היום,  כ"ג אייר תש"פ, 17 מאי 2020, במעמד ב"כ הנאשם והנאשם (באמצעות העברת קול </w:t>
      </w:r>
      <w:bookmarkEnd w:id="8"/>
      <w:r w:rsidR="00C65451">
        <w:rPr>
          <w:b/>
          <w:bCs/>
          <w:rtl/>
        </w:rPr>
        <w:t>דרך מערכת טלפונית</w:t>
      </w:r>
      <w:r w:rsidR="00C65451">
        <w:rPr>
          <w:rFonts w:ascii="Arial" w:hAnsi="Arial"/>
          <w:b/>
          <w:bCs/>
          <w:rtl/>
        </w:rPr>
        <w:t>, נוכח מצב החירום).</w:t>
      </w:r>
    </w:p>
    <w:p w14:paraId="010974F4" w14:textId="77777777" w:rsidR="00C65451" w:rsidRPr="00FF6585" w:rsidRDefault="00FF6585" w:rsidP="00C65451">
      <w:pPr>
        <w:rPr>
          <w:rFonts w:cs="FrankRuehl"/>
          <w:color w:val="FFFFFF"/>
          <w:sz w:val="2"/>
          <w:szCs w:val="2"/>
        </w:rPr>
      </w:pPr>
      <w:r w:rsidRPr="00FF6585">
        <w:rPr>
          <w:rFonts w:cs="FrankRuehl"/>
          <w:color w:val="FFFFFF"/>
          <w:sz w:val="2"/>
          <w:szCs w:val="2"/>
          <w:rtl/>
        </w:rPr>
        <w:t>54678313</w:t>
      </w:r>
    </w:p>
    <w:p w14:paraId="62D85B01" w14:textId="77777777" w:rsidR="00C65451" w:rsidRDefault="00C65451" w:rsidP="00FF658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1280F35" w14:textId="77777777" w:rsidR="00C65451" w:rsidRDefault="00C65451" w:rsidP="00C65451">
      <w:pPr>
        <w:jc w:val="center"/>
        <w:rPr>
          <w:rFonts w:ascii="Arial" w:hAnsi="Arial" w:cs="FrankRuehl"/>
          <w:sz w:val="28"/>
          <w:szCs w:val="28"/>
          <w:rtl/>
        </w:rPr>
      </w:pPr>
    </w:p>
    <w:p w14:paraId="18DC1B07" w14:textId="77777777" w:rsidR="00C65451" w:rsidRDefault="00C65451" w:rsidP="00C65451">
      <w:pPr>
        <w:rPr>
          <w:rFonts w:cs="FrankRuehl"/>
          <w:sz w:val="28"/>
          <w:szCs w:val="28"/>
          <w:rtl/>
        </w:rPr>
      </w:pPr>
    </w:p>
    <w:p w14:paraId="4F05ACEA" w14:textId="77777777" w:rsidR="00C65451" w:rsidRDefault="00C65451" w:rsidP="00C65451">
      <w:pPr>
        <w:pStyle w:val="a3"/>
        <w:jc w:val="center"/>
        <w:rPr>
          <w:rtl/>
        </w:rPr>
      </w:pPr>
    </w:p>
    <w:p w14:paraId="27C770E4" w14:textId="77777777" w:rsidR="001326E0" w:rsidRPr="00FF6585" w:rsidRDefault="001326E0" w:rsidP="00FF6585">
      <w:pPr>
        <w:keepNext/>
        <w:rPr>
          <w:rFonts w:ascii="David" w:hAnsi="David"/>
          <w:color w:val="000000"/>
          <w:sz w:val="22"/>
          <w:szCs w:val="22"/>
          <w:rtl/>
        </w:rPr>
      </w:pPr>
    </w:p>
    <w:p w14:paraId="2942932D" w14:textId="77777777" w:rsidR="00FF6585" w:rsidRPr="00FF6585" w:rsidRDefault="00FF6585" w:rsidP="00FF6585">
      <w:pPr>
        <w:keepNext/>
        <w:rPr>
          <w:rFonts w:ascii="David" w:hAnsi="David"/>
          <w:color w:val="000000"/>
          <w:sz w:val="22"/>
          <w:szCs w:val="22"/>
          <w:rtl/>
        </w:rPr>
      </w:pPr>
      <w:r w:rsidRPr="00FF6585">
        <w:rPr>
          <w:rFonts w:ascii="David" w:hAnsi="David"/>
          <w:color w:val="000000"/>
          <w:sz w:val="22"/>
          <w:szCs w:val="22"/>
          <w:rtl/>
        </w:rPr>
        <w:t>חנה מרים לומפ 54678313</w:t>
      </w:r>
    </w:p>
    <w:p w14:paraId="7A14EF99" w14:textId="77777777" w:rsidR="00FF6585" w:rsidRDefault="00FF6585" w:rsidP="00FF6585">
      <w:r w:rsidRPr="00FF6585">
        <w:rPr>
          <w:color w:val="000000"/>
          <w:rtl/>
        </w:rPr>
        <w:t>נוסח מסמך זה כפוף לשינויי ניסוח ועריכה</w:t>
      </w:r>
    </w:p>
    <w:p w14:paraId="1038C103" w14:textId="77777777" w:rsidR="00FF6585" w:rsidRDefault="00FF6585" w:rsidP="00FF6585">
      <w:pPr>
        <w:rPr>
          <w:rtl/>
        </w:rPr>
      </w:pPr>
    </w:p>
    <w:p w14:paraId="6C515073" w14:textId="77777777" w:rsidR="00FF6585" w:rsidRDefault="00FF6585" w:rsidP="00FF6585">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06884D1B" w14:textId="77777777" w:rsidR="00FF6585" w:rsidRPr="00FF6585" w:rsidRDefault="00FF6585" w:rsidP="00FF6585">
      <w:pPr>
        <w:jc w:val="center"/>
        <w:rPr>
          <w:color w:val="0000FF"/>
          <w:u w:val="single"/>
        </w:rPr>
      </w:pPr>
    </w:p>
    <w:sectPr w:rsidR="00FF6585" w:rsidRPr="00FF6585" w:rsidSect="00FF6585">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92BE3" w14:textId="77777777" w:rsidR="001C1FA8" w:rsidRDefault="001C1FA8" w:rsidP="00BA41C4">
      <w:r>
        <w:separator/>
      </w:r>
    </w:p>
  </w:endnote>
  <w:endnote w:type="continuationSeparator" w:id="0">
    <w:p w14:paraId="5CB22618" w14:textId="77777777" w:rsidR="001C1FA8" w:rsidRDefault="001C1FA8" w:rsidP="00BA4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231E2" w14:textId="77777777" w:rsidR="00FF6585" w:rsidRDefault="00FF6585" w:rsidP="00FF658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6407ECC" w14:textId="77777777" w:rsidR="00355755" w:rsidRPr="00FF6585" w:rsidRDefault="00FF6585" w:rsidP="00FF658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3F011" w14:textId="77777777" w:rsidR="00FF6585" w:rsidRDefault="00FF6585" w:rsidP="00FF658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D2FD1">
      <w:rPr>
        <w:rFonts w:ascii="FrankRuehl" w:hAnsi="FrankRuehl" w:cs="FrankRuehl"/>
        <w:noProof/>
        <w:rtl/>
      </w:rPr>
      <w:t>1</w:t>
    </w:r>
    <w:r>
      <w:rPr>
        <w:rFonts w:ascii="FrankRuehl" w:hAnsi="FrankRuehl" w:cs="FrankRuehl"/>
        <w:rtl/>
      </w:rPr>
      <w:fldChar w:fldCharType="end"/>
    </w:r>
  </w:p>
  <w:p w14:paraId="4D7D6BAE" w14:textId="77777777" w:rsidR="00355755" w:rsidRPr="00FF6585" w:rsidRDefault="00FF6585" w:rsidP="00FF658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4B34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B780D" w14:textId="77777777" w:rsidR="001C1FA8" w:rsidRDefault="001C1FA8" w:rsidP="00BA41C4">
      <w:r>
        <w:separator/>
      </w:r>
    </w:p>
  </w:footnote>
  <w:footnote w:type="continuationSeparator" w:id="0">
    <w:p w14:paraId="3B11928F" w14:textId="77777777" w:rsidR="001C1FA8" w:rsidRDefault="001C1FA8" w:rsidP="00BA4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B85D5" w14:textId="77777777" w:rsidR="00FF6585" w:rsidRPr="00FF6585" w:rsidRDefault="00FF6585" w:rsidP="00FF65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60444-08-19</w:t>
    </w:r>
    <w:r>
      <w:rPr>
        <w:rFonts w:ascii="David" w:hAnsi="David"/>
        <w:color w:val="000000"/>
        <w:sz w:val="22"/>
        <w:szCs w:val="22"/>
        <w:rtl/>
      </w:rPr>
      <w:tab/>
      <w:t xml:space="preserve"> מדינת ישראל נ' אמיר צלאח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82CA9" w14:textId="77777777" w:rsidR="00FF6585" w:rsidRPr="00FF6585" w:rsidRDefault="00FF6585" w:rsidP="00FF658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60444-08-19</w:t>
    </w:r>
    <w:r>
      <w:rPr>
        <w:rFonts w:ascii="David" w:hAnsi="David"/>
        <w:color w:val="000000"/>
        <w:sz w:val="22"/>
        <w:szCs w:val="22"/>
        <w:rtl/>
      </w:rPr>
      <w:tab/>
      <w:t xml:space="preserve"> מדינת ישראל נ' אמיר צלאח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B7B73"/>
    <w:multiLevelType w:val="hybridMultilevel"/>
    <w:tmpl w:val="F8DCB81E"/>
    <w:lvl w:ilvl="0" w:tplc="0409000F">
      <w:start w:val="1"/>
      <w:numFmt w:val="decimal"/>
      <w:lvlText w:val="%1."/>
      <w:lvlJc w:val="left"/>
      <w:pPr>
        <w:ind w:left="720" w:hanging="360"/>
      </w:pPr>
      <w:rPr>
        <w:rFonts w:cs="Times New Roman"/>
      </w:rPr>
    </w:lvl>
    <w:lvl w:ilvl="1" w:tplc="04090013">
      <w:start w:val="1"/>
      <w:numFmt w:val="hebrew1"/>
      <w:lvlText w:val="%2."/>
      <w:lvlJc w:val="center"/>
      <w:pPr>
        <w:ind w:left="1995" w:hanging="915"/>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1ACA7B97"/>
    <w:multiLevelType w:val="hybridMultilevel"/>
    <w:tmpl w:val="0D306266"/>
    <w:lvl w:ilvl="0" w:tplc="3C4A56E4">
      <w:start w:val="1"/>
      <w:numFmt w:val="decimal"/>
      <w:lvlText w:val="%1."/>
      <w:lvlJc w:val="left"/>
      <w:pPr>
        <w:ind w:left="720" w:hanging="360"/>
      </w:pPr>
      <w:rPr>
        <w:rFonts w:ascii="David" w:hAnsi="David" w:cs="David" w:hint="default"/>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6410375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76041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65451"/>
    <w:rsid w:val="001326E0"/>
    <w:rsid w:val="001C1FA8"/>
    <w:rsid w:val="001D2FD1"/>
    <w:rsid w:val="00355755"/>
    <w:rsid w:val="00690F15"/>
    <w:rsid w:val="00820B59"/>
    <w:rsid w:val="00BA41C4"/>
    <w:rsid w:val="00C501AB"/>
    <w:rsid w:val="00C65451"/>
    <w:rsid w:val="00DE2D07"/>
    <w:rsid w:val="00FF65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5D11C93"/>
  <w15:chartTrackingRefBased/>
  <w15:docId w15:val="{8F1BF3CB-3D78-40BC-B081-D7BF3B6ED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545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5451"/>
    <w:pPr>
      <w:tabs>
        <w:tab w:val="center" w:pos="4153"/>
        <w:tab w:val="right" w:pos="8306"/>
      </w:tabs>
    </w:pPr>
  </w:style>
  <w:style w:type="character" w:customStyle="1" w:styleId="a4">
    <w:name w:val="כותרת עליונה תו"/>
    <w:link w:val="a3"/>
    <w:rsid w:val="00C65451"/>
    <w:rPr>
      <w:rFonts w:ascii="Times New Roman" w:eastAsia="Times New Roman" w:hAnsi="Times New Roman" w:cs="David"/>
      <w:sz w:val="24"/>
      <w:szCs w:val="24"/>
    </w:rPr>
  </w:style>
  <w:style w:type="paragraph" w:styleId="a5">
    <w:name w:val="footer"/>
    <w:basedOn w:val="a"/>
    <w:link w:val="a6"/>
    <w:rsid w:val="00C65451"/>
    <w:pPr>
      <w:tabs>
        <w:tab w:val="center" w:pos="4153"/>
        <w:tab w:val="right" w:pos="8306"/>
      </w:tabs>
    </w:pPr>
  </w:style>
  <w:style w:type="character" w:customStyle="1" w:styleId="a6">
    <w:name w:val="כותרת תחתונה תו"/>
    <w:link w:val="a5"/>
    <w:rsid w:val="00C65451"/>
    <w:rPr>
      <w:rFonts w:ascii="Times New Roman" w:eastAsia="Times New Roman" w:hAnsi="Times New Roman" w:cs="David"/>
      <w:sz w:val="24"/>
      <w:szCs w:val="24"/>
    </w:rPr>
  </w:style>
  <w:style w:type="table" w:styleId="a7">
    <w:name w:val="Table Grid"/>
    <w:basedOn w:val="a1"/>
    <w:rsid w:val="00C6545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65451"/>
  </w:style>
  <w:style w:type="character" w:styleId="Hyperlink">
    <w:name w:val="Hyperlink"/>
    <w:rsid w:val="00C65451"/>
    <w:rPr>
      <w:rFonts w:ascii="Times New Roman" w:hAnsi="Times New Roman" w:cs="Times New Roman" w:hint="default"/>
      <w:color w:val="0000FF"/>
      <w:u w:val="single"/>
    </w:rPr>
  </w:style>
  <w:style w:type="paragraph" w:styleId="a9">
    <w:name w:val="List Paragraph"/>
    <w:basedOn w:val="a"/>
    <w:qFormat/>
    <w:rsid w:val="00C65451"/>
    <w:pPr>
      <w:ind w:left="720"/>
      <w:contextualSpacing/>
    </w:pPr>
  </w:style>
  <w:style w:type="paragraph" w:customStyle="1" w:styleId="Ruller4">
    <w:name w:val="Ruller4"/>
    <w:basedOn w:val="a"/>
    <w:rsid w:val="00C65451"/>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6076151" TargetMode="External"/><Relationship Id="rId26" Type="http://schemas.openxmlformats.org/officeDocument/2006/relationships/hyperlink" Target="http://www.nevo.co.il/case/24954904" TargetMode="External"/><Relationship Id="rId3" Type="http://schemas.openxmlformats.org/officeDocument/2006/relationships/settings" Target="settings.xml"/><Relationship Id="rId21" Type="http://schemas.openxmlformats.org/officeDocument/2006/relationships/hyperlink" Target="http://www.nevo.co.il/law/70301/40c"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case/5726579" TargetMode="External"/><Relationship Id="rId25" Type="http://schemas.openxmlformats.org/officeDocument/2006/relationships/hyperlink" Target="http://www.nevo.co.il/case/2057153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5698919" TargetMode="External"/><Relationship Id="rId20" Type="http://schemas.openxmlformats.org/officeDocument/2006/relationships/hyperlink" Target="http://www.nevo.co.il/case/6834904"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c" TargetMode="External"/><Relationship Id="rId24" Type="http://schemas.openxmlformats.org/officeDocument/2006/relationships/hyperlink" Target="http://www.nevo.co.il/case/5599403"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40i"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5903534"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726579"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1534</Words>
  <Characters>7670</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9186</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3866738</vt:i4>
      </vt:variant>
      <vt:variant>
        <vt:i4>63</vt:i4>
      </vt:variant>
      <vt:variant>
        <vt:i4>0</vt:i4>
      </vt:variant>
      <vt:variant>
        <vt:i4>5</vt:i4>
      </vt:variant>
      <vt:variant>
        <vt:lpwstr>http://www.nevo.co.il/case/5726579</vt:lpwstr>
      </vt:variant>
      <vt:variant>
        <vt:lpwstr/>
      </vt:variant>
      <vt:variant>
        <vt:i4>4128892</vt:i4>
      </vt:variant>
      <vt:variant>
        <vt:i4>60</vt:i4>
      </vt:variant>
      <vt:variant>
        <vt:i4>0</vt:i4>
      </vt:variant>
      <vt:variant>
        <vt:i4>5</vt:i4>
      </vt:variant>
      <vt:variant>
        <vt:lpwstr>http://www.nevo.co.il/case/24954904</vt:lpwstr>
      </vt:variant>
      <vt:variant>
        <vt:lpwstr/>
      </vt:variant>
      <vt:variant>
        <vt:i4>3473526</vt:i4>
      </vt:variant>
      <vt:variant>
        <vt:i4>57</vt:i4>
      </vt:variant>
      <vt:variant>
        <vt:i4>0</vt:i4>
      </vt:variant>
      <vt:variant>
        <vt:i4>5</vt:i4>
      </vt:variant>
      <vt:variant>
        <vt:lpwstr>http://www.nevo.co.il/case/20571533</vt:lpwstr>
      </vt:variant>
      <vt:variant>
        <vt:lpwstr/>
      </vt:variant>
      <vt:variant>
        <vt:i4>3866744</vt:i4>
      </vt:variant>
      <vt:variant>
        <vt:i4>54</vt:i4>
      </vt:variant>
      <vt:variant>
        <vt:i4>0</vt:i4>
      </vt:variant>
      <vt:variant>
        <vt:i4>5</vt:i4>
      </vt:variant>
      <vt:variant>
        <vt:lpwstr>http://www.nevo.co.il/case/5599403</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http://www.nevo.co.il/law/70301/40c</vt:lpwstr>
      </vt:variant>
      <vt:variant>
        <vt:lpwstr/>
      </vt:variant>
      <vt:variant>
        <vt:i4>3670136</vt:i4>
      </vt:variant>
      <vt:variant>
        <vt:i4>42</vt:i4>
      </vt:variant>
      <vt:variant>
        <vt:i4>0</vt:i4>
      </vt:variant>
      <vt:variant>
        <vt:i4>5</vt:i4>
      </vt:variant>
      <vt:variant>
        <vt:lpwstr>http://www.nevo.co.il/case/6834904</vt:lpwstr>
      </vt:variant>
      <vt:variant>
        <vt:lpwstr/>
      </vt:variant>
      <vt:variant>
        <vt:i4>3407997</vt:i4>
      </vt:variant>
      <vt:variant>
        <vt:i4>39</vt:i4>
      </vt:variant>
      <vt:variant>
        <vt:i4>0</vt:i4>
      </vt:variant>
      <vt:variant>
        <vt:i4>5</vt:i4>
      </vt:variant>
      <vt:variant>
        <vt:lpwstr>http://www.nevo.co.il/case/5903534</vt:lpwstr>
      </vt:variant>
      <vt:variant>
        <vt:lpwstr/>
      </vt:variant>
      <vt:variant>
        <vt:i4>3211383</vt:i4>
      </vt:variant>
      <vt:variant>
        <vt:i4>36</vt:i4>
      </vt:variant>
      <vt:variant>
        <vt:i4>0</vt:i4>
      </vt:variant>
      <vt:variant>
        <vt:i4>5</vt:i4>
      </vt:variant>
      <vt:variant>
        <vt:lpwstr>http://www.nevo.co.il/case/6076151</vt:lpwstr>
      </vt:variant>
      <vt:variant>
        <vt:lpwstr/>
      </vt:variant>
      <vt:variant>
        <vt:i4>3866738</vt:i4>
      </vt:variant>
      <vt:variant>
        <vt:i4>33</vt:i4>
      </vt:variant>
      <vt:variant>
        <vt:i4>0</vt:i4>
      </vt:variant>
      <vt:variant>
        <vt:i4>5</vt:i4>
      </vt:variant>
      <vt:variant>
        <vt:lpwstr>http://www.nevo.co.il/case/5726579</vt:lpwstr>
      </vt:variant>
      <vt:variant>
        <vt:lpwstr/>
      </vt:variant>
      <vt:variant>
        <vt:i4>3932283</vt:i4>
      </vt:variant>
      <vt:variant>
        <vt:i4>30</vt:i4>
      </vt:variant>
      <vt:variant>
        <vt:i4>0</vt:i4>
      </vt:variant>
      <vt:variant>
        <vt:i4>5</vt:i4>
      </vt:variant>
      <vt:variant>
        <vt:lpwstr>http://www.nevo.co.il/case/5698919</vt:lpwstr>
      </vt:variant>
      <vt:variant>
        <vt:lpwstr/>
      </vt:variant>
      <vt:variant>
        <vt:i4>4128881</vt:i4>
      </vt:variant>
      <vt:variant>
        <vt:i4>27</vt:i4>
      </vt:variant>
      <vt:variant>
        <vt:i4>0</vt:i4>
      </vt:variant>
      <vt:variant>
        <vt:i4>5</vt:i4>
      </vt:variant>
      <vt:variant>
        <vt:lpwstr>http://www.nevo.co.il/case/5585052</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http://www.nevo.co.il/law/70301/40c</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2025-04-22T21:01:00Z</dcterms:created>
  <dcterms:modified xsi:type="dcterms:W3CDTF">2025-04-22T21:01:00Z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60444</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אמיר צלאח</vt:lpwstr>
  </property>
  <property fmtid="{D5CDD505-2E9C-101B-9397-08002B2CF9AE}" pid="10" name="JUDGE">
    <vt:lpwstr>חנה מרים לומפ</vt:lpwstr>
  </property>
  <property fmtid="{D5CDD505-2E9C-101B-9397-08002B2CF9AE}" pid="11" name="CITY">
    <vt:lpwstr>י-ם</vt:lpwstr>
  </property>
  <property fmtid="{D5CDD505-2E9C-101B-9397-08002B2CF9AE}" pid="12" name="DATE">
    <vt:lpwstr>20200517</vt:lpwstr>
  </property>
  <property fmtid="{D5CDD505-2E9C-101B-9397-08002B2CF9AE}" pid="13" name="TYPE_N_DATE">
    <vt:lpwstr>39020200517</vt:lpwstr>
  </property>
  <property fmtid="{D5CDD505-2E9C-101B-9397-08002B2CF9AE}" pid="14" name="CASESLISTTMP1">
    <vt:lpwstr>5585052;5698919;5726579:2;6076151;5903534;6834904;5599403;20571533;24954904</vt:lpwstr>
  </property>
  <property fmtid="{D5CDD505-2E9C-101B-9397-08002B2CF9AE}" pid="15" name="ISABSTRACT">
    <vt:lpwstr>Y</vt:lpwstr>
  </property>
  <property fmtid="{D5CDD505-2E9C-101B-9397-08002B2CF9AE}" pid="16" name="WORDNUMPAGES">
    <vt:lpwstr>5</vt:lpwstr>
  </property>
  <property fmtid="{D5CDD505-2E9C-101B-9397-08002B2CF9AE}" pid="17" name="TYPE_ABS_DATE">
    <vt:lpwstr>390020200517</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y fmtid="{D5CDD505-2E9C-101B-9397-08002B2CF9AE}" pid="37" name="LAWLISTTMP2">
    <vt:lpwstr>70301/040c;040i</vt:lpwstr>
  </property>
</Properties>
</file>