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10"/>
        <w:gridCol w:w="3503"/>
      </w:tblGrid>
      <w:tr w:rsidR="006F6E24" w:rsidRPr="00F9797F" w14:paraId="76BE0C89" w14:textId="77777777" w:rsidTr="006520C6">
        <w:trPr>
          <w:trHeight w:hRule="exact" w:val="851"/>
          <w:jc w:val="center"/>
        </w:trPr>
        <w:tc>
          <w:tcPr>
            <w:tcW w:w="8313" w:type="dxa"/>
            <w:gridSpan w:val="2"/>
          </w:tcPr>
          <w:p w14:paraId="71DAECDF" w14:textId="77777777" w:rsidR="006F6E24" w:rsidRPr="00F9797F" w:rsidRDefault="006F6E24" w:rsidP="006520C6">
            <w:pPr>
              <w:pStyle w:val="a3"/>
              <w:jc w:val="center"/>
              <w:rPr>
                <w:rFonts w:ascii="Tahoma" w:hAnsi="Tahoma"/>
                <w:b/>
                <w:bCs/>
                <w:color w:val="000080"/>
                <w:sz w:val="32"/>
                <w:szCs w:val="32"/>
                <w:rtl/>
              </w:rPr>
            </w:pPr>
            <w:bookmarkStart w:id="0" w:name="LastJudge"/>
            <w:r w:rsidRPr="00F9797F">
              <w:rPr>
                <w:rFonts w:ascii="Tahoma" w:hAnsi="Tahoma"/>
                <w:b/>
                <w:bCs/>
                <w:color w:val="000080"/>
                <w:sz w:val="34"/>
                <w:szCs w:val="34"/>
                <w:rtl/>
              </w:rPr>
              <w:t>בית המשפט המחוזי בירושלים</w:t>
            </w:r>
          </w:p>
        </w:tc>
      </w:tr>
      <w:tr w:rsidR="006F6E24" w:rsidRPr="00F9797F" w14:paraId="7505B953" w14:textId="77777777" w:rsidTr="006520C6">
        <w:trPr>
          <w:trHeight w:val="337"/>
          <w:jc w:val="center"/>
        </w:trPr>
        <w:tc>
          <w:tcPr>
            <w:tcW w:w="4810" w:type="dxa"/>
          </w:tcPr>
          <w:p w14:paraId="73F3E8C4" w14:textId="77777777" w:rsidR="006F6E24" w:rsidRPr="00F9797F" w:rsidRDefault="006F6E24" w:rsidP="006520C6">
            <w:pPr>
              <w:rPr>
                <w:b/>
                <w:bCs/>
                <w:sz w:val="26"/>
                <w:szCs w:val="26"/>
                <w:rtl/>
              </w:rPr>
            </w:pPr>
            <w:r w:rsidRPr="00F9797F">
              <w:rPr>
                <w:rFonts w:hint="cs"/>
                <w:b/>
                <w:bCs/>
                <w:sz w:val="26"/>
                <w:szCs w:val="26"/>
                <w:rtl/>
              </w:rPr>
              <w:t>לפני כב' השופט רפי כרמל</w:t>
            </w:r>
          </w:p>
        </w:tc>
        <w:tc>
          <w:tcPr>
            <w:tcW w:w="3503" w:type="dxa"/>
          </w:tcPr>
          <w:p w14:paraId="6F3590ED" w14:textId="77777777" w:rsidR="006F6E24" w:rsidRPr="00F9797F" w:rsidRDefault="006F6E24" w:rsidP="006520C6">
            <w:pPr>
              <w:pStyle w:val="a3"/>
              <w:jc w:val="right"/>
              <w:rPr>
                <w:b/>
                <w:bCs/>
                <w:sz w:val="26"/>
                <w:szCs w:val="26"/>
                <w:rtl/>
              </w:rPr>
            </w:pPr>
            <w:r w:rsidRPr="00F9797F">
              <w:rPr>
                <w:b/>
                <w:bCs/>
                <w:sz w:val="26"/>
                <w:szCs w:val="26"/>
                <w:rtl/>
              </w:rPr>
              <w:t>ת"פ 691-09-19</w:t>
            </w:r>
          </w:p>
        </w:tc>
      </w:tr>
    </w:tbl>
    <w:p w14:paraId="77A38E46" w14:textId="77777777" w:rsidR="006F6E24" w:rsidRPr="00F9797F" w:rsidRDefault="006F6E24" w:rsidP="006F6E24">
      <w:pPr>
        <w:pStyle w:val="a3"/>
        <w:rPr>
          <w:rtl/>
        </w:rPr>
      </w:pPr>
      <w:r w:rsidRPr="00F9797F">
        <w:rPr>
          <w:rtl/>
        </w:rPr>
        <w:t xml:space="preserve"> </w:t>
      </w:r>
    </w:p>
    <w:p w14:paraId="58960DA3" w14:textId="77777777" w:rsidR="006F6E24" w:rsidRPr="00F9797F" w:rsidRDefault="006F6E24" w:rsidP="006F6E24">
      <w:pPr>
        <w:suppressLineNumbers/>
        <w:rPr>
          <w:rtl/>
        </w:rPr>
      </w:pPr>
    </w:p>
    <w:p w14:paraId="0F9609F3" w14:textId="77777777" w:rsidR="006F6E24" w:rsidRPr="00F9797F" w:rsidRDefault="006F6E24" w:rsidP="006F6E24">
      <w:pPr>
        <w:suppressLineNumbers/>
        <w:rPr>
          <w:rtl/>
        </w:rPr>
      </w:pPr>
      <w:r w:rsidRPr="00F9797F">
        <w:rPr>
          <w:rtl/>
        </w:rPr>
        <w:t xml:space="preserve"> </w:t>
      </w:r>
    </w:p>
    <w:tbl>
      <w:tblPr>
        <w:bidiVisual/>
        <w:tblW w:w="8802" w:type="dxa"/>
        <w:tblInd w:w="-28" w:type="dxa"/>
        <w:tblLook w:val="01E0" w:firstRow="1" w:lastRow="1" w:firstColumn="1" w:lastColumn="1" w:noHBand="0" w:noVBand="0"/>
      </w:tblPr>
      <w:tblGrid>
        <w:gridCol w:w="2880"/>
        <w:gridCol w:w="5922"/>
      </w:tblGrid>
      <w:tr w:rsidR="006F6E24" w:rsidRPr="00F9797F" w14:paraId="777F08D5" w14:textId="77777777" w:rsidTr="006F6E24">
        <w:tc>
          <w:tcPr>
            <w:tcW w:w="2880" w:type="dxa"/>
            <w:shd w:val="clear" w:color="auto" w:fill="auto"/>
          </w:tcPr>
          <w:p w14:paraId="0A0859B1" w14:textId="77777777" w:rsidR="006F6E24" w:rsidRPr="00F9797F" w:rsidRDefault="006F6E24" w:rsidP="006F6E24">
            <w:pPr>
              <w:spacing w:line="480" w:lineRule="auto"/>
              <w:ind w:left="26"/>
              <w:rPr>
                <w:b/>
                <w:bCs/>
                <w:sz w:val="30"/>
                <w:szCs w:val="30"/>
              </w:rPr>
            </w:pPr>
            <w:bookmarkStart w:id="1" w:name="FirstAppellant"/>
            <w:r w:rsidRPr="00F9797F">
              <w:rPr>
                <w:b/>
                <w:bCs/>
                <w:sz w:val="30"/>
                <w:szCs w:val="30"/>
                <w:rtl/>
              </w:rPr>
              <w:t>המאשימה</w:t>
            </w:r>
          </w:p>
        </w:tc>
        <w:tc>
          <w:tcPr>
            <w:tcW w:w="5922" w:type="dxa"/>
            <w:shd w:val="clear" w:color="auto" w:fill="auto"/>
          </w:tcPr>
          <w:p w14:paraId="7D65876E" w14:textId="77777777" w:rsidR="006F6E24" w:rsidRPr="00F9797F" w:rsidRDefault="006F6E24" w:rsidP="006F6E24">
            <w:pPr>
              <w:spacing w:line="480" w:lineRule="auto"/>
              <w:rPr>
                <w:b/>
                <w:bCs/>
                <w:sz w:val="30"/>
                <w:szCs w:val="30"/>
              </w:rPr>
            </w:pPr>
            <w:r w:rsidRPr="00F9797F">
              <w:rPr>
                <w:b/>
                <w:bCs/>
                <w:sz w:val="30"/>
                <w:szCs w:val="30"/>
                <w:rtl/>
              </w:rPr>
              <w:t xml:space="preserve"> מדינת ישראל</w:t>
            </w:r>
          </w:p>
          <w:p w14:paraId="3B0986A4" w14:textId="77777777" w:rsidR="006F6E24" w:rsidRPr="00F9797F" w:rsidRDefault="006F6E24" w:rsidP="006F6E24">
            <w:pPr>
              <w:spacing w:line="480" w:lineRule="auto"/>
              <w:rPr>
                <w:b/>
                <w:bCs/>
                <w:sz w:val="30"/>
                <w:szCs w:val="30"/>
                <w:rtl/>
              </w:rPr>
            </w:pPr>
            <w:r w:rsidRPr="00F9797F">
              <w:rPr>
                <w:b/>
                <w:bCs/>
                <w:sz w:val="30"/>
                <w:szCs w:val="30"/>
                <w:rtl/>
              </w:rPr>
              <w:t>באמצעות פרקליטות מחוז ירושלים</w:t>
            </w:r>
            <w:r w:rsidRPr="00F9797F">
              <w:rPr>
                <w:rFonts w:hint="cs"/>
                <w:b/>
                <w:bCs/>
                <w:sz w:val="30"/>
                <w:szCs w:val="30"/>
                <w:rtl/>
              </w:rPr>
              <w:t xml:space="preserve"> (פלילי)</w:t>
            </w:r>
          </w:p>
        </w:tc>
      </w:tr>
      <w:bookmarkEnd w:id="1"/>
      <w:tr w:rsidR="006F6E24" w:rsidRPr="00F9797F" w14:paraId="6EBDEE52" w14:textId="77777777" w:rsidTr="006F6E24">
        <w:tc>
          <w:tcPr>
            <w:tcW w:w="8802" w:type="dxa"/>
            <w:gridSpan w:val="2"/>
            <w:shd w:val="clear" w:color="auto" w:fill="auto"/>
          </w:tcPr>
          <w:p w14:paraId="5F82C99D" w14:textId="77777777" w:rsidR="006F6E24" w:rsidRPr="00F9797F" w:rsidRDefault="006F6E24" w:rsidP="006F6E24">
            <w:pPr>
              <w:tabs>
                <w:tab w:val="left" w:pos="3791"/>
              </w:tabs>
              <w:spacing w:line="480" w:lineRule="auto"/>
              <w:jc w:val="both"/>
              <w:rPr>
                <w:rFonts w:ascii="Arial" w:hAnsi="Arial"/>
                <w:b/>
                <w:bCs/>
                <w:sz w:val="30"/>
                <w:szCs w:val="30"/>
                <w:rtl/>
              </w:rPr>
            </w:pPr>
            <w:r w:rsidRPr="00F9797F">
              <w:rPr>
                <w:rFonts w:ascii="Arial" w:hAnsi="Arial"/>
                <w:b/>
                <w:bCs/>
                <w:sz w:val="30"/>
                <w:szCs w:val="30"/>
                <w:rtl/>
              </w:rPr>
              <w:tab/>
            </w:r>
          </w:p>
          <w:p w14:paraId="377D7E27" w14:textId="77777777" w:rsidR="006F6E24" w:rsidRPr="00F9797F" w:rsidRDefault="006F6E24" w:rsidP="006F6E24">
            <w:pPr>
              <w:spacing w:line="480" w:lineRule="auto"/>
              <w:jc w:val="center"/>
              <w:rPr>
                <w:rFonts w:ascii="Arial" w:hAnsi="Arial"/>
                <w:b/>
                <w:bCs/>
                <w:sz w:val="30"/>
                <w:szCs w:val="30"/>
                <w:rtl/>
              </w:rPr>
            </w:pPr>
            <w:r w:rsidRPr="00F9797F">
              <w:rPr>
                <w:rFonts w:ascii="Arial" w:hAnsi="Arial"/>
                <w:b/>
                <w:bCs/>
                <w:sz w:val="30"/>
                <w:szCs w:val="30"/>
                <w:rtl/>
              </w:rPr>
              <w:t>נגד</w:t>
            </w:r>
          </w:p>
          <w:p w14:paraId="645D6A25" w14:textId="77777777" w:rsidR="006F6E24" w:rsidRPr="00F9797F" w:rsidRDefault="006F6E24" w:rsidP="006F6E24">
            <w:pPr>
              <w:spacing w:line="480" w:lineRule="auto"/>
              <w:jc w:val="center"/>
              <w:rPr>
                <w:rFonts w:ascii="Arial" w:hAnsi="Arial"/>
                <w:b/>
                <w:bCs/>
                <w:sz w:val="30"/>
                <w:szCs w:val="30"/>
                <w:rtl/>
              </w:rPr>
            </w:pPr>
          </w:p>
        </w:tc>
      </w:tr>
      <w:tr w:rsidR="006F6E24" w:rsidRPr="00F9797F" w14:paraId="2D7B2D51" w14:textId="77777777" w:rsidTr="006F6E24">
        <w:tc>
          <w:tcPr>
            <w:tcW w:w="2880" w:type="dxa"/>
            <w:shd w:val="clear" w:color="auto" w:fill="auto"/>
          </w:tcPr>
          <w:p w14:paraId="076CBAAD" w14:textId="77777777" w:rsidR="006F6E24" w:rsidRPr="00F9797F" w:rsidRDefault="006F6E24" w:rsidP="006F6E24">
            <w:pPr>
              <w:spacing w:line="480" w:lineRule="auto"/>
              <w:ind w:left="26"/>
              <w:rPr>
                <w:b/>
                <w:bCs/>
                <w:sz w:val="30"/>
                <w:szCs w:val="30"/>
                <w:rtl/>
              </w:rPr>
            </w:pPr>
            <w:bookmarkStart w:id="2" w:name="FirstLawyer"/>
            <w:r w:rsidRPr="00F9797F">
              <w:rPr>
                <w:b/>
                <w:bCs/>
                <w:sz w:val="30"/>
                <w:szCs w:val="30"/>
                <w:rtl/>
              </w:rPr>
              <w:t>הנאשם</w:t>
            </w:r>
          </w:p>
        </w:tc>
        <w:tc>
          <w:tcPr>
            <w:tcW w:w="5922" w:type="dxa"/>
            <w:shd w:val="clear" w:color="auto" w:fill="auto"/>
          </w:tcPr>
          <w:p w14:paraId="71422E20" w14:textId="77777777" w:rsidR="006F6E24" w:rsidRPr="00F9797F" w:rsidRDefault="006F6E24" w:rsidP="006F6E24">
            <w:pPr>
              <w:spacing w:line="480" w:lineRule="auto"/>
              <w:rPr>
                <w:b/>
                <w:bCs/>
                <w:sz w:val="30"/>
                <w:szCs w:val="30"/>
              </w:rPr>
            </w:pPr>
            <w:r w:rsidRPr="00F9797F">
              <w:rPr>
                <w:b/>
                <w:bCs/>
                <w:sz w:val="30"/>
                <w:szCs w:val="30"/>
                <w:rtl/>
              </w:rPr>
              <w:t xml:space="preserve">אחמד אידריס ת"ז </w:t>
            </w:r>
            <w:r w:rsidR="00F9797F">
              <w:rPr>
                <w:b/>
                <w:bCs/>
                <w:sz w:val="30"/>
                <w:szCs w:val="30"/>
              </w:rPr>
              <w:t>xxxxxxxxxx</w:t>
            </w:r>
          </w:p>
          <w:p w14:paraId="12F07312" w14:textId="77777777" w:rsidR="006F6E24" w:rsidRPr="00F9797F" w:rsidRDefault="006F6E24" w:rsidP="006F6E24">
            <w:pPr>
              <w:spacing w:line="480" w:lineRule="auto"/>
              <w:rPr>
                <w:b/>
                <w:bCs/>
                <w:sz w:val="30"/>
                <w:szCs w:val="30"/>
                <w:rtl/>
              </w:rPr>
            </w:pPr>
            <w:r w:rsidRPr="00F9797F">
              <w:rPr>
                <w:b/>
                <w:bCs/>
                <w:sz w:val="30"/>
                <w:szCs w:val="30"/>
                <w:rtl/>
              </w:rPr>
              <w:t>ע"י ב"כ עו"ד יוסי זילברברג</w:t>
            </w:r>
          </w:p>
        </w:tc>
      </w:tr>
      <w:bookmarkEnd w:id="2"/>
    </w:tbl>
    <w:p w14:paraId="6986439B" w14:textId="77777777" w:rsidR="006F6E24" w:rsidRPr="00F9797F" w:rsidRDefault="006F6E24" w:rsidP="006F6E24">
      <w:pPr>
        <w:spacing w:line="360" w:lineRule="auto"/>
        <w:jc w:val="both"/>
        <w:rPr>
          <w:rFonts w:ascii="David" w:hAnsi="David"/>
          <w:sz w:val="26"/>
          <w:szCs w:val="26"/>
          <w:rtl/>
        </w:rPr>
      </w:pPr>
    </w:p>
    <w:p w14:paraId="5EDC8093" w14:textId="77777777" w:rsidR="00CE7F29" w:rsidRDefault="00CE7F29" w:rsidP="006F6E24">
      <w:pPr>
        <w:rPr>
          <w:rtl/>
        </w:rPr>
      </w:pPr>
    </w:p>
    <w:p w14:paraId="4C3D7D7D" w14:textId="77777777" w:rsidR="00CE7F29" w:rsidRPr="00CE7F29" w:rsidRDefault="00CE7F29" w:rsidP="00CE7F29">
      <w:pPr>
        <w:spacing w:after="120" w:line="240" w:lineRule="exact"/>
        <w:ind w:left="283" w:hanging="283"/>
        <w:jc w:val="both"/>
        <w:rPr>
          <w:rFonts w:ascii="FrankRuehl" w:hAnsi="FrankRuehl" w:cs="FrankRuehl"/>
          <w:rtl/>
        </w:rPr>
      </w:pPr>
    </w:p>
    <w:p w14:paraId="6E040870" w14:textId="77777777" w:rsidR="00CE490D" w:rsidRDefault="00CE490D" w:rsidP="00CE490D">
      <w:pPr>
        <w:rPr>
          <w:rtl/>
        </w:rPr>
      </w:pPr>
      <w:bookmarkStart w:id="3" w:name="LawTable"/>
      <w:bookmarkEnd w:id="3"/>
    </w:p>
    <w:p w14:paraId="2BC49D56" w14:textId="77777777" w:rsidR="00CE490D" w:rsidRPr="00CE490D" w:rsidRDefault="00CE490D" w:rsidP="00CE490D">
      <w:pPr>
        <w:spacing w:before="120" w:after="120" w:line="240" w:lineRule="exact"/>
        <w:ind w:left="283" w:hanging="283"/>
        <w:jc w:val="both"/>
        <w:rPr>
          <w:rFonts w:ascii="FrankRuehl" w:hAnsi="FrankRuehl" w:cs="FrankRuehl"/>
          <w:rtl/>
        </w:rPr>
      </w:pPr>
    </w:p>
    <w:p w14:paraId="30D4AE68" w14:textId="77777777" w:rsidR="00CE490D" w:rsidRPr="00CE490D" w:rsidRDefault="00CE490D" w:rsidP="00CE490D">
      <w:pPr>
        <w:spacing w:before="120" w:after="120" w:line="240" w:lineRule="exact"/>
        <w:ind w:left="283" w:hanging="283"/>
        <w:jc w:val="both"/>
        <w:rPr>
          <w:rFonts w:ascii="FrankRuehl" w:hAnsi="FrankRuehl" w:cs="FrankRuehl"/>
          <w:rtl/>
        </w:rPr>
      </w:pPr>
    </w:p>
    <w:p w14:paraId="6A338E2A" w14:textId="77777777" w:rsidR="00CE490D" w:rsidRPr="00CE490D" w:rsidRDefault="00CE490D" w:rsidP="00CE490D">
      <w:pPr>
        <w:spacing w:before="120" w:after="120" w:line="240" w:lineRule="exact"/>
        <w:ind w:left="283" w:hanging="283"/>
        <w:jc w:val="both"/>
        <w:rPr>
          <w:rFonts w:ascii="FrankRuehl" w:hAnsi="FrankRuehl" w:cs="FrankRuehl"/>
          <w:rtl/>
        </w:rPr>
      </w:pPr>
      <w:r w:rsidRPr="00CE490D">
        <w:rPr>
          <w:rFonts w:ascii="FrankRuehl" w:hAnsi="FrankRuehl" w:cs="FrankRuehl"/>
          <w:rtl/>
        </w:rPr>
        <w:t xml:space="preserve">חקיקה שאוזכרה: </w:t>
      </w:r>
    </w:p>
    <w:p w14:paraId="56E1DEE9" w14:textId="77777777" w:rsidR="00CE490D" w:rsidRPr="00CE490D" w:rsidRDefault="00CE490D" w:rsidP="00CE490D">
      <w:pPr>
        <w:spacing w:before="120" w:after="120" w:line="240" w:lineRule="exact"/>
        <w:ind w:left="283" w:hanging="283"/>
        <w:jc w:val="both"/>
        <w:rPr>
          <w:rFonts w:ascii="FrankRuehl" w:hAnsi="FrankRuehl" w:cs="FrankRuehl"/>
          <w:rtl/>
        </w:rPr>
      </w:pPr>
      <w:hyperlink r:id="rId7" w:history="1">
        <w:r w:rsidRPr="00CE490D">
          <w:rPr>
            <w:rFonts w:ascii="FrankRuehl" w:hAnsi="FrankRuehl" w:cs="FrankRuehl"/>
            <w:color w:val="0000FF"/>
            <w:rtl/>
          </w:rPr>
          <w:t>פקודת הסמים המסוכנים [נוסח חדש], תשל"ג-1973</w:t>
        </w:r>
      </w:hyperlink>
      <w:r w:rsidRPr="00CE490D">
        <w:rPr>
          <w:rFonts w:ascii="FrankRuehl" w:hAnsi="FrankRuehl" w:cs="FrankRuehl"/>
          <w:rtl/>
        </w:rPr>
        <w:t xml:space="preserve">: סע'  </w:t>
      </w:r>
      <w:hyperlink r:id="rId8" w:history="1">
        <w:r w:rsidRPr="00CE490D">
          <w:rPr>
            <w:rFonts w:ascii="FrankRuehl" w:hAnsi="FrankRuehl" w:cs="FrankRuehl"/>
            <w:color w:val="0000FF"/>
            <w:rtl/>
          </w:rPr>
          <w:t>7.א.</w:t>
        </w:r>
      </w:hyperlink>
      <w:r w:rsidRPr="00CE490D">
        <w:rPr>
          <w:rFonts w:ascii="FrankRuehl" w:hAnsi="FrankRuehl" w:cs="FrankRuehl"/>
          <w:rtl/>
        </w:rPr>
        <w:t xml:space="preserve">, </w:t>
      </w:r>
      <w:hyperlink r:id="rId9" w:history="1">
        <w:r w:rsidRPr="00CE490D">
          <w:rPr>
            <w:rFonts w:ascii="FrankRuehl" w:hAnsi="FrankRuehl" w:cs="FrankRuehl"/>
            <w:color w:val="0000FF"/>
            <w:rtl/>
          </w:rPr>
          <w:t>7.ג</w:t>
        </w:r>
      </w:hyperlink>
      <w:r w:rsidRPr="00CE490D">
        <w:rPr>
          <w:rFonts w:ascii="FrankRuehl" w:hAnsi="FrankRuehl" w:cs="FrankRuehl"/>
          <w:rtl/>
        </w:rPr>
        <w:t xml:space="preserve">, </w:t>
      </w:r>
      <w:hyperlink r:id="rId10" w:history="1">
        <w:r w:rsidRPr="00CE490D">
          <w:rPr>
            <w:rFonts w:ascii="FrankRuehl" w:hAnsi="FrankRuehl" w:cs="FrankRuehl"/>
            <w:color w:val="0000FF"/>
            <w:rtl/>
          </w:rPr>
          <w:t>36ב' (א)(2)</w:t>
        </w:r>
      </w:hyperlink>
    </w:p>
    <w:p w14:paraId="323181F0" w14:textId="77777777" w:rsidR="00CE490D" w:rsidRPr="00CE490D" w:rsidRDefault="00CE490D" w:rsidP="00CE490D">
      <w:pPr>
        <w:spacing w:before="120" w:after="120" w:line="240" w:lineRule="exact"/>
        <w:ind w:left="283" w:hanging="283"/>
        <w:jc w:val="both"/>
        <w:rPr>
          <w:rFonts w:ascii="FrankRuehl" w:hAnsi="FrankRuehl" w:cs="FrankRuehl"/>
          <w:rtl/>
        </w:rPr>
      </w:pPr>
      <w:hyperlink r:id="rId11" w:history="1">
        <w:r w:rsidRPr="00CE490D">
          <w:rPr>
            <w:rFonts w:ascii="FrankRuehl" w:hAnsi="FrankRuehl" w:cs="FrankRuehl"/>
            <w:color w:val="0000FF"/>
            <w:rtl/>
          </w:rPr>
          <w:t>חוק העונשין, תשל"ז-1977</w:t>
        </w:r>
      </w:hyperlink>
      <w:r w:rsidRPr="00CE490D">
        <w:rPr>
          <w:rFonts w:ascii="FrankRuehl" w:hAnsi="FrankRuehl" w:cs="FrankRuehl"/>
          <w:rtl/>
        </w:rPr>
        <w:t xml:space="preserve">: סע'  </w:t>
      </w:r>
      <w:hyperlink r:id="rId12" w:history="1">
        <w:r w:rsidRPr="00CE490D">
          <w:rPr>
            <w:rFonts w:ascii="FrankRuehl" w:hAnsi="FrankRuehl" w:cs="FrankRuehl"/>
            <w:color w:val="0000FF"/>
            <w:rtl/>
          </w:rPr>
          <w:t>40ט</w:t>
        </w:r>
      </w:hyperlink>
    </w:p>
    <w:p w14:paraId="3052A03E" w14:textId="77777777" w:rsidR="00CE490D" w:rsidRPr="00CE490D" w:rsidRDefault="00CE490D" w:rsidP="00CE490D">
      <w:pPr>
        <w:rPr>
          <w:rtl/>
        </w:rPr>
      </w:pPr>
      <w:bookmarkStart w:id="4" w:name="LawTable_End"/>
      <w:bookmarkEnd w:id="4"/>
    </w:p>
    <w:p w14:paraId="6CDA2C02" w14:textId="77777777" w:rsidR="006F6E24" w:rsidRPr="00F9797F" w:rsidRDefault="006F6E24" w:rsidP="006F6E2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6E24" w14:paraId="00A14764" w14:textId="77777777" w:rsidTr="006F6E24">
        <w:trPr>
          <w:trHeight w:val="355"/>
          <w:jc w:val="center"/>
        </w:trPr>
        <w:tc>
          <w:tcPr>
            <w:tcW w:w="8820" w:type="dxa"/>
            <w:tcBorders>
              <w:top w:val="nil"/>
              <w:left w:val="nil"/>
              <w:bottom w:val="nil"/>
              <w:right w:val="nil"/>
            </w:tcBorders>
            <w:shd w:val="clear" w:color="auto" w:fill="auto"/>
          </w:tcPr>
          <w:p w14:paraId="08D73F7E" w14:textId="77777777" w:rsidR="00F9797F" w:rsidRPr="00F9797F" w:rsidRDefault="00F9797F" w:rsidP="00F9797F">
            <w:pPr>
              <w:jc w:val="center"/>
              <w:rPr>
                <w:rFonts w:ascii="Arial" w:hAnsi="Arial" w:cs="FrankRuehl"/>
                <w:b/>
                <w:bCs/>
                <w:sz w:val="46"/>
                <w:szCs w:val="46"/>
                <w:u w:val="single"/>
                <w:rtl/>
              </w:rPr>
            </w:pPr>
            <w:bookmarkStart w:id="5" w:name="PsakDin" w:colFirst="0" w:colLast="0"/>
            <w:bookmarkEnd w:id="0"/>
            <w:r w:rsidRPr="00F9797F">
              <w:rPr>
                <w:rFonts w:ascii="Arial" w:hAnsi="Arial" w:cs="FrankRuehl"/>
                <w:b/>
                <w:bCs/>
                <w:sz w:val="46"/>
                <w:szCs w:val="46"/>
                <w:u w:val="single"/>
                <w:rtl/>
              </w:rPr>
              <w:t>גזר דין</w:t>
            </w:r>
          </w:p>
          <w:p w14:paraId="44AB7481" w14:textId="77777777" w:rsidR="006F6E24" w:rsidRPr="00F9797F" w:rsidRDefault="006F6E24" w:rsidP="00F9797F">
            <w:pPr>
              <w:jc w:val="center"/>
              <w:rPr>
                <w:rFonts w:ascii="Arial" w:hAnsi="Arial" w:cs="FrankRuehl"/>
                <w:bCs/>
                <w:sz w:val="36"/>
                <w:szCs w:val="36"/>
                <w:u w:val="single"/>
              </w:rPr>
            </w:pPr>
          </w:p>
        </w:tc>
      </w:tr>
      <w:bookmarkEnd w:id="5"/>
    </w:tbl>
    <w:p w14:paraId="463C8897" w14:textId="77777777" w:rsidR="006F6E24" w:rsidRDefault="006F6E24" w:rsidP="006F6E24">
      <w:pPr>
        <w:rPr>
          <w:rFonts w:ascii="Arial" w:hAnsi="Arial"/>
          <w:rtl/>
        </w:rPr>
      </w:pPr>
    </w:p>
    <w:p w14:paraId="1B50EAB7" w14:textId="77777777" w:rsidR="006F6E24" w:rsidRPr="00BB098F" w:rsidRDefault="006F6E24" w:rsidP="006F6E24">
      <w:pPr>
        <w:rPr>
          <w:rFonts w:ascii="David" w:hAnsi="David"/>
          <w:sz w:val="26"/>
          <w:szCs w:val="26"/>
          <w:rtl/>
        </w:rPr>
      </w:pPr>
    </w:p>
    <w:p w14:paraId="0A4935F7" w14:textId="77777777" w:rsidR="006F6E24" w:rsidRPr="0042202C" w:rsidRDefault="006F6E24" w:rsidP="006F6E24">
      <w:pPr>
        <w:rPr>
          <w:rFonts w:ascii="David" w:hAnsi="David"/>
          <w:spacing w:val="22"/>
          <w:sz w:val="26"/>
          <w:szCs w:val="26"/>
          <w:rtl/>
        </w:rPr>
      </w:pPr>
      <w:bookmarkStart w:id="6" w:name="ABSTRACT_START"/>
      <w:bookmarkEnd w:id="6"/>
    </w:p>
    <w:p w14:paraId="35A80326" w14:textId="77777777" w:rsidR="006F6E24" w:rsidRPr="0042202C" w:rsidRDefault="006F6E24" w:rsidP="006F6E24">
      <w:pPr>
        <w:spacing w:line="360" w:lineRule="auto"/>
        <w:jc w:val="both"/>
        <w:rPr>
          <w:rFonts w:ascii="David" w:hAnsi="David"/>
          <w:spacing w:val="22"/>
          <w:sz w:val="26"/>
          <w:szCs w:val="26"/>
          <w:rtl/>
        </w:rPr>
      </w:pPr>
      <w:r w:rsidRPr="0042202C">
        <w:rPr>
          <w:rFonts w:ascii="David" w:hAnsi="David"/>
          <w:spacing w:val="22"/>
          <w:sz w:val="26"/>
          <w:szCs w:val="26"/>
          <w:rtl/>
        </w:rPr>
        <w:t>1.</w:t>
      </w:r>
      <w:r w:rsidRPr="0042202C">
        <w:rPr>
          <w:rFonts w:ascii="David" w:hAnsi="David"/>
          <w:spacing w:val="22"/>
          <w:sz w:val="26"/>
          <w:szCs w:val="26"/>
          <w:rtl/>
        </w:rPr>
        <w:tab/>
        <w:t>הנאשם הורשע</w:t>
      </w:r>
      <w:r w:rsidRPr="0042202C">
        <w:rPr>
          <w:rFonts w:ascii="David" w:hAnsi="David" w:hint="cs"/>
          <w:spacing w:val="22"/>
          <w:sz w:val="26"/>
          <w:szCs w:val="26"/>
          <w:rtl/>
        </w:rPr>
        <w:t>,</w:t>
      </w:r>
      <w:r w:rsidRPr="0042202C">
        <w:rPr>
          <w:rFonts w:ascii="David" w:hAnsi="David"/>
          <w:spacing w:val="22"/>
          <w:sz w:val="26"/>
          <w:szCs w:val="26"/>
          <w:rtl/>
        </w:rPr>
        <w:t xml:space="preserve"> על פי הודאתו בכתב אישום מתוקן</w:t>
      </w:r>
      <w:r w:rsidRPr="0042202C">
        <w:rPr>
          <w:rFonts w:ascii="David" w:hAnsi="David" w:hint="cs"/>
          <w:spacing w:val="22"/>
          <w:sz w:val="26"/>
          <w:szCs w:val="26"/>
          <w:rtl/>
        </w:rPr>
        <w:t>,</w:t>
      </w:r>
      <w:r w:rsidRPr="0042202C">
        <w:rPr>
          <w:rFonts w:ascii="David" w:hAnsi="David"/>
          <w:spacing w:val="22"/>
          <w:sz w:val="26"/>
          <w:szCs w:val="26"/>
          <w:rtl/>
        </w:rPr>
        <w:t xml:space="preserve"> בעבירה של החזקת סמים שלא לצריכה עצמית לפי </w:t>
      </w:r>
      <w:hyperlink r:id="rId13" w:history="1">
        <w:r w:rsidR="00CE7F29" w:rsidRPr="00CE7F29">
          <w:rPr>
            <w:rStyle w:val="Hyperlink"/>
            <w:rFonts w:ascii="David" w:hAnsi="David"/>
            <w:spacing w:val="22"/>
            <w:sz w:val="26"/>
            <w:szCs w:val="26"/>
            <w:rtl/>
          </w:rPr>
          <w:t>סעיף 7(א)+(ג)</w:t>
        </w:r>
      </w:hyperlink>
      <w:r w:rsidRPr="0042202C">
        <w:rPr>
          <w:rFonts w:ascii="David" w:hAnsi="David" w:hint="cs"/>
          <w:spacing w:val="22"/>
          <w:sz w:val="26"/>
          <w:szCs w:val="26"/>
          <w:rtl/>
        </w:rPr>
        <w:t xml:space="preserve"> </w:t>
      </w:r>
      <w:r w:rsidRPr="0042202C">
        <w:rPr>
          <w:rFonts w:ascii="David" w:hAnsi="David"/>
          <w:spacing w:val="22"/>
          <w:sz w:val="26"/>
          <w:szCs w:val="26"/>
          <w:rtl/>
        </w:rPr>
        <w:t xml:space="preserve">רישא </w:t>
      </w:r>
      <w:r w:rsidRPr="0042202C">
        <w:rPr>
          <w:rFonts w:ascii="David" w:hAnsi="David"/>
          <w:b/>
          <w:bCs/>
          <w:spacing w:val="22"/>
          <w:sz w:val="26"/>
          <w:szCs w:val="26"/>
          <w:rtl/>
        </w:rPr>
        <w:t>ל</w:t>
      </w:r>
      <w:hyperlink r:id="rId14" w:history="1">
        <w:r w:rsidR="00F9797F" w:rsidRPr="00F9797F">
          <w:rPr>
            <w:rFonts w:ascii="David" w:hAnsi="David"/>
            <w:b/>
            <w:bCs/>
            <w:color w:val="0000FF"/>
            <w:spacing w:val="22"/>
            <w:sz w:val="26"/>
            <w:szCs w:val="26"/>
            <w:u w:val="single"/>
            <w:rtl/>
          </w:rPr>
          <w:t>פקודת הסמים המסוכנים</w:t>
        </w:r>
      </w:hyperlink>
      <w:r w:rsidRPr="0042202C">
        <w:rPr>
          <w:rFonts w:ascii="David" w:hAnsi="David"/>
          <w:b/>
          <w:bCs/>
          <w:spacing w:val="22"/>
          <w:sz w:val="26"/>
          <w:szCs w:val="26"/>
          <w:rtl/>
        </w:rPr>
        <w:t>, נוסח חדש, תש"ג – 1973 (</w:t>
      </w:r>
      <w:r w:rsidRPr="0042202C">
        <w:rPr>
          <w:rFonts w:ascii="David" w:hAnsi="David"/>
          <w:spacing w:val="22"/>
          <w:sz w:val="26"/>
          <w:szCs w:val="26"/>
          <w:rtl/>
        </w:rPr>
        <w:t>להלן:</w:t>
      </w:r>
      <w:r w:rsidRPr="0042202C">
        <w:rPr>
          <w:rFonts w:ascii="David" w:hAnsi="David"/>
          <w:b/>
          <w:bCs/>
          <w:spacing w:val="22"/>
          <w:sz w:val="26"/>
          <w:szCs w:val="26"/>
          <w:rtl/>
        </w:rPr>
        <w:t xml:space="preserve"> "הפקודה</w:t>
      </w:r>
      <w:r w:rsidRPr="0042202C">
        <w:rPr>
          <w:rFonts w:ascii="David" w:hAnsi="David"/>
          <w:spacing w:val="22"/>
          <w:sz w:val="26"/>
          <w:szCs w:val="26"/>
          <w:rtl/>
        </w:rPr>
        <w:t xml:space="preserve">").  </w:t>
      </w:r>
    </w:p>
    <w:p w14:paraId="098D880C" w14:textId="77777777" w:rsidR="006F6E24" w:rsidRPr="0042202C" w:rsidRDefault="006F6E24" w:rsidP="006F6E24">
      <w:pPr>
        <w:spacing w:line="360" w:lineRule="auto"/>
        <w:jc w:val="both"/>
        <w:rPr>
          <w:rFonts w:ascii="David" w:hAnsi="David"/>
          <w:spacing w:val="22"/>
          <w:sz w:val="26"/>
          <w:szCs w:val="26"/>
          <w:rtl/>
        </w:rPr>
      </w:pPr>
    </w:p>
    <w:p w14:paraId="15A8F387" w14:textId="77777777" w:rsidR="006F6E24" w:rsidRPr="0042202C" w:rsidRDefault="006F6E24" w:rsidP="006F6E24">
      <w:pPr>
        <w:spacing w:line="360" w:lineRule="auto"/>
        <w:jc w:val="both"/>
        <w:rPr>
          <w:rFonts w:ascii="David" w:hAnsi="David"/>
          <w:spacing w:val="22"/>
          <w:sz w:val="26"/>
          <w:szCs w:val="26"/>
          <w:rtl/>
        </w:rPr>
      </w:pPr>
      <w:bookmarkStart w:id="7" w:name="ABSTRACT_END"/>
      <w:bookmarkEnd w:id="7"/>
      <w:r w:rsidRPr="0042202C">
        <w:rPr>
          <w:rFonts w:ascii="David" w:hAnsi="David"/>
          <w:spacing w:val="22"/>
          <w:sz w:val="26"/>
          <w:szCs w:val="26"/>
          <w:rtl/>
        </w:rPr>
        <w:t>2.</w:t>
      </w:r>
      <w:r w:rsidRPr="0042202C">
        <w:rPr>
          <w:rFonts w:ascii="David" w:hAnsi="David"/>
          <w:spacing w:val="22"/>
          <w:sz w:val="26"/>
          <w:szCs w:val="26"/>
          <w:rtl/>
        </w:rPr>
        <w:tab/>
        <w:t>על פי עובדות כתב האישום המתוקן, ביום 19.8.19, באזור מנהרת הארזים לכיוון ירושלים, נהג הנאשם ברכבו</w:t>
      </w:r>
      <w:r w:rsidRPr="0042202C">
        <w:rPr>
          <w:rFonts w:ascii="David" w:hAnsi="David" w:hint="cs"/>
          <w:spacing w:val="22"/>
          <w:sz w:val="26"/>
          <w:szCs w:val="26"/>
          <w:rtl/>
        </w:rPr>
        <w:t>,</w:t>
      </w:r>
      <w:r w:rsidRPr="0042202C">
        <w:rPr>
          <w:rFonts w:ascii="David" w:hAnsi="David"/>
          <w:spacing w:val="22"/>
          <w:sz w:val="26"/>
          <w:szCs w:val="26"/>
          <w:rtl/>
        </w:rPr>
        <w:t xml:space="preserve"> </w:t>
      </w:r>
      <w:r w:rsidRPr="0042202C">
        <w:rPr>
          <w:rFonts w:ascii="David" w:hAnsi="David" w:hint="cs"/>
          <w:spacing w:val="22"/>
          <w:sz w:val="26"/>
          <w:szCs w:val="26"/>
          <w:rtl/>
        </w:rPr>
        <w:t xml:space="preserve">בו החזיק </w:t>
      </w:r>
      <w:r w:rsidRPr="0042202C">
        <w:rPr>
          <w:rFonts w:ascii="David" w:hAnsi="David"/>
          <w:spacing w:val="22"/>
          <w:sz w:val="26"/>
          <w:szCs w:val="26"/>
          <w:rtl/>
        </w:rPr>
        <w:t xml:space="preserve">מאות ולא פחות מ </w:t>
      </w:r>
      <w:r w:rsidRPr="0042202C">
        <w:rPr>
          <w:rFonts w:ascii="David" w:hAnsi="David" w:hint="cs"/>
          <w:spacing w:val="22"/>
          <w:sz w:val="26"/>
          <w:szCs w:val="26"/>
          <w:rtl/>
        </w:rPr>
        <w:lastRenderedPageBreak/>
        <w:t>-</w:t>
      </w:r>
      <w:r w:rsidRPr="0042202C">
        <w:rPr>
          <w:rFonts w:ascii="David" w:hAnsi="David"/>
          <w:spacing w:val="22"/>
          <w:sz w:val="26"/>
          <w:szCs w:val="26"/>
          <w:rtl/>
        </w:rPr>
        <w:t xml:space="preserve"> 600 כדורי סם מסוכן מסוג </w:t>
      </w:r>
      <w:r w:rsidRPr="0042202C">
        <w:rPr>
          <w:rFonts w:ascii="David" w:hAnsi="David"/>
          <w:spacing w:val="22"/>
          <w:sz w:val="22"/>
          <w:szCs w:val="22"/>
        </w:rPr>
        <w:t>MDMA</w:t>
      </w:r>
      <w:r w:rsidRPr="0042202C">
        <w:rPr>
          <w:rFonts w:ascii="David" w:hAnsi="David" w:hint="cs"/>
          <w:spacing w:val="22"/>
          <w:sz w:val="22"/>
          <w:szCs w:val="22"/>
          <w:rtl/>
        </w:rPr>
        <w:t>,</w:t>
      </w:r>
      <w:r w:rsidRPr="0042202C">
        <w:rPr>
          <w:rFonts w:ascii="David" w:hAnsi="David"/>
          <w:spacing w:val="22"/>
          <w:sz w:val="22"/>
          <w:szCs w:val="22"/>
          <w:rtl/>
        </w:rPr>
        <w:t xml:space="preserve"> </w:t>
      </w:r>
      <w:r w:rsidRPr="0042202C">
        <w:rPr>
          <w:rFonts w:ascii="David" w:hAnsi="David"/>
          <w:spacing w:val="22"/>
          <w:sz w:val="26"/>
          <w:szCs w:val="26"/>
          <w:rtl/>
        </w:rPr>
        <w:t>עטופים בנייר וארוזים בשתי שקיות ניילון שקופות</w:t>
      </w:r>
      <w:r w:rsidRPr="0042202C">
        <w:rPr>
          <w:rFonts w:ascii="David" w:hAnsi="David" w:hint="cs"/>
          <w:spacing w:val="22"/>
          <w:sz w:val="26"/>
          <w:szCs w:val="26"/>
          <w:rtl/>
        </w:rPr>
        <w:t>,</w:t>
      </w:r>
      <w:r w:rsidRPr="0042202C">
        <w:rPr>
          <w:rFonts w:ascii="David" w:hAnsi="David"/>
          <w:spacing w:val="22"/>
          <w:sz w:val="26"/>
          <w:szCs w:val="26"/>
          <w:rtl/>
        </w:rPr>
        <w:t xml:space="preserve"> אשר הונחו על רצפת הרכב מאחורי מושב הנהג (להלן:</w:t>
      </w:r>
      <w:r w:rsidRPr="0042202C">
        <w:rPr>
          <w:rFonts w:ascii="David" w:hAnsi="David"/>
          <w:b/>
          <w:bCs/>
          <w:spacing w:val="22"/>
          <w:sz w:val="26"/>
          <w:szCs w:val="26"/>
          <w:rtl/>
        </w:rPr>
        <w:t>"הסמים</w:t>
      </w:r>
      <w:r w:rsidRPr="0042202C">
        <w:rPr>
          <w:rFonts w:ascii="David" w:hAnsi="David"/>
          <w:spacing w:val="22"/>
          <w:sz w:val="26"/>
          <w:szCs w:val="26"/>
          <w:rtl/>
        </w:rPr>
        <w:t>"). במעשיו אלה החזיק הנאשם בסמים שלא לצריכתו העצמית וללא היתר כדין.</w:t>
      </w:r>
    </w:p>
    <w:p w14:paraId="0D933A3E" w14:textId="77777777" w:rsidR="006F6E24" w:rsidRPr="0042202C" w:rsidRDefault="006F6E24" w:rsidP="006F6E24">
      <w:pPr>
        <w:spacing w:line="360" w:lineRule="auto"/>
        <w:jc w:val="both"/>
        <w:rPr>
          <w:rFonts w:ascii="David" w:hAnsi="David"/>
          <w:spacing w:val="22"/>
          <w:sz w:val="26"/>
          <w:szCs w:val="26"/>
          <w:rtl/>
        </w:rPr>
      </w:pPr>
    </w:p>
    <w:p w14:paraId="642E18D7" w14:textId="77777777" w:rsidR="006F6E24" w:rsidRPr="0042202C" w:rsidRDefault="006F6E24" w:rsidP="006F6E24">
      <w:pPr>
        <w:spacing w:line="360" w:lineRule="auto"/>
        <w:jc w:val="both"/>
        <w:rPr>
          <w:rFonts w:ascii="David" w:hAnsi="David"/>
          <w:spacing w:val="22"/>
          <w:sz w:val="26"/>
          <w:szCs w:val="26"/>
          <w:rtl/>
        </w:rPr>
      </w:pPr>
      <w:r w:rsidRPr="0042202C">
        <w:rPr>
          <w:rFonts w:ascii="David" w:hAnsi="David"/>
          <w:spacing w:val="22"/>
          <w:sz w:val="26"/>
          <w:szCs w:val="26"/>
          <w:rtl/>
        </w:rPr>
        <w:t>3.</w:t>
      </w:r>
      <w:r w:rsidRPr="0042202C">
        <w:rPr>
          <w:rFonts w:ascii="David" w:hAnsi="David"/>
          <w:spacing w:val="22"/>
          <w:sz w:val="26"/>
          <w:szCs w:val="26"/>
          <w:rtl/>
        </w:rPr>
        <w:tab/>
      </w:r>
      <w:r w:rsidRPr="0042202C">
        <w:rPr>
          <w:spacing w:val="22"/>
          <w:sz w:val="26"/>
          <w:szCs w:val="26"/>
          <w:rtl/>
        </w:rPr>
        <w:t xml:space="preserve">בנוגע עם הנאשם ניתנו </w:t>
      </w:r>
      <w:r w:rsidRPr="0042202C">
        <w:rPr>
          <w:rFonts w:hint="cs"/>
          <w:b/>
          <w:bCs/>
          <w:spacing w:val="22"/>
          <w:sz w:val="26"/>
          <w:szCs w:val="26"/>
          <w:rtl/>
        </w:rPr>
        <w:t xml:space="preserve">שני תסקירי מבחן. </w:t>
      </w:r>
      <w:r w:rsidRPr="000C4863">
        <w:rPr>
          <w:rFonts w:hint="cs"/>
          <w:spacing w:val="22"/>
          <w:sz w:val="26"/>
          <w:szCs w:val="26"/>
          <w:rtl/>
        </w:rPr>
        <w:t>מהתסקירים עולה כי</w:t>
      </w:r>
      <w:r w:rsidRPr="0042202C">
        <w:rPr>
          <w:rFonts w:hint="cs"/>
          <w:b/>
          <w:bCs/>
          <w:spacing w:val="22"/>
          <w:sz w:val="26"/>
          <w:szCs w:val="26"/>
          <w:rtl/>
        </w:rPr>
        <w:t xml:space="preserve">  </w:t>
      </w:r>
      <w:r w:rsidRPr="0042202C">
        <w:rPr>
          <w:rFonts w:ascii="David" w:hAnsi="David"/>
          <w:spacing w:val="22"/>
          <w:sz w:val="26"/>
          <w:szCs w:val="26"/>
          <w:rtl/>
        </w:rPr>
        <w:t xml:space="preserve">הנאשם כבן 25 שנים, רווק, </w:t>
      </w:r>
      <w:r w:rsidRPr="0042202C">
        <w:rPr>
          <w:rFonts w:ascii="David" w:hAnsi="David" w:hint="cs"/>
          <w:spacing w:val="22"/>
          <w:sz w:val="26"/>
          <w:szCs w:val="26"/>
          <w:rtl/>
        </w:rPr>
        <w:t>מתגורר</w:t>
      </w:r>
      <w:r w:rsidRPr="0042202C">
        <w:rPr>
          <w:rFonts w:ascii="David" w:hAnsi="David"/>
          <w:spacing w:val="22"/>
          <w:sz w:val="26"/>
          <w:szCs w:val="26"/>
          <w:rtl/>
        </w:rPr>
        <w:t xml:space="preserve"> בבית הוריו</w:t>
      </w:r>
      <w:r w:rsidRPr="0042202C">
        <w:rPr>
          <w:rFonts w:ascii="David" w:hAnsi="David" w:hint="cs"/>
          <w:spacing w:val="22"/>
          <w:sz w:val="26"/>
          <w:szCs w:val="26"/>
          <w:rtl/>
        </w:rPr>
        <w:t xml:space="preserve">,בן למשפחה נורמטיבית בת 7 נפשות, המהווה עבורו עוגן תומך. </w:t>
      </w:r>
      <w:r w:rsidRPr="0042202C">
        <w:rPr>
          <w:rFonts w:ascii="David" w:hAnsi="David"/>
          <w:spacing w:val="22"/>
          <w:sz w:val="26"/>
          <w:szCs w:val="26"/>
          <w:rtl/>
        </w:rPr>
        <w:t xml:space="preserve">אין </w:t>
      </w:r>
      <w:r w:rsidRPr="0042202C">
        <w:rPr>
          <w:rFonts w:ascii="David" w:hAnsi="David" w:hint="cs"/>
          <w:spacing w:val="22"/>
          <w:sz w:val="26"/>
          <w:szCs w:val="26"/>
          <w:rtl/>
        </w:rPr>
        <w:t xml:space="preserve">לנאשם עבר פלילי והוא שלל שימוש לרעה בסמים ואלכוהול. הנאשם בעל יכולות תפקוד לנהל אורח חיים יציב ומתפקד, מגלה מודעות והבנה להתנהגות, נוטל אחריות ומשתף פעולה באופן מלא עם שירות המבחן. בשנה האחרונה, מאז החל ההליך הפלילי נגדו בתיק זה, היה הנאשם במשך כחודשיים במעצר בית מלא, ובהמשך הותר לו לצאת ולעבוד במהלך שעות היום בתחום השיפוצים. ניכר כי גילה מחויבות לתפקידיו בתחומי עבודתו השונים. שירות המבחן המליץ להטיל על הנאשם מאסר על תנאי לצד ענישה שיקומית טיפולית ו- 250 שעות של"צ. </w:t>
      </w:r>
    </w:p>
    <w:p w14:paraId="577BD269" w14:textId="77777777" w:rsidR="006F6E24" w:rsidRPr="0042202C" w:rsidRDefault="006F6E24" w:rsidP="006F6E24">
      <w:pPr>
        <w:spacing w:line="360" w:lineRule="auto"/>
        <w:jc w:val="both"/>
        <w:rPr>
          <w:color w:val="FF0000"/>
          <w:spacing w:val="22"/>
          <w:sz w:val="26"/>
          <w:szCs w:val="26"/>
          <w:rtl/>
        </w:rPr>
      </w:pPr>
      <w:r w:rsidRPr="0042202C">
        <w:rPr>
          <w:color w:val="FF0000"/>
          <w:spacing w:val="22"/>
          <w:sz w:val="26"/>
          <w:szCs w:val="26"/>
          <w:rtl/>
        </w:rPr>
        <w:tab/>
      </w:r>
    </w:p>
    <w:p w14:paraId="4443EBF9"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4.</w:t>
      </w:r>
      <w:r w:rsidRPr="0042202C">
        <w:rPr>
          <w:color w:val="FF0000"/>
          <w:spacing w:val="22"/>
          <w:sz w:val="26"/>
          <w:szCs w:val="26"/>
          <w:rtl/>
        </w:rPr>
        <w:tab/>
      </w:r>
      <w:r w:rsidRPr="0042202C">
        <w:rPr>
          <w:b/>
          <w:bCs/>
          <w:spacing w:val="22"/>
          <w:sz w:val="26"/>
          <w:szCs w:val="26"/>
          <w:rtl/>
        </w:rPr>
        <w:t>המאשימה</w:t>
      </w:r>
      <w:r w:rsidRPr="0042202C">
        <w:rPr>
          <w:rFonts w:hint="cs"/>
          <w:spacing w:val="22"/>
          <w:sz w:val="26"/>
          <w:szCs w:val="26"/>
          <w:rtl/>
        </w:rPr>
        <w:t xml:space="preserve"> טענה כי הסמים שנתפסו בחזקתו של הנאשם הינם מסוכנים ובכמויות גדולות. הערכים שנפגעו הם הגנה לציבור, נזקים ישירים למכורים בסמים ונזקים עקיפים לחברה, ובתי המשפט נוהגים בעבירות סמים להעביר מסר חד משמעי של הרתעה, ולשמש אות אזהרה לעבריינים פוטנציאלים, על אחת כמה וכמה כשמדובר בכמות סמים כה גדולה. נטען כי הנאשם מהווה חוליה משמעותית בשרשרת הפצת הסם, אשר בוצעה למטרת רווח. באשר למתחם הענישה, באה הפניה לפסיקה לפיה , כך נטען, במקרים דומים נקבע מתחם בין 24 ל- 36 חודשי מאסר בנוסף למאסר על תנאי, קנס ופסילה. לטענת המאשימה, במקרה דנן, יש לקבוע מתחם ענישה בטווח 22  עד 40 חודשי מאסר, כאשר הנאשם ימוקם בשליש התחתון של המתחם וכן ענישה נלווית: מאסר על תנאי, פסילה, פסילה על תנאי, קנס, השמדת הסמים וחילוט רכבו. בנוסף ביקשה המאשימה להכריז על הנאשם כ"סוכן סמים".</w:t>
      </w:r>
    </w:p>
    <w:p w14:paraId="7CC08386" w14:textId="77777777" w:rsidR="006F6E24" w:rsidRPr="0042202C" w:rsidRDefault="006F6E24" w:rsidP="006F6E24">
      <w:pPr>
        <w:spacing w:line="360" w:lineRule="auto"/>
        <w:jc w:val="both"/>
        <w:rPr>
          <w:spacing w:val="22"/>
          <w:sz w:val="26"/>
          <w:szCs w:val="26"/>
          <w:rtl/>
        </w:rPr>
      </w:pPr>
    </w:p>
    <w:p w14:paraId="0082A43E" w14:textId="77777777" w:rsidR="006F6E24" w:rsidRPr="0042202C" w:rsidRDefault="006F6E24" w:rsidP="006F6E24">
      <w:pPr>
        <w:spacing w:line="360" w:lineRule="auto"/>
        <w:ind w:firstLine="720"/>
        <w:jc w:val="both"/>
        <w:rPr>
          <w:spacing w:val="22"/>
          <w:sz w:val="26"/>
          <w:szCs w:val="26"/>
          <w:rtl/>
        </w:rPr>
      </w:pPr>
      <w:r w:rsidRPr="0042202C">
        <w:rPr>
          <w:rFonts w:hint="cs"/>
          <w:b/>
          <w:bCs/>
          <w:spacing w:val="22"/>
          <w:sz w:val="26"/>
          <w:szCs w:val="26"/>
          <w:rtl/>
        </w:rPr>
        <w:t>פסיקה אליה הפנתה המאשימה</w:t>
      </w:r>
      <w:r w:rsidRPr="0042202C">
        <w:rPr>
          <w:rFonts w:hint="cs"/>
          <w:spacing w:val="22"/>
          <w:sz w:val="26"/>
          <w:szCs w:val="26"/>
          <w:rtl/>
        </w:rPr>
        <w:t xml:space="preserve"> </w:t>
      </w:r>
      <w:r w:rsidRPr="0042202C">
        <w:rPr>
          <w:spacing w:val="22"/>
          <w:sz w:val="26"/>
          <w:szCs w:val="26"/>
          <w:rtl/>
        </w:rPr>
        <w:t>–</w:t>
      </w:r>
      <w:r w:rsidRPr="0042202C">
        <w:rPr>
          <w:rFonts w:hint="cs"/>
          <w:spacing w:val="22"/>
          <w:sz w:val="26"/>
          <w:szCs w:val="26"/>
          <w:rtl/>
        </w:rPr>
        <w:t xml:space="preserve"> </w:t>
      </w:r>
      <w:r w:rsidRPr="0042202C">
        <w:rPr>
          <w:rFonts w:hint="cs"/>
          <w:b/>
          <w:bCs/>
          <w:spacing w:val="22"/>
          <w:sz w:val="26"/>
          <w:szCs w:val="26"/>
          <w:rtl/>
        </w:rPr>
        <w:t>ב</w:t>
      </w:r>
      <w:hyperlink r:id="rId15" w:history="1">
        <w:r w:rsidR="00F9797F" w:rsidRPr="00F9797F">
          <w:rPr>
            <w:b/>
            <w:bCs/>
            <w:color w:val="0000FF"/>
            <w:spacing w:val="22"/>
            <w:sz w:val="26"/>
            <w:szCs w:val="26"/>
            <w:u w:val="single"/>
            <w:rtl/>
          </w:rPr>
          <w:t>רע"פ  3443/07</w:t>
        </w:r>
      </w:hyperlink>
      <w:r w:rsidRPr="0042202C">
        <w:rPr>
          <w:rFonts w:hint="cs"/>
          <w:spacing w:val="22"/>
          <w:sz w:val="26"/>
          <w:szCs w:val="26"/>
          <w:rtl/>
        </w:rPr>
        <w:t xml:space="preserve"> נדחה ערעור נאשם אשר נתפסה בביתו  כמות מסחרית של 926 טבליות מסוג </w:t>
      </w:r>
      <w:r w:rsidRPr="0042202C">
        <w:rPr>
          <w:rFonts w:hint="cs"/>
          <w:spacing w:val="22"/>
        </w:rPr>
        <w:t>MDMA</w:t>
      </w:r>
      <w:r w:rsidRPr="0042202C">
        <w:rPr>
          <w:rFonts w:hint="cs"/>
          <w:spacing w:val="22"/>
          <w:sz w:val="26"/>
          <w:szCs w:val="26"/>
          <w:rtl/>
        </w:rPr>
        <w:t xml:space="preserve">, וכן קנביס לצריכה עצמית במשקל של 2.96 גרם, ונגזרו עליו 24 חודשי </w:t>
      </w:r>
      <w:r w:rsidRPr="0042202C">
        <w:rPr>
          <w:rFonts w:hint="cs"/>
          <w:spacing w:val="22"/>
          <w:sz w:val="26"/>
          <w:szCs w:val="26"/>
          <w:rtl/>
        </w:rPr>
        <w:lastRenderedPageBreak/>
        <w:t xml:space="preserve">מאסר בפועל ועונשים נוספים. יוער, כי במקרה זה המערער היה מכור לסמים תקופה ארוכה, היה בעל מוטיבציה נמוכה ולא התמיד בטיפול. </w:t>
      </w:r>
    </w:p>
    <w:p w14:paraId="2EE39C0A" w14:textId="77777777" w:rsidR="006F6E24" w:rsidRPr="0042202C" w:rsidRDefault="00F9797F" w:rsidP="006F6E24">
      <w:pPr>
        <w:spacing w:line="360" w:lineRule="auto"/>
        <w:ind w:firstLine="720"/>
        <w:jc w:val="both"/>
        <w:rPr>
          <w:spacing w:val="22"/>
          <w:sz w:val="26"/>
          <w:szCs w:val="26"/>
          <w:rtl/>
        </w:rPr>
      </w:pPr>
      <w:hyperlink r:id="rId16" w:history="1">
        <w:r w:rsidRPr="00F9797F">
          <w:rPr>
            <w:b/>
            <w:bCs/>
            <w:color w:val="0000FF"/>
            <w:spacing w:val="22"/>
            <w:sz w:val="26"/>
            <w:szCs w:val="26"/>
            <w:u w:val="single"/>
            <w:rtl/>
          </w:rPr>
          <w:t>ע"פ 9979/08</w:t>
        </w:r>
      </w:hyperlink>
      <w:r w:rsidR="006F6E24" w:rsidRPr="0042202C">
        <w:rPr>
          <w:rFonts w:hint="cs"/>
          <w:spacing w:val="22"/>
          <w:sz w:val="26"/>
          <w:szCs w:val="26"/>
          <w:rtl/>
        </w:rPr>
        <w:t xml:space="preserve">, נדחה ערעורו של נאשם אשר הורשע בהחזקה בכיסו ובמקום מגוריו ב- 242 טבליות של סם מסוכן מסוג </w:t>
      </w:r>
      <w:r w:rsidR="006F6E24" w:rsidRPr="0042202C">
        <w:rPr>
          <w:rFonts w:hint="cs"/>
          <w:spacing w:val="22"/>
        </w:rPr>
        <w:t>MDMA</w:t>
      </w:r>
      <w:r w:rsidR="006F6E24" w:rsidRPr="0042202C">
        <w:rPr>
          <w:rFonts w:hint="cs"/>
          <w:spacing w:val="22"/>
          <w:sz w:val="26"/>
          <w:szCs w:val="26"/>
          <w:rtl/>
        </w:rPr>
        <w:t xml:space="preserve">, כ- 1.90 גרם של אבקת חשיש ונדון ל- 24 חודשי מאסר. </w:t>
      </w:r>
    </w:p>
    <w:p w14:paraId="6CE60A57" w14:textId="77777777" w:rsidR="006F6E24" w:rsidRPr="0042202C" w:rsidRDefault="006F6E24" w:rsidP="006F6E24">
      <w:pPr>
        <w:spacing w:line="360" w:lineRule="auto"/>
        <w:ind w:firstLine="720"/>
        <w:jc w:val="both"/>
        <w:rPr>
          <w:spacing w:val="22"/>
          <w:sz w:val="26"/>
          <w:szCs w:val="26"/>
          <w:rtl/>
        </w:rPr>
      </w:pPr>
      <w:r w:rsidRPr="0042202C">
        <w:rPr>
          <w:rFonts w:hint="cs"/>
          <w:spacing w:val="22"/>
          <w:sz w:val="26"/>
          <w:szCs w:val="26"/>
          <w:rtl/>
        </w:rPr>
        <w:t>ב</w:t>
      </w:r>
      <w:hyperlink r:id="rId17" w:history="1">
        <w:r w:rsidR="00F9797F" w:rsidRPr="00F9797F">
          <w:rPr>
            <w:color w:val="0000FF"/>
            <w:spacing w:val="22"/>
            <w:sz w:val="26"/>
            <w:szCs w:val="26"/>
            <w:u w:val="single"/>
            <w:rtl/>
          </w:rPr>
          <w:t>ת"פ 701-12-16</w:t>
        </w:r>
      </w:hyperlink>
      <w:r w:rsidRPr="0042202C">
        <w:rPr>
          <w:rFonts w:hint="cs"/>
          <w:spacing w:val="22"/>
          <w:sz w:val="26"/>
          <w:szCs w:val="26"/>
          <w:rtl/>
        </w:rPr>
        <w:t xml:space="preserve"> הורשע נאשם, בן 24 ונטול עבר פלילי, על פי הודאתו, בהחזקת 701 טבליות של סם מסוכן מסוג </w:t>
      </w:r>
      <w:r w:rsidRPr="0042202C">
        <w:rPr>
          <w:rFonts w:hint="cs"/>
          <w:spacing w:val="22"/>
        </w:rPr>
        <w:t>MDMA</w:t>
      </w:r>
      <w:r w:rsidRPr="0042202C">
        <w:rPr>
          <w:rFonts w:hint="cs"/>
          <w:spacing w:val="22"/>
          <w:sz w:val="26"/>
          <w:szCs w:val="26"/>
          <w:rtl/>
        </w:rPr>
        <w:t xml:space="preserve"> ונגזרו עליו 18 חודשי מאסר בנוסף למאסר על תנאי, קנס ופסילה. שירות המבחן אשר המליץ על  מאסר קצר שיבוצע בדרך של עבודות שירות, אולם בית המשפט המחוזי קבע מתחם ענישה בטווח 13 עד 36 חודשי מאסר. הנאשם  חזר בו מערעורו לעליון. </w:t>
      </w:r>
    </w:p>
    <w:p w14:paraId="5027A7B9" w14:textId="77777777" w:rsidR="006F6E24" w:rsidRPr="0042202C" w:rsidRDefault="006F6E24" w:rsidP="006F6E24">
      <w:pPr>
        <w:spacing w:line="360" w:lineRule="auto"/>
        <w:ind w:firstLine="720"/>
        <w:jc w:val="both"/>
        <w:rPr>
          <w:spacing w:val="22"/>
          <w:sz w:val="26"/>
          <w:szCs w:val="26"/>
          <w:rtl/>
        </w:rPr>
      </w:pPr>
    </w:p>
    <w:p w14:paraId="1C5A4D09"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 xml:space="preserve">5. </w:t>
      </w:r>
      <w:r w:rsidRPr="0042202C">
        <w:rPr>
          <w:spacing w:val="22"/>
          <w:sz w:val="26"/>
          <w:szCs w:val="26"/>
          <w:rtl/>
        </w:rPr>
        <w:tab/>
        <w:t xml:space="preserve">מנגד, </w:t>
      </w:r>
      <w:r w:rsidRPr="0042202C">
        <w:rPr>
          <w:b/>
          <w:bCs/>
          <w:spacing w:val="22"/>
          <w:sz w:val="26"/>
          <w:szCs w:val="26"/>
          <w:rtl/>
        </w:rPr>
        <w:t>הסנגור</w:t>
      </w:r>
      <w:r w:rsidRPr="0042202C">
        <w:rPr>
          <w:spacing w:val="22"/>
          <w:sz w:val="26"/>
          <w:szCs w:val="26"/>
          <w:rtl/>
        </w:rPr>
        <w:t xml:space="preserve"> </w:t>
      </w:r>
      <w:r w:rsidRPr="0042202C">
        <w:rPr>
          <w:rFonts w:hint="cs"/>
          <w:spacing w:val="22"/>
          <w:sz w:val="26"/>
          <w:szCs w:val="26"/>
          <w:rtl/>
        </w:rPr>
        <w:t>טען כי לנאשם א</w:t>
      </w:r>
      <w:r w:rsidRPr="0042202C">
        <w:rPr>
          <w:spacing w:val="22"/>
          <w:sz w:val="26"/>
          <w:szCs w:val="26"/>
          <w:rtl/>
        </w:rPr>
        <w:t>ין עבר פלילי</w:t>
      </w:r>
      <w:r w:rsidRPr="0042202C">
        <w:rPr>
          <w:rFonts w:hint="cs"/>
          <w:spacing w:val="22"/>
          <w:sz w:val="26"/>
          <w:szCs w:val="26"/>
          <w:rtl/>
        </w:rPr>
        <w:t xml:space="preserve">, הנאשם הודה במיוחס לו, נטל אחריות והביע חרטה על מעשיו. לטענת ההגנה, מאז שחרורו ממעצר היה הנאשם במעצר בית ומאז שבית המשפט התיר לו </w:t>
      </w:r>
      <w:r w:rsidRPr="0042202C">
        <w:rPr>
          <w:spacing w:val="22"/>
          <w:sz w:val="26"/>
          <w:szCs w:val="26"/>
          <w:rtl/>
        </w:rPr>
        <w:t>–</w:t>
      </w:r>
      <w:r w:rsidRPr="0042202C">
        <w:rPr>
          <w:rFonts w:hint="cs"/>
          <w:spacing w:val="22"/>
          <w:sz w:val="26"/>
          <w:szCs w:val="26"/>
          <w:rtl/>
        </w:rPr>
        <w:t xml:space="preserve"> עבד והתמיד בעבודתו ויש לו רצון ומוטיבציה להצליח. בנוסף, בתקופה זו לא נפתחו נגדו תיקים וגם התסקירים בעניינו חיובים. כן נטען כי מדובר באדם צעיר, ובן למשפחה  תומכת אשר מהווה עבורו עוגן,  אביו מורה, והנאשם מסייע בטיפול בהוריו לצד שיתוף פעולה עם הגורמים המטפלים. בתיק זה, הסם נתפס ברכבו של הנאשם מאחור, כך שאין כל ראייה להפצה או לסחר, ויש לקבל את המלצת שירות המבחן ולהימנע ממאסר</w:t>
      </w:r>
      <w:r w:rsidRPr="0042202C">
        <w:rPr>
          <w:rFonts w:hint="cs"/>
          <w:spacing w:val="22"/>
          <w:rtl/>
        </w:rPr>
        <w:t xml:space="preserve"> </w:t>
      </w:r>
      <w:r w:rsidRPr="0042202C">
        <w:rPr>
          <w:rFonts w:hint="cs"/>
          <w:spacing w:val="22"/>
          <w:sz w:val="26"/>
          <w:szCs w:val="26"/>
          <w:rtl/>
        </w:rPr>
        <w:t>בפועל, שתפגע בנאשם. כמו כן, באשר לרכב הפולקסווגן לדידו התבקש החילוט, מדובר ברכב עבודה עם כלים בתוכו.</w:t>
      </w:r>
    </w:p>
    <w:p w14:paraId="4F4A0A2A" w14:textId="77777777" w:rsidR="006F6E24" w:rsidRPr="0042202C" w:rsidRDefault="006F6E24" w:rsidP="006F6E24">
      <w:pPr>
        <w:spacing w:line="360" w:lineRule="auto"/>
        <w:jc w:val="both"/>
        <w:rPr>
          <w:spacing w:val="22"/>
          <w:sz w:val="26"/>
          <w:szCs w:val="26"/>
          <w:rtl/>
        </w:rPr>
      </w:pPr>
    </w:p>
    <w:p w14:paraId="6674DA6D" w14:textId="77777777" w:rsidR="006F6E24" w:rsidRPr="0042202C" w:rsidRDefault="006F6E24" w:rsidP="006F6E24">
      <w:pPr>
        <w:spacing w:line="360" w:lineRule="auto"/>
        <w:jc w:val="both"/>
        <w:rPr>
          <w:spacing w:val="22"/>
          <w:sz w:val="26"/>
          <w:szCs w:val="26"/>
          <w:rtl/>
        </w:rPr>
      </w:pPr>
      <w:r w:rsidRPr="0042202C">
        <w:rPr>
          <w:spacing w:val="22"/>
          <w:sz w:val="26"/>
          <w:szCs w:val="26"/>
          <w:rtl/>
        </w:rPr>
        <w:tab/>
      </w:r>
      <w:r w:rsidRPr="0042202C">
        <w:rPr>
          <w:rFonts w:hint="cs"/>
          <w:b/>
          <w:bCs/>
          <w:spacing w:val="22"/>
          <w:sz w:val="26"/>
          <w:szCs w:val="26"/>
          <w:rtl/>
        </w:rPr>
        <w:t xml:space="preserve">הנאשם, </w:t>
      </w:r>
      <w:r w:rsidRPr="0042202C">
        <w:rPr>
          <w:rFonts w:hint="cs"/>
          <w:spacing w:val="22"/>
          <w:sz w:val="26"/>
          <w:szCs w:val="26"/>
          <w:rtl/>
        </w:rPr>
        <w:t>בדבריו, אמר כי לו זו הפעם הראשונה שהוא בבית משפט, הוא מודע לטעותו ולוקח אחריות למעשיו. לדבריו, מאסר בפועל יפגע בפרנסת המשפחה ובהוריו המבוגרים, בהם הוא מטפל, וכיום הוא עובד בשיפוץ בניין משרדים בתל אביב.</w:t>
      </w:r>
    </w:p>
    <w:p w14:paraId="2BEC7A64" w14:textId="77777777" w:rsidR="006F6E24" w:rsidRPr="0042202C" w:rsidRDefault="006F6E24" w:rsidP="006F6E24">
      <w:pPr>
        <w:spacing w:line="360" w:lineRule="auto"/>
        <w:jc w:val="both"/>
        <w:rPr>
          <w:b/>
          <w:bCs/>
          <w:spacing w:val="22"/>
          <w:sz w:val="26"/>
          <w:szCs w:val="26"/>
          <w:rtl/>
        </w:rPr>
      </w:pPr>
    </w:p>
    <w:p w14:paraId="2A200C4C" w14:textId="77777777" w:rsidR="006F6E24" w:rsidRPr="0042202C" w:rsidRDefault="006F6E24" w:rsidP="006F6E24">
      <w:pPr>
        <w:spacing w:line="360" w:lineRule="auto"/>
        <w:ind w:firstLine="720"/>
        <w:jc w:val="both"/>
        <w:rPr>
          <w:spacing w:val="22"/>
          <w:sz w:val="26"/>
          <w:szCs w:val="26"/>
          <w:rtl/>
        </w:rPr>
      </w:pPr>
      <w:r w:rsidRPr="0042202C">
        <w:rPr>
          <w:rFonts w:hint="cs"/>
          <w:b/>
          <w:bCs/>
          <w:spacing w:val="22"/>
          <w:sz w:val="26"/>
          <w:szCs w:val="26"/>
          <w:rtl/>
        </w:rPr>
        <w:t xml:space="preserve">פסיקה אליה הפנתה ההגנה </w:t>
      </w:r>
      <w:r w:rsidRPr="0042202C">
        <w:rPr>
          <w:b/>
          <w:bCs/>
          <w:spacing w:val="22"/>
          <w:sz w:val="26"/>
          <w:szCs w:val="26"/>
          <w:rtl/>
        </w:rPr>
        <w:t>–</w:t>
      </w:r>
      <w:r w:rsidRPr="0042202C">
        <w:rPr>
          <w:rFonts w:hint="cs"/>
          <w:b/>
          <w:bCs/>
          <w:spacing w:val="22"/>
          <w:sz w:val="26"/>
          <w:szCs w:val="26"/>
          <w:rtl/>
        </w:rPr>
        <w:t xml:space="preserve"> ת"פ (נצ') 1032/01</w:t>
      </w:r>
      <w:r w:rsidRPr="0042202C">
        <w:rPr>
          <w:rFonts w:hint="cs"/>
          <w:spacing w:val="22"/>
          <w:sz w:val="26"/>
          <w:szCs w:val="26"/>
          <w:rtl/>
        </w:rPr>
        <w:t xml:space="preserve"> הורשע נאשם  באחזקתם של 1001 כדורי סם מסוג אקסטזי ועבירות של הכשלת שוטר בעת מילוי תפקידו, ונדון לשישה חודשי עבודות שירות .</w:t>
      </w:r>
    </w:p>
    <w:p w14:paraId="2A847B67" w14:textId="77777777" w:rsidR="006F6E24" w:rsidRPr="0042202C" w:rsidRDefault="00F9797F" w:rsidP="006F6E24">
      <w:pPr>
        <w:spacing w:line="360" w:lineRule="auto"/>
        <w:ind w:firstLine="720"/>
        <w:jc w:val="both"/>
        <w:rPr>
          <w:rFonts w:ascii="David" w:hAnsi="David"/>
          <w:spacing w:val="22"/>
          <w:sz w:val="26"/>
          <w:szCs w:val="26"/>
          <w:rtl/>
        </w:rPr>
      </w:pPr>
      <w:hyperlink r:id="rId18" w:history="1">
        <w:r w:rsidRPr="00F9797F">
          <w:rPr>
            <w:b/>
            <w:bCs/>
            <w:color w:val="0000FF"/>
            <w:spacing w:val="22"/>
            <w:sz w:val="26"/>
            <w:szCs w:val="26"/>
            <w:u w:val="single"/>
            <w:rtl/>
          </w:rPr>
          <w:t>ת"פ (מרכז) 11608-07-16</w:t>
        </w:r>
      </w:hyperlink>
      <w:r w:rsidR="006F6E24" w:rsidRPr="0042202C">
        <w:rPr>
          <w:rFonts w:hint="cs"/>
          <w:spacing w:val="22"/>
          <w:sz w:val="26"/>
          <w:szCs w:val="26"/>
          <w:rtl/>
        </w:rPr>
        <w:t xml:space="preserve"> הנאשם נתפס בנתב"ג כשברשותו 13,189 טבליות </w:t>
      </w:r>
      <w:r w:rsidR="006F6E24" w:rsidRPr="0042202C">
        <w:rPr>
          <w:rFonts w:hint="cs"/>
          <w:spacing w:val="22"/>
          <w:sz w:val="22"/>
          <w:szCs w:val="22"/>
        </w:rPr>
        <w:t>MDMA</w:t>
      </w:r>
      <w:r w:rsidR="006F6E24" w:rsidRPr="0042202C">
        <w:rPr>
          <w:rFonts w:hint="cs"/>
          <w:spacing w:val="22"/>
          <w:sz w:val="26"/>
          <w:szCs w:val="26"/>
          <w:rtl/>
        </w:rPr>
        <w:t xml:space="preserve"> ואבקת סם </w:t>
      </w:r>
      <w:r w:rsidR="006F6E24" w:rsidRPr="0042202C">
        <w:rPr>
          <w:rFonts w:hint="cs"/>
          <w:spacing w:val="22"/>
          <w:sz w:val="22"/>
          <w:szCs w:val="22"/>
        </w:rPr>
        <w:t>MDMA</w:t>
      </w:r>
      <w:r w:rsidR="006F6E24" w:rsidRPr="0042202C">
        <w:rPr>
          <w:rFonts w:hint="cs"/>
          <w:spacing w:val="22"/>
          <w:sz w:val="26"/>
          <w:szCs w:val="26"/>
          <w:rtl/>
        </w:rPr>
        <w:t xml:space="preserve">  במשקל של 1,301.44 גרם </w:t>
      </w:r>
      <w:r w:rsidR="006F6E24" w:rsidRPr="0042202C">
        <w:rPr>
          <w:rFonts w:ascii="David" w:hAnsi="David"/>
          <w:spacing w:val="22"/>
          <w:sz w:val="26"/>
          <w:szCs w:val="26"/>
          <w:rtl/>
        </w:rPr>
        <w:t>והוטל עליו עונש מאסר בן 6 חודשים</w:t>
      </w:r>
      <w:r w:rsidR="006F6E24" w:rsidRPr="0042202C">
        <w:rPr>
          <w:rFonts w:ascii="David" w:hAnsi="David" w:hint="cs"/>
          <w:spacing w:val="22"/>
          <w:sz w:val="26"/>
          <w:szCs w:val="26"/>
          <w:rtl/>
        </w:rPr>
        <w:t xml:space="preserve"> שירוצה </w:t>
      </w:r>
      <w:r w:rsidR="006F6E24" w:rsidRPr="0042202C">
        <w:rPr>
          <w:rFonts w:ascii="David" w:hAnsi="David"/>
          <w:spacing w:val="22"/>
          <w:sz w:val="26"/>
          <w:szCs w:val="26"/>
          <w:rtl/>
        </w:rPr>
        <w:t>בעבודות שירות לצד עונשים נלווים</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w:t>
      </w:r>
    </w:p>
    <w:p w14:paraId="377EF64F" w14:textId="77777777" w:rsidR="006F6E24" w:rsidRPr="0042202C" w:rsidRDefault="00F9797F" w:rsidP="006F6E24">
      <w:pPr>
        <w:spacing w:line="360" w:lineRule="auto"/>
        <w:ind w:firstLine="720"/>
        <w:jc w:val="both"/>
        <w:rPr>
          <w:rFonts w:ascii="David" w:hAnsi="David"/>
          <w:spacing w:val="22"/>
          <w:sz w:val="26"/>
          <w:szCs w:val="26"/>
          <w:rtl/>
        </w:rPr>
      </w:pPr>
      <w:hyperlink r:id="rId19" w:history="1">
        <w:r w:rsidRPr="00F9797F">
          <w:rPr>
            <w:rFonts w:ascii="David" w:hAnsi="David"/>
            <w:b/>
            <w:bCs/>
            <w:color w:val="0000FF"/>
            <w:spacing w:val="22"/>
            <w:sz w:val="26"/>
            <w:szCs w:val="26"/>
            <w:u w:val="single"/>
            <w:rtl/>
          </w:rPr>
          <w:t>ת"פ (ת"א) 24514-09-15</w:t>
        </w:r>
      </w:hyperlink>
      <w:r w:rsidR="006F6E24" w:rsidRPr="0042202C">
        <w:rPr>
          <w:rFonts w:ascii="David" w:hAnsi="David"/>
          <w:spacing w:val="22"/>
          <w:sz w:val="26"/>
          <w:szCs w:val="26"/>
          <w:rtl/>
        </w:rPr>
        <w:t xml:space="preserve"> </w:t>
      </w:r>
      <w:r w:rsidR="006F6E24" w:rsidRPr="0042202C">
        <w:rPr>
          <w:rFonts w:ascii="David" w:hAnsi="David" w:hint="cs"/>
          <w:spacing w:val="22"/>
          <w:sz w:val="26"/>
          <w:szCs w:val="26"/>
          <w:rtl/>
        </w:rPr>
        <w:t xml:space="preserve">- </w:t>
      </w:r>
      <w:r w:rsidR="006F6E24" w:rsidRPr="0042202C">
        <w:rPr>
          <w:rFonts w:ascii="David" w:hAnsi="David"/>
          <w:spacing w:val="22"/>
          <w:sz w:val="26"/>
          <w:szCs w:val="26"/>
          <w:rtl/>
        </w:rPr>
        <w:t xml:space="preserve">הורשע הנאשם על פי הודאתו בהחזקת סמים מסוכנים שלא כדין ובהם 901 גרם של </w:t>
      </w:r>
      <w:r w:rsidR="006F6E24" w:rsidRPr="0042202C">
        <w:rPr>
          <w:rFonts w:ascii="David" w:hAnsi="David"/>
          <w:spacing w:val="22"/>
          <w:sz w:val="22"/>
          <w:szCs w:val="22"/>
        </w:rPr>
        <w:t>MDMA</w:t>
      </w:r>
      <w:r w:rsidR="006F6E24" w:rsidRPr="0042202C">
        <w:rPr>
          <w:rFonts w:ascii="David" w:hAnsi="David"/>
          <w:spacing w:val="22"/>
          <w:sz w:val="26"/>
          <w:szCs w:val="26"/>
          <w:rtl/>
        </w:rPr>
        <w:t xml:space="preserve"> </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w:t>
      </w:r>
      <w:r w:rsidR="006F6E24" w:rsidRPr="0042202C">
        <w:rPr>
          <w:rFonts w:ascii="David" w:hAnsi="David" w:hint="cs"/>
          <w:spacing w:val="22"/>
          <w:sz w:val="26"/>
          <w:szCs w:val="26"/>
          <w:rtl/>
        </w:rPr>
        <w:t xml:space="preserve">הושתו </w:t>
      </w:r>
      <w:r w:rsidR="006F6E24" w:rsidRPr="0042202C">
        <w:rPr>
          <w:rFonts w:ascii="David" w:hAnsi="David"/>
          <w:spacing w:val="22"/>
          <w:sz w:val="26"/>
          <w:szCs w:val="26"/>
          <w:rtl/>
        </w:rPr>
        <w:t>עליו 6 חודשי מאסר בפועל לריצוי בדרך של עבודות שירות</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בנוסף להפעלת עונש מאסר מותנה בן חמישה חודשים</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שהוטל על הנאשם בתיק אחר</w:t>
      </w:r>
      <w:r w:rsidR="006F6E24" w:rsidRPr="0042202C">
        <w:rPr>
          <w:rFonts w:ascii="David" w:hAnsi="David" w:hint="cs"/>
          <w:spacing w:val="22"/>
          <w:sz w:val="26"/>
          <w:szCs w:val="26"/>
          <w:rtl/>
        </w:rPr>
        <w:t xml:space="preserve">, </w:t>
      </w:r>
      <w:r w:rsidR="006F6E24" w:rsidRPr="0042202C">
        <w:rPr>
          <w:rFonts w:ascii="David" w:hAnsi="David"/>
          <w:spacing w:val="22"/>
          <w:sz w:val="26"/>
          <w:szCs w:val="26"/>
          <w:rtl/>
        </w:rPr>
        <w:t xml:space="preserve">ועונשים נלווים. </w:t>
      </w:r>
    </w:p>
    <w:p w14:paraId="1CBC1103" w14:textId="77777777" w:rsidR="006F6E24" w:rsidRPr="0042202C" w:rsidRDefault="00F9797F" w:rsidP="006F6E24">
      <w:pPr>
        <w:spacing w:line="360" w:lineRule="auto"/>
        <w:ind w:firstLine="720"/>
        <w:jc w:val="both"/>
        <w:rPr>
          <w:rFonts w:ascii="David" w:hAnsi="David"/>
          <w:spacing w:val="22"/>
          <w:sz w:val="26"/>
          <w:szCs w:val="26"/>
          <w:rtl/>
        </w:rPr>
      </w:pPr>
      <w:hyperlink r:id="rId20" w:history="1">
        <w:r w:rsidRPr="00F9797F">
          <w:rPr>
            <w:rFonts w:ascii="David" w:hAnsi="David"/>
            <w:b/>
            <w:bCs/>
            <w:color w:val="0000FF"/>
            <w:spacing w:val="22"/>
            <w:sz w:val="26"/>
            <w:szCs w:val="26"/>
            <w:u w:val="single"/>
            <w:rtl/>
          </w:rPr>
          <w:t>ת"פ (ת"א) 63255-11-16</w:t>
        </w:r>
      </w:hyperlink>
      <w:r w:rsidR="006F6E24" w:rsidRPr="0042202C">
        <w:rPr>
          <w:rFonts w:ascii="David" w:hAnsi="David"/>
          <w:spacing w:val="22"/>
          <w:sz w:val="26"/>
          <w:szCs w:val="26"/>
          <w:rtl/>
        </w:rPr>
        <w:t xml:space="preserve"> </w:t>
      </w:r>
      <w:r w:rsidR="006F6E24" w:rsidRPr="0042202C">
        <w:rPr>
          <w:rFonts w:ascii="David" w:hAnsi="David" w:hint="cs"/>
          <w:spacing w:val="22"/>
          <w:sz w:val="26"/>
          <w:szCs w:val="26"/>
          <w:rtl/>
        </w:rPr>
        <w:t xml:space="preserve">- </w:t>
      </w:r>
      <w:r w:rsidR="006F6E24" w:rsidRPr="0042202C">
        <w:rPr>
          <w:rFonts w:ascii="David" w:hAnsi="David"/>
          <w:spacing w:val="22"/>
          <w:sz w:val="26"/>
          <w:szCs w:val="26"/>
          <w:rtl/>
        </w:rPr>
        <w:t>הורשעה נאשמת על פי הודאתה בהחזקה</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ביחד עם שניים</w:t>
      </w:r>
      <w:r w:rsidR="006F6E24" w:rsidRPr="0042202C">
        <w:rPr>
          <w:rFonts w:ascii="David" w:hAnsi="David" w:hint="cs"/>
          <w:spacing w:val="22"/>
          <w:sz w:val="26"/>
          <w:szCs w:val="26"/>
          <w:rtl/>
        </w:rPr>
        <w:t>, ב</w:t>
      </w:r>
      <w:r w:rsidR="006F6E24" w:rsidRPr="0042202C">
        <w:rPr>
          <w:rFonts w:ascii="David" w:hAnsi="David"/>
          <w:spacing w:val="22"/>
          <w:sz w:val="26"/>
          <w:szCs w:val="26"/>
          <w:rtl/>
        </w:rPr>
        <w:t xml:space="preserve">קוקאין במשקל של 52.616 גרם נטו, </w:t>
      </w:r>
      <w:r w:rsidR="006F6E24" w:rsidRPr="0042202C">
        <w:rPr>
          <w:rFonts w:ascii="David" w:hAnsi="David"/>
          <w:spacing w:val="22"/>
          <w:sz w:val="22"/>
          <w:szCs w:val="22"/>
        </w:rPr>
        <w:t>MDMA</w:t>
      </w:r>
      <w:r w:rsidR="006F6E24" w:rsidRPr="0042202C">
        <w:rPr>
          <w:rFonts w:ascii="David" w:hAnsi="David"/>
          <w:spacing w:val="22"/>
          <w:sz w:val="22"/>
          <w:szCs w:val="22"/>
          <w:rtl/>
        </w:rPr>
        <w:t xml:space="preserve"> </w:t>
      </w:r>
      <w:r w:rsidR="006F6E24" w:rsidRPr="0042202C">
        <w:rPr>
          <w:rFonts w:ascii="David" w:hAnsi="David"/>
          <w:spacing w:val="22"/>
          <w:sz w:val="26"/>
          <w:szCs w:val="26"/>
          <w:rtl/>
        </w:rPr>
        <w:t>בצורה של 1,651 טבליות ובצורה של אבקה, קנבוס במשקל של 1,255.48 גרם וסמים נוספים.</w:t>
      </w:r>
      <w:r w:rsidR="006F6E24" w:rsidRPr="0042202C">
        <w:rPr>
          <w:rFonts w:ascii="David" w:hAnsi="David" w:hint="cs"/>
          <w:spacing w:val="22"/>
          <w:sz w:val="26"/>
          <w:szCs w:val="26"/>
          <w:rtl/>
        </w:rPr>
        <w:t xml:space="preserve"> </w:t>
      </w:r>
      <w:r w:rsidR="006F6E24" w:rsidRPr="0042202C">
        <w:rPr>
          <w:rFonts w:ascii="David" w:hAnsi="David"/>
          <w:spacing w:val="22"/>
          <w:sz w:val="26"/>
          <w:szCs w:val="26"/>
          <w:rtl/>
        </w:rPr>
        <w:t>על הנאשמת הוטלו 400 שעות לתועלת הציבור, מאסרים על תנאי וחילוט סך של 3,140 ₪</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שנתפסו ברשותה</w:t>
      </w:r>
      <w:r w:rsidR="006F6E24" w:rsidRPr="0042202C">
        <w:rPr>
          <w:rFonts w:ascii="David" w:hAnsi="David" w:hint="cs"/>
          <w:spacing w:val="22"/>
          <w:sz w:val="26"/>
          <w:szCs w:val="26"/>
          <w:rtl/>
        </w:rPr>
        <w:t>,</w:t>
      </w:r>
      <w:r w:rsidR="006F6E24" w:rsidRPr="0042202C">
        <w:rPr>
          <w:rFonts w:ascii="David" w:hAnsi="David"/>
          <w:spacing w:val="22"/>
          <w:sz w:val="26"/>
          <w:szCs w:val="26"/>
          <w:rtl/>
        </w:rPr>
        <w:t xml:space="preserve"> בנוסף לתקופת מבחן. </w:t>
      </w:r>
    </w:p>
    <w:p w14:paraId="75E57189" w14:textId="77777777" w:rsidR="006F6E24" w:rsidRPr="0042202C" w:rsidRDefault="006F6E24" w:rsidP="006F6E24">
      <w:pPr>
        <w:tabs>
          <w:tab w:val="left" w:pos="1095"/>
        </w:tabs>
        <w:spacing w:line="360" w:lineRule="auto"/>
        <w:jc w:val="both"/>
        <w:rPr>
          <w:rFonts w:ascii="David" w:hAnsi="David"/>
          <w:spacing w:val="22"/>
          <w:sz w:val="34"/>
          <w:szCs w:val="34"/>
          <w:rtl/>
        </w:rPr>
      </w:pPr>
    </w:p>
    <w:p w14:paraId="7E417F9D" w14:textId="77777777" w:rsidR="006F6E24" w:rsidRPr="0042202C" w:rsidRDefault="006F6E24" w:rsidP="006F6E24">
      <w:pPr>
        <w:spacing w:line="360" w:lineRule="auto"/>
        <w:jc w:val="both"/>
        <w:rPr>
          <w:b/>
          <w:bCs/>
          <w:color w:val="FF0000"/>
          <w:spacing w:val="22"/>
          <w:sz w:val="26"/>
          <w:szCs w:val="26"/>
          <w:rtl/>
        </w:rPr>
      </w:pPr>
      <w:r w:rsidRPr="0042202C">
        <w:rPr>
          <w:color w:val="FF0000"/>
          <w:spacing w:val="22"/>
          <w:rtl/>
        </w:rPr>
        <w:tab/>
      </w:r>
      <w:r w:rsidRPr="0042202C">
        <w:rPr>
          <w:b/>
          <w:bCs/>
          <w:spacing w:val="22"/>
          <w:sz w:val="26"/>
          <w:szCs w:val="26"/>
          <w:rtl/>
        </w:rPr>
        <w:t>דיון</w:t>
      </w:r>
    </w:p>
    <w:p w14:paraId="31C9AB23"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6.</w:t>
      </w:r>
      <w:r w:rsidRPr="0042202C">
        <w:rPr>
          <w:color w:val="FF0000"/>
          <w:spacing w:val="22"/>
          <w:sz w:val="26"/>
          <w:szCs w:val="26"/>
          <w:rtl/>
        </w:rPr>
        <w:tab/>
      </w:r>
      <w:r w:rsidRPr="0042202C">
        <w:rPr>
          <w:spacing w:val="22"/>
          <w:sz w:val="26"/>
          <w:szCs w:val="26"/>
          <w:rtl/>
        </w:rPr>
        <w:t>הנאשם, כבן</w:t>
      </w:r>
      <w:r w:rsidRPr="0042202C">
        <w:rPr>
          <w:rFonts w:hint="cs"/>
          <w:spacing w:val="22"/>
          <w:sz w:val="26"/>
          <w:szCs w:val="26"/>
          <w:rtl/>
        </w:rPr>
        <w:t>25</w:t>
      </w:r>
      <w:r w:rsidRPr="0042202C">
        <w:rPr>
          <w:spacing w:val="22"/>
          <w:sz w:val="26"/>
          <w:szCs w:val="26"/>
          <w:rtl/>
        </w:rPr>
        <w:t>, ה</w:t>
      </w:r>
      <w:r w:rsidRPr="0042202C">
        <w:rPr>
          <w:rFonts w:hint="cs"/>
          <w:spacing w:val="22"/>
          <w:sz w:val="26"/>
          <w:szCs w:val="26"/>
          <w:rtl/>
        </w:rPr>
        <w:t>ו</w:t>
      </w:r>
      <w:r w:rsidRPr="0042202C">
        <w:rPr>
          <w:spacing w:val="22"/>
          <w:sz w:val="26"/>
          <w:szCs w:val="26"/>
          <w:rtl/>
        </w:rPr>
        <w:t>רשע</w:t>
      </w:r>
      <w:r w:rsidRPr="0042202C">
        <w:rPr>
          <w:rFonts w:hint="cs"/>
          <w:spacing w:val="22"/>
          <w:sz w:val="26"/>
          <w:szCs w:val="26"/>
          <w:rtl/>
        </w:rPr>
        <w:t xml:space="preserve"> על פי הודאתו</w:t>
      </w:r>
      <w:r w:rsidRPr="0042202C">
        <w:rPr>
          <w:spacing w:val="22"/>
          <w:sz w:val="26"/>
          <w:szCs w:val="26"/>
          <w:rtl/>
        </w:rPr>
        <w:t xml:space="preserve"> בהחזקה של סמים שלא לצריכה עצמית בכמות של </w:t>
      </w:r>
      <w:r w:rsidRPr="0042202C">
        <w:rPr>
          <w:rFonts w:hint="cs"/>
          <w:spacing w:val="22"/>
          <w:sz w:val="26"/>
          <w:szCs w:val="26"/>
          <w:rtl/>
        </w:rPr>
        <w:t>מאות ו</w:t>
      </w:r>
      <w:r w:rsidRPr="0042202C">
        <w:rPr>
          <w:spacing w:val="22"/>
          <w:sz w:val="26"/>
          <w:szCs w:val="26"/>
          <w:rtl/>
        </w:rPr>
        <w:t xml:space="preserve">לא פחות מ -600 כדורי סם מסוכן מסוג </w:t>
      </w:r>
      <w:r w:rsidRPr="0042202C">
        <w:rPr>
          <w:spacing w:val="22"/>
          <w:sz w:val="22"/>
          <w:szCs w:val="22"/>
        </w:rPr>
        <w:t>MDMA</w:t>
      </w:r>
      <w:r w:rsidRPr="0042202C">
        <w:rPr>
          <w:rFonts w:hint="cs"/>
          <w:spacing w:val="22"/>
          <w:sz w:val="26"/>
          <w:szCs w:val="26"/>
          <w:rtl/>
        </w:rPr>
        <w:t>,</w:t>
      </w:r>
      <w:r w:rsidRPr="0042202C">
        <w:rPr>
          <w:spacing w:val="22"/>
          <w:sz w:val="26"/>
          <w:szCs w:val="26"/>
          <w:rtl/>
        </w:rPr>
        <w:t xml:space="preserve"> </w:t>
      </w:r>
      <w:r w:rsidRPr="0042202C">
        <w:rPr>
          <w:rFonts w:hint="cs"/>
          <w:spacing w:val="22"/>
          <w:sz w:val="26"/>
          <w:szCs w:val="26"/>
          <w:rtl/>
        </w:rPr>
        <w:t>ש</w:t>
      </w:r>
      <w:r w:rsidRPr="0042202C">
        <w:rPr>
          <w:spacing w:val="22"/>
          <w:sz w:val="26"/>
          <w:szCs w:val="26"/>
          <w:rtl/>
        </w:rPr>
        <w:t xml:space="preserve">נתפסו ברכבו בדרכו לירושלים. </w:t>
      </w:r>
    </w:p>
    <w:p w14:paraId="20B7365B" w14:textId="77777777" w:rsidR="006F6E24" w:rsidRPr="0042202C" w:rsidRDefault="006F6E24" w:rsidP="006F6E24">
      <w:pPr>
        <w:spacing w:line="360" w:lineRule="auto"/>
        <w:jc w:val="both"/>
        <w:rPr>
          <w:spacing w:val="22"/>
          <w:sz w:val="38"/>
          <w:szCs w:val="38"/>
          <w:rtl/>
        </w:rPr>
      </w:pPr>
    </w:p>
    <w:p w14:paraId="2FAD1654" w14:textId="77777777" w:rsidR="006F6E24" w:rsidRPr="0042202C" w:rsidRDefault="006F6E24" w:rsidP="006F6E24">
      <w:pPr>
        <w:spacing w:line="360" w:lineRule="auto"/>
        <w:jc w:val="both"/>
        <w:rPr>
          <w:b/>
          <w:bCs/>
          <w:spacing w:val="22"/>
          <w:sz w:val="26"/>
          <w:szCs w:val="26"/>
          <w:rtl/>
        </w:rPr>
      </w:pPr>
      <w:r w:rsidRPr="0042202C">
        <w:rPr>
          <w:rFonts w:hint="cs"/>
          <w:spacing w:val="22"/>
          <w:sz w:val="26"/>
          <w:szCs w:val="26"/>
          <w:rtl/>
        </w:rPr>
        <w:t xml:space="preserve">7. </w:t>
      </w:r>
      <w:r w:rsidRPr="0042202C">
        <w:rPr>
          <w:rFonts w:hint="cs"/>
          <w:spacing w:val="22"/>
          <w:sz w:val="26"/>
          <w:szCs w:val="26"/>
          <w:rtl/>
        </w:rPr>
        <w:tab/>
        <w:t xml:space="preserve">רבות נאמר ונכתב על </w:t>
      </w:r>
      <w:r w:rsidRPr="0042202C">
        <w:rPr>
          <w:spacing w:val="22"/>
          <w:sz w:val="26"/>
          <w:szCs w:val="26"/>
          <w:rtl/>
        </w:rPr>
        <w:t xml:space="preserve">נגע הסמים </w:t>
      </w:r>
      <w:r w:rsidRPr="0042202C">
        <w:rPr>
          <w:rFonts w:hint="cs"/>
          <w:spacing w:val="22"/>
          <w:sz w:val="26"/>
          <w:szCs w:val="26"/>
          <w:rtl/>
        </w:rPr>
        <w:t>אשר פוגע</w:t>
      </w:r>
      <w:r w:rsidRPr="0042202C">
        <w:rPr>
          <w:spacing w:val="22"/>
          <w:sz w:val="26"/>
          <w:szCs w:val="26"/>
          <w:rtl/>
        </w:rPr>
        <w:t xml:space="preserve"> </w:t>
      </w:r>
      <w:r w:rsidRPr="0042202C">
        <w:rPr>
          <w:rFonts w:hint="cs"/>
          <w:spacing w:val="22"/>
          <w:sz w:val="26"/>
          <w:szCs w:val="26"/>
          <w:rtl/>
        </w:rPr>
        <w:t xml:space="preserve">קשות </w:t>
      </w:r>
      <w:r w:rsidRPr="0042202C">
        <w:rPr>
          <w:spacing w:val="22"/>
          <w:sz w:val="26"/>
          <w:szCs w:val="26"/>
          <w:rtl/>
        </w:rPr>
        <w:t>בחברה</w:t>
      </w:r>
      <w:r w:rsidRPr="0042202C">
        <w:rPr>
          <w:rFonts w:hint="cs"/>
          <w:spacing w:val="22"/>
          <w:sz w:val="26"/>
          <w:szCs w:val="26"/>
          <w:rtl/>
        </w:rPr>
        <w:t xml:space="preserve"> ומזיק לבריאותה, בכל גיל. </w:t>
      </w:r>
      <w:r w:rsidRPr="0042202C">
        <w:rPr>
          <w:spacing w:val="22"/>
          <w:sz w:val="26"/>
          <w:szCs w:val="26"/>
          <w:rtl/>
        </w:rPr>
        <w:t>עבירות הסחר בסמים מאפשרות את הפצת הסמים, מתוך בצע כסף</w:t>
      </w:r>
      <w:r w:rsidRPr="0042202C">
        <w:rPr>
          <w:rFonts w:hint="cs"/>
          <w:spacing w:val="22"/>
          <w:sz w:val="26"/>
          <w:szCs w:val="26"/>
          <w:rtl/>
        </w:rPr>
        <w:t>,</w:t>
      </w:r>
      <w:r w:rsidRPr="0042202C">
        <w:rPr>
          <w:spacing w:val="22"/>
          <w:sz w:val="26"/>
          <w:szCs w:val="26"/>
          <w:rtl/>
        </w:rPr>
        <w:t xml:space="preserve"> כאשר לנגד הסוחרים </w:t>
      </w:r>
      <w:r w:rsidRPr="0042202C">
        <w:rPr>
          <w:rFonts w:hint="cs"/>
          <w:spacing w:val="22"/>
          <w:sz w:val="26"/>
          <w:szCs w:val="26"/>
          <w:rtl/>
        </w:rPr>
        <w:t xml:space="preserve">עומדת </w:t>
      </w:r>
      <w:r w:rsidRPr="0042202C">
        <w:rPr>
          <w:spacing w:val="22"/>
          <w:sz w:val="26"/>
          <w:szCs w:val="26"/>
          <w:rtl/>
        </w:rPr>
        <w:t>טובתם האישית,</w:t>
      </w:r>
      <w:r w:rsidRPr="0042202C">
        <w:rPr>
          <w:rFonts w:hint="cs"/>
          <w:spacing w:val="22"/>
          <w:sz w:val="26"/>
          <w:szCs w:val="26"/>
          <w:rtl/>
        </w:rPr>
        <w:t xml:space="preserve"> </w:t>
      </w:r>
      <w:r w:rsidRPr="0042202C">
        <w:rPr>
          <w:spacing w:val="22"/>
          <w:sz w:val="26"/>
          <w:szCs w:val="26"/>
          <w:rtl/>
        </w:rPr>
        <w:t xml:space="preserve">תוך התעלמות מהפגיעה במשתמשים ובחברה בכלל, </w:t>
      </w:r>
      <w:r w:rsidRPr="0042202C">
        <w:rPr>
          <w:rFonts w:hint="cs"/>
          <w:spacing w:val="22"/>
          <w:sz w:val="26"/>
          <w:szCs w:val="26"/>
          <w:rtl/>
        </w:rPr>
        <w:t>משמירה על בריאות הציבו</w:t>
      </w:r>
      <w:r>
        <w:rPr>
          <w:rFonts w:hint="cs"/>
          <w:spacing w:val="22"/>
          <w:sz w:val="26"/>
          <w:szCs w:val="26"/>
          <w:rtl/>
        </w:rPr>
        <w:t>ר ו</w:t>
      </w:r>
      <w:r w:rsidRPr="0042202C">
        <w:rPr>
          <w:rFonts w:hint="cs"/>
          <w:spacing w:val="22"/>
          <w:sz w:val="26"/>
          <w:szCs w:val="26"/>
          <w:rtl/>
        </w:rPr>
        <w:t>בטחונו</w:t>
      </w:r>
      <w:r>
        <w:rPr>
          <w:rFonts w:hint="cs"/>
          <w:spacing w:val="22"/>
          <w:sz w:val="26"/>
          <w:szCs w:val="26"/>
          <w:rtl/>
        </w:rPr>
        <w:t>.</w:t>
      </w:r>
      <w:r w:rsidRPr="0042202C">
        <w:rPr>
          <w:rFonts w:hint="cs"/>
          <w:spacing w:val="22"/>
          <w:sz w:val="26"/>
          <w:szCs w:val="26"/>
          <w:rtl/>
        </w:rPr>
        <w:t xml:space="preserve"> לא בכדי, </w:t>
      </w:r>
      <w:r w:rsidRPr="0042202C">
        <w:rPr>
          <w:spacing w:val="22"/>
          <w:sz w:val="26"/>
          <w:szCs w:val="26"/>
          <w:rtl/>
        </w:rPr>
        <w:t xml:space="preserve">חומרת </w:t>
      </w:r>
      <w:r w:rsidRPr="0042202C">
        <w:rPr>
          <w:rFonts w:hint="cs"/>
          <w:spacing w:val="22"/>
          <w:sz w:val="26"/>
          <w:szCs w:val="26"/>
          <w:rtl/>
        </w:rPr>
        <w:t>ה</w:t>
      </w:r>
      <w:r w:rsidRPr="0042202C">
        <w:rPr>
          <w:spacing w:val="22"/>
          <w:sz w:val="26"/>
          <w:szCs w:val="26"/>
          <w:rtl/>
        </w:rPr>
        <w:t>עבירות</w:t>
      </w:r>
      <w:r w:rsidRPr="0042202C">
        <w:rPr>
          <w:rFonts w:hint="cs"/>
          <w:spacing w:val="22"/>
          <w:sz w:val="26"/>
          <w:szCs w:val="26"/>
          <w:rtl/>
        </w:rPr>
        <w:t xml:space="preserve"> באה לידי ביטוי בענישה מחמירה</w:t>
      </w:r>
      <w:r w:rsidRPr="0042202C">
        <w:rPr>
          <w:spacing w:val="22"/>
          <w:sz w:val="26"/>
          <w:szCs w:val="26"/>
          <w:rtl/>
        </w:rPr>
        <w:t>, אשר מבכרת את האינטרס הציבורי של מיגור הסמים</w:t>
      </w:r>
      <w:r w:rsidRPr="0042202C">
        <w:rPr>
          <w:rFonts w:hint="cs"/>
          <w:spacing w:val="22"/>
          <w:sz w:val="26"/>
          <w:szCs w:val="26"/>
          <w:rtl/>
        </w:rPr>
        <w:t>,</w:t>
      </w:r>
      <w:r w:rsidRPr="0042202C">
        <w:rPr>
          <w:spacing w:val="22"/>
          <w:sz w:val="26"/>
          <w:szCs w:val="26"/>
          <w:rtl/>
        </w:rPr>
        <w:t xml:space="preserve"> על פני שיקולים ונסיבות אישיות של הסוחרים </w:t>
      </w:r>
      <w:r w:rsidRPr="0042202C">
        <w:rPr>
          <w:rFonts w:hint="cs"/>
          <w:spacing w:val="22"/>
          <w:sz w:val="26"/>
          <w:szCs w:val="26"/>
          <w:rtl/>
        </w:rPr>
        <w:t>בה</w:t>
      </w:r>
      <w:r w:rsidRPr="0042202C">
        <w:rPr>
          <w:spacing w:val="22"/>
          <w:sz w:val="26"/>
          <w:szCs w:val="26"/>
          <w:rtl/>
        </w:rPr>
        <w:t>ם.</w:t>
      </w:r>
      <w:r w:rsidRPr="0042202C">
        <w:rPr>
          <w:b/>
          <w:bCs/>
          <w:spacing w:val="22"/>
          <w:sz w:val="26"/>
          <w:szCs w:val="26"/>
          <w:rtl/>
        </w:rPr>
        <w:t xml:space="preserve"> </w:t>
      </w:r>
    </w:p>
    <w:p w14:paraId="1E3E631E"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 xml:space="preserve">      </w:t>
      </w:r>
      <w:r w:rsidRPr="0042202C">
        <w:rPr>
          <w:spacing w:val="22"/>
          <w:sz w:val="26"/>
          <w:szCs w:val="26"/>
          <w:rtl/>
        </w:rPr>
        <w:t>ככל שמדובר בהחזקה של כמות סם גדולה יותר, כך הפגיעה בערך החברתי המוגן משמעותית יותר.</w:t>
      </w:r>
    </w:p>
    <w:p w14:paraId="5A6D3E21" w14:textId="77777777" w:rsidR="006F6E24" w:rsidRPr="0042202C" w:rsidRDefault="006F6E24" w:rsidP="006F6E24">
      <w:pPr>
        <w:spacing w:line="360" w:lineRule="auto"/>
        <w:jc w:val="both"/>
        <w:rPr>
          <w:spacing w:val="22"/>
          <w:sz w:val="36"/>
          <w:szCs w:val="36"/>
          <w:rtl/>
        </w:rPr>
      </w:pPr>
    </w:p>
    <w:p w14:paraId="2BF555BA"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8.</w:t>
      </w:r>
      <w:r w:rsidRPr="0042202C">
        <w:rPr>
          <w:rFonts w:hint="cs"/>
          <w:spacing w:val="22"/>
          <w:sz w:val="26"/>
          <w:szCs w:val="26"/>
          <w:rtl/>
        </w:rPr>
        <w:tab/>
        <w:t xml:space="preserve">בטיעוניהם לעונש נתמכו המאשימה וההגנה </w:t>
      </w:r>
      <w:r>
        <w:rPr>
          <w:rFonts w:hint="cs"/>
          <w:spacing w:val="22"/>
          <w:sz w:val="26"/>
          <w:szCs w:val="26"/>
          <w:rtl/>
        </w:rPr>
        <w:t>על החלטות שונות</w:t>
      </w:r>
      <w:r w:rsidRPr="0042202C">
        <w:rPr>
          <w:rFonts w:hint="cs"/>
          <w:spacing w:val="22"/>
          <w:sz w:val="26"/>
          <w:szCs w:val="26"/>
          <w:rtl/>
        </w:rPr>
        <w:t>, כאשר</w:t>
      </w:r>
      <w:r>
        <w:rPr>
          <w:rFonts w:hint="cs"/>
          <w:spacing w:val="22"/>
          <w:sz w:val="26"/>
          <w:szCs w:val="26"/>
          <w:rtl/>
        </w:rPr>
        <w:t>,</w:t>
      </w:r>
      <w:r w:rsidRPr="0042202C">
        <w:rPr>
          <w:rFonts w:hint="cs"/>
          <w:spacing w:val="22"/>
          <w:sz w:val="26"/>
          <w:szCs w:val="26"/>
          <w:rtl/>
        </w:rPr>
        <w:t xml:space="preserve"> מטבע הדברים</w:t>
      </w:r>
      <w:r>
        <w:rPr>
          <w:rFonts w:hint="cs"/>
          <w:spacing w:val="22"/>
          <w:sz w:val="26"/>
          <w:szCs w:val="26"/>
          <w:rtl/>
        </w:rPr>
        <w:t>,</w:t>
      </w:r>
      <w:r w:rsidRPr="0042202C">
        <w:rPr>
          <w:rFonts w:hint="cs"/>
          <w:spacing w:val="22"/>
          <w:sz w:val="26"/>
          <w:szCs w:val="26"/>
          <w:rtl/>
        </w:rPr>
        <w:t xml:space="preserve"> כל צד הצביע על פסיקה אשר תיטיב עם טיעוניו.</w:t>
      </w:r>
    </w:p>
    <w:p w14:paraId="7DE67CF6" w14:textId="77777777" w:rsidR="006F6E24" w:rsidRPr="0042202C" w:rsidRDefault="006F6E24" w:rsidP="006F6E24">
      <w:pPr>
        <w:spacing w:line="360" w:lineRule="auto"/>
        <w:jc w:val="both"/>
        <w:rPr>
          <w:spacing w:val="22"/>
          <w:sz w:val="26"/>
          <w:szCs w:val="26"/>
          <w:rtl/>
        </w:rPr>
      </w:pPr>
      <w:r w:rsidRPr="0042202C">
        <w:rPr>
          <w:rFonts w:hint="cs"/>
          <w:spacing w:val="22"/>
          <w:sz w:val="26"/>
          <w:szCs w:val="26"/>
          <w:rtl/>
        </w:rPr>
        <w:t xml:space="preserve">        אף שאין מקרה אחד דומה למשנהו, ברי כי </w:t>
      </w:r>
      <w:r w:rsidRPr="0042202C">
        <w:rPr>
          <w:spacing w:val="22"/>
          <w:sz w:val="26"/>
          <w:szCs w:val="26"/>
          <w:rtl/>
        </w:rPr>
        <w:t>בתי-המשפט מחמירים, כפועל יוצא של אופי האינטרס החברתי המוגן, עם מי שמשתייך לשרשרת הספקת הסמים והחזקתם</w:t>
      </w:r>
      <w:r w:rsidRPr="0042202C">
        <w:rPr>
          <w:rFonts w:hint="cs"/>
          <w:spacing w:val="22"/>
          <w:sz w:val="26"/>
          <w:szCs w:val="26"/>
          <w:rtl/>
        </w:rPr>
        <w:t xml:space="preserve">, זאת על מנת להרתיע הן את הספקים והן את המשתמשים. </w:t>
      </w:r>
      <w:r w:rsidRPr="0042202C">
        <w:rPr>
          <w:spacing w:val="22"/>
          <w:sz w:val="26"/>
          <w:szCs w:val="26"/>
          <w:rtl/>
        </w:rPr>
        <w:t xml:space="preserve">עמד על כך, </w:t>
      </w:r>
      <w:r w:rsidRPr="0042202C">
        <w:rPr>
          <w:rFonts w:hint="cs"/>
          <w:spacing w:val="22"/>
          <w:sz w:val="26"/>
          <w:szCs w:val="26"/>
          <w:rtl/>
        </w:rPr>
        <w:t>בית משפט</w:t>
      </w:r>
      <w:r w:rsidRPr="0042202C">
        <w:rPr>
          <w:spacing w:val="22"/>
          <w:sz w:val="26"/>
          <w:szCs w:val="26"/>
          <w:rtl/>
        </w:rPr>
        <w:t xml:space="preserve">, במסגרת </w:t>
      </w:r>
      <w:hyperlink r:id="rId21" w:history="1">
        <w:r w:rsidR="00F9797F" w:rsidRPr="00F9797F">
          <w:rPr>
            <w:color w:val="0000FF"/>
            <w:spacing w:val="22"/>
            <w:u w:val="single"/>
            <w:rtl/>
          </w:rPr>
          <w:t>ע"פ 211/09</w:t>
        </w:r>
      </w:hyperlink>
      <w:r w:rsidRPr="0042202C">
        <w:rPr>
          <w:spacing w:val="22"/>
          <w:sz w:val="26"/>
          <w:szCs w:val="26"/>
          <w:rtl/>
        </w:rPr>
        <w:t xml:space="preserve"> </w:t>
      </w:r>
      <w:r w:rsidRPr="0042202C">
        <w:rPr>
          <w:b/>
          <w:bCs/>
          <w:spacing w:val="22"/>
          <w:sz w:val="26"/>
          <w:szCs w:val="26"/>
          <w:rtl/>
        </w:rPr>
        <w:t>אזולאי נ' מדינת ישראל</w:t>
      </w:r>
      <w:r w:rsidRPr="0042202C">
        <w:rPr>
          <w:spacing w:val="22"/>
          <w:sz w:val="26"/>
          <w:szCs w:val="26"/>
          <w:rtl/>
        </w:rPr>
        <w:t xml:space="preserve"> (ניתן ביום 22.6.10) כדלהלן: </w:t>
      </w:r>
    </w:p>
    <w:p w14:paraId="0E54D2A5" w14:textId="77777777" w:rsidR="006F6E24" w:rsidRPr="0042202C" w:rsidRDefault="006F6E24" w:rsidP="006F6E24">
      <w:pPr>
        <w:ind w:left="1088" w:right="1276"/>
        <w:jc w:val="both"/>
        <w:rPr>
          <w:rFonts w:ascii="David" w:hAnsi="David"/>
          <w:spacing w:val="22"/>
          <w:sz w:val="26"/>
          <w:szCs w:val="26"/>
          <w:rtl/>
        </w:rPr>
      </w:pPr>
    </w:p>
    <w:p w14:paraId="6721BF5C" w14:textId="77777777" w:rsidR="006F6E24" w:rsidRPr="0042202C" w:rsidRDefault="006F6E24" w:rsidP="006F6E24">
      <w:pPr>
        <w:spacing w:line="276" w:lineRule="auto"/>
        <w:ind w:left="1088" w:right="1276"/>
        <w:jc w:val="both"/>
        <w:rPr>
          <w:rFonts w:ascii="David" w:hAnsi="David"/>
          <w:b/>
          <w:bCs/>
          <w:spacing w:val="22"/>
          <w:sz w:val="26"/>
          <w:szCs w:val="26"/>
          <w:rtl/>
        </w:rPr>
      </w:pPr>
      <w:r w:rsidRPr="0042202C">
        <w:rPr>
          <w:rFonts w:ascii="David" w:hAnsi="David"/>
          <w:b/>
          <w:bCs/>
          <w:spacing w:val="22"/>
          <w:sz w:val="26"/>
          <w:szCs w:val="26"/>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14B707D6" w14:textId="77777777" w:rsidR="006F6E24" w:rsidRPr="0042202C" w:rsidRDefault="006F6E24" w:rsidP="006F6E24">
      <w:pPr>
        <w:spacing w:line="360" w:lineRule="auto"/>
        <w:jc w:val="both"/>
        <w:rPr>
          <w:rFonts w:ascii="David" w:hAnsi="David"/>
          <w:b/>
          <w:bCs/>
          <w:spacing w:val="22"/>
          <w:sz w:val="26"/>
          <w:szCs w:val="26"/>
          <w:rtl/>
        </w:rPr>
      </w:pPr>
    </w:p>
    <w:p w14:paraId="4CB4674C" w14:textId="77777777" w:rsidR="006F6E24" w:rsidRPr="0042202C" w:rsidRDefault="006F6E24" w:rsidP="006F6E24">
      <w:pPr>
        <w:spacing w:line="360" w:lineRule="auto"/>
        <w:ind w:firstLine="720"/>
        <w:jc w:val="both"/>
        <w:rPr>
          <w:rFonts w:ascii="David" w:hAnsi="David"/>
          <w:spacing w:val="22"/>
          <w:sz w:val="26"/>
          <w:szCs w:val="26"/>
          <w:rtl/>
        </w:rPr>
      </w:pPr>
      <w:r w:rsidRPr="0042202C">
        <w:rPr>
          <w:rFonts w:ascii="David" w:hAnsi="David"/>
          <w:spacing w:val="22"/>
          <w:sz w:val="26"/>
          <w:szCs w:val="26"/>
          <w:rtl/>
        </w:rPr>
        <w:t>יחד עם זאת, וכאמור, מדיניות  הענישה  תלויה בנסיבותיו של כל מקרה ומקרה (</w:t>
      </w:r>
      <w:hyperlink r:id="rId22" w:history="1">
        <w:r w:rsidR="00CE7F29" w:rsidRPr="00CE7F29">
          <w:rPr>
            <w:rStyle w:val="Hyperlink"/>
            <w:rFonts w:ascii="David" w:hAnsi="David"/>
            <w:spacing w:val="22"/>
            <w:sz w:val="26"/>
            <w:szCs w:val="26"/>
            <w:rtl/>
          </w:rPr>
          <w:t>סעיף 40ט</w:t>
        </w:r>
      </w:hyperlink>
      <w:r w:rsidRPr="0042202C">
        <w:rPr>
          <w:rFonts w:ascii="David" w:hAnsi="David"/>
          <w:spacing w:val="22"/>
          <w:sz w:val="26"/>
          <w:szCs w:val="26"/>
          <w:rtl/>
        </w:rPr>
        <w:t xml:space="preserve"> ל</w:t>
      </w:r>
      <w:hyperlink r:id="rId23" w:history="1">
        <w:r w:rsidR="00F9797F" w:rsidRPr="00F9797F">
          <w:rPr>
            <w:rFonts w:ascii="David" w:hAnsi="David"/>
            <w:color w:val="0000FF"/>
            <w:spacing w:val="22"/>
            <w:sz w:val="26"/>
            <w:szCs w:val="26"/>
            <w:u w:val="single"/>
            <w:rtl/>
          </w:rPr>
          <w:t>חוק העונשין</w:t>
        </w:r>
      </w:hyperlink>
      <w:r w:rsidRPr="0042202C">
        <w:rPr>
          <w:rFonts w:ascii="David" w:hAnsi="David"/>
          <w:spacing w:val="22"/>
          <w:sz w:val="26"/>
          <w:szCs w:val="26"/>
          <w:rtl/>
        </w:rPr>
        <w:t xml:space="preserve">), סוג הסם וכמות הסם, כאשר אין מקרה אחד דומה למשנהו. </w:t>
      </w:r>
    </w:p>
    <w:p w14:paraId="3FEB9E2F" w14:textId="77777777" w:rsidR="006F6E24" w:rsidRPr="0042202C" w:rsidRDefault="006F6E24" w:rsidP="006F6E24">
      <w:pPr>
        <w:spacing w:line="360" w:lineRule="auto"/>
        <w:ind w:firstLine="720"/>
        <w:jc w:val="both"/>
        <w:rPr>
          <w:rFonts w:ascii="David" w:hAnsi="David"/>
          <w:spacing w:val="22"/>
          <w:sz w:val="34"/>
          <w:szCs w:val="34"/>
          <w:rtl/>
        </w:rPr>
      </w:pPr>
    </w:p>
    <w:p w14:paraId="4D20472B" w14:textId="77777777" w:rsidR="006F6E24" w:rsidRPr="0042202C" w:rsidRDefault="006F6E24" w:rsidP="006F6E24">
      <w:pPr>
        <w:spacing w:line="360" w:lineRule="auto"/>
        <w:jc w:val="both"/>
        <w:rPr>
          <w:rFonts w:ascii="David" w:hAnsi="David"/>
          <w:spacing w:val="22"/>
          <w:sz w:val="26"/>
          <w:szCs w:val="26"/>
          <w:rtl/>
        </w:rPr>
      </w:pPr>
      <w:r w:rsidRPr="0042202C">
        <w:rPr>
          <w:rFonts w:ascii="David" w:hAnsi="David" w:hint="cs"/>
          <w:spacing w:val="22"/>
          <w:sz w:val="26"/>
          <w:szCs w:val="26"/>
          <w:rtl/>
        </w:rPr>
        <w:t>9.</w:t>
      </w:r>
      <w:r w:rsidRPr="0042202C">
        <w:rPr>
          <w:rFonts w:ascii="David" w:hAnsi="David" w:hint="cs"/>
          <w:spacing w:val="22"/>
          <w:sz w:val="26"/>
          <w:szCs w:val="26"/>
          <w:rtl/>
        </w:rPr>
        <w:tab/>
      </w:r>
      <w:r w:rsidRPr="0042202C">
        <w:rPr>
          <w:rFonts w:ascii="David" w:hAnsi="David"/>
          <w:spacing w:val="22"/>
          <w:sz w:val="26"/>
          <w:szCs w:val="26"/>
          <w:rtl/>
        </w:rPr>
        <w:t xml:space="preserve">בענייננו, מתחם העונש </w:t>
      </w:r>
      <w:r w:rsidRPr="0042202C">
        <w:rPr>
          <w:rFonts w:ascii="David" w:hAnsi="David" w:hint="cs"/>
          <w:spacing w:val="22"/>
          <w:sz w:val="26"/>
          <w:szCs w:val="26"/>
          <w:rtl/>
        </w:rPr>
        <w:t xml:space="preserve">ההולם </w:t>
      </w:r>
      <w:r w:rsidRPr="0042202C">
        <w:rPr>
          <w:rFonts w:ascii="David" w:hAnsi="David"/>
          <w:spacing w:val="22"/>
          <w:sz w:val="26"/>
          <w:szCs w:val="26"/>
          <w:rtl/>
        </w:rPr>
        <w:t xml:space="preserve"> נע בין </w:t>
      </w:r>
      <w:r w:rsidRPr="0042202C">
        <w:rPr>
          <w:rFonts w:ascii="David" w:hAnsi="David" w:hint="cs"/>
          <w:spacing w:val="22"/>
          <w:sz w:val="26"/>
          <w:szCs w:val="26"/>
          <w:rtl/>
        </w:rPr>
        <w:t>10</w:t>
      </w:r>
      <w:r w:rsidRPr="0042202C">
        <w:rPr>
          <w:rFonts w:ascii="David" w:hAnsi="David"/>
          <w:spacing w:val="22"/>
          <w:sz w:val="26"/>
          <w:szCs w:val="26"/>
          <w:rtl/>
        </w:rPr>
        <w:t xml:space="preserve"> ל- </w:t>
      </w:r>
      <w:r w:rsidRPr="0042202C">
        <w:rPr>
          <w:rFonts w:ascii="David" w:hAnsi="David" w:hint="cs"/>
          <w:spacing w:val="22"/>
          <w:sz w:val="26"/>
          <w:szCs w:val="26"/>
          <w:rtl/>
        </w:rPr>
        <w:t>36</w:t>
      </w:r>
      <w:r w:rsidRPr="0042202C">
        <w:rPr>
          <w:rFonts w:ascii="David" w:hAnsi="David"/>
          <w:spacing w:val="22"/>
          <w:sz w:val="26"/>
          <w:szCs w:val="26"/>
          <w:rtl/>
        </w:rPr>
        <w:t xml:space="preserve"> חודשי מאסר. הנאשם נתפס בגפו כשהוא נוהג ברכבו בשעות החשיכה כשמאות כדורי הסם המסוכן עטופים בנייר וארוזים </w:t>
      </w:r>
      <w:r w:rsidRPr="0042202C">
        <w:rPr>
          <w:rFonts w:ascii="David" w:hAnsi="David" w:hint="cs"/>
          <w:spacing w:val="22"/>
          <w:sz w:val="26"/>
          <w:szCs w:val="26"/>
          <w:rtl/>
        </w:rPr>
        <w:t>הונחו על רצפת רכבו מאחורי מושב הנהג</w:t>
      </w:r>
      <w:r>
        <w:rPr>
          <w:rFonts w:ascii="David" w:hAnsi="David" w:hint="cs"/>
          <w:spacing w:val="22"/>
          <w:sz w:val="26"/>
          <w:szCs w:val="26"/>
          <w:rtl/>
        </w:rPr>
        <w:t>.</w:t>
      </w:r>
      <w:r w:rsidRPr="0042202C">
        <w:rPr>
          <w:rFonts w:ascii="David" w:hAnsi="David" w:hint="cs"/>
          <w:spacing w:val="22"/>
          <w:sz w:val="26"/>
          <w:szCs w:val="26"/>
          <w:rtl/>
        </w:rPr>
        <w:t xml:space="preserve"> הנאשם תכנן את המעשה ורצה בו.</w:t>
      </w:r>
    </w:p>
    <w:p w14:paraId="6A570B25" w14:textId="77777777" w:rsidR="006F6E24" w:rsidRPr="0042202C" w:rsidRDefault="006F6E24" w:rsidP="006F6E24">
      <w:pPr>
        <w:spacing w:line="360" w:lineRule="auto"/>
        <w:jc w:val="both"/>
        <w:rPr>
          <w:rFonts w:ascii="David" w:hAnsi="David"/>
          <w:spacing w:val="22"/>
          <w:sz w:val="26"/>
          <w:szCs w:val="26"/>
        </w:rPr>
      </w:pPr>
    </w:p>
    <w:p w14:paraId="28537212" w14:textId="77777777" w:rsidR="006F6E24" w:rsidRPr="0042202C" w:rsidRDefault="006F6E24" w:rsidP="006F6E24">
      <w:pPr>
        <w:spacing w:line="360" w:lineRule="auto"/>
        <w:ind w:firstLine="720"/>
        <w:jc w:val="both"/>
        <w:rPr>
          <w:rFonts w:ascii="David" w:hAnsi="David"/>
          <w:spacing w:val="22"/>
          <w:sz w:val="26"/>
          <w:szCs w:val="26"/>
          <w:rtl/>
        </w:rPr>
      </w:pPr>
      <w:r w:rsidRPr="0042202C">
        <w:rPr>
          <w:rFonts w:ascii="David" w:hAnsi="David" w:hint="cs"/>
          <w:spacing w:val="22"/>
          <w:sz w:val="26"/>
          <w:szCs w:val="26"/>
          <w:rtl/>
        </w:rPr>
        <w:t xml:space="preserve">מאידך, לא ניתן להתעלם משיקולים העומדים להקלה בעונשו: הנאשם לא הורשע בעבר, גילו צעיר יחסית, הנאשם הודה במיוחס לו ולקח  אחריות מלאה על מעשיו, הביע צער וגילה נכונות ומוטיבציה לטיפול, לצד המשך שיתוף פעולה עם גורמי הטיפול, כעולה  מהתסקיר לעונש שהוגש בעניינו. </w:t>
      </w:r>
    </w:p>
    <w:p w14:paraId="244BD809" w14:textId="77777777" w:rsidR="006F6E24" w:rsidRPr="0042202C" w:rsidRDefault="006F6E24" w:rsidP="006F6E24">
      <w:pPr>
        <w:spacing w:line="360" w:lineRule="auto"/>
        <w:jc w:val="both"/>
        <w:rPr>
          <w:rFonts w:ascii="David" w:hAnsi="David"/>
          <w:spacing w:val="22"/>
          <w:sz w:val="38"/>
          <w:szCs w:val="38"/>
          <w:rtl/>
        </w:rPr>
      </w:pPr>
    </w:p>
    <w:p w14:paraId="0CAB8D4A" w14:textId="77777777" w:rsidR="006F6E24" w:rsidRDefault="006F6E24" w:rsidP="006F6E24">
      <w:pPr>
        <w:spacing w:line="360" w:lineRule="auto"/>
        <w:jc w:val="both"/>
        <w:rPr>
          <w:color w:val="FF0000"/>
          <w:spacing w:val="22"/>
          <w:sz w:val="26"/>
          <w:szCs w:val="26"/>
          <w:rtl/>
        </w:rPr>
      </w:pPr>
      <w:r w:rsidRPr="0042202C">
        <w:rPr>
          <w:rFonts w:hint="cs"/>
          <w:spacing w:val="22"/>
          <w:sz w:val="26"/>
          <w:szCs w:val="26"/>
          <w:rtl/>
        </w:rPr>
        <w:t xml:space="preserve">10. </w:t>
      </w:r>
      <w:r w:rsidRPr="0042202C">
        <w:rPr>
          <w:spacing w:val="22"/>
          <w:sz w:val="26"/>
          <w:szCs w:val="26"/>
          <w:rtl/>
        </w:rPr>
        <w:tab/>
        <w:t>בהתחשב במכלול, ומתוך מתן משקל להודאה באשמה</w:t>
      </w:r>
      <w:r w:rsidRPr="0042202C">
        <w:rPr>
          <w:rFonts w:hint="cs"/>
          <w:spacing w:val="22"/>
          <w:sz w:val="26"/>
          <w:szCs w:val="26"/>
          <w:rtl/>
        </w:rPr>
        <w:t>,</w:t>
      </w:r>
      <w:r w:rsidRPr="0042202C">
        <w:rPr>
          <w:spacing w:val="22"/>
          <w:sz w:val="26"/>
          <w:szCs w:val="26"/>
          <w:rtl/>
        </w:rPr>
        <w:t xml:space="preserve"> לעבר הנקי וכן לגילו של הנאשם, </w:t>
      </w:r>
      <w:r w:rsidRPr="0042202C">
        <w:rPr>
          <w:rFonts w:hint="cs"/>
          <w:spacing w:val="22"/>
          <w:sz w:val="26"/>
          <w:szCs w:val="26"/>
          <w:rtl/>
        </w:rPr>
        <w:t>ו</w:t>
      </w:r>
      <w:r w:rsidRPr="0042202C">
        <w:rPr>
          <w:rFonts w:ascii="David" w:hAnsi="David"/>
          <w:spacing w:val="22"/>
          <w:sz w:val="26"/>
          <w:szCs w:val="26"/>
          <w:rtl/>
        </w:rPr>
        <w:t xml:space="preserve">נוכח </w:t>
      </w:r>
      <w:r w:rsidRPr="0042202C">
        <w:rPr>
          <w:rFonts w:ascii="David" w:hAnsi="David" w:hint="cs"/>
          <w:spacing w:val="22"/>
          <w:sz w:val="26"/>
          <w:szCs w:val="26"/>
          <w:rtl/>
        </w:rPr>
        <w:t>כך</w:t>
      </w:r>
      <w:r w:rsidRPr="0042202C">
        <w:rPr>
          <w:rFonts w:ascii="David" w:hAnsi="David"/>
          <w:spacing w:val="22"/>
          <w:sz w:val="26"/>
          <w:szCs w:val="26"/>
          <w:rtl/>
        </w:rPr>
        <w:t xml:space="preserve"> </w:t>
      </w:r>
      <w:r w:rsidRPr="0042202C">
        <w:rPr>
          <w:rFonts w:ascii="David" w:hAnsi="David" w:hint="cs"/>
          <w:spacing w:val="22"/>
          <w:sz w:val="26"/>
          <w:szCs w:val="26"/>
          <w:rtl/>
        </w:rPr>
        <w:t>ש</w:t>
      </w:r>
      <w:r w:rsidRPr="0042202C">
        <w:rPr>
          <w:rFonts w:ascii="David" w:hAnsi="David"/>
          <w:spacing w:val="22"/>
          <w:sz w:val="26"/>
          <w:szCs w:val="26"/>
          <w:rtl/>
        </w:rPr>
        <w:t xml:space="preserve">הנאשם </w:t>
      </w:r>
      <w:r w:rsidRPr="0042202C">
        <w:rPr>
          <w:rFonts w:ascii="David" w:hAnsi="David" w:hint="cs"/>
          <w:spacing w:val="22"/>
          <w:sz w:val="26"/>
          <w:szCs w:val="26"/>
          <w:rtl/>
        </w:rPr>
        <w:t>החל בהליך שיקומי בתמיכת משפחתו,  ובעל פוטנציאל ל</w:t>
      </w:r>
      <w:r w:rsidRPr="0042202C">
        <w:rPr>
          <w:rFonts w:ascii="David" w:hAnsi="David"/>
          <w:spacing w:val="22"/>
          <w:sz w:val="26"/>
          <w:szCs w:val="26"/>
          <w:rtl/>
        </w:rPr>
        <w:t>הליך שיקומי משמעותי</w:t>
      </w:r>
      <w:r w:rsidRPr="0042202C">
        <w:rPr>
          <w:rFonts w:ascii="David" w:hAnsi="David" w:hint="cs"/>
          <w:spacing w:val="22"/>
          <w:sz w:val="26"/>
          <w:szCs w:val="26"/>
          <w:rtl/>
        </w:rPr>
        <w:t>, ניתן למקמו בצד הנמוך של המתום ואני גוזר על הנאשם כלהלן:</w:t>
      </w:r>
      <w:r w:rsidRPr="0042202C">
        <w:rPr>
          <w:color w:val="FF0000"/>
          <w:spacing w:val="22"/>
          <w:sz w:val="26"/>
          <w:szCs w:val="26"/>
          <w:rtl/>
        </w:rPr>
        <w:t xml:space="preserve">  </w:t>
      </w:r>
    </w:p>
    <w:p w14:paraId="2C581651" w14:textId="77777777" w:rsidR="006F6E24" w:rsidRDefault="006F6E24" w:rsidP="006F6E24">
      <w:pPr>
        <w:spacing w:line="360" w:lineRule="auto"/>
        <w:jc w:val="both"/>
        <w:rPr>
          <w:color w:val="FF0000"/>
          <w:spacing w:val="22"/>
          <w:sz w:val="26"/>
          <w:szCs w:val="26"/>
          <w:rtl/>
        </w:rPr>
      </w:pPr>
    </w:p>
    <w:p w14:paraId="4A5CF160" w14:textId="77777777" w:rsidR="006F6E24" w:rsidRDefault="006F6E24" w:rsidP="006F6E24">
      <w:pPr>
        <w:spacing w:line="360" w:lineRule="auto"/>
        <w:jc w:val="both"/>
        <w:rPr>
          <w:color w:val="FF0000"/>
          <w:spacing w:val="22"/>
          <w:sz w:val="26"/>
          <w:szCs w:val="26"/>
          <w:rtl/>
        </w:rPr>
      </w:pPr>
    </w:p>
    <w:p w14:paraId="6AA4C272" w14:textId="77777777" w:rsidR="006F6E24" w:rsidRDefault="006F6E24" w:rsidP="006F6E24">
      <w:pPr>
        <w:spacing w:line="360" w:lineRule="auto"/>
        <w:jc w:val="both"/>
        <w:rPr>
          <w:color w:val="FF0000"/>
          <w:spacing w:val="22"/>
          <w:sz w:val="26"/>
          <w:szCs w:val="26"/>
          <w:rtl/>
        </w:rPr>
      </w:pPr>
    </w:p>
    <w:p w14:paraId="4DC46FB2" w14:textId="77777777" w:rsidR="006F6E24" w:rsidRPr="0042202C" w:rsidRDefault="006F6E24" w:rsidP="006F6E24">
      <w:pPr>
        <w:spacing w:line="360" w:lineRule="auto"/>
        <w:jc w:val="both"/>
        <w:rPr>
          <w:spacing w:val="22"/>
          <w:sz w:val="26"/>
          <w:szCs w:val="26"/>
          <w:rtl/>
        </w:rPr>
      </w:pPr>
    </w:p>
    <w:p w14:paraId="03FDE92B" w14:textId="77777777" w:rsidR="006F6E24" w:rsidRPr="0042202C" w:rsidRDefault="006F6E24" w:rsidP="006F6E24">
      <w:pPr>
        <w:pStyle w:val="a9"/>
        <w:numPr>
          <w:ilvl w:val="0"/>
          <w:numId w:val="1"/>
        </w:numPr>
        <w:spacing w:line="360" w:lineRule="auto"/>
        <w:jc w:val="both"/>
        <w:rPr>
          <w:spacing w:val="22"/>
          <w:sz w:val="26"/>
          <w:szCs w:val="26"/>
        </w:rPr>
      </w:pPr>
      <w:r w:rsidRPr="0042202C">
        <w:rPr>
          <w:rFonts w:hint="cs"/>
          <w:spacing w:val="22"/>
          <w:sz w:val="26"/>
          <w:szCs w:val="26"/>
          <w:rtl/>
        </w:rPr>
        <w:t xml:space="preserve">מאסר בפועל לתקופה של 10 חודשים בניכוי ימי מעצרו. </w:t>
      </w:r>
    </w:p>
    <w:p w14:paraId="3EE6C082" w14:textId="77777777" w:rsidR="006F6E24" w:rsidRPr="0042202C" w:rsidRDefault="006F6E24" w:rsidP="006F6E24">
      <w:pPr>
        <w:pStyle w:val="a9"/>
        <w:spacing w:line="360" w:lineRule="auto"/>
        <w:ind w:left="1665"/>
        <w:jc w:val="both"/>
        <w:rPr>
          <w:spacing w:val="22"/>
          <w:sz w:val="26"/>
          <w:szCs w:val="26"/>
          <w:rtl/>
        </w:rPr>
      </w:pPr>
    </w:p>
    <w:p w14:paraId="3574034F" w14:textId="77777777" w:rsidR="006F6E24" w:rsidRPr="0042202C" w:rsidRDefault="006F6E24" w:rsidP="006F6E24">
      <w:pPr>
        <w:pStyle w:val="a9"/>
        <w:numPr>
          <w:ilvl w:val="0"/>
          <w:numId w:val="1"/>
        </w:numPr>
        <w:spacing w:line="360" w:lineRule="auto"/>
        <w:jc w:val="both"/>
        <w:rPr>
          <w:spacing w:val="22"/>
          <w:sz w:val="26"/>
          <w:szCs w:val="26"/>
        </w:rPr>
      </w:pPr>
      <w:r w:rsidRPr="0042202C">
        <w:rPr>
          <w:rFonts w:hint="cs"/>
          <w:spacing w:val="22"/>
          <w:sz w:val="26"/>
          <w:szCs w:val="26"/>
          <w:rtl/>
        </w:rPr>
        <w:t>6 חודשי מאסר על תנאי למשך שנתיים על כל עבירות לפי פקודת הסמים למעט שימוש עצמי בסם.</w:t>
      </w:r>
    </w:p>
    <w:p w14:paraId="3EAFBD80" w14:textId="77777777" w:rsidR="006F6E24" w:rsidRPr="0042202C" w:rsidRDefault="006F6E24" w:rsidP="006F6E24">
      <w:pPr>
        <w:pStyle w:val="a9"/>
        <w:spacing w:line="360" w:lineRule="auto"/>
        <w:ind w:left="1665"/>
        <w:jc w:val="both"/>
        <w:rPr>
          <w:spacing w:val="22"/>
          <w:sz w:val="26"/>
          <w:szCs w:val="26"/>
        </w:rPr>
      </w:pPr>
    </w:p>
    <w:p w14:paraId="77059C22" w14:textId="77777777" w:rsidR="006F6E24" w:rsidRPr="0042202C" w:rsidRDefault="006F6E24" w:rsidP="006F6E24">
      <w:pPr>
        <w:pStyle w:val="a9"/>
        <w:numPr>
          <w:ilvl w:val="0"/>
          <w:numId w:val="1"/>
        </w:numPr>
        <w:spacing w:line="360" w:lineRule="auto"/>
        <w:jc w:val="both"/>
        <w:rPr>
          <w:spacing w:val="22"/>
          <w:sz w:val="26"/>
          <w:szCs w:val="26"/>
        </w:rPr>
      </w:pPr>
      <w:r w:rsidRPr="0042202C">
        <w:rPr>
          <w:rFonts w:hint="cs"/>
          <w:spacing w:val="22"/>
          <w:sz w:val="26"/>
          <w:szCs w:val="26"/>
          <w:rtl/>
        </w:rPr>
        <w:t xml:space="preserve">חילוט הרכב בו נתפס הנאשם לפי סעיף </w:t>
      </w:r>
      <w:hyperlink r:id="rId24" w:history="1">
        <w:r w:rsidR="00CE7F29" w:rsidRPr="00CE7F29">
          <w:rPr>
            <w:rStyle w:val="Hyperlink"/>
            <w:spacing w:val="22"/>
            <w:sz w:val="26"/>
            <w:szCs w:val="26"/>
            <w:rtl/>
          </w:rPr>
          <w:t>36ב' (א)(2)</w:t>
        </w:r>
      </w:hyperlink>
      <w:r w:rsidRPr="0042202C">
        <w:rPr>
          <w:rFonts w:hint="cs"/>
          <w:spacing w:val="22"/>
          <w:sz w:val="26"/>
          <w:szCs w:val="26"/>
          <w:rtl/>
        </w:rPr>
        <w:t xml:space="preserve"> לפקודה.</w:t>
      </w:r>
    </w:p>
    <w:p w14:paraId="2D43ACE1" w14:textId="77777777" w:rsidR="006F6E24" w:rsidRPr="0042202C" w:rsidRDefault="006F6E24" w:rsidP="006F6E24">
      <w:pPr>
        <w:pStyle w:val="a9"/>
        <w:rPr>
          <w:spacing w:val="22"/>
          <w:sz w:val="26"/>
          <w:szCs w:val="26"/>
          <w:rtl/>
        </w:rPr>
      </w:pPr>
    </w:p>
    <w:p w14:paraId="184BF634" w14:textId="77777777" w:rsidR="006F6E24" w:rsidRPr="0042202C" w:rsidRDefault="006F6E24" w:rsidP="006F6E24">
      <w:pPr>
        <w:spacing w:line="360" w:lineRule="auto"/>
        <w:ind w:left="720" w:firstLine="720"/>
        <w:rPr>
          <w:spacing w:val="22"/>
          <w:sz w:val="26"/>
          <w:szCs w:val="26"/>
          <w:rtl/>
        </w:rPr>
      </w:pPr>
      <w:r w:rsidRPr="0042202C">
        <w:rPr>
          <w:rFonts w:hint="cs"/>
          <w:spacing w:val="22"/>
          <w:sz w:val="26"/>
          <w:szCs w:val="26"/>
          <w:rtl/>
        </w:rPr>
        <w:t xml:space="preserve">הנאשם יתייצב לריצוי עונש המאסר ביום 6/12/20 עד השעה 10:00 בבית המעצר ניצן. </w:t>
      </w:r>
    </w:p>
    <w:p w14:paraId="3530E0CA" w14:textId="77777777" w:rsidR="006F6E24" w:rsidRPr="0042202C" w:rsidRDefault="006F6E24" w:rsidP="006F6E24">
      <w:pPr>
        <w:rPr>
          <w:spacing w:val="22"/>
          <w:sz w:val="26"/>
          <w:szCs w:val="26"/>
          <w:rtl/>
        </w:rPr>
      </w:pPr>
    </w:p>
    <w:p w14:paraId="2F2C6C31" w14:textId="77777777" w:rsidR="006F6E24" w:rsidRPr="0042202C" w:rsidRDefault="006F6E24" w:rsidP="006F6E24">
      <w:pPr>
        <w:rPr>
          <w:spacing w:val="22"/>
          <w:sz w:val="26"/>
          <w:szCs w:val="26"/>
          <w:rtl/>
        </w:rPr>
      </w:pPr>
      <w:r w:rsidRPr="0042202C">
        <w:rPr>
          <w:spacing w:val="22"/>
          <w:sz w:val="26"/>
          <w:szCs w:val="26"/>
          <w:rtl/>
        </w:rPr>
        <w:tab/>
      </w:r>
    </w:p>
    <w:p w14:paraId="563F603A" w14:textId="77777777" w:rsidR="006F6E24" w:rsidRPr="0042202C" w:rsidRDefault="006F6E24" w:rsidP="006F6E24">
      <w:pPr>
        <w:ind w:firstLine="720"/>
        <w:rPr>
          <w:spacing w:val="22"/>
          <w:sz w:val="26"/>
          <w:szCs w:val="26"/>
          <w:rtl/>
        </w:rPr>
      </w:pPr>
      <w:r w:rsidRPr="0042202C">
        <w:rPr>
          <w:spacing w:val="22"/>
          <w:sz w:val="26"/>
          <w:szCs w:val="26"/>
          <w:rtl/>
        </w:rPr>
        <w:t xml:space="preserve">זכות ערעור לבית משפט העליון בתוך 45 יום מהיום. </w:t>
      </w:r>
    </w:p>
    <w:p w14:paraId="585B7566" w14:textId="77777777" w:rsidR="006F6E24" w:rsidRPr="0042202C" w:rsidRDefault="006F6E24" w:rsidP="006F6E24">
      <w:pPr>
        <w:rPr>
          <w:spacing w:val="22"/>
          <w:sz w:val="26"/>
          <w:szCs w:val="26"/>
          <w:rtl/>
        </w:rPr>
      </w:pPr>
    </w:p>
    <w:p w14:paraId="47B3AC36" w14:textId="77777777" w:rsidR="006F6E24" w:rsidRPr="0042202C" w:rsidRDefault="006F6E24" w:rsidP="006F6E24">
      <w:pPr>
        <w:rPr>
          <w:spacing w:val="22"/>
          <w:sz w:val="26"/>
          <w:szCs w:val="26"/>
          <w:rtl/>
        </w:rPr>
      </w:pPr>
    </w:p>
    <w:p w14:paraId="52E26B82" w14:textId="77777777" w:rsidR="006F6E24" w:rsidRPr="0042202C" w:rsidRDefault="00F9797F" w:rsidP="006F6E24">
      <w:pPr>
        <w:spacing w:line="360" w:lineRule="auto"/>
        <w:ind w:left="720"/>
        <w:jc w:val="both"/>
        <w:rPr>
          <w:rFonts w:ascii="Arial" w:hAnsi="Arial"/>
          <w:spacing w:val="22"/>
          <w:sz w:val="26"/>
          <w:szCs w:val="26"/>
          <w:rtl/>
        </w:rPr>
      </w:pPr>
      <w:bookmarkStart w:id="8" w:name="Nitan"/>
      <w:r>
        <w:rPr>
          <w:rFonts w:ascii="Arial" w:hAnsi="Arial"/>
          <w:spacing w:val="22"/>
          <w:sz w:val="26"/>
          <w:szCs w:val="26"/>
          <w:rtl/>
        </w:rPr>
        <w:t xml:space="preserve">ניתן היום, א' חשוון תשפ"א, 19 אוקטובר 2020, במעמד ב"כ </w:t>
      </w:r>
      <w:bookmarkEnd w:id="8"/>
      <w:r w:rsidR="006F6E24" w:rsidRPr="0042202C">
        <w:rPr>
          <w:rFonts w:ascii="Arial" w:hAnsi="Arial"/>
          <w:spacing w:val="22"/>
          <w:sz w:val="26"/>
          <w:szCs w:val="26"/>
          <w:rtl/>
        </w:rPr>
        <w:t xml:space="preserve">המאשימה, ב"כ הנאשם והנאשם בעצמו. </w:t>
      </w:r>
    </w:p>
    <w:p w14:paraId="5343368A" w14:textId="77777777" w:rsidR="006F6E24" w:rsidRPr="00F9797F" w:rsidRDefault="00F9797F" w:rsidP="006F6E24">
      <w:pPr>
        <w:spacing w:line="360" w:lineRule="auto"/>
        <w:ind w:left="720"/>
        <w:jc w:val="both"/>
        <w:rPr>
          <w:rFonts w:ascii="Arial" w:hAnsi="Arial"/>
          <w:color w:val="FFFFFF"/>
          <w:spacing w:val="22"/>
          <w:sz w:val="2"/>
          <w:szCs w:val="2"/>
          <w:rtl/>
        </w:rPr>
      </w:pPr>
      <w:r w:rsidRPr="00F9797F">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99"/>
      </w:tblGrid>
      <w:tr w:rsidR="006F6E24" w14:paraId="37CBA19D" w14:textId="77777777" w:rsidTr="006F6E24">
        <w:tc>
          <w:tcPr>
            <w:tcW w:w="284" w:type="dxa"/>
            <w:tcBorders>
              <w:top w:val="nil"/>
              <w:left w:val="nil"/>
              <w:bottom w:val="single" w:sz="4" w:space="0" w:color="auto"/>
              <w:right w:val="nil"/>
            </w:tcBorders>
            <w:shd w:val="clear" w:color="auto" w:fill="auto"/>
            <w:vAlign w:val="center"/>
          </w:tcPr>
          <w:p w14:paraId="54901D94" w14:textId="77777777" w:rsidR="006F6E24" w:rsidRPr="00F9797F" w:rsidRDefault="00F9797F" w:rsidP="006F6E24">
            <w:pPr>
              <w:jc w:val="center"/>
              <w:rPr>
                <w:rFonts w:ascii="Courier New" w:hAnsi="Courier New"/>
                <w:b/>
                <w:bCs/>
                <w:color w:val="FFFFFF"/>
                <w:sz w:val="2"/>
                <w:szCs w:val="2"/>
              </w:rPr>
            </w:pPr>
            <w:r w:rsidRPr="00F9797F">
              <w:rPr>
                <w:rFonts w:ascii="Courier New" w:hAnsi="Courier New"/>
                <w:b/>
                <w:bCs/>
                <w:color w:val="FFFFFF"/>
                <w:sz w:val="2"/>
                <w:szCs w:val="2"/>
                <w:rtl/>
              </w:rPr>
              <w:t>54678313</w:t>
            </w:r>
          </w:p>
        </w:tc>
      </w:tr>
      <w:tr w:rsidR="006F6E24" w14:paraId="21806AC1" w14:textId="77777777" w:rsidTr="006F6E24">
        <w:tc>
          <w:tcPr>
            <w:tcW w:w="284" w:type="dxa"/>
            <w:tcBorders>
              <w:top w:val="single" w:sz="4" w:space="0" w:color="auto"/>
              <w:left w:val="nil"/>
              <w:bottom w:val="nil"/>
              <w:right w:val="nil"/>
            </w:tcBorders>
            <w:shd w:val="clear" w:color="auto" w:fill="auto"/>
            <w:vAlign w:val="center"/>
          </w:tcPr>
          <w:p w14:paraId="1A03DEA0" w14:textId="77777777" w:rsidR="006F6E24" w:rsidRPr="006F6E24" w:rsidRDefault="006F6E24" w:rsidP="006F6E24">
            <w:pPr>
              <w:spacing w:line="360" w:lineRule="auto"/>
              <w:jc w:val="center"/>
              <w:rPr>
                <w:b/>
                <w:bCs/>
                <w:noProof/>
                <w:rtl/>
              </w:rPr>
            </w:pPr>
            <w:r w:rsidRPr="006F6E24">
              <w:rPr>
                <w:rFonts w:hint="cs"/>
                <w:b/>
                <w:bCs/>
                <w:sz w:val="26"/>
                <w:szCs w:val="26"/>
                <w:rtl/>
              </w:rPr>
              <w:t>רפי כרמל, שופט</w:t>
            </w:r>
          </w:p>
        </w:tc>
      </w:tr>
    </w:tbl>
    <w:p w14:paraId="568C44A8" w14:textId="77777777" w:rsidR="00F9797F" w:rsidRDefault="00CE7F29" w:rsidP="00F9797F">
      <w:r w:rsidRPr="00CE7F29">
        <w:rPr>
          <w:color w:val="FFFFFF"/>
          <w:sz w:val="2"/>
          <w:szCs w:val="2"/>
          <w:rtl/>
        </w:rPr>
        <w:t>5129371</w:t>
      </w:r>
    </w:p>
    <w:p w14:paraId="5E32B300" w14:textId="77777777" w:rsidR="00F9797F" w:rsidRDefault="00F9797F" w:rsidP="00F9797F">
      <w:pPr>
        <w:rPr>
          <w:rtl/>
        </w:rPr>
      </w:pPr>
    </w:p>
    <w:p w14:paraId="5A09FC43" w14:textId="77777777" w:rsidR="00F9797F" w:rsidRDefault="00F9797F" w:rsidP="00F9797F">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C1F7A72" w14:textId="77777777" w:rsidR="00CE7F29" w:rsidRPr="00CE7F29" w:rsidRDefault="00CE7F29" w:rsidP="00CE7F29">
      <w:pPr>
        <w:keepNext/>
        <w:rPr>
          <w:rFonts w:ascii="David" w:hAnsi="David"/>
          <w:color w:val="000000"/>
          <w:sz w:val="22"/>
          <w:szCs w:val="22"/>
          <w:rtl/>
        </w:rPr>
      </w:pPr>
    </w:p>
    <w:p w14:paraId="6EA934AA" w14:textId="77777777" w:rsidR="00CE7F29" w:rsidRPr="00CE7F29" w:rsidRDefault="00CE7F29" w:rsidP="00CE7F29">
      <w:pPr>
        <w:keepNext/>
        <w:rPr>
          <w:rFonts w:ascii="David" w:hAnsi="David" w:hint="cs"/>
          <w:color w:val="000000"/>
          <w:sz w:val="22"/>
          <w:szCs w:val="22"/>
          <w:rtl/>
        </w:rPr>
      </w:pPr>
      <w:r w:rsidRPr="00CE7F29">
        <w:rPr>
          <w:rFonts w:ascii="David" w:hAnsi="David"/>
          <w:color w:val="000000"/>
          <w:sz w:val="22"/>
          <w:szCs w:val="22"/>
          <w:rtl/>
        </w:rPr>
        <w:t>רפי כרמל 54678313-/</w:t>
      </w:r>
      <w:r w:rsidR="00D87636">
        <w:rPr>
          <w:rFonts w:ascii="David" w:hAnsi="David" w:hint="cs"/>
          <w:color w:val="000000"/>
          <w:sz w:val="22"/>
          <w:szCs w:val="22"/>
          <w:rtl/>
        </w:rPr>
        <w:t xml:space="preserve"> </w:t>
      </w:r>
    </w:p>
    <w:p w14:paraId="6C564202" w14:textId="77777777" w:rsidR="00F9797F" w:rsidRPr="00F9797F" w:rsidRDefault="00CE7F29" w:rsidP="00CE7F29">
      <w:pPr>
        <w:rPr>
          <w:color w:val="0000FF"/>
          <w:u w:val="single"/>
        </w:rPr>
      </w:pPr>
      <w:r w:rsidRPr="00CE7F29">
        <w:rPr>
          <w:color w:val="000000"/>
          <w:u w:val="single"/>
          <w:rtl/>
        </w:rPr>
        <w:t>נוסח מסמך זה כפוף לשינויי ניסוח ועריכה</w:t>
      </w:r>
    </w:p>
    <w:sectPr w:rsidR="00F9797F" w:rsidRPr="00F9797F" w:rsidSect="00CE7F29">
      <w:headerReference w:type="even" r:id="rId26"/>
      <w:headerReference w:type="default" r:id="rId27"/>
      <w:footerReference w:type="even" r:id="rId28"/>
      <w:footerReference w:type="default" r:id="rId29"/>
      <w:pgSz w:w="11907" w:h="16840" w:code="9"/>
      <w:pgMar w:top="1701" w:right="1797" w:bottom="1440" w:left="1797"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C58B6" w14:textId="77777777" w:rsidR="004A5BE0" w:rsidRDefault="004A5BE0" w:rsidP="009F610F">
      <w:r>
        <w:separator/>
      </w:r>
    </w:p>
  </w:endnote>
  <w:endnote w:type="continuationSeparator" w:id="0">
    <w:p w14:paraId="794F03BF" w14:textId="77777777" w:rsidR="004A5BE0" w:rsidRDefault="004A5BE0" w:rsidP="009F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C11F1" w14:textId="77777777" w:rsidR="00CE7F29" w:rsidRDefault="00CE7F29" w:rsidP="00CE7F2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69328E" w14:textId="77777777" w:rsidR="00F9797F" w:rsidRPr="00CE7F29" w:rsidRDefault="00CE7F29" w:rsidP="00CE7F29">
    <w:pPr>
      <w:pStyle w:val="a5"/>
      <w:pBdr>
        <w:top w:val="single" w:sz="4" w:space="1" w:color="auto"/>
        <w:between w:val="single" w:sz="4" w:space="0" w:color="auto"/>
      </w:pBdr>
      <w:spacing w:after="60"/>
      <w:jc w:val="center"/>
      <w:rPr>
        <w:rFonts w:ascii="FrankRuehl" w:hAnsi="FrankRuehl" w:cs="FrankRuehl"/>
        <w:color w:val="000000"/>
      </w:rPr>
    </w:pPr>
    <w:r w:rsidRPr="00CE7F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20BA" w14:textId="77777777" w:rsidR="00CE7F29" w:rsidRDefault="00CE7F29" w:rsidP="00CE7F2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77D6B">
      <w:rPr>
        <w:rStyle w:val="a8"/>
        <w:rFonts w:ascii="FrankRuehl" w:hAnsi="FrankRuehl" w:cs="FrankRuehl"/>
        <w:noProof/>
        <w:rtl/>
      </w:rPr>
      <w:t>1</w:t>
    </w:r>
    <w:r>
      <w:rPr>
        <w:rStyle w:val="a8"/>
        <w:rFonts w:ascii="FrankRuehl" w:hAnsi="FrankRuehl" w:cs="FrankRuehl"/>
        <w:rtl/>
      </w:rPr>
      <w:fldChar w:fldCharType="end"/>
    </w:r>
  </w:p>
  <w:p w14:paraId="586C47E0" w14:textId="77777777" w:rsidR="006520C6" w:rsidRPr="00CE7F29" w:rsidRDefault="00CE7F29" w:rsidP="00CE7F2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CE7F29">
      <w:rPr>
        <w:rStyle w:val="a8"/>
        <w:rFonts w:ascii="FrankRuehl" w:hAnsi="FrankRuehl" w:cs="FrankRuehl" w:hint="cs"/>
        <w:color w:val="000000"/>
      </w:rPr>
      <w:pict w14:anchorId="4FEEB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A679F" w14:textId="77777777" w:rsidR="004A5BE0" w:rsidRDefault="004A5BE0" w:rsidP="009F610F">
      <w:r>
        <w:separator/>
      </w:r>
    </w:p>
  </w:footnote>
  <w:footnote w:type="continuationSeparator" w:id="0">
    <w:p w14:paraId="68EA3C31" w14:textId="77777777" w:rsidR="004A5BE0" w:rsidRDefault="004A5BE0" w:rsidP="009F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A692C" w14:textId="77777777" w:rsidR="00F9797F" w:rsidRPr="00CE7F29" w:rsidRDefault="00CE7F29" w:rsidP="00CE7F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691-09-19</w:t>
    </w:r>
    <w:r>
      <w:rPr>
        <w:rFonts w:ascii="David" w:hAnsi="David"/>
        <w:color w:val="000000"/>
        <w:sz w:val="22"/>
        <w:szCs w:val="22"/>
        <w:rtl/>
      </w:rPr>
      <w:tab/>
      <w:t xml:space="preserve"> מדינת ישראל נ' אחמד אידריס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A7EA" w14:textId="77777777" w:rsidR="00F9797F" w:rsidRPr="00CE7F29" w:rsidRDefault="00CE7F29" w:rsidP="00CE7F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691-09-19</w:t>
    </w:r>
    <w:r>
      <w:rPr>
        <w:rFonts w:ascii="David" w:hAnsi="David"/>
        <w:color w:val="000000"/>
        <w:sz w:val="22"/>
        <w:szCs w:val="22"/>
        <w:rtl/>
      </w:rPr>
      <w:tab/>
      <w:t xml:space="preserve"> מדינת ישראל נ' אחמד אידריס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5C52AB"/>
    <w:multiLevelType w:val="hybridMultilevel"/>
    <w:tmpl w:val="AA8A0BFA"/>
    <w:lvl w:ilvl="0" w:tplc="B48AC7AC">
      <w:start w:val="1"/>
      <w:numFmt w:val="hebrew1"/>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769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6E24"/>
    <w:rsid w:val="001E00BA"/>
    <w:rsid w:val="0022536E"/>
    <w:rsid w:val="0034448D"/>
    <w:rsid w:val="00377D6B"/>
    <w:rsid w:val="003A33AF"/>
    <w:rsid w:val="004A5BE0"/>
    <w:rsid w:val="00503958"/>
    <w:rsid w:val="006520C6"/>
    <w:rsid w:val="006F6E24"/>
    <w:rsid w:val="009F610F"/>
    <w:rsid w:val="00BB30BB"/>
    <w:rsid w:val="00CE490D"/>
    <w:rsid w:val="00CE7F29"/>
    <w:rsid w:val="00D87636"/>
    <w:rsid w:val="00DE3F14"/>
    <w:rsid w:val="00E81D77"/>
    <w:rsid w:val="00F979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38AF1C"/>
  <w15:chartTrackingRefBased/>
  <w15:docId w15:val="{23976713-C968-4802-A823-39B57129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6E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6E24"/>
    <w:pPr>
      <w:tabs>
        <w:tab w:val="center" w:pos="4153"/>
        <w:tab w:val="right" w:pos="8306"/>
      </w:tabs>
    </w:pPr>
  </w:style>
  <w:style w:type="character" w:customStyle="1" w:styleId="a4">
    <w:name w:val="כותרת עליונה תו"/>
    <w:link w:val="a3"/>
    <w:rsid w:val="006F6E24"/>
    <w:rPr>
      <w:rFonts w:ascii="Times New Roman" w:eastAsia="Times New Roman" w:hAnsi="Times New Roman" w:cs="David"/>
      <w:sz w:val="24"/>
      <w:szCs w:val="24"/>
    </w:rPr>
  </w:style>
  <w:style w:type="paragraph" w:styleId="a5">
    <w:name w:val="footer"/>
    <w:basedOn w:val="a"/>
    <w:link w:val="a6"/>
    <w:rsid w:val="006F6E24"/>
    <w:pPr>
      <w:tabs>
        <w:tab w:val="center" w:pos="4153"/>
        <w:tab w:val="right" w:pos="8306"/>
      </w:tabs>
    </w:pPr>
  </w:style>
  <w:style w:type="character" w:customStyle="1" w:styleId="a6">
    <w:name w:val="כותרת תחתונה תו"/>
    <w:link w:val="a5"/>
    <w:rsid w:val="006F6E24"/>
    <w:rPr>
      <w:rFonts w:ascii="Times New Roman" w:eastAsia="Times New Roman" w:hAnsi="Times New Roman" w:cs="David"/>
      <w:sz w:val="24"/>
      <w:szCs w:val="24"/>
    </w:rPr>
  </w:style>
  <w:style w:type="table" w:styleId="a7">
    <w:name w:val="Table Grid"/>
    <w:basedOn w:val="a1"/>
    <w:rsid w:val="006F6E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6E24"/>
    <w:rPr>
      <w:noProof w:val="0"/>
    </w:rPr>
  </w:style>
  <w:style w:type="paragraph" w:styleId="a9">
    <w:name w:val="List Paragraph"/>
    <w:basedOn w:val="a"/>
    <w:qFormat/>
    <w:rsid w:val="006F6E24"/>
    <w:pPr>
      <w:ind w:left="720"/>
      <w:contextualSpacing/>
    </w:pPr>
  </w:style>
  <w:style w:type="character" w:styleId="Hyperlink">
    <w:name w:val="Hyperlink"/>
    <w:rsid w:val="006F6E24"/>
    <w:rPr>
      <w:noProof w:val="0"/>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166195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5698919"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2170294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6162970" TargetMode="External"/><Relationship Id="rId20" Type="http://schemas.openxmlformats.org/officeDocument/2006/relationships/hyperlink" Target="http://www.nevo.co.il/case/21694329"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36b.a.2" TargetMode="External"/><Relationship Id="rId5" Type="http://schemas.openxmlformats.org/officeDocument/2006/relationships/footnotes" Target="footnotes.xml"/><Relationship Id="rId15" Type="http://schemas.openxmlformats.org/officeDocument/2006/relationships/hyperlink" Target="http://www.nevo.co.il/case/5896323" TargetMode="External"/><Relationship Id="rId23" Type="http://schemas.openxmlformats.org/officeDocument/2006/relationships/hyperlink" Target="http://www.nevo.co.il/law/70301" TargetMode="External"/><Relationship Id="rId28" Type="http://schemas.openxmlformats.org/officeDocument/2006/relationships/footer" Target="footer1.xml"/><Relationship Id="rId10" Type="http://schemas.openxmlformats.org/officeDocument/2006/relationships/hyperlink" Target="http://www.nevo.co.il/law/4216/36b.a.2" TargetMode="External"/><Relationship Id="rId19" Type="http://schemas.openxmlformats.org/officeDocument/2006/relationships/hyperlink" Target="http://www.nevo.co.il/case/2057153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i"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1494</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8952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8126588</vt:i4>
      </vt:variant>
      <vt:variant>
        <vt:i4>51</vt:i4>
      </vt:variant>
      <vt:variant>
        <vt:i4>0</vt:i4>
      </vt:variant>
      <vt:variant>
        <vt:i4>5</vt:i4>
      </vt:variant>
      <vt:variant>
        <vt:lpwstr>http://www.nevo.co.il/law/4216/36b.a.2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3276927</vt:i4>
      </vt:variant>
      <vt:variant>
        <vt:i4>39</vt:i4>
      </vt:variant>
      <vt:variant>
        <vt:i4>0</vt:i4>
      </vt:variant>
      <vt:variant>
        <vt:i4>5</vt:i4>
      </vt:variant>
      <vt:variant>
        <vt:lpwstr>http://www.nevo.co.il/case/21694329</vt:lpwstr>
      </vt:variant>
      <vt:variant>
        <vt:lpwstr/>
      </vt:variant>
      <vt:variant>
        <vt:i4>3473526</vt:i4>
      </vt:variant>
      <vt:variant>
        <vt:i4>36</vt:i4>
      </vt:variant>
      <vt:variant>
        <vt:i4>0</vt:i4>
      </vt:variant>
      <vt:variant>
        <vt:i4>5</vt:i4>
      </vt:variant>
      <vt:variant>
        <vt:lpwstr>http://www.nevo.co.il/case/20571533</vt:lpwstr>
      </vt:variant>
      <vt:variant>
        <vt:lpwstr/>
      </vt:variant>
      <vt:variant>
        <vt:i4>3145850</vt:i4>
      </vt:variant>
      <vt:variant>
        <vt:i4>33</vt:i4>
      </vt:variant>
      <vt:variant>
        <vt:i4>0</vt:i4>
      </vt:variant>
      <vt:variant>
        <vt:i4>5</vt:i4>
      </vt:variant>
      <vt:variant>
        <vt:lpwstr>http://www.nevo.co.il/case/21661958</vt:lpwstr>
      </vt:variant>
      <vt:variant>
        <vt:lpwstr/>
      </vt:variant>
      <vt:variant>
        <vt:i4>3342460</vt:i4>
      </vt:variant>
      <vt:variant>
        <vt:i4>30</vt:i4>
      </vt:variant>
      <vt:variant>
        <vt:i4>0</vt:i4>
      </vt:variant>
      <vt:variant>
        <vt:i4>5</vt:i4>
      </vt:variant>
      <vt:variant>
        <vt:lpwstr>http://www.nevo.co.il/case/21702945</vt:lpwstr>
      </vt:variant>
      <vt:variant>
        <vt:lpwstr/>
      </vt:variant>
      <vt:variant>
        <vt:i4>3735664</vt:i4>
      </vt:variant>
      <vt:variant>
        <vt:i4>27</vt:i4>
      </vt:variant>
      <vt:variant>
        <vt:i4>0</vt:i4>
      </vt:variant>
      <vt:variant>
        <vt:i4>5</vt:i4>
      </vt:variant>
      <vt:variant>
        <vt:lpwstr>http://www.nevo.co.il/case/6162970</vt:lpwstr>
      </vt:variant>
      <vt:variant>
        <vt:lpwstr/>
      </vt:variant>
      <vt:variant>
        <vt:i4>3932280</vt:i4>
      </vt:variant>
      <vt:variant>
        <vt:i4>24</vt:i4>
      </vt:variant>
      <vt:variant>
        <vt:i4>0</vt:i4>
      </vt:variant>
      <vt:variant>
        <vt:i4>5</vt:i4>
      </vt:variant>
      <vt:variant>
        <vt:lpwstr>http://www.nevo.co.il/case/5896323</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8126588</vt:i4>
      </vt:variant>
      <vt:variant>
        <vt:i4>9</vt:i4>
      </vt:variant>
      <vt:variant>
        <vt:i4>0</vt:i4>
      </vt:variant>
      <vt:variant>
        <vt:i4>5</vt:i4>
      </vt:variant>
      <vt:variant>
        <vt:lpwstr>http://www.nevo.co.il/law/4216/36b.a.2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691</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אידריס</vt:lpwstr>
  </property>
  <property fmtid="{D5CDD505-2E9C-101B-9397-08002B2CF9AE}" pid="10" name="LAWYER">
    <vt:lpwstr>יוסי זילברברג</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20201019</vt:lpwstr>
  </property>
  <property fmtid="{D5CDD505-2E9C-101B-9397-08002B2CF9AE}" pid="14" name="TYPE_N_DATE">
    <vt:lpwstr>39020201019</vt:lpwstr>
  </property>
  <property fmtid="{D5CDD505-2E9C-101B-9397-08002B2CF9AE}" pid="15" name="WORDNUMPAGES">
    <vt:lpwstr>6</vt:lpwstr>
  </property>
  <property fmtid="{D5CDD505-2E9C-101B-9397-08002B2CF9AE}" pid="16" name="TYPE_ABS_DATE">
    <vt:lpwstr>390020201019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5896323;6162970;21702945;21661958;20571533;21694329;5698919</vt:lpwstr>
  </property>
  <property fmtid="{D5CDD505-2E9C-101B-9397-08002B2CF9AE}" pid="36" name="LAWLISTTMP1">
    <vt:lpwstr>4216/007.a;007.c;036b.a.2</vt:lpwstr>
  </property>
  <property fmtid="{D5CDD505-2E9C-101B-9397-08002B2CF9AE}" pid="37" name="LAWLISTTMP2">
    <vt:lpwstr>70301/040i</vt:lpwstr>
  </property>
</Properties>
</file>