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2506A" w:rsidRPr="00360CB5" w14:paraId="7C8CC2AC" w14:textId="77777777" w:rsidTr="00A32C39">
        <w:trPr>
          <w:trHeight w:hRule="exact" w:val="418"/>
          <w:jc w:val="center"/>
        </w:trPr>
        <w:tc>
          <w:tcPr>
            <w:tcW w:w="8721" w:type="dxa"/>
            <w:gridSpan w:val="2"/>
          </w:tcPr>
          <w:p w14:paraId="1B71EC8E" w14:textId="77777777" w:rsidR="0062506A" w:rsidRPr="00360CB5" w:rsidRDefault="0062506A" w:rsidP="003A0A02">
            <w:pPr>
              <w:pStyle w:val="a3"/>
              <w:jc w:val="center"/>
              <w:rPr>
                <w:rFonts w:ascii="Tahoma" w:hAnsi="Tahoma" w:cs="Tahoma"/>
                <w:color w:val="000080"/>
                <w:rtl/>
              </w:rPr>
            </w:pPr>
            <w:bookmarkStart w:id="0" w:name="FirstLawyer"/>
            <w:bookmarkStart w:id="1" w:name="LastJudge"/>
            <w:r w:rsidRPr="00360CB5">
              <w:rPr>
                <w:rFonts w:ascii="Tahoma" w:hAnsi="Tahoma" w:cs="Tahoma"/>
                <w:b/>
                <w:bCs/>
                <w:color w:val="000080"/>
                <w:rtl/>
              </w:rPr>
              <w:t>בית המשפט המחוזי בירושלים</w:t>
            </w:r>
          </w:p>
        </w:tc>
      </w:tr>
      <w:tr w:rsidR="0062506A" w:rsidRPr="00360CB5" w14:paraId="488602D8" w14:textId="77777777" w:rsidTr="00A32C39">
        <w:trPr>
          <w:trHeight w:val="337"/>
          <w:jc w:val="center"/>
        </w:trPr>
        <w:tc>
          <w:tcPr>
            <w:tcW w:w="5057" w:type="dxa"/>
          </w:tcPr>
          <w:p w14:paraId="3F153E70" w14:textId="77777777" w:rsidR="0062506A" w:rsidRPr="00360CB5" w:rsidRDefault="0062506A" w:rsidP="003A0A02">
            <w:pPr>
              <w:rPr>
                <w:rFonts w:cs="FrankRuehl"/>
                <w:sz w:val="28"/>
                <w:szCs w:val="28"/>
                <w:rtl/>
              </w:rPr>
            </w:pPr>
            <w:r w:rsidRPr="00360CB5">
              <w:rPr>
                <w:rFonts w:cs="FrankRuehl"/>
                <w:sz w:val="28"/>
                <w:szCs w:val="28"/>
                <w:rtl/>
              </w:rPr>
              <w:t>ת"פ</w:t>
            </w:r>
            <w:r w:rsidRPr="00360CB5">
              <w:rPr>
                <w:rFonts w:cs="FrankRuehl" w:hint="cs"/>
                <w:sz w:val="28"/>
                <w:szCs w:val="28"/>
                <w:rtl/>
              </w:rPr>
              <w:t xml:space="preserve"> </w:t>
            </w:r>
            <w:r w:rsidRPr="00360CB5">
              <w:rPr>
                <w:rFonts w:cs="FrankRuehl"/>
                <w:sz w:val="28"/>
                <w:szCs w:val="28"/>
                <w:rtl/>
              </w:rPr>
              <w:t>54137-11-19</w:t>
            </w:r>
            <w:r w:rsidRPr="00360CB5">
              <w:rPr>
                <w:rFonts w:cs="FrankRuehl" w:hint="cs"/>
                <w:sz w:val="28"/>
                <w:szCs w:val="28"/>
                <w:rtl/>
              </w:rPr>
              <w:t xml:space="preserve"> </w:t>
            </w:r>
            <w:r w:rsidRPr="00360CB5">
              <w:rPr>
                <w:rFonts w:cs="FrankRuehl"/>
                <w:sz w:val="28"/>
                <w:szCs w:val="28"/>
                <w:rtl/>
              </w:rPr>
              <w:t>מדינת ישראל נ' דרגן(עציר)</w:t>
            </w:r>
          </w:p>
          <w:p w14:paraId="2D093591" w14:textId="77777777" w:rsidR="0062506A" w:rsidRPr="00360CB5" w:rsidRDefault="0062506A" w:rsidP="003A0A02">
            <w:pPr>
              <w:pStyle w:val="a3"/>
              <w:rPr>
                <w:rFonts w:cs="FrankRuehl"/>
                <w:sz w:val="28"/>
                <w:szCs w:val="28"/>
                <w:rtl/>
              </w:rPr>
            </w:pPr>
          </w:p>
        </w:tc>
        <w:tc>
          <w:tcPr>
            <w:tcW w:w="3664" w:type="dxa"/>
          </w:tcPr>
          <w:p w14:paraId="5558BE36" w14:textId="77777777" w:rsidR="0062506A" w:rsidRPr="00360CB5" w:rsidRDefault="0062506A" w:rsidP="003A0A02">
            <w:pPr>
              <w:pStyle w:val="a3"/>
              <w:jc w:val="right"/>
              <w:rPr>
                <w:rFonts w:cs="FrankRuehl"/>
                <w:sz w:val="28"/>
                <w:szCs w:val="28"/>
                <w:rtl/>
              </w:rPr>
            </w:pPr>
          </w:p>
        </w:tc>
      </w:tr>
    </w:tbl>
    <w:p w14:paraId="58280184" w14:textId="77777777" w:rsidR="0062506A" w:rsidRPr="00360CB5" w:rsidRDefault="0062506A" w:rsidP="0062506A">
      <w:pPr>
        <w:pStyle w:val="a3"/>
        <w:rPr>
          <w:rtl/>
        </w:rPr>
      </w:pPr>
      <w:r w:rsidRPr="00360CB5">
        <w:rPr>
          <w:rFonts w:hint="cs"/>
          <w:rtl/>
        </w:rPr>
        <w:t xml:space="preserve"> </w:t>
      </w:r>
    </w:p>
    <w:p w14:paraId="11CF181F" w14:textId="77777777" w:rsidR="0062506A" w:rsidRPr="00360CB5" w:rsidRDefault="0062506A" w:rsidP="0062506A">
      <w:pPr>
        <w:rPr>
          <w:rtl/>
        </w:rPr>
      </w:pPr>
    </w:p>
    <w:p w14:paraId="50DD17B5" w14:textId="77777777" w:rsidR="0062506A" w:rsidRPr="00360CB5" w:rsidRDefault="0062506A" w:rsidP="0062506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2506A" w:rsidRPr="00360CB5" w14:paraId="3CEB8E47" w14:textId="77777777" w:rsidTr="0062506A">
        <w:trPr>
          <w:trHeight w:val="295"/>
          <w:jc w:val="center"/>
        </w:trPr>
        <w:tc>
          <w:tcPr>
            <w:tcW w:w="923" w:type="dxa"/>
            <w:tcBorders>
              <w:top w:val="nil"/>
              <w:left w:val="nil"/>
              <w:bottom w:val="nil"/>
              <w:right w:val="nil"/>
            </w:tcBorders>
            <w:shd w:val="clear" w:color="auto" w:fill="auto"/>
          </w:tcPr>
          <w:p w14:paraId="4CE3484E" w14:textId="77777777" w:rsidR="0062506A" w:rsidRPr="00360CB5" w:rsidRDefault="0062506A" w:rsidP="0062506A">
            <w:pPr>
              <w:jc w:val="both"/>
              <w:rPr>
                <w:rFonts w:ascii="Arial" w:hAnsi="Arial" w:cs="FrankRuehl"/>
                <w:sz w:val="28"/>
                <w:szCs w:val="28"/>
              </w:rPr>
            </w:pPr>
            <w:r w:rsidRPr="00360CB5">
              <w:rPr>
                <w:rFonts w:ascii="Arial" w:hAnsi="Arial" w:cs="FrankRuehl" w:hint="cs"/>
                <w:sz w:val="28"/>
                <w:szCs w:val="28"/>
                <w:rtl/>
              </w:rPr>
              <w:t>ב</w:t>
            </w:r>
            <w:r w:rsidRPr="00360CB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659B21A" w14:textId="77777777" w:rsidR="0062506A" w:rsidRPr="00360CB5" w:rsidRDefault="0062506A" w:rsidP="003A0A02">
            <w:pPr>
              <w:rPr>
                <w:rFonts w:ascii="Arial" w:hAnsi="Arial"/>
                <w:b/>
                <w:bCs/>
                <w:rtl/>
              </w:rPr>
            </w:pPr>
            <w:r w:rsidRPr="00360CB5">
              <w:rPr>
                <w:rFonts w:ascii="Arial" w:hAnsi="Arial" w:hint="cs"/>
                <w:b/>
                <w:bCs/>
                <w:rtl/>
              </w:rPr>
              <w:t>כבוד ה</w:t>
            </w:r>
            <w:r w:rsidRPr="00360CB5">
              <w:rPr>
                <w:rFonts w:ascii="Arial" w:hAnsi="Arial"/>
                <w:b/>
                <w:bCs/>
                <w:rtl/>
              </w:rPr>
              <w:t>שופטת</w:t>
            </w:r>
            <w:r w:rsidRPr="00360CB5">
              <w:rPr>
                <w:rFonts w:ascii="Arial" w:hAnsi="Arial" w:hint="cs"/>
                <w:b/>
                <w:bCs/>
                <w:rtl/>
              </w:rPr>
              <w:t xml:space="preserve">  </w:t>
            </w:r>
            <w:r w:rsidRPr="00360CB5">
              <w:rPr>
                <w:rFonts w:ascii="Arial" w:hAnsi="Arial"/>
                <w:b/>
                <w:bCs/>
                <w:rtl/>
              </w:rPr>
              <w:t>דנה כהן-לקח</w:t>
            </w:r>
          </w:p>
          <w:p w14:paraId="7A125A25" w14:textId="77777777" w:rsidR="0062506A" w:rsidRPr="00360CB5" w:rsidRDefault="0062506A" w:rsidP="003A0A02">
            <w:pPr>
              <w:rPr>
                <w:rtl/>
              </w:rPr>
            </w:pPr>
          </w:p>
          <w:p w14:paraId="2D194151" w14:textId="77777777" w:rsidR="0062506A" w:rsidRPr="00360CB5" w:rsidRDefault="0062506A" w:rsidP="0062506A">
            <w:pPr>
              <w:jc w:val="both"/>
              <w:rPr>
                <w:rFonts w:ascii="Arial" w:hAnsi="Arial" w:cs="FrankRuehl"/>
                <w:sz w:val="28"/>
                <w:szCs w:val="28"/>
              </w:rPr>
            </w:pPr>
          </w:p>
        </w:tc>
      </w:tr>
      <w:tr w:rsidR="0062506A" w:rsidRPr="00360CB5" w14:paraId="4DB8012C" w14:textId="77777777" w:rsidTr="0062506A">
        <w:trPr>
          <w:trHeight w:val="355"/>
          <w:jc w:val="center"/>
        </w:trPr>
        <w:tc>
          <w:tcPr>
            <w:tcW w:w="923" w:type="dxa"/>
            <w:tcBorders>
              <w:top w:val="nil"/>
              <w:left w:val="nil"/>
              <w:bottom w:val="nil"/>
              <w:right w:val="nil"/>
            </w:tcBorders>
            <w:shd w:val="clear" w:color="auto" w:fill="auto"/>
          </w:tcPr>
          <w:p w14:paraId="33BE0911" w14:textId="77777777" w:rsidR="0062506A" w:rsidRPr="00360CB5" w:rsidRDefault="0062506A" w:rsidP="0062506A">
            <w:pPr>
              <w:jc w:val="both"/>
              <w:rPr>
                <w:rFonts w:ascii="Arial" w:hAnsi="Arial" w:cs="FrankRuehl"/>
                <w:sz w:val="28"/>
                <w:szCs w:val="28"/>
              </w:rPr>
            </w:pPr>
            <w:bookmarkStart w:id="2" w:name="FirstAppellant"/>
            <w:r w:rsidRPr="00360CB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C6EB1C3" w14:textId="77777777" w:rsidR="0062506A" w:rsidRPr="00360CB5" w:rsidRDefault="0062506A" w:rsidP="003A0A02">
            <w:r w:rsidRPr="00360CB5">
              <w:rPr>
                <w:rFonts w:ascii="Arial" w:hAnsi="Arial" w:cs="FrankRuehl" w:hint="cs"/>
                <w:sz w:val="28"/>
                <w:szCs w:val="28"/>
                <w:rtl/>
              </w:rPr>
              <w:t>המאשימה:</w:t>
            </w:r>
            <w:r w:rsidRPr="00360CB5">
              <w:rPr>
                <w:rFonts w:ascii="Arial" w:hAnsi="Arial" w:cs="FrankRuehl"/>
                <w:sz w:val="28"/>
                <w:szCs w:val="28"/>
                <w:rtl/>
              </w:rPr>
              <w:br/>
              <w:t>מדינת ישראל</w:t>
            </w:r>
            <w:r w:rsidRPr="00360CB5">
              <w:rPr>
                <w:rtl/>
              </w:rPr>
              <w:br/>
            </w:r>
            <w:r w:rsidRPr="00360CB5">
              <w:rPr>
                <w:rFonts w:hint="cs"/>
                <w:rtl/>
              </w:rPr>
              <w:t>ע"י ב"כ עו"ד ספיר מרדכי</w:t>
            </w:r>
            <w:r w:rsidRPr="00360CB5">
              <w:rPr>
                <w:rtl/>
              </w:rPr>
              <w:br/>
            </w:r>
          </w:p>
        </w:tc>
        <w:tc>
          <w:tcPr>
            <w:tcW w:w="3771" w:type="dxa"/>
            <w:tcBorders>
              <w:top w:val="nil"/>
              <w:left w:val="nil"/>
              <w:bottom w:val="nil"/>
              <w:right w:val="nil"/>
            </w:tcBorders>
            <w:shd w:val="clear" w:color="auto" w:fill="auto"/>
          </w:tcPr>
          <w:p w14:paraId="5DA63E7C" w14:textId="77777777" w:rsidR="0062506A" w:rsidRPr="00360CB5" w:rsidRDefault="0062506A" w:rsidP="0062506A">
            <w:pPr>
              <w:jc w:val="both"/>
              <w:rPr>
                <w:rFonts w:ascii="Arial" w:hAnsi="Arial" w:cs="FrankRuehl"/>
                <w:sz w:val="28"/>
                <w:szCs w:val="28"/>
              </w:rPr>
            </w:pPr>
          </w:p>
        </w:tc>
      </w:tr>
      <w:bookmarkEnd w:id="2"/>
      <w:tr w:rsidR="0062506A" w:rsidRPr="00360CB5" w14:paraId="2BF4898A" w14:textId="77777777" w:rsidTr="0062506A">
        <w:trPr>
          <w:trHeight w:val="355"/>
          <w:jc w:val="center"/>
        </w:trPr>
        <w:tc>
          <w:tcPr>
            <w:tcW w:w="923" w:type="dxa"/>
            <w:tcBorders>
              <w:top w:val="nil"/>
              <w:left w:val="nil"/>
              <w:bottom w:val="nil"/>
              <w:right w:val="nil"/>
            </w:tcBorders>
            <w:shd w:val="clear" w:color="auto" w:fill="auto"/>
          </w:tcPr>
          <w:p w14:paraId="2711E4EE" w14:textId="77777777" w:rsidR="0062506A" w:rsidRPr="00360CB5" w:rsidRDefault="0062506A" w:rsidP="0062506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88402C" w14:textId="77777777" w:rsidR="0062506A" w:rsidRPr="00360CB5" w:rsidRDefault="0062506A" w:rsidP="0062506A">
            <w:pPr>
              <w:jc w:val="both"/>
              <w:rPr>
                <w:rtl/>
              </w:rPr>
            </w:pPr>
          </w:p>
        </w:tc>
        <w:tc>
          <w:tcPr>
            <w:tcW w:w="3771" w:type="dxa"/>
            <w:tcBorders>
              <w:top w:val="nil"/>
              <w:left w:val="nil"/>
              <w:bottom w:val="nil"/>
              <w:right w:val="nil"/>
            </w:tcBorders>
            <w:shd w:val="clear" w:color="auto" w:fill="auto"/>
          </w:tcPr>
          <w:p w14:paraId="2A12BD4A" w14:textId="77777777" w:rsidR="0062506A" w:rsidRPr="00360CB5" w:rsidRDefault="0062506A" w:rsidP="0062506A">
            <w:pPr>
              <w:jc w:val="right"/>
              <w:rPr>
                <w:rFonts w:ascii="Arial" w:hAnsi="Arial" w:cs="FrankRuehl"/>
                <w:sz w:val="28"/>
                <w:szCs w:val="28"/>
                <w:rtl/>
              </w:rPr>
            </w:pPr>
          </w:p>
        </w:tc>
      </w:tr>
      <w:tr w:rsidR="0062506A" w:rsidRPr="00360CB5" w14:paraId="0E27AD7D" w14:textId="77777777" w:rsidTr="0062506A">
        <w:trPr>
          <w:trHeight w:val="355"/>
          <w:jc w:val="center"/>
        </w:trPr>
        <w:tc>
          <w:tcPr>
            <w:tcW w:w="923" w:type="dxa"/>
            <w:tcBorders>
              <w:top w:val="nil"/>
              <w:left w:val="nil"/>
              <w:bottom w:val="nil"/>
              <w:right w:val="nil"/>
            </w:tcBorders>
            <w:shd w:val="clear" w:color="auto" w:fill="auto"/>
          </w:tcPr>
          <w:p w14:paraId="5F4D3BD0" w14:textId="77777777" w:rsidR="0062506A" w:rsidRPr="00360CB5" w:rsidRDefault="0062506A" w:rsidP="0062506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0FC7BBF" w14:textId="77777777" w:rsidR="0062506A" w:rsidRPr="00360CB5" w:rsidRDefault="0062506A" w:rsidP="0062506A">
            <w:pPr>
              <w:jc w:val="center"/>
              <w:rPr>
                <w:rFonts w:ascii="Arial" w:hAnsi="Arial" w:cs="FrankRuehl"/>
                <w:b/>
                <w:bCs/>
                <w:sz w:val="28"/>
                <w:szCs w:val="28"/>
                <w:rtl/>
              </w:rPr>
            </w:pPr>
          </w:p>
          <w:p w14:paraId="6124186A" w14:textId="77777777" w:rsidR="0062506A" w:rsidRPr="00360CB5" w:rsidRDefault="0062506A" w:rsidP="0062506A">
            <w:pPr>
              <w:jc w:val="center"/>
              <w:rPr>
                <w:rFonts w:ascii="Arial" w:hAnsi="Arial" w:cs="FrankRuehl"/>
                <w:b/>
                <w:bCs/>
                <w:sz w:val="28"/>
                <w:szCs w:val="28"/>
                <w:rtl/>
              </w:rPr>
            </w:pPr>
            <w:r w:rsidRPr="00360CB5">
              <w:rPr>
                <w:rFonts w:ascii="Arial" w:hAnsi="Arial" w:cs="FrankRuehl"/>
                <w:b/>
                <w:bCs/>
                <w:sz w:val="28"/>
                <w:szCs w:val="28"/>
                <w:rtl/>
              </w:rPr>
              <w:t>נגד</w:t>
            </w:r>
          </w:p>
          <w:p w14:paraId="40C98608" w14:textId="77777777" w:rsidR="0062506A" w:rsidRPr="00360CB5" w:rsidRDefault="0062506A" w:rsidP="0062506A">
            <w:pPr>
              <w:jc w:val="both"/>
              <w:rPr>
                <w:rFonts w:ascii="Arial" w:hAnsi="Arial" w:cs="FrankRuehl"/>
                <w:sz w:val="28"/>
                <w:szCs w:val="28"/>
              </w:rPr>
            </w:pPr>
          </w:p>
        </w:tc>
      </w:tr>
      <w:tr w:rsidR="0062506A" w:rsidRPr="00360CB5" w14:paraId="3511B552" w14:textId="77777777" w:rsidTr="0062506A">
        <w:trPr>
          <w:trHeight w:val="355"/>
          <w:jc w:val="center"/>
        </w:trPr>
        <w:tc>
          <w:tcPr>
            <w:tcW w:w="923" w:type="dxa"/>
            <w:tcBorders>
              <w:top w:val="nil"/>
              <w:left w:val="nil"/>
              <w:bottom w:val="nil"/>
              <w:right w:val="nil"/>
            </w:tcBorders>
            <w:shd w:val="clear" w:color="auto" w:fill="auto"/>
          </w:tcPr>
          <w:p w14:paraId="233739F4" w14:textId="77777777" w:rsidR="0062506A" w:rsidRPr="00360CB5" w:rsidRDefault="0062506A" w:rsidP="003A0A02">
            <w:pPr>
              <w:rPr>
                <w:rFonts w:ascii="Arial" w:hAnsi="Arial" w:cs="FrankRuehl"/>
                <w:sz w:val="28"/>
                <w:szCs w:val="28"/>
                <w:rtl/>
              </w:rPr>
            </w:pPr>
          </w:p>
        </w:tc>
        <w:tc>
          <w:tcPr>
            <w:tcW w:w="4126" w:type="dxa"/>
            <w:tcBorders>
              <w:top w:val="nil"/>
              <w:left w:val="nil"/>
              <w:bottom w:val="nil"/>
              <w:right w:val="nil"/>
            </w:tcBorders>
            <w:shd w:val="clear" w:color="auto" w:fill="auto"/>
          </w:tcPr>
          <w:p w14:paraId="18B6F932" w14:textId="77777777" w:rsidR="0062506A" w:rsidRPr="00360CB5" w:rsidRDefault="0062506A" w:rsidP="003A0A02">
            <w:pPr>
              <w:rPr>
                <w:rtl/>
              </w:rPr>
            </w:pPr>
            <w:r w:rsidRPr="00360CB5">
              <w:rPr>
                <w:rFonts w:ascii="Arial" w:hAnsi="Arial" w:cs="FrankRuehl" w:hint="cs"/>
                <w:sz w:val="28"/>
                <w:szCs w:val="28"/>
                <w:rtl/>
              </w:rPr>
              <w:t>הנאשם:</w:t>
            </w:r>
            <w:r w:rsidRPr="00360CB5">
              <w:rPr>
                <w:rFonts w:ascii="Arial" w:hAnsi="Arial" w:cs="FrankRuehl"/>
                <w:sz w:val="28"/>
                <w:szCs w:val="28"/>
                <w:rtl/>
              </w:rPr>
              <w:br/>
              <w:t>דוד ליאל דרגן (עציר)</w:t>
            </w:r>
            <w:r w:rsidRPr="00360CB5">
              <w:rPr>
                <w:rFonts w:ascii="Arial" w:hAnsi="Arial" w:cs="FrankRuehl"/>
                <w:sz w:val="28"/>
                <w:szCs w:val="28"/>
                <w:rtl/>
              </w:rPr>
              <w:br/>
            </w:r>
            <w:r w:rsidRPr="00360CB5">
              <w:rPr>
                <w:rFonts w:hint="cs"/>
                <w:rtl/>
              </w:rPr>
              <w:t>ע"י ב"כ עו"ד זוהר ארבל</w:t>
            </w:r>
          </w:p>
        </w:tc>
        <w:tc>
          <w:tcPr>
            <w:tcW w:w="3771" w:type="dxa"/>
            <w:tcBorders>
              <w:top w:val="nil"/>
              <w:left w:val="nil"/>
              <w:bottom w:val="nil"/>
              <w:right w:val="nil"/>
            </w:tcBorders>
            <w:shd w:val="clear" w:color="auto" w:fill="auto"/>
          </w:tcPr>
          <w:p w14:paraId="3E82A571" w14:textId="77777777" w:rsidR="0062506A" w:rsidRPr="00360CB5" w:rsidRDefault="0062506A" w:rsidP="0062506A">
            <w:pPr>
              <w:jc w:val="right"/>
              <w:rPr>
                <w:rFonts w:ascii="Arial" w:hAnsi="Arial" w:cs="FrankRuehl"/>
                <w:sz w:val="28"/>
                <w:szCs w:val="28"/>
              </w:rPr>
            </w:pPr>
          </w:p>
        </w:tc>
      </w:tr>
    </w:tbl>
    <w:p w14:paraId="0365D965" w14:textId="77777777" w:rsidR="00A32C39" w:rsidRDefault="00A32C39" w:rsidP="0062506A">
      <w:pPr>
        <w:rPr>
          <w:rtl/>
        </w:rPr>
      </w:pPr>
    </w:p>
    <w:p w14:paraId="7551998E" w14:textId="77777777" w:rsidR="00A32C39" w:rsidRPr="00A32C39" w:rsidRDefault="00A32C39" w:rsidP="00A32C39">
      <w:pPr>
        <w:spacing w:after="120" w:line="240" w:lineRule="exact"/>
        <w:ind w:left="283" w:hanging="283"/>
        <w:jc w:val="both"/>
        <w:rPr>
          <w:rFonts w:ascii="FrankRuehl" w:hAnsi="FrankRuehl" w:cs="FrankRuehl"/>
          <w:rtl/>
        </w:rPr>
      </w:pPr>
    </w:p>
    <w:p w14:paraId="567CE0AF" w14:textId="77777777" w:rsidR="003E1B77" w:rsidRDefault="003E1B77" w:rsidP="003E1B77">
      <w:pPr>
        <w:rPr>
          <w:rtl/>
        </w:rPr>
      </w:pPr>
      <w:bookmarkStart w:id="3" w:name="LawTable"/>
      <w:bookmarkEnd w:id="3"/>
    </w:p>
    <w:p w14:paraId="0FC47C68" w14:textId="77777777" w:rsidR="003E1B77" w:rsidRPr="003E1B77" w:rsidRDefault="003E1B77" w:rsidP="003E1B77">
      <w:pPr>
        <w:spacing w:before="120" w:after="120" w:line="240" w:lineRule="exact"/>
        <w:ind w:left="283" w:hanging="283"/>
        <w:jc w:val="both"/>
        <w:rPr>
          <w:rFonts w:ascii="FrankRuehl" w:hAnsi="FrankRuehl" w:cs="FrankRuehl"/>
          <w:rtl/>
        </w:rPr>
      </w:pPr>
    </w:p>
    <w:p w14:paraId="7FE56BA8" w14:textId="77777777" w:rsidR="003E1B77" w:rsidRPr="003E1B77" w:rsidRDefault="003E1B77" w:rsidP="003E1B77">
      <w:pPr>
        <w:spacing w:before="120" w:after="120" w:line="240" w:lineRule="exact"/>
        <w:ind w:left="283" w:hanging="283"/>
        <w:jc w:val="both"/>
        <w:rPr>
          <w:rFonts w:ascii="FrankRuehl" w:hAnsi="FrankRuehl" w:cs="FrankRuehl"/>
          <w:rtl/>
        </w:rPr>
      </w:pPr>
    </w:p>
    <w:p w14:paraId="1F600FFB" w14:textId="77777777" w:rsidR="003E1B77" w:rsidRPr="003E1B77" w:rsidRDefault="003E1B77" w:rsidP="003E1B77">
      <w:pPr>
        <w:spacing w:before="120" w:after="120" w:line="240" w:lineRule="exact"/>
        <w:ind w:left="283" w:hanging="283"/>
        <w:jc w:val="both"/>
        <w:rPr>
          <w:rFonts w:ascii="FrankRuehl" w:hAnsi="FrankRuehl" w:cs="FrankRuehl"/>
          <w:rtl/>
        </w:rPr>
      </w:pPr>
      <w:r w:rsidRPr="003E1B77">
        <w:rPr>
          <w:rFonts w:ascii="FrankRuehl" w:hAnsi="FrankRuehl" w:cs="FrankRuehl"/>
          <w:rtl/>
        </w:rPr>
        <w:t xml:space="preserve">חקיקה שאוזכרה: </w:t>
      </w:r>
    </w:p>
    <w:p w14:paraId="4351E514" w14:textId="77777777" w:rsidR="003E1B77" w:rsidRPr="003E1B77" w:rsidRDefault="003E1B77" w:rsidP="003E1B77">
      <w:pPr>
        <w:spacing w:before="120" w:after="120" w:line="240" w:lineRule="exact"/>
        <w:ind w:left="283" w:hanging="283"/>
        <w:jc w:val="both"/>
        <w:rPr>
          <w:rFonts w:ascii="FrankRuehl" w:hAnsi="FrankRuehl" w:cs="FrankRuehl"/>
          <w:rtl/>
        </w:rPr>
      </w:pPr>
      <w:hyperlink r:id="rId6" w:history="1">
        <w:r w:rsidRPr="003E1B77">
          <w:rPr>
            <w:rFonts w:ascii="FrankRuehl" w:hAnsi="FrankRuehl" w:cs="FrankRuehl"/>
            <w:color w:val="0000FF"/>
            <w:rtl/>
          </w:rPr>
          <w:t>חוק העונשין, תשל"ז-1977</w:t>
        </w:r>
      </w:hyperlink>
      <w:r w:rsidRPr="003E1B77">
        <w:rPr>
          <w:rFonts w:ascii="FrankRuehl" w:hAnsi="FrankRuehl" w:cs="FrankRuehl"/>
          <w:rtl/>
        </w:rPr>
        <w:t xml:space="preserve">: סע'  </w:t>
      </w:r>
      <w:hyperlink r:id="rId7" w:history="1">
        <w:r w:rsidRPr="003E1B77">
          <w:rPr>
            <w:rFonts w:ascii="FrankRuehl" w:hAnsi="FrankRuehl" w:cs="FrankRuehl"/>
            <w:color w:val="0000FF"/>
            <w:rtl/>
          </w:rPr>
          <w:t>40ג(א)</w:t>
        </w:r>
      </w:hyperlink>
      <w:r w:rsidRPr="003E1B77">
        <w:rPr>
          <w:rFonts w:ascii="FrankRuehl" w:hAnsi="FrankRuehl" w:cs="FrankRuehl"/>
          <w:rtl/>
        </w:rPr>
        <w:t xml:space="preserve">, </w:t>
      </w:r>
      <w:hyperlink r:id="rId8" w:history="1">
        <w:r w:rsidRPr="003E1B77">
          <w:rPr>
            <w:rFonts w:ascii="FrankRuehl" w:hAnsi="FrankRuehl" w:cs="FrankRuehl"/>
            <w:color w:val="0000FF"/>
            <w:rtl/>
          </w:rPr>
          <w:t>58</w:t>
        </w:r>
      </w:hyperlink>
      <w:r w:rsidRPr="003E1B77">
        <w:rPr>
          <w:rFonts w:ascii="FrankRuehl" w:hAnsi="FrankRuehl" w:cs="FrankRuehl"/>
          <w:rtl/>
        </w:rPr>
        <w:t xml:space="preserve">, </w:t>
      </w:r>
      <w:hyperlink r:id="rId9" w:history="1">
        <w:r w:rsidRPr="003E1B77">
          <w:rPr>
            <w:rFonts w:ascii="FrankRuehl" w:hAnsi="FrankRuehl" w:cs="FrankRuehl"/>
            <w:color w:val="0000FF"/>
            <w:rtl/>
          </w:rPr>
          <w:t>77</w:t>
        </w:r>
      </w:hyperlink>
      <w:r w:rsidRPr="003E1B77">
        <w:rPr>
          <w:rFonts w:ascii="FrankRuehl" w:hAnsi="FrankRuehl" w:cs="FrankRuehl"/>
          <w:rtl/>
        </w:rPr>
        <w:t xml:space="preserve">, </w:t>
      </w:r>
      <w:hyperlink r:id="rId10" w:history="1">
        <w:r w:rsidRPr="003E1B77">
          <w:rPr>
            <w:rFonts w:ascii="FrankRuehl" w:hAnsi="FrankRuehl" w:cs="FrankRuehl"/>
            <w:color w:val="0000FF"/>
            <w:rtl/>
          </w:rPr>
          <w:t>77(א)</w:t>
        </w:r>
      </w:hyperlink>
      <w:r w:rsidRPr="003E1B77">
        <w:rPr>
          <w:rFonts w:ascii="FrankRuehl" w:hAnsi="FrankRuehl" w:cs="FrankRuehl"/>
          <w:rtl/>
        </w:rPr>
        <w:t xml:space="preserve">, </w:t>
      </w:r>
      <w:hyperlink r:id="rId11" w:history="1">
        <w:r w:rsidRPr="003E1B77">
          <w:rPr>
            <w:rFonts w:ascii="FrankRuehl" w:hAnsi="FrankRuehl" w:cs="FrankRuehl"/>
            <w:color w:val="0000FF"/>
            <w:rtl/>
          </w:rPr>
          <w:t>186(א)</w:t>
        </w:r>
      </w:hyperlink>
      <w:r w:rsidRPr="003E1B77">
        <w:rPr>
          <w:rFonts w:ascii="FrankRuehl" w:hAnsi="FrankRuehl" w:cs="FrankRuehl"/>
          <w:rtl/>
        </w:rPr>
        <w:t xml:space="preserve">, </w:t>
      </w:r>
      <w:hyperlink r:id="rId12" w:history="1">
        <w:r w:rsidRPr="003E1B77">
          <w:rPr>
            <w:rFonts w:ascii="FrankRuehl" w:hAnsi="FrankRuehl" w:cs="FrankRuehl"/>
            <w:color w:val="0000FF"/>
            <w:rtl/>
          </w:rPr>
          <w:t>245</w:t>
        </w:r>
      </w:hyperlink>
      <w:r w:rsidRPr="003E1B77">
        <w:rPr>
          <w:rFonts w:ascii="FrankRuehl" w:hAnsi="FrankRuehl" w:cs="FrankRuehl"/>
          <w:rtl/>
        </w:rPr>
        <w:t xml:space="preserve">, </w:t>
      </w:r>
      <w:hyperlink r:id="rId13" w:history="1">
        <w:r w:rsidRPr="003E1B77">
          <w:rPr>
            <w:rFonts w:ascii="FrankRuehl" w:hAnsi="FrankRuehl" w:cs="FrankRuehl"/>
            <w:color w:val="0000FF"/>
            <w:rtl/>
          </w:rPr>
          <w:t>245(א)</w:t>
        </w:r>
      </w:hyperlink>
      <w:r w:rsidRPr="003E1B77">
        <w:rPr>
          <w:rFonts w:ascii="FrankRuehl" w:hAnsi="FrankRuehl" w:cs="FrankRuehl"/>
          <w:rtl/>
        </w:rPr>
        <w:t xml:space="preserve">, </w:t>
      </w:r>
      <w:hyperlink r:id="rId14" w:history="1">
        <w:r w:rsidRPr="003E1B77">
          <w:rPr>
            <w:rFonts w:ascii="FrankRuehl" w:hAnsi="FrankRuehl" w:cs="FrankRuehl"/>
            <w:color w:val="0000FF"/>
            <w:rtl/>
          </w:rPr>
          <w:t>245(ב)</w:t>
        </w:r>
      </w:hyperlink>
      <w:r w:rsidRPr="003E1B77">
        <w:rPr>
          <w:rFonts w:ascii="FrankRuehl" w:hAnsi="FrankRuehl" w:cs="FrankRuehl"/>
          <w:rtl/>
        </w:rPr>
        <w:t xml:space="preserve">, </w:t>
      </w:r>
      <w:hyperlink r:id="rId15" w:history="1">
        <w:r w:rsidRPr="003E1B77">
          <w:rPr>
            <w:rFonts w:ascii="FrankRuehl" w:hAnsi="FrankRuehl" w:cs="FrankRuehl"/>
            <w:color w:val="0000FF"/>
            <w:rtl/>
          </w:rPr>
          <w:t>333</w:t>
        </w:r>
      </w:hyperlink>
      <w:r w:rsidRPr="003E1B77">
        <w:rPr>
          <w:rFonts w:ascii="FrankRuehl" w:hAnsi="FrankRuehl" w:cs="FrankRuehl"/>
          <w:rtl/>
        </w:rPr>
        <w:t xml:space="preserve">, </w:t>
      </w:r>
      <w:hyperlink r:id="rId16" w:history="1">
        <w:r w:rsidRPr="003E1B77">
          <w:rPr>
            <w:rFonts w:ascii="FrankRuehl" w:hAnsi="FrankRuehl" w:cs="FrankRuehl"/>
            <w:color w:val="0000FF"/>
            <w:rtl/>
          </w:rPr>
          <w:t>335</w:t>
        </w:r>
      </w:hyperlink>
      <w:r w:rsidRPr="003E1B77">
        <w:rPr>
          <w:rFonts w:ascii="FrankRuehl" w:hAnsi="FrankRuehl" w:cs="FrankRuehl"/>
          <w:rtl/>
        </w:rPr>
        <w:t xml:space="preserve">, </w:t>
      </w:r>
      <w:hyperlink r:id="rId17" w:history="1">
        <w:r w:rsidRPr="003E1B77">
          <w:rPr>
            <w:rFonts w:ascii="FrankRuehl" w:hAnsi="FrankRuehl" w:cs="FrankRuehl"/>
            <w:color w:val="0000FF"/>
            <w:rtl/>
          </w:rPr>
          <w:t>40יא</w:t>
        </w:r>
      </w:hyperlink>
      <w:r w:rsidRPr="003E1B77">
        <w:rPr>
          <w:rFonts w:ascii="FrankRuehl" w:hAnsi="FrankRuehl" w:cs="FrankRuehl"/>
          <w:rtl/>
        </w:rPr>
        <w:t xml:space="preserve">, </w:t>
      </w:r>
      <w:hyperlink r:id="rId18" w:history="1">
        <w:r w:rsidRPr="003E1B77">
          <w:rPr>
            <w:rFonts w:ascii="FrankRuehl" w:hAnsi="FrankRuehl" w:cs="FrankRuehl"/>
            <w:color w:val="0000FF"/>
            <w:rtl/>
          </w:rPr>
          <w:t>40יג(א)</w:t>
        </w:r>
      </w:hyperlink>
      <w:r w:rsidRPr="003E1B77">
        <w:rPr>
          <w:rFonts w:ascii="FrankRuehl" w:hAnsi="FrankRuehl" w:cs="FrankRuehl"/>
          <w:rtl/>
        </w:rPr>
        <w:t xml:space="preserve">, </w:t>
      </w:r>
      <w:hyperlink r:id="rId19" w:history="1">
        <w:r w:rsidRPr="003E1B77">
          <w:rPr>
            <w:rFonts w:ascii="FrankRuehl" w:hAnsi="FrankRuehl" w:cs="FrankRuehl"/>
            <w:color w:val="0000FF"/>
            <w:rtl/>
          </w:rPr>
          <w:t>ב</w:t>
        </w:r>
      </w:hyperlink>
    </w:p>
    <w:p w14:paraId="37CE0263" w14:textId="77777777" w:rsidR="003E1B77" w:rsidRPr="003E1B77" w:rsidRDefault="003E1B77" w:rsidP="003E1B77">
      <w:pPr>
        <w:spacing w:before="120" w:after="120" w:line="240" w:lineRule="exact"/>
        <w:ind w:left="283" w:hanging="283"/>
        <w:jc w:val="both"/>
        <w:rPr>
          <w:rFonts w:ascii="FrankRuehl" w:hAnsi="FrankRuehl" w:cs="FrankRuehl"/>
          <w:rtl/>
        </w:rPr>
      </w:pPr>
      <w:hyperlink r:id="rId20" w:history="1">
        <w:r w:rsidRPr="003E1B77">
          <w:rPr>
            <w:rFonts w:ascii="FrankRuehl" w:hAnsi="FrankRuehl" w:cs="FrankRuehl"/>
            <w:color w:val="0000FF"/>
            <w:rtl/>
          </w:rPr>
          <w:t>פקודת הסמים המסוכנים [נוסח חדש], תשל"ג-1973</w:t>
        </w:r>
      </w:hyperlink>
      <w:r w:rsidRPr="003E1B77">
        <w:rPr>
          <w:rFonts w:ascii="FrankRuehl" w:hAnsi="FrankRuehl" w:cs="FrankRuehl"/>
          <w:rtl/>
        </w:rPr>
        <w:t xml:space="preserve">: סע'  </w:t>
      </w:r>
      <w:hyperlink r:id="rId21" w:history="1">
        <w:r w:rsidRPr="003E1B77">
          <w:rPr>
            <w:rFonts w:ascii="FrankRuehl" w:hAnsi="FrankRuehl" w:cs="FrankRuehl"/>
            <w:color w:val="0000FF"/>
            <w:rtl/>
          </w:rPr>
          <w:t>7(א)</w:t>
        </w:r>
      </w:hyperlink>
      <w:r w:rsidRPr="003E1B77">
        <w:rPr>
          <w:rFonts w:ascii="FrankRuehl" w:hAnsi="FrankRuehl" w:cs="FrankRuehl"/>
          <w:rtl/>
        </w:rPr>
        <w:t xml:space="preserve">, </w:t>
      </w:r>
      <w:hyperlink r:id="rId22" w:history="1">
        <w:r w:rsidRPr="003E1B77">
          <w:rPr>
            <w:rFonts w:ascii="FrankRuehl" w:hAnsi="FrankRuehl" w:cs="FrankRuehl"/>
            <w:color w:val="0000FF"/>
            <w:rtl/>
          </w:rPr>
          <w:t>ג</w:t>
        </w:r>
      </w:hyperlink>
      <w:r w:rsidRPr="003E1B77">
        <w:rPr>
          <w:rFonts w:ascii="FrankRuehl" w:hAnsi="FrankRuehl" w:cs="FrankRuehl"/>
          <w:rtl/>
        </w:rPr>
        <w:t xml:space="preserve">, </w:t>
      </w:r>
      <w:hyperlink r:id="rId23" w:history="1">
        <w:r w:rsidRPr="003E1B77">
          <w:rPr>
            <w:rFonts w:ascii="FrankRuehl" w:hAnsi="FrankRuehl" w:cs="FrankRuehl"/>
            <w:color w:val="0000FF"/>
            <w:rtl/>
          </w:rPr>
          <w:t>37א(א)</w:t>
        </w:r>
      </w:hyperlink>
      <w:r w:rsidRPr="003E1B77">
        <w:rPr>
          <w:rFonts w:ascii="FrankRuehl" w:hAnsi="FrankRuehl" w:cs="FrankRuehl"/>
          <w:rtl/>
        </w:rPr>
        <w:t xml:space="preserve">, </w:t>
      </w:r>
      <w:hyperlink r:id="rId24" w:history="1">
        <w:r w:rsidRPr="003E1B77">
          <w:rPr>
            <w:rFonts w:ascii="FrankRuehl" w:hAnsi="FrankRuehl" w:cs="FrankRuehl"/>
            <w:color w:val="0000FF"/>
            <w:rtl/>
          </w:rPr>
          <w:t>37א(ב))</w:t>
        </w:r>
      </w:hyperlink>
    </w:p>
    <w:p w14:paraId="753E6CCC" w14:textId="77777777" w:rsidR="003E1B77" w:rsidRPr="003E1B77" w:rsidRDefault="003E1B77" w:rsidP="003E1B77">
      <w:pPr>
        <w:rPr>
          <w:rtl/>
        </w:rPr>
      </w:pPr>
      <w:bookmarkStart w:id="4" w:name="LawTable_End"/>
      <w:bookmarkEnd w:id="4"/>
    </w:p>
    <w:p w14:paraId="76E0D055" w14:textId="77777777" w:rsidR="0062506A" w:rsidRPr="00360CB5" w:rsidRDefault="0062506A" w:rsidP="0062506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506A" w14:paraId="4B4BEC4A" w14:textId="77777777" w:rsidTr="0062506A">
        <w:trPr>
          <w:trHeight w:val="355"/>
          <w:jc w:val="center"/>
        </w:trPr>
        <w:tc>
          <w:tcPr>
            <w:tcW w:w="8820" w:type="dxa"/>
            <w:tcBorders>
              <w:top w:val="nil"/>
              <w:left w:val="nil"/>
              <w:bottom w:val="nil"/>
              <w:right w:val="nil"/>
            </w:tcBorders>
            <w:shd w:val="clear" w:color="auto" w:fill="auto"/>
          </w:tcPr>
          <w:p w14:paraId="29A54165" w14:textId="77777777" w:rsidR="00360CB5" w:rsidRPr="00360CB5" w:rsidRDefault="00360CB5" w:rsidP="00360CB5">
            <w:pPr>
              <w:jc w:val="center"/>
              <w:rPr>
                <w:rFonts w:ascii="Arial" w:hAnsi="Arial" w:cs="FrankRuehl"/>
                <w:b/>
                <w:bCs/>
                <w:sz w:val="32"/>
                <w:szCs w:val="32"/>
                <w:u w:val="single"/>
                <w:rtl/>
              </w:rPr>
            </w:pPr>
            <w:bookmarkStart w:id="5" w:name="PsakDin" w:colFirst="0" w:colLast="0"/>
            <w:bookmarkEnd w:id="0"/>
            <w:bookmarkEnd w:id="1"/>
            <w:r w:rsidRPr="00360CB5">
              <w:rPr>
                <w:rFonts w:ascii="Arial" w:hAnsi="Arial" w:cs="FrankRuehl"/>
                <w:b/>
                <w:bCs/>
                <w:sz w:val="32"/>
                <w:szCs w:val="32"/>
                <w:u w:val="single"/>
                <w:rtl/>
              </w:rPr>
              <w:t>גזר דין</w:t>
            </w:r>
          </w:p>
          <w:p w14:paraId="43CA848D" w14:textId="77777777" w:rsidR="0062506A" w:rsidRPr="00360CB5" w:rsidRDefault="0062506A" w:rsidP="00360CB5">
            <w:pPr>
              <w:jc w:val="center"/>
              <w:rPr>
                <w:rFonts w:ascii="Arial" w:hAnsi="Arial" w:cs="FrankRuehl"/>
                <w:bCs/>
                <w:sz w:val="32"/>
                <w:szCs w:val="32"/>
                <w:u w:val="single"/>
                <w:rtl/>
              </w:rPr>
            </w:pPr>
          </w:p>
        </w:tc>
      </w:tr>
      <w:bookmarkEnd w:id="5"/>
    </w:tbl>
    <w:p w14:paraId="3AB4AF45" w14:textId="77777777" w:rsidR="0062506A" w:rsidRPr="00B05847" w:rsidRDefault="0062506A" w:rsidP="0062506A">
      <w:pPr>
        <w:rPr>
          <w:rFonts w:ascii="Arial" w:hAnsi="Arial"/>
          <w:rtl/>
        </w:rPr>
      </w:pPr>
    </w:p>
    <w:p w14:paraId="40B4C27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b/>
          <w:bCs/>
          <w:spacing w:val="10"/>
          <w:sz w:val="22"/>
          <w:szCs w:val="28"/>
          <w:u w:val="single"/>
          <w:rtl/>
        </w:rPr>
        <w:t>עיקרי העובדות – התיק העיקרי והתיק המצורף</w:t>
      </w:r>
    </w:p>
    <w:p w14:paraId="7195CF6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1.</w:t>
      </w:r>
      <w:r w:rsidRPr="00E2130C">
        <w:rPr>
          <w:rFonts w:ascii="Arial TUR" w:hAnsi="Arial TUR" w:cs="FrankRuehl"/>
          <w:spacing w:val="10"/>
          <w:sz w:val="22"/>
          <w:szCs w:val="28"/>
          <w:rtl/>
        </w:rPr>
        <w:tab/>
      </w:r>
      <w:bookmarkStart w:id="6" w:name="ABSTRACT_START"/>
      <w:bookmarkEnd w:id="6"/>
      <w:r w:rsidRPr="00E2130C">
        <w:rPr>
          <w:rFonts w:ascii="Arial TUR" w:hAnsi="Arial TUR" w:cs="FrankRuehl"/>
          <w:spacing w:val="10"/>
          <w:sz w:val="22"/>
          <w:szCs w:val="28"/>
          <w:rtl/>
        </w:rPr>
        <w:t xml:space="preserve">ביום 28.6.2020 הרשעתי את הנאשם לפי הודאתו שניתנה במסגרת הסדר טיעון, בעבירות שיוחסו לו בכתב אישום מתוקן בשנית כדלקמן: חבלה חמורה בנסיבות מחמירות לפי </w:t>
      </w:r>
      <w:hyperlink r:id="rId25" w:history="1">
        <w:r w:rsidR="00A32C39" w:rsidRPr="00A32C39">
          <w:rPr>
            <w:rStyle w:val="Hyperlink"/>
            <w:rFonts w:ascii="Arial TUR" w:hAnsi="Arial TUR" w:cs="FrankRuehl"/>
            <w:spacing w:val="10"/>
            <w:sz w:val="22"/>
            <w:szCs w:val="28"/>
            <w:rtl/>
          </w:rPr>
          <w:t>סעיף 333</w:t>
        </w:r>
      </w:hyperlink>
      <w:r w:rsidRPr="00E2130C">
        <w:rPr>
          <w:rFonts w:ascii="Arial TUR" w:hAnsi="Arial TUR" w:cs="FrankRuehl"/>
          <w:spacing w:val="10"/>
          <w:sz w:val="22"/>
          <w:szCs w:val="28"/>
          <w:rtl/>
        </w:rPr>
        <w:t xml:space="preserve"> </w:t>
      </w:r>
      <w:hyperlink r:id="rId26" w:history="1">
        <w:r w:rsidR="00A32C39" w:rsidRPr="00A32C39">
          <w:rPr>
            <w:rStyle w:val="Hyperlink"/>
            <w:rFonts w:ascii="Arial TUR" w:hAnsi="Arial TUR" w:cs="FrankRuehl"/>
            <w:spacing w:val="10"/>
            <w:sz w:val="22"/>
            <w:szCs w:val="28"/>
            <w:rtl/>
          </w:rPr>
          <w:t>וסעיף 335</w:t>
        </w:r>
      </w:hyperlink>
      <w:r w:rsidRPr="00E2130C">
        <w:rPr>
          <w:rFonts w:ascii="Arial TUR" w:hAnsi="Arial TUR" w:cs="FrankRuehl"/>
          <w:spacing w:val="10"/>
          <w:sz w:val="22"/>
          <w:szCs w:val="28"/>
          <w:rtl/>
        </w:rPr>
        <w:t xml:space="preserve"> ל</w:t>
      </w:r>
      <w:hyperlink r:id="rId27" w:history="1">
        <w:r w:rsidR="00360CB5" w:rsidRPr="00360CB5">
          <w:rPr>
            <w:rFonts w:ascii="Arial TUR" w:hAnsi="Arial TUR" w:cs="FrankRuehl"/>
            <w:color w:val="0000FF"/>
            <w:spacing w:val="10"/>
            <w:sz w:val="22"/>
            <w:szCs w:val="28"/>
            <w:u w:val="single"/>
            <w:rtl/>
          </w:rPr>
          <w:t>חוק העונשין</w:t>
        </w:r>
      </w:hyperlink>
      <w:r w:rsidRPr="00E2130C">
        <w:rPr>
          <w:rFonts w:ascii="Arial TUR" w:hAnsi="Arial TUR" w:cs="FrankRuehl"/>
          <w:spacing w:val="10"/>
          <w:sz w:val="22"/>
          <w:szCs w:val="28"/>
          <w:rtl/>
        </w:rPr>
        <w:t xml:space="preserve">, התשל"ז-1977 (להלן: </w:t>
      </w:r>
      <w:r w:rsidRPr="00E2130C">
        <w:rPr>
          <w:rFonts w:ascii="Century" w:hAnsi="Century" w:cs="Miriam" w:hint="eastAsia"/>
          <w:b/>
          <w:sz w:val="22"/>
          <w:rtl/>
        </w:rPr>
        <w:t>חוק</w:t>
      </w:r>
      <w:r w:rsidRPr="00E2130C">
        <w:rPr>
          <w:rFonts w:ascii="Century" w:hAnsi="Century" w:cs="Miriam"/>
          <w:b/>
          <w:sz w:val="22"/>
          <w:rtl/>
        </w:rPr>
        <w:t xml:space="preserve"> </w:t>
      </w:r>
      <w:r w:rsidRPr="00E2130C">
        <w:rPr>
          <w:rFonts w:ascii="Century" w:hAnsi="Century" w:cs="Miriam" w:hint="eastAsia"/>
          <w:b/>
          <w:sz w:val="22"/>
          <w:rtl/>
        </w:rPr>
        <w:t>העונשין</w:t>
      </w:r>
      <w:r w:rsidRPr="00E2130C">
        <w:rPr>
          <w:rFonts w:ascii="Arial TUR" w:hAnsi="Arial TUR" w:cs="FrankRuehl"/>
          <w:spacing w:val="10"/>
          <w:sz w:val="22"/>
          <w:szCs w:val="28"/>
          <w:rtl/>
        </w:rPr>
        <w:t xml:space="preserve"> או: </w:t>
      </w:r>
      <w:r w:rsidRPr="00E2130C">
        <w:rPr>
          <w:rFonts w:ascii="Century" w:hAnsi="Century" w:cs="Miriam" w:hint="eastAsia"/>
          <w:b/>
          <w:sz w:val="22"/>
          <w:rtl/>
        </w:rPr>
        <w:t>החוק</w:t>
      </w:r>
      <w:r w:rsidRPr="00E2130C">
        <w:rPr>
          <w:rFonts w:ascii="Arial TUR" w:hAnsi="Arial TUR" w:cs="FrankRuehl"/>
          <w:spacing w:val="10"/>
          <w:sz w:val="22"/>
          <w:szCs w:val="28"/>
          <w:rtl/>
        </w:rPr>
        <w:t xml:space="preserve">); החזקת סכין לפי </w:t>
      </w:r>
      <w:hyperlink r:id="rId28" w:history="1">
        <w:r w:rsidR="00A32C39" w:rsidRPr="00A32C39">
          <w:rPr>
            <w:rStyle w:val="Hyperlink"/>
            <w:rFonts w:ascii="Arial TUR" w:hAnsi="Arial TUR" w:cs="FrankRuehl"/>
            <w:spacing w:val="10"/>
            <w:sz w:val="22"/>
            <w:szCs w:val="28"/>
            <w:rtl/>
          </w:rPr>
          <w:t>סעיף 186(א)</w:t>
        </w:r>
      </w:hyperlink>
      <w:r w:rsidRPr="00E2130C">
        <w:rPr>
          <w:rFonts w:ascii="Arial TUR" w:hAnsi="Arial TUR" w:cs="FrankRuehl"/>
          <w:spacing w:val="10"/>
          <w:sz w:val="22"/>
          <w:szCs w:val="28"/>
          <w:rtl/>
        </w:rPr>
        <w:t xml:space="preserve"> לחוק; הדחה בחקירה לפי </w:t>
      </w:r>
      <w:hyperlink r:id="rId29" w:history="1">
        <w:r w:rsidR="00A32C39" w:rsidRPr="00A32C39">
          <w:rPr>
            <w:rStyle w:val="Hyperlink"/>
            <w:rFonts w:ascii="Arial TUR" w:hAnsi="Arial TUR" w:cs="FrankRuehl"/>
            <w:spacing w:val="10"/>
            <w:sz w:val="22"/>
            <w:szCs w:val="28"/>
            <w:rtl/>
          </w:rPr>
          <w:t>סעיף 245(ב)</w:t>
        </w:r>
      </w:hyperlink>
      <w:r w:rsidRPr="00E2130C">
        <w:rPr>
          <w:rFonts w:ascii="Arial TUR" w:hAnsi="Arial TUR" w:cs="FrankRuehl"/>
          <w:spacing w:val="10"/>
          <w:sz w:val="22"/>
          <w:szCs w:val="28"/>
          <w:rtl/>
        </w:rPr>
        <w:t xml:space="preserve"> לחוק (שתי עבירות); וכן הדחה בחקירה לפי </w:t>
      </w:r>
      <w:hyperlink r:id="rId30" w:history="1">
        <w:r w:rsidR="00A32C39" w:rsidRPr="00A32C39">
          <w:rPr>
            <w:rStyle w:val="Hyperlink"/>
            <w:rFonts w:ascii="Arial TUR" w:hAnsi="Arial TUR" w:cs="FrankRuehl"/>
            <w:spacing w:val="10"/>
            <w:sz w:val="22"/>
            <w:szCs w:val="28"/>
            <w:rtl/>
          </w:rPr>
          <w:t>סעיף 245(א)</w:t>
        </w:r>
      </w:hyperlink>
      <w:r w:rsidRPr="00E2130C">
        <w:rPr>
          <w:rFonts w:ascii="Arial TUR" w:hAnsi="Arial TUR" w:cs="FrankRuehl"/>
          <w:spacing w:val="10"/>
          <w:sz w:val="22"/>
          <w:szCs w:val="28"/>
          <w:rtl/>
        </w:rPr>
        <w:t xml:space="preserve"> לחוק (להלן: </w:t>
      </w:r>
      <w:r w:rsidRPr="00E2130C">
        <w:rPr>
          <w:rFonts w:ascii="Century" w:hAnsi="Century" w:cs="Miriam" w:hint="eastAsia"/>
          <w:b/>
          <w:sz w:val="22"/>
          <w:rtl/>
        </w:rPr>
        <w:t>התיק</w:t>
      </w:r>
      <w:r w:rsidRPr="00E2130C">
        <w:rPr>
          <w:rFonts w:ascii="Century" w:hAnsi="Century" w:cs="Miriam"/>
          <w:b/>
          <w:sz w:val="22"/>
          <w:rtl/>
        </w:rPr>
        <w:t xml:space="preserve"> </w:t>
      </w:r>
      <w:r w:rsidRPr="00E2130C">
        <w:rPr>
          <w:rFonts w:ascii="Century" w:hAnsi="Century" w:cs="Miriam" w:hint="eastAsia"/>
          <w:b/>
          <w:sz w:val="22"/>
          <w:rtl/>
        </w:rPr>
        <w:t>העיקרי</w:t>
      </w:r>
      <w:r w:rsidRPr="00E2130C">
        <w:rPr>
          <w:rFonts w:ascii="Arial TUR" w:hAnsi="Arial TUR" w:cs="FrankRuehl"/>
          <w:spacing w:val="10"/>
          <w:sz w:val="22"/>
          <w:szCs w:val="28"/>
          <w:rtl/>
        </w:rPr>
        <w:t>).</w:t>
      </w:r>
    </w:p>
    <w:p w14:paraId="1B42CA1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bookmarkStart w:id="7" w:name="ABSTRACT_END"/>
      <w:bookmarkEnd w:id="7"/>
    </w:p>
    <w:p w14:paraId="6C505B6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בהתאם לעובדות כתב האישום המתוקן בהן הודה הנאשם בתיק העיקרי, בין הנאשם למתלונן קיימת היכרות מוקדמת על רקע מגורי אמו של הנאשם בשכנות להורי אשתו של המתלונן. בראש השנה תש"ף, טרם האירועים המתוארים בכתב האישום, אירע מקרה בו כלבי אמו של הנאשם נכנסו לבית הורי אשתו של המתלונן והפחידו את ילדיו של המתלונן. על רקע זה, המתלונן אמר לאמו של הנאשם כי אם הדבר יקרה שוב, הוא יפגע בכלבים.</w:t>
      </w:r>
    </w:p>
    <w:p w14:paraId="61D05AD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1398F7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ביום 9.11.2019 בשעת לילה מאוחרת, הנאשם פגש באקראי את המתלונן במכולת השכונתית. במהלך שיחה בין השניים, הנאשם אמר למתלונן שהוא "התבאס" מכך שהמתלונן זרק אבן על כלבת אמו של הנאשם באירוע שתואר לעיל. המתלונן שלל שזרק אבן על הכלבה, וטען שרק העיר לאמו של הנאשם שעליה לקשור את הכלבים. המתלונן הוסיף כי אם הכלבה תפגע באחד מילדיו, הוא ישחט את הכלבה. בעקבות כך, הנאשם תקף לפתע בזעם את המתלונן במספר אגרופים לראשו, בעט בישבנו והוסיף אגרוף נוסף לראשו. המתלונן שניסה להגן על עצמו, לקח כיסא שהיה במקום וזרק אותו לעבר כיוונו של הנאשם, אך הכיסא לא פגע בנאשם שהתנפל על המתלונן וניסה לחנוק אותו על-ידי לפיתתו מהצוואר. בשלב מסוים, המתלונן הצליח להתרחק קמעה מהנאשם, אך הנאשם חזר ותקף אותו. המתלונן ניסה לעשות שימוש במגב שהיה במקום, אך לא הצליח בכך עקב התנפלות הנאשם עליו. הנאשם ניסה לחנוק את המתלונן, אך המתלונן הצליח להשתלט על הנאשם ולפת אותו בתנועת חניקה, עד שהשניים היו במצב בו הם לופתים איש את רעהו וגופם כפוף. או אז, הנאשם הוציא מכיס מכנסיו סכין שטיבה וגודלה לא ידועים למאשימה, והניף אותה לכיוון בטנו של המתלונן בניסיון לדקור אותו בבטן. לאחר מכן, הנאשם הניף את הסכין ודקר את המתלונן שתי דקירות בירך ימין.</w:t>
      </w:r>
    </w:p>
    <w:p w14:paraId="6842C71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4DD846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 xml:space="preserve">המתלונן הצליח להימלט מהנאשם וברח לכיוון הכביש הסמוך, תוך שצעק לכיוונו של הנאשם כי הוא ישלם על כל טיפת דם שירדה לו. הנאשם הלך לכיוונו של המתלונן ותקף אותו בבעיטות ובאגרופים. המתלונן נפל על הרצפה והנאשם המשיך לתקוף אותו, ודקר אותו בעכוז וביד. </w:t>
      </w:r>
    </w:p>
    <w:p w14:paraId="212DD16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5C6BEF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lastRenderedPageBreak/>
        <w:tab/>
        <w:t>לאחר מכן הנאשם התרחק מהמקום, ומסר את הסכין בה דקר את המתלונן למכרה שלו שהייתה במכולת. כמו כן, הנאשם הורה לקופאי במכולת להסביר לו היכן נמצאות מצלמות האבטחה, במטרה להוריד אותן ולהעלים את הצילומים שמתעדים את האירוע. הקופאי טען כי אינו יודע היכן המצלמות, והנאשם איים עליו שיהפוך את החנות. הקופאי התקשר בטלפון לבעל המכולת, ונתן לנאשם לשוחח עמו. בעל המכולת מסר לנאשם שאינו יודע איפה המצלמות ואיך ניתן להורידן. הנאשם יצא מהמכולת ונמלט מהמקום לבית אביו ביחד עם המכרה לה נתן קודם לכן את הסכין. האב הנחה את הנאשם לשטוף את הסכין באקונומיקה.</w:t>
      </w:r>
    </w:p>
    <w:p w14:paraId="6499218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1A85EE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 xml:space="preserve">למחרת האירוע, ביום 10.11.2019, הנאשם התקשר לאמו מהטלפון של מכרה שלו. הנאשם ביקש מאמו לגשת לבית הורי אשתו של המתלונן, ולתת לו לשוחח עמם בטלפון. הנאשם אמר לחמיו של המתלונן בטלפון, שיגיד למתלונן שלא להתלונן עליו במשטרה, וכי בעוד מספר ימים הוא יבוא "לסגור איתו חשבון". </w:t>
      </w:r>
    </w:p>
    <w:p w14:paraId="134DD7D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C5DA8E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 xml:space="preserve">ביום 12.11.2019 הנאשם התקשר למכרה שלו ואמר לה שאם היא תיחקר, שתשמור על זכות השתיקה ולחלופין תאמר כי לא הייתה באירוע. </w:t>
      </w:r>
    </w:p>
    <w:p w14:paraId="20263576"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4DDAD8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הנאשם נעצר לבסוף ביום 17.11.2019 בבית דודו.</w:t>
      </w:r>
    </w:p>
    <w:p w14:paraId="7757270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582063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כתוצאה ממעשיו של הנאשם נגרמו למתלונן החבלות החמורות הבאות: חתך מלא של הגיד המיישר באצבע השלישית ביד ימין, בעטיו נאלץ המתלונן לעבור ניתוח ולחבוש גבס למשך שלושה שבועות; וכן שלושה חתכים שטחיים בעכוז וברגל שמאל שנסגרו בסיכות בהליך רפואי. המתלונן היה מאושפז למשך שלושה ימים לצורך הטיפול הרפואי בו.</w:t>
      </w:r>
    </w:p>
    <w:p w14:paraId="483687B6"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F012F6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2.</w:t>
      </w:r>
      <w:r w:rsidRPr="00E2130C">
        <w:rPr>
          <w:rFonts w:ascii="Arial TUR" w:hAnsi="Arial TUR" w:cs="FrankRuehl"/>
          <w:spacing w:val="10"/>
          <w:sz w:val="22"/>
          <w:szCs w:val="28"/>
          <w:rtl/>
        </w:rPr>
        <w:tab/>
        <w:t xml:space="preserve">בדיון שהתקיים לפניי ביום 28.6.2020, צירף הנאשם את </w:t>
      </w:r>
      <w:hyperlink r:id="rId31" w:history="1">
        <w:r w:rsidR="00360CB5" w:rsidRPr="00360CB5">
          <w:rPr>
            <w:rFonts w:ascii="Arial TUR" w:hAnsi="Arial TUR" w:cs="FrankRuehl"/>
            <w:color w:val="0000FF"/>
            <w:spacing w:val="10"/>
            <w:sz w:val="22"/>
            <w:szCs w:val="28"/>
            <w:u w:val="single"/>
            <w:rtl/>
          </w:rPr>
          <w:t>ת"פ (שלום י-ם) 31494-06-18</w:t>
        </w:r>
      </w:hyperlink>
      <w:r w:rsidRPr="00E2130C">
        <w:rPr>
          <w:rFonts w:ascii="Arial TUR" w:hAnsi="Arial TUR" w:cs="FrankRuehl"/>
          <w:spacing w:val="10"/>
          <w:sz w:val="22"/>
          <w:szCs w:val="28"/>
          <w:rtl/>
        </w:rPr>
        <w:t xml:space="preserve"> (להלן: </w:t>
      </w:r>
      <w:r w:rsidRPr="00E2130C">
        <w:rPr>
          <w:rFonts w:ascii="Century" w:hAnsi="Century" w:cs="Miriam" w:hint="eastAsia"/>
          <w:b/>
          <w:sz w:val="22"/>
          <w:rtl/>
        </w:rPr>
        <w:t>התיק</w:t>
      </w:r>
      <w:r w:rsidRPr="00E2130C">
        <w:rPr>
          <w:rFonts w:ascii="Century" w:hAnsi="Century" w:cs="Miriam"/>
          <w:b/>
          <w:sz w:val="22"/>
          <w:rtl/>
        </w:rPr>
        <w:t xml:space="preserve"> </w:t>
      </w:r>
      <w:r w:rsidRPr="00E2130C">
        <w:rPr>
          <w:rFonts w:ascii="Century" w:hAnsi="Century" w:cs="Miriam" w:hint="eastAsia"/>
          <w:b/>
          <w:sz w:val="22"/>
          <w:rtl/>
        </w:rPr>
        <w:t>המצורף</w:t>
      </w:r>
      <w:r w:rsidRPr="00E2130C">
        <w:rPr>
          <w:rFonts w:ascii="Arial TUR" w:hAnsi="Arial TUR" w:cs="FrankRuehl"/>
          <w:spacing w:val="10"/>
          <w:sz w:val="22"/>
          <w:szCs w:val="28"/>
          <w:rtl/>
        </w:rPr>
        <w:t xml:space="preserve">). הוא הורשע לפי הודאתו בעבירות שיוחסו לו בתיק המצורף כדלקמן: החזקת סם לצריכה עצמית לפי </w:t>
      </w:r>
      <w:hyperlink r:id="rId32" w:history="1">
        <w:r w:rsidR="00A32C39" w:rsidRPr="00A32C39">
          <w:rPr>
            <w:rStyle w:val="Hyperlink"/>
            <w:rFonts w:ascii="Arial TUR" w:hAnsi="Arial TUR" w:cs="FrankRuehl"/>
            <w:spacing w:val="10"/>
            <w:sz w:val="22"/>
            <w:szCs w:val="28"/>
            <w:rtl/>
          </w:rPr>
          <w:t>סעיף 7(א)</w:t>
        </w:r>
      </w:hyperlink>
      <w:r w:rsidRPr="00E2130C">
        <w:rPr>
          <w:rFonts w:ascii="Arial TUR" w:hAnsi="Arial TUR" w:cs="FrankRuehl"/>
          <w:spacing w:val="10"/>
          <w:sz w:val="22"/>
          <w:szCs w:val="28"/>
          <w:rtl/>
        </w:rPr>
        <w:t xml:space="preserve"> ו-(</w:t>
      </w:r>
      <w:hyperlink r:id="rId33" w:history="1">
        <w:r w:rsidR="00A32C39" w:rsidRPr="00A32C39">
          <w:rPr>
            <w:rStyle w:val="Hyperlink"/>
            <w:rFonts w:ascii="Arial TUR" w:hAnsi="Arial TUR" w:cs="FrankRuehl"/>
            <w:spacing w:val="10"/>
            <w:sz w:val="22"/>
            <w:szCs w:val="28"/>
            <w:rtl/>
          </w:rPr>
          <w:t>ג</w:t>
        </w:r>
      </w:hyperlink>
      <w:r w:rsidRPr="00E2130C">
        <w:rPr>
          <w:rFonts w:ascii="Arial TUR" w:hAnsi="Arial TUR" w:cs="FrankRuehl"/>
          <w:spacing w:val="10"/>
          <w:sz w:val="22"/>
          <w:szCs w:val="28"/>
          <w:rtl/>
        </w:rPr>
        <w:t>) סיפא ל</w:t>
      </w:r>
      <w:hyperlink r:id="rId34" w:history="1">
        <w:r w:rsidR="00360CB5" w:rsidRPr="00360CB5">
          <w:rPr>
            <w:rFonts w:ascii="Arial TUR" w:hAnsi="Arial TUR" w:cs="FrankRuehl"/>
            <w:color w:val="0000FF"/>
            <w:spacing w:val="10"/>
            <w:sz w:val="22"/>
            <w:szCs w:val="28"/>
            <w:u w:val="single"/>
            <w:rtl/>
          </w:rPr>
          <w:t>פקודת הסמים המסוכנים</w:t>
        </w:r>
      </w:hyperlink>
      <w:r w:rsidRPr="00E2130C">
        <w:rPr>
          <w:rFonts w:ascii="Arial TUR" w:hAnsi="Arial TUR" w:cs="FrankRuehl"/>
          <w:spacing w:val="10"/>
          <w:sz w:val="22"/>
          <w:szCs w:val="28"/>
          <w:rtl/>
        </w:rPr>
        <w:t xml:space="preserve"> [נוסח חדש], התשל"ג-1973 (להלן: </w:t>
      </w:r>
      <w:r w:rsidRPr="00E2130C">
        <w:rPr>
          <w:rFonts w:ascii="Century" w:hAnsi="Century" w:cs="Miriam" w:hint="eastAsia"/>
          <w:b/>
          <w:sz w:val="22"/>
          <w:rtl/>
        </w:rPr>
        <w:t>פקודת</w:t>
      </w:r>
      <w:r w:rsidRPr="00E2130C">
        <w:rPr>
          <w:rFonts w:ascii="Century" w:hAnsi="Century" w:cs="Miriam"/>
          <w:b/>
          <w:sz w:val="22"/>
          <w:rtl/>
        </w:rPr>
        <w:t xml:space="preserve"> </w:t>
      </w:r>
      <w:r w:rsidRPr="00E2130C">
        <w:rPr>
          <w:rFonts w:ascii="Century" w:hAnsi="Century" w:cs="Miriam" w:hint="eastAsia"/>
          <w:b/>
          <w:sz w:val="22"/>
          <w:rtl/>
        </w:rPr>
        <w:t>הסמים</w:t>
      </w:r>
      <w:r w:rsidRPr="00E2130C">
        <w:rPr>
          <w:rFonts w:ascii="Century" w:hAnsi="Century" w:cs="Miriam"/>
          <w:b/>
          <w:sz w:val="22"/>
          <w:rtl/>
        </w:rPr>
        <w:t xml:space="preserve"> </w:t>
      </w:r>
      <w:r w:rsidRPr="00E2130C">
        <w:rPr>
          <w:rFonts w:ascii="Century" w:hAnsi="Century" w:cs="Miriam" w:hint="eastAsia"/>
          <w:b/>
          <w:sz w:val="22"/>
          <w:rtl/>
        </w:rPr>
        <w:t>המסוכנים</w:t>
      </w:r>
      <w:r w:rsidRPr="00E2130C">
        <w:rPr>
          <w:rFonts w:ascii="Arial TUR" w:hAnsi="Arial TUR" w:cs="FrankRuehl"/>
          <w:spacing w:val="10"/>
          <w:sz w:val="22"/>
          <w:szCs w:val="28"/>
          <w:rtl/>
        </w:rPr>
        <w:t xml:space="preserve">); וכן החזקת סכין לפי </w:t>
      </w:r>
      <w:hyperlink r:id="rId35" w:history="1">
        <w:r w:rsidR="00A32C39" w:rsidRPr="00A32C39">
          <w:rPr>
            <w:rStyle w:val="Hyperlink"/>
            <w:rFonts w:ascii="Arial TUR" w:hAnsi="Arial TUR" w:cs="FrankRuehl"/>
            <w:spacing w:val="10"/>
            <w:sz w:val="22"/>
            <w:szCs w:val="28"/>
            <w:rtl/>
          </w:rPr>
          <w:t>סעיף 186(א)</w:t>
        </w:r>
      </w:hyperlink>
      <w:r w:rsidRPr="00E2130C">
        <w:rPr>
          <w:rFonts w:ascii="Arial TUR" w:hAnsi="Arial TUR" w:cs="FrankRuehl"/>
          <w:spacing w:val="10"/>
          <w:sz w:val="22"/>
          <w:szCs w:val="28"/>
          <w:rtl/>
        </w:rPr>
        <w:t xml:space="preserve"> ל</w:t>
      </w:r>
      <w:hyperlink r:id="rId36" w:history="1">
        <w:r w:rsidR="00360CB5" w:rsidRPr="00360CB5">
          <w:rPr>
            <w:rFonts w:ascii="Arial TUR" w:hAnsi="Arial TUR" w:cs="FrankRuehl"/>
            <w:color w:val="0000FF"/>
            <w:spacing w:val="10"/>
            <w:sz w:val="22"/>
            <w:szCs w:val="28"/>
            <w:u w:val="single"/>
            <w:rtl/>
          </w:rPr>
          <w:t>חוק העונשין</w:t>
        </w:r>
      </w:hyperlink>
      <w:r w:rsidRPr="00E2130C">
        <w:rPr>
          <w:rFonts w:ascii="Arial TUR" w:hAnsi="Arial TUR" w:cs="FrankRuehl"/>
          <w:spacing w:val="10"/>
          <w:sz w:val="22"/>
          <w:szCs w:val="28"/>
          <w:rtl/>
        </w:rPr>
        <w:t>.</w:t>
      </w:r>
    </w:p>
    <w:p w14:paraId="1B83630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A7B8FD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בהתאם לעובדות כתב האישום בהן הודה הנאשם בתיק המצורף, ביום 15.8.2016 לפנות בוקר הוא החזיק בסכין יפנית בתוך כיס חולצתו מחוץ לתחום ביתו וחצריו, ולא הוכיח כי החזיק אותה למטרה כשרה. בנוסף, הנאשם החזיק בתוך חפיסת סיגריות סם מסוכן מסוג חשיש במשקל של כ-8 גרם נטו ללא היתר.</w:t>
      </w:r>
    </w:p>
    <w:p w14:paraId="114AD63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F09006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3.</w:t>
      </w:r>
      <w:r w:rsidRPr="00E2130C">
        <w:rPr>
          <w:rFonts w:ascii="Arial TUR" w:hAnsi="Arial TUR" w:cs="FrankRuehl"/>
          <w:spacing w:val="10"/>
          <w:sz w:val="22"/>
          <w:szCs w:val="28"/>
          <w:rtl/>
        </w:rPr>
        <w:tab/>
        <w:t>הצדדים לא הגיעו להסכמה עונשית. למען שלמות התמונה, יוער כי הסנגור ציין במפורש כי הוא אינו רואה לעתור לתסקיר בעניין מרשו. המאשימה עתרה לדחיית השמיעה של הטיעונים לעונש לצורך הכנת תסקיר נפגע עבירה. למיטב הבנתי מפניות שירות המבחן לבית המשפט, שירות המבחן נפגש עם המתלונן והחל במלאכת הכנת תסקיר נפגע העבירה. עם זאת, בסופה של דרך תסקיר נפגע העבירה לא הוגש לעיוני, שכן המתלונן הודיע לשירות המבחן כי הוא אינו מעוניין בכך (ראו בעניין זה: בקשת שירות המבחן מיום 12.8.2020 ומכלול המפורט שם, וכן עדכון שירות המבחן מיום 29.9.2020).</w:t>
      </w:r>
    </w:p>
    <w:p w14:paraId="17606182"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7896AC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E2130C">
        <w:rPr>
          <w:rFonts w:ascii="Arial TUR" w:hAnsi="Arial TUR" w:cs="FrankRuehl"/>
          <w:b/>
          <w:bCs/>
          <w:spacing w:val="10"/>
          <w:sz w:val="22"/>
          <w:szCs w:val="28"/>
          <w:u w:val="single"/>
          <w:rtl/>
        </w:rPr>
        <w:t>ראיות לעונש</w:t>
      </w:r>
    </w:p>
    <w:p w14:paraId="1DD32B9E"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4.</w:t>
      </w:r>
      <w:r w:rsidRPr="00E2130C">
        <w:rPr>
          <w:rFonts w:ascii="Arial TUR" w:hAnsi="Arial TUR" w:cs="FrankRuehl"/>
          <w:spacing w:val="10"/>
          <w:sz w:val="22"/>
          <w:szCs w:val="28"/>
          <w:rtl/>
        </w:rPr>
        <w:tab/>
        <w:t xml:space="preserve">המאשימה הגישה גיליון הרשעות קודמות של הנאשם ממנו עולה כי לנאשם שתי הרשעות קודמות: </w:t>
      </w:r>
      <w:r w:rsidRPr="00E2130C">
        <w:rPr>
          <w:rFonts w:ascii="Century" w:hAnsi="Century" w:cs="Miriam" w:hint="eastAsia"/>
          <w:b/>
          <w:sz w:val="22"/>
          <w:rtl/>
        </w:rPr>
        <w:t>האחת</w:t>
      </w:r>
      <w:r w:rsidRPr="00E2130C">
        <w:rPr>
          <w:rFonts w:ascii="Arial TUR" w:hAnsi="Arial TUR" w:cs="FrankRuehl"/>
          <w:spacing w:val="10"/>
          <w:sz w:val="22"/>
          <w:szCs w:val="28"/>
          <w:rtl/>
        </w:rPr>
        <w:t>, הרשעה משנת 2016 בגין עבירה של פציעה כשהעבריין מזוין שבוצעה בשנת 2014. בית משפט השלום גזר על הנאשם בגין אותה הרשעה 9 חודשי מאסר בפועל, מאסרים על תנאי ופיצוי לנפגע העבירה. אומר כבר עתה כי במסגרת אותו תיק קודם, הוטל על הנאשם עונש מאסר על תנאי בן 7 חודשים לבל יעבור עבירת אלימות מסוג פשע. המאסר המותנה האמור ניתן להפעלה בתיק הנוכחי.</w:t>
      </w:r>
      <w:r w:rsidRPr="00E2130C">
        <w:rPr>
          <w:rFonts w:ascii="Century" w:hAnsi="Century" w:cs="Miriam"/>
          <w:b/>
          <w:sz w:val="22"/>
          <w:rtl/>
        </w:rPr>
        <w:t xml:space="preserve"> </w:t>
      </w:r>
      <w:r w:rsidRPr="00E2130C">
        <w:rPr>
          <w:rFonts w:ascii="Century" w:hAnsi="Century" w:cs="Miriam" w:hint="eastAsia"/>
          <w:b/>
          <w:sz w:val="22"/>
          <w:rtl/>
        </w:rPr>
        <w:t>השנייה</w:t>
      </w:r>
      <w:r w:rsidRPr="00E2130C">
        <w:rPr>
          <w:rFonts w:ascii="Arial TUR" w:hAnsi="Arial TUR" w:cs="FrankRuehl"/>
          <w:spacing w:val="10"/>
          <w:sz w:val="22"/>
          <w:szCs w:val="28"/>
          <w:rtl/>
        </w:rPr>
        <w:t xml:space="preserve">, הרשעה משנת 2015 בגין עבירות של השתתפות בהתפרעות, חבלה במזיד ברכב, ותקיפה סתם על-ידי שניים או יותר אשר בוצעו בשנת 2012. בית המשפט המחוזי גזר על הנאשם בגין ההרשעה האמורה 3 חודשי מאסר בפועל לריצוי בדרך של עבודות שירות ומאסר מותנה. </w:t>
      </w:r>
    </w:p>
    <w:p w14:paraId="493D0A8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 xml:space="preserve"> </w:t>
      </w:r>
    </w:p>
    <w:p w14:paraId="45C933A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ההגנה לא הגישה ראיות מטעמה.</w:t>
      </w:r>
    </w:p>
    <w:p w14:paraId="52D0903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639B7C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b/>
          <w:bCs/>
          <w:spacing w:val="10"/>
          <w:sz w:val="22"/>
          <w:szCs w:val="28"/>
          <w:u w:val="single"/>
          <w:rtl/>
        </w:rPr>
        <w:t>טיעוני הצדדים לעונש</w:t>
      </w:r>
    </w:p>
    <w:p w14:paraId="0F4BCAF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5.</w:t>
      </w:r>
      <w:r w:rsidRPr="00E2130C">
        <w:rPr>
          <w:rFonts w:ascii="Arial TUR" w:hAnsi="Arial TUR" w:cs="FrankRuehl"/>
          <w:spacing w:val="10"/>
          <w:sz w:val="22"/>
          <w:szCs w:val="28"/>
          <w:rtl/>
        </w:rPr>
        <w:tab/>
        <w:t xml:space="preserve">המאשימה טענה כי מתחם העונש ההולם בגין התיק העיקרי נע מ-3 עד 5 שנות מאסר בפועל, לצד רכיבי ענישה נלווים. המאשימה הוסיפה וטענה כי מתחם העונש ההולם בגין התיק המצורף נע ממאסר על תנאי ועד מספר חודשי מאסר בפועל, לצד רכיבי ענישה נלווים. לשיטת המאשימה, יש לגזור על הנאשם עונש כולל בגין שני התיקים יחדיו. בהתאם לכך, המאשימה עתרה להשית על הנאשם בגין התיק העיקרי והתיק המצורף, עונש של 48 חודשי מאסר בפועל וכן הפעלה במצטבר של עונש המאסר המותנה בן 7 החודשים שתלוי ועומד נגדו, כך שסך הכל יוטלו על הנאשם 55 חודשי מאסר בפועל. המאשימה הוסיפה וביקשה להשית על הנאשם מאסר על תנאי, קנס, פיצוי משמעותי לטובת המתלונן, וכן פסילת רישיון נהיגה בפועל ועל תנאי. </w:t>
      </w:r>
    </w:p>
    <w:p w14:paraId="69B6741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7909B0E"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6.</w:t>
      </w:r>
      <w:r w:rsidRPr="00E2130C">
        <w:rPr>
          <w:rFonts w:ascii="Arial TUR" w:hAnsi="Arial TUR" w:cs="FrankRuehl"/>
          <w:spacing w:val="10"/>
          <w:sz w:val="22"/>
          <w:szCs w:val="28"/>
          <w:rtl/>
        </w:rPr>
        <w:tab/>
        <w:t>הסנגור הגיש טיעונים לעונש בכתב וכן השלים את טיעוניו בעל-פה. לטענת הסנגור, מתחם העונש ההולם בגין התיק העיקרי נע מ-6 עד 18 חודשי מאסר בפועל. אשר לתיק המצורף, נטען כי אין הצדקה להטיל בגינו ענישה נוספת, בשים לב לכך שמחמת שגגה הוא לא צורף לתיק הקודם בו הנאשם הורשע ונגזר דינו. בנסיבות העניין, הסנגור טען כי יש להטיל על מרשו לא יותר מ-15 או 16 חודשי מאסר בפועל, כולל הפעלה של עונש המאסר המותנה בן 7 החודשים שתלוי ועומד נגדו. לגבי הפיצוי למתלונן - הסנגור הותיר סוגיה זו לשיקול דעת בית המשפט. בכל הנוגע לפסילת רישיון נהיגה - הסנגור טען כי יש להסתפק בפסילה מותנית, או בפסילה בפועל לתקופה מינימאלית בלבד.</w:t>
      </w:r>
    </w:p>
    <w:p w14:paraId="219935D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 xml:space="preserve"> </w:t>
      </w:r>
    </w:p>
    <w:p w14:paraId="0DB4279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יוער כי ב"כ שני הצדדים הגישו לעיוני אסמכתאות מן הפסיקה לתמיכה בעמדותיהם העונשיות.</w:t>
      </w:r>
    </w:p>
    <w:p w14:paraId="535FB08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9053C96"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7.</w:t>
      </w:r>
      <w:r w:rsidRPr="00E2130C">
        <w:rPr>
          <w:rFonts w:ascii="Arial TUR" w:hAnsi="Arial TUR" w:cs="FrankRuehl"/>
          <w:spacing w:val="10"/>
          <w:sz w:val="22"/>
          <w:szCs w:val="28"/>
          <w:rtl/>
        </w:rPr>
        <w:tab/>
        <w:t>הנאשם בדבריו לפניי טען כי שוחח עם המתלונן לאחר האירוע נושא כתב האישום בתיק העיקרי, וביקש את סליחתו. הנאשם הוסיף וביקש לשלבו בטיפול לשליטה בכעסים בין כותלי הכלא, או לאחר שחרורו מבית האסורים. בהתייחס לבקשת המאשימה להטיל עליו עונש של פסילת רישיון נהיגה, הנאשם ציין לפניי כי לא נהג ברכב במסגרת האירועים נושא התיק העיקרי והתיק המצורף.</w:t>
      </w:r>
    </w:p>
    <w:p w14:paraId="78F209C6"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86DF57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E2130C">
        <w:rPr>
          <w:rFonts w:ascii="Arial TUR" w:hAnsi="Arial TUR" w:cs="FrankRuehl"/>
          <w:b/>
          <w:bCs/>
          <w:spacing w:val="10"/>
          <w:sz w:val="22"/>
          <w:szCs w:val="28"/>
          <w:u w:val="single"/>
          <w:rtl/>
        </w:rPr>
        <w:t>מתחמי הענישה ההולמת</w:t>
      </w:r>
    </w:p>
    <w:p w14:paraId="2D6F2F9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8.</w:t>
      </w:r>
      <w:r w:rsidRPr="00E2130C">
        <w:rPr>
          <w:rFonts w:ascii="Arial TUR" w:hAnsi="Arial TUR" w:cs="FrankRuehl"/>
          <w:spacing w:val="10"/>
          <w:sz w:val="22"/>
          <w:szCs w:val="28"/>
          <w:rtl/>
        </w:rPr>
        <w:tab/>
        <w:t xml:space="preserve">בנסיבות העניין אני מסכימה עם ב"כ הצדדים כי כל אחד משני התיקים שלפניי - התיק העיקרי והתיק המצורף - מהווה אירוע נפרד לצורך קביעתם של מתחמי ענישה הולמת. לפיכך ייקבע מתחם נפרד לכל תיק. אשר לעבירות נושא כל אחד מהתיקים, אני בדעה כי נוכח הזיקה ההדוקה בין העבירות והיותן משתייכות למסכת עבריינית אחת, הן מהוות כולן בגדר אירוע אחד לצורך קביעתו של מתחם העונש ההולם (ראו: </w:t>
      </w:r>
      <w:hyperlink r:id="rId37" w:history="1">
        <w:r w:rsidR="00A32C39" w:rsidRPr="00A32C39">
          <w:rPr>
            <w:rStyle w:val="Hyperlink"/>
            <w:rFonts w:ascii="Arial TUR" w:hAnsi="Arial TUR" w:cs="FrankRuehl"/>
            <w:spacing w:val="10"/>
            <w:sz w:val="22"/>
            <w:szCs w:val="28"/>
            <w:rtl/>
          </w:rPr>
          <w:t>סעיף 40יג(א)</w:t>
        </w:r>
      </w:hyperlink>
      <w:r w:rsidRPr="00E2130C">
        <w:rPr>
          <w:rFonts w:ascii="Arial TUR" w:hAnsi="Arial TUR" w:cs="FrankRuehl"/>
          <w:spacing w:val="10"/>
          <w:sz w:val="22"/>
          <w:szCs w:val="28"/>
          <w:rtl/>
        </w:rPr>
        <w:t xml:space="preserve"> ו- </w:t>
      </w:r>
      <w:r w:rsidRPr="00360CB5">
        <w:rPr>
          <w:rFonts w:ascii="Arial TUR" w:hAnsi="Arial TUR" w:cs="FrankRuehl"/>
          <w:color w:val="000000"/>
          <w:spacing w:val="10"/>
          <w:sz w:val="22"/>
          <w:szCs w:val="28"/>
          <w:rtl/>
        </w:rPr>
        <w:t>(</w:t>
      </w:r>
      <w:hyperlink r:id="rId38" w:history="1">
        <w:r w:rsidR="00A32C39" w:rsidRPr="00A32C39">
          <w:rPr>
            <w:rStyle w:val="Hyperlink"/>
            <w:rFonts w:ascii="Arial TUR" w:hAnsi="Arial TUR" w:cs="FrankRuehl"/>
            <w:spacing w:val="10"/>
            <w:sz w:val="22"/>
            <w:szCs w:val="28"/>
            <w:rtl/>
          </w:rPr>
          <w:t>ב</w:t>
        </w:r>
      </w:hyperlink>
      <w:r w:rsidRPr="00360CB5">
        <w:rPr>
          <w:rFonts w:ascii="Arial TUR" w:hAnsi="Arial TUR" w:cs="FrankRuehl"/>
          <w:color w:val="000000"/>
          <w:spacing w:val="10"/>
          <w:sz w:val="22"/>
          <w:szCs w:val="28"/>
          <w:rtl/>
        </w:rPr>
        <w:t>)</w:t>
      </w:r>
      <w:r w:rsidRPr="00E2130C">
        <w:rPr>
          <w:rFonts w:ascii="Arial TUR" w:hAnsi="Arial TUR" w:cs="FrankRuehl"/>
          <w:spacing w:val="10"/>
          <w:sz w:val="22"/>
          <w:szCs w:val="28"/>
          <w:rtl/>
        </w:rPr>
        <w:t xml:space="preserve"> ל</w:t>
      </w:r>
      <w:hyperlink r:id="rId39" w:history="1">
        <w:r w:rsidR="00360CB5" w:rsidRPr="00360CB5">
          <w:rPr>
            <w:rFonts w:ascii="Arial TUR" w:hAnsi="Arial TUR" w:cs="FrankRuehl"/>
            <w:color w:val="0000FF"/>
            <w:spacing w:val="10"/>
            <w:sz w:val="22"/>
            <w:szCs w:val="28"/>
            <w:u w:val="single"/>
            <w:rtl/>
          </w:rPr>
          <w:t>חוק העונשין</w:t>
        </w:r>
      </w:hyperlink>
      <w:r w:rsidRPr="00E2130C">
        <w:rPr>
          <w:rFonts w:ascii="Arial TUR" w:hAnsi="Arial TUR" w:cs="FrankRuehl"/>
          <w:spacing w:val="10"/>
          <w:sz w:val="22"/>
          <w:szCs w:val="28"/>
          <w:rtl/>
        </w:rPr>
        <w:t xml:space="preserve">). מתחמי הענישה ההולמת ייקבעו בהתאם לעקרון ההלימה, תוך התחשבות בערך החברתי שנפגע, במידת הפגיעה בו, בנסיבות הקשורות בביצוע העבירות ובמדיניות הענישה הנהוגה (ראו: </w:t>
      </w:r>
      <w:hyperlink r:id="rId40" w:history="1">
        <w:r w:rsidR="00A32C39" w:rsidRPr="00A32C39">
          <w:rPr>
            <w:rStyle w:val="Hyperlink"/>
            <w:rFonts w:ascii="Arial TUR" w:hAnsi="Arial TUR" w:cs="FrankRuehl"/>
            <w:spacing w:val="10"/>
            <w:sz w:val="22"/>
            <w:szCs w:val="28"/>
            <w:rtl/>
          </w:rPr>
          <w:t>סעיף 40ג(א)</w:t>
        </w:r>
      </w:hyperlink>
      <w:r w:rsidRPr="00E2130C">
        <w:rPr>
          <w:rFonts w:ascii="Arial TUR" w:hAnsi="Arial TUR" w:cs="FrankRuehl"/>
          <w:spacing w:val="10"/>
          <w:sz w:val="22"/>
          <w:szCs w:val="28"/>
          <w:rtl/>
        </w:rPr>
        <w:t xml:space="preserve"> לחוק).</w:t>
      </w:r>
    </w:p>
    <w:p w14:paraId="1D81D82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94EF6C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9.</w:t>
      </w:r>
      <w:r w:rsidRPr="00E2130C">
        <w:rPr>
          <w:rFonts w:ascii="Arial TUR" w:hAnsi="Arial TUR" w:cs="FrankRuehl"/>
          <w:spacing w:val="10"/>
          <w:sz w:val="22"/>
          <w:szCs w:val="28"/>
          <w:rtl/>
        </w:rPr>
        <w:tab/>
      </w:r>
      <w:r w:rsidRPr="00E2130C">
        <w:rPr>
          <w:rFonts w:ascii="Century" w:hAnsi="Century" w:cs="Miriam" w:hint="eastAsia"/>
          <w:b/>
          <w:sz w:val="22"/>
          <w:u w:val="single"/>
          <w:rtl/>
        </w:rPr>
        <w:t>בכל</w:t>
      </w:r>
      <w:r w:rsidRPr="00E2130C">
        <w:rPr>
          <w:rFonts w:ascii="Century" w:hAnsi="Century" w:cs="Miriam"/>
          <w:b/>
          <w:sz w:val="22"/>
          <w:u w:val="single"/>
          <w:rtl/>
        </w:rPr>
        <w:t xml:space="preserve"> </w:t>
      </w:r>
      <w:r w:rsidRPr="00E2130C">
        <w:rPr>
          <w:rFonts w:ascii="Century" w:hAnsi="Century" w:cs="Miriam" w:hint="eastAsia"/>
          <w:b/>
          <w:sz w:val="22"/>
          <w:u w:val="single"/>
          <w:rtl/>
        </w:rPr>
        <w:t>הנוגע</w:t>
      </w:r>
      <w:r w:rsidRPr="00E2130C">
        <w:rPr>
          <w:rFonts w:ascii="Century" w:hAnsi="Century" w:cs="Miriam"/>
          <w:b/>
          <w:sz w:val="22"/>
          <w:u w:val="single"/>
          <w:rtl/>
        </w:rPr>
        <w:t xml:space="preserve"> </w:t>
      </w:r>
      <w:r w:rsidRPr="00E2130C">
        <w:rPr>
          <w:rFonts w:ascii="Century" w:hAnsi="Century" w:cs="Miriam" w:hint="eastAsia"/>
          <w:b/>
          <w:sz w:val="22"/>
          <w:u w:val="single"/>
          <w:rtl/>
        </w:rPr>
        <w:t>לתיק</w:t>
      </w:r>
      <w:r w:rsidRPr="00E2130C">
        <w:rPr>
          <w:rFonts w:ascii="Century" w:hAnsi="Century" w:cs="Miriam"/>
          <w:b/>
          <w:sz w:val="22"/>
          <w:u w:val="single"/>
          <w:rtl/>
        </w:rPr>
        <w:t xml:space="preserve"> </w:t>
      </w:r>
      <w:r w:rsidRPr="00E2130C">
        <w:rPr>
          <w:rFonts w:ascii="Century" w:hAnsi="Century" w:cs="Miriam" w:hint="eastAsia"/>
          <w:b/>
          <w:sz w:val="22"/>
          <w:u w:val="single"/>
          <w:rtl/>
        </w:rPr>
        <w:t>העיקרי</w:t>
      </w:r>
      <w:r w:rsidRPr="00E2130C">
        <w:rPr>
          <w:rFonts w:ascii="Arial TUR" w:hAnsi="Arial TUR" w:cs="FrankRuehl"/>
          <w:spacing w:val="10"/>
          <w:sz w:val="22"/>
          <w:szCs w:val="28"/>
          <w:rtl/>
        </w:rPr>
        <w:t xml:space="preserve"> - </w:t>
      </w:r>
      <w:r w:rsidRPr="00E2130C">
        <w:rPr>
          <w:rFonts w:ascii="Arial TUR" w:hAnsi="Arial TUR" w:cs="FrankRuehl"/>
          <w:b/>
          <w:bCs/>
          <w:spacing w:val="10"/>
          <w:sz w:val="22"/>
          <w:szCs w:val="28"/>
          <w:rtl/>
        </w:rPr>
        <w:t>הערכים החברתיים המוגנים</w:t>
      </w:r>
      <w:r w:rsidRPr="00E2130C">
        <w:rPr>
          <w:rFonts w:ascii="Arial TUR" w:hAnsi="Arial TUR" w:cs="FrankRuehl"/>
          <w:spacing w:val="10"/>
          <w:sz w:val="22"/>
          <w:szCs w:val="28"/>
          <w:rtl/>
        </w:rPr>
        <w:t xml:space="preserve"> שנפגעו כתוצאה מהעבירות בהן הורשע הנאשם, הם שמירה על הביטחון האישי ועל שלמות הגוף והנפש, וכן הגנה על עקרון שלטון החוק ועל סדרי שלטון ומשפט.</w:t>
      </w:r>
    </w:p>
    <w:p w14:paraId="055E5EF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06D79A1"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 xml:space="preserve">בחינת </w:t>
      </w:r>
      <w:r w:rsidRPr="00E2130C">
        <w:rPr>
          <w:rFonts w:ascii="Arial TUR" w:hAnsi="Arial TUR" w:cs="FrankRuehl"/>
          <w:b/>
          <w:bCs/>
          <w:spacing w:val="10"/>
          <w:sz w:val="22"/>
          <w:szCs w:val="28"/>
          <w:rtl/>
        </w:rPr>
        <w:t>נסיבות ביצוע העבירות</w:t>
      </w:r>
      <w:r w:rsidRPr="00E2130C">
        <w:rPr>
          <w:rFonts w:ascii="Arial TUR" w:hAnsi="Arial TUR" w:cs="FrankRuehl"/>
          <w:spacing w:val="10"/>
          <w:sz w:val="22"/>
          <w:szCs w:val="28"/>
          <w:rtl/>
        </w:rPr>
        <w:t xml:space="preserve"> מלמדת כי לא היה מדובר בעבירות מתוכננות מראש, שכן האירוע התפתח בעקבות פגישה אקראית ושיחה שהתפתחה בין הנאשם למתלונן במכולת השכונתית. אני נכונה להניח כי הנאשם כעס כתוצאה מדבריו של המתלונן במהלך האירוע (הן אמירת המתלונן בתחילת האירוע לפיה הוא ישחט את כלבת אמו של הנאשם אם תפגע באחד מילדיו; והן אמירת המתלונן בשלב מתקדם יותר באירוע לפיה הנאשם ישלם על כל טיפת דם שירדה לו). </w:t>
      </w:r>
    </w:p>
    <w:p w14:paraId="52DFD7C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066A3C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כל אלה אינם משנים מן העובדה לפיה הנאשם הגיע לאירוע מלכתחילה כאשר הוא נושא עמו סכין בכיס מכנסיו. על רקע פרץ זעם שהתעורר בנאשם בשל עניין של מה בכך (מחלוקת הנוגעת לכלבתה של אם הנאשם), הנאשם תקף את המתלונן באופן מתמשך. התקיפה בוצעה לא רק באמצעות אגרופים ובעיטות, אלא גם באמצעות דקירות בסכין באברי גוף שונים של המתלונן (ירך, עכוז ויד). יודגש כי גם כאשר במהלך האירוע האלים המתלונן הצליח להתרחק מהנאשם, הנאשם בחר להתקרב אליו כדי להוסיף לתקוף ולדקור אותו. במילים אחרות, הנאשם בחר שלא לחדול ממעשיו למרות הזדמנויות שהיו לו לכך. חלקו היחסי של הנאשם בביצוע עבירת האלימות היה דומיננטי. הנזק הגופני שנגרם למתלונן הוא משמעותי בשים לב לכך שהחבלות הצריכו ניתוח, אשפוז, גבס ותפרים כמתואר בסוף פס' 1 לדבריי לעיל. נוכח הדקירות בגופו של המתלונן, לרבות ניסיון (שלא צלח) לדקור אותו בבטנו, ניתן לומר כי רק במזל האירוע לא הסתיים בנכות צמיתה או בתוצאה קטלנית.</w:t>
      </w:r>
    </w:p>
    <w:p w14:paraId="2CA6982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E2828A7"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 xml:space="preserve">לכך יש להוסיף כי לאחר האירוע האלים, הנאשם פעל במספר דרכים ומול מספר אנשים בניסיון להדיחם בחקירה, לרבות באמצעות איומים והפחדה. מדובר בהתנהגות עבריינית הנושאת עמה חומרה משמעותית, שכן היא מעידה על כך שהנאשם לא בוחל באמצעים בניסיון להתחמק ממתן דין על מעשיו. אוסיף כי פעולות ההדחה בוצעו על-ידי הנאשם במשך מספר ימים לאחר האירוע האלים, באופן המלמד כי הנאשם פעל בהקשר זה מתוך מחשבה ותכנון, ולא מתוך דחף רגעי. </w:t>
      </w:r>
    </w:p>
    <w:p w14:paraId="35AC344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A5E8F0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אשר ל</w:t>
      </w:r>
      <w:r w:rsidRPr="00E2130C">
        <w:rPr>
          <w:rFonts w:ascii="Arial TUR" w:hAnsi="Arial TUR" w:cs="FrankRuehl"/>
          <w:b/>
          <w:bCs/>
          <w:spacing w:val="10"/>
          <w:sz w:val="22"/>
          <w:szCs w:val="28"/>
          <w:rtl/>
        </w:rPr>
        <w:t>מדיניות הענישה הנוהגת</w:t>
      </w:r>
      <w:r w:rsidRPr="00E2130C">
        <w:rPr>
          <w:rFonts w:ascii="Arial TUR" w:hAnsi="Arial TUR" w:cs="FrankRuehl"/>
          <w:spacing w:val="10"/>
          <w:sz w:val="22"/>
          <w:szCs w:val="28"/>
          <w:rtl/>
        </w:rPr>
        <w:t xml:space="preserve"> – העונש המרבי הקבוע בחוק בגין עבירת חבלה חמורה בנסיבות מחמירות בה הורשע הנאשם, הוא מאסר 14 שנים. בית המשפט העליון גינה פעם אחר פעם את "תת תרבות הסכין", ועמד על החומרה שיש לראות בשימוש בדקירת האחר כאמצעי ל"פתרון" סכסוכים. נפסק כי יש ליתן ביטוי לכך באמצעות הטלת עונשי מאסר בפועל. משך המאסר בפועל יושפע מנסיבותיו של כל מקרה לגופו בהתאם למידת התכנון של האירוע, נסיבות הדקירה, כמות הדקירות, חומרת הנזק, גיל הנאשם, עבר פלילי רלוונטי ועוד. </w:t>
      </w:r>
    </w:p>
    <w:p w14:paraId="08A2472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49078C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בהתייחס לנסיבות העניין שלפנינו, ניתן להפנות לדוגמה ל</w:t>
      </w:r>
      <w:hyperlink r:id="rId41" w:history="1">
        <w:r w:rsidR="00360CB5" w:rsidRPr="00360CB5">
          <w:rPr>
            <w:rFonts w:ascii="Arial TUR" w:hAnsi="Arial TUR" w:cs="FrankRuehl"/>
            <w:color w:val="0000FF"/>
            <w:spacing w:val="10"/>
            <w:sz w:val="22"/>
            <w:szCs w:val="28"/>
            <w:u w:val="single"/>
            <w:rtl/>
          </w:rPr>
          <w:t>ע"פ 2037/13</w:t>
        </w:r>
      </w:hyperlink>
      <w:r w:rsidRPr="00E2130C">
        <w:rPr>
          <w:rFonts w:ascii="Arial TUR" w:hAnsi="Arial TUR" w:cs="FrankRuehl"/>
          <w:spacing w:val="10"/>
          <w:sz w:val="22"/>
          <w:szCs w:val="28"/>
          <w:rtl/>
        </w:rPr>
        <w:t xml:space="preserve"> </w:t>
      </w:r>
      <w:r w:rsidRPr="00E2130C">
        <w:rPr>
          <w:rFonts w:ascii="Century" w:hAnsi="Century" w:cs="Miriam" w:hint="eastAsia"/>
          <w:b/>
          <w:sz w:val="22"/>
          <w:rtl/>
        </w:rPr>
        <w:t>מחאג</w:t>
      </w:r>
      <w:r w:rsidRPr="00E2130C">
        <w:rPr>
          <w:rFonts w:ascii="Century" w:hAnsi="Century" w:cs="Miriam"/>
          <w:b/>
          <w:sz w:val="22"/>
          <w:rtl/>
        </w:rPr>
        <w:t>'</w:t>
      </w:r>
      <w:r w:rsidRPr="00E2130C">
        <w:rPr>
          <w:rFonts w:ascii="Century" w:hAnsi="Century" w:cs="Miriam" w:hint="eastAsia"/>
          <w:b/>
          <w:sz w:val="22"/>
          <w:rtl/>
        </w:rPr>
        <w:t>נה</w:t>
      </w:r>
      <w:r w:rsidRPr="00E2130C">
        <w:rPr>
          <w:rFonts w:ascii="Century" w:hAnsi="Century" w:cs="Miriam"/>
          <w:b/>
          <w:sz w:val="22"/>
          <w:rtl/>
        </w:rPr>
        <w:t xml:space="preserve"> </w:t>
      </w:r>
      <w:r w:rsidRPr="00E2130C">
        <w:rPr>
          <w:rFonts w:ascii="Century" w:hAnsi="Century" w:cs="Miriam" w:hint="eastAsia"/>
          <w:b/>
          <w:sz w:val="22"/>
          <w:rtl/>
        </w:rPr>
        <w:t>נ</w:t>
      </w:r>
      <w:r w:rsidRPr="00E2130C">
        <w:rPr>
          <w:rFonts w:ascii="Century" w:hAnsi="Century" w:cs="Miriam"/>
          <w:b/>
          <w:sz w:val="22"/>
          <w:rtl/>
        </w:rPr>
        <w:t xml:space="preserve">' </w:t>
      </w:r>
      <w:r w:rsidRPr="00E2130C">
        <w:rPr>
          <w:rFonts w:ascii="Century" w:hAnsi="Century" w:cs="Miriam" w:hint="eastAsia"/>
          <w:b/>
          <w:sz w:val="22"/>
          <w:rtl/>
        </w:rPr>
        <w:t>מדינת</w:t>
      </w:r>
      <w:r w:rsidRPr="00E2130C">
        <w:rPr>
          <w:rFonts w:ascii="Century" w:hAnsi="Century" w:cs="Miriam"/>
          <w:b/>
          <w:sz w:val="22"/>
          <w:rtl/>
        </w:rPr>
        <w:t xml:space="preserve"> </w:t>
      </w:r>
      <w:r w:rsidRPr="00E2130C">
        <w:rPr>
          <w:rFonts w:ascii="Century" w:hAnsi="Century" w:cs="Miriam" w:hint="eastAsia"/>
          <w:b/>
          <w:sz w:val="22"/>
          <w:rtl/>
        </w:rPr>
        <w:t>ישראל</w:t>
      </w:r>
      <w:r w:rsidRPr="00E2130C">
        <w:rPr>
          <w:rFonts w:ascii="Arial TUR" w:hAnsi="Arial TUR" w:cs="FrankRuehl"/>
          <w:spacing w:val="10"/>
          <w:sz w:val="22"/>
          <w:szCs w:val="28"/>
          <w:rtl/>
        </w:rPr>
        <w:t xml:space="preserve"> (26.6.2013), שם המערער הורשע בעבירות של חבלה חמורה בנסיבות מחמירות, חבלה חמורה והחזקת סכין. בית המשפט העליון לא ראה להתערב במתחם העונש ההולם שבית המשפט המחוזי קבע באותה פרשה, אשר נע בין שנתיים לחמש שנות מאסר בפועל. בית המשפט העליון אף לא התערב בעונש בן 30 חודשי מאסר בפועל שהושת על המערער (שהיה נעדר עבר פלילי). במקרה שלפניי הנאשם אמנם לא הורשע בעבירה נוספת של חבלה חמורה כפי שארע בפרשת </w:t>
      </w:r>
      <w:r w:rsidRPr="00E2130C">
        <w:rPr>
          <w:rFonts w:ascii="Century" w:hAnsi="Century" w:cs="Miriam" w:hint="eastAsia"/>
          <w:b/>
          <w:sz w:val="22"/>
          <w:rtl/>
        </w:rPr>
        <w:t>מחאג</w:t>
      </w:r>
      <w:r w:rsidRPr="00E2130C">
        <w:rPr>
          <w:rFonts w:ascii="Century" w:hAnsi="Century" w:cs="Miriam"/>
          <w:b/>
          <w:sz w:val="22"/>
          <w:rtl/>
        </w:rPr>
        <w:t>'</w:t>
      </w:r>
      <w:r w:rsidRPr="00E2130C">
        <w:rPr>
          <w:rFonts w:ascii="Century" w:hAnsi="Century" w:cs="Miriam" w:hint="eastAsia"/>
          <w:b/>
          <w:sz w:val="22"/>
          <w:rtl/>
        </w:rPr>
        <w:t>נה</w:t>
      </w:r>
      <w:r w:rsidRPr="00E2130C">
        <w:rPr>
          <w:rFonts w:ascii="Arial TUR" w:hAnsi="Arial TUR" w:cs="FrankRuehl"/>
          <w:spacing w:val="10"/>
          <w:sz w:val="22"/>
          <w:szCs w:val="28"/>
          <w:rtl/>
        </w:rPr>
        <w:t xml:space="preserve"> הנ"ל, אולם הוא הורשע בשלוש עבירות של הדחה בחקירה. כמו כן, הנאשם דקר את המתלונן מספר פעמים לאורך האירוע נושא התיק העיקרי. כל אלה עשויים להקרין על מתחם הענישה ההולמת.</w:t>
      </w:r>
    </w:p>
    <w:p w14:paraId="45778EA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6A80392"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עוד אפנה לשם המחשה ל</w:t>
      </w:r>
      <w:hyperlink r:id="rId42" w:history="1">
        <w:r w:rsidR="00360CB5" w:rsidRPr="00360CB5">
          <w:rPr>
            <w:rFonts w:ascii="Arial TUR" w:hAnsi="Arial TUR" w:cs="FrankRuehl"/>
            <w:color w:val="0000FF"/>
            <w:spacing w:val="10"/>
            <w:sz w:val="22"/>
            <w:szCs w:val="28"/>
            <w:u w:val="single"/>
            <w:rtl/>
          </w:rPr>
          <w:t>ע"פ 935/14</w:t>
        </w:r>
      </w:hyperlink>
      <w:r w:rsidRPr="00E2130C">
        <w:rPr>
          <w:rFonts w:ascii="Arial TUR" w:hAnsi="Arial TUR" w:cs="FrankRuehl"/>
          <w:spacing w:val="10"/>
          <w:sz w:val="22"/>
          <w:szCs w:val="28"/>
          <w:rtl/>
        </w:rPr>
        <w:t xml:space="preserve"> </w:t>
      </w:r>
      <w:r w:rsidRPr="00E2130C">
        <w:rPr>
          <w:rFonts w:ascii="Century" w:hAnsi="Century" w:cs="Miriam" w:hint="eastAsia"/>
          <w:b/>
          <w:sz w:val="22"/>
          <w:rtl/>
        </w:rPr>
        <w:t>אוסטרחוביץ</w:t>
      </w:r>
      <w:r w:rsidRPr="00E2130C">
        <w:rPr>
          <w:rFonts w:ascii="Century" w:hAnsi="Century" w:cs="Miriam"/>
          <w:b/>
          <w:sz w:val="22"/>
          <w:rtl/>
        </w:rPr>
        <w:t xml:space="preserve"> </w:t>
      </w:r>
      <w:r w:rsidRPr="00E2130C">
        <w:rPr>
          <w:rFonts w:ascii="Century" w:hAnsi="Century" w:cs="Miriam" w:hint="eastAsia"/>
          <w:b/>
          <w:sz w:val="22"/>
          <w:rtl/>
        </w:rPr>
        <w:t>נ</w:t>
      </w:r>
      <w:r w:rsidRPr="00E2130C">
        <w:rPr>
          <w:rFonts w:ascii="Century" w:hAnsi="Century" w:cs="Miriam"/>
          <w:b/>
          <w:sz w:val="22"/>
          <w:rtl/>
        </w:rPr>
        <w:t xml:space="preserve">' </w:t>
      </w:r>
      <w:r w:rsidRPr="00E2130C">
        <w:rPr>
          <w:rFonts w:ascii="Century" w:hAnsi="Century" w:cs="Miriam" w:hint="eastAsia"/>
          <w:b/>
          <w:sz w:val="22"/>
          <w:rtl/>
        </w:rPr>
        <w:t>מדינת</w:t>
      </w:r>
      <w:r w:rsidRPr="00E2130C">
        <w:rPr>
          <w:rFonts w:ascii="Century" w:hAnsi="Century" w:cs="Miriam"/>
          <w:b/>
          <w:sz w:val="22"/>
          <w:rtl/>
        </w:rPr>
        <w:t xml:space="preserve"> </w:t>
      </w:r>
      <w:r w:rsidRPr="00E2130C">
        <w:rPr>
          <w:rFonts w:ascii="Century" w:hAnsi="Century" w:cs="Miriam" w:hint="eastAsia"/>
          <w:b/>
          <w:sz w:val="22"/>
          <w:rtl/>
        </w:rPr>
        <w:t>ישראל</w:t>
      </w:r>
      <w:r w:rsidRPr="00E2130C">
        <w:rPr>
          <w:rFonts w:ascii="Arial TUR" w:hAnsi="Arial TUR" w:cs="FrankRuehl"/>
          <w:spacing w:val="10"/>
          <w:sz w:val="22"/>
          <w:szCs w:val="28"/>
          <w:rtl/>
        </w:rPr>
        <w:t xml:space="preserve"> (30.11.2014), שם המערער הורשע בעבירה </w:t>
      </w:r>
      <w:r w:rsidRPr="00E2130C">
        <w:rPr>
          <w:rFonts w:ascii="Arial TUR" w:hAnsi="Arial TUR" w:cs="FrankRuehl"/>
          <w:spacing w:val="10"/>
          <w:sz w:val="22"/>
          <w:szCs w:val="28"/>
          <w:u w:val="single"/>
          <w:rtl/>
        </w:rPr>
        <w:t>בודדת</w:t>
      </w:r>
      <w:r w:rsidRPr="00E2130C">
        <w:rPr>
          <w:rFonts w:ascii="Arial TUR" w:hAnsi="Arial TUR" w:cs="FrankRuehl"/>
          <w:spacing w:val="10"/>
          <w:sz w:val="22"/>
          <w:szCs w:val="28"/>
          <w:rtl/>
        </w:rPr>
        <w:t xml:space="preserve"> של גרימת חבלה חמורה בנסיבות מחמירות. בנסיבות אותו מקרה, המערער דקר את המתלונן מספר פעמים במהלך האירוע האלים, לרבות דקירה עמוקה בשכם בעת שהמתלונן פנה לברוח מהמקום. בית המשפט העליון לא התערב בקביעת בית המשפט המחוזי לפיה מתחם העונש ההולם נע בין 3.5 ל-5 שנות מאסר בפועל. בית המשפט העליון אף לא התערב בעונש בן 50 חודשי מאסר בפועל (בניכוי ימי מעצר) שהושת על המערער, אף שציין כי הוא מצוי ברף הגבוה של הענישה.</w:t>
      </w:r>
    </w:p>
    <w:p w14:paraId="469DB149"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AA70EA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E2130C">
        <w:rPr>
          <w:rFonts w:ascii="Arial TUR" w:hAnsi="Arial TUR" w:cs="FrankRuehl"/>
          <w:spacing w:val="10"/>
          <w:sz w:val="22"/>
          <w:szCs w:val="28"/>
          <w:rtl/>
        </w:rPr>
        <w:tab/>
        <w:t xml:space="preserve">בהתחשב בעקרון ההלימה המהווה עקרון מנחה בענישה; בהתחשב בערכים המוגנים שנפגעו ובמידת הפגיעה בהם; בהתחשב בנסיבות ביצוע העבירות; וכן בהתחשב בענישה הנוהגת; אני סבורה כי </w:t>
      </w:r>
      <w:r w:rsidRPr="00E2130C">
        <w:rPr>
          <w:rFonts w:ascii="Arial TUR" w:hAnsi="Arial TUR" w:cs="FrankRuehl"/>
          <w:b/>
          <w:bCs/>
          <w:spacing w:val="10"/>
          <w:sz w:val="22"/>
          <w:szCs w:val="28"/>
          <w:rtl/>
        </w:rPr>
        <w:t>מתחם העונש ההולם בתיק העיקרי נע מ- 30 עד 60 חודשי מאסר בפועל.</w:t>
      </w:r>
    </w:p>
    <w:p w14:paraId="65EA851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100D4C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10.</w:t>
      </w:r>
      <w:r w:rsidRPr="00E2130C">
        <w:rPr>
          <w:rFonts w:ascii="Arial TUR" w:hAnsi="Arial TUR" w:cs="Miriam"/>
          <w:spacing w:val="10"/>
          <w:sz w:val="22"/>
          <w:szCs w:val="28"/>
          <w:rtl/>
        </w:rPr>
        <w:tab/>
      </w:r>
      <w:r w:rsidRPr="00E2130C">
        <w:rPr>
          <w:rFonts w:ascii="Arial TUR" w:hAnsi="Arial TUR" w:cs="Miriam"/>
          <w:spacing w:val="10"/>
          <w:u w:val="single"/>
          <w:rtl/>
        </w:rPr>
        <w:t>בכל הנוגע לתיק המצורף</w:t>
      </w:r>
      <w:r w:rsidRPr="00E2130C">
        <w:rPr>
          <w:rFonts w:ascii="Arial TUR" w:hAnsi="Arial TUR" w:cs="FrankRuehl"/>
          <w:spacing w:val="10"/>
          <w:sz w:val="28"/>
          <w:szCs w:val="28"/>
          <w:rtl/>
        </w:rPr>
        <w:t xml:space="preserve"> - הערכים המוגנים שנפגעו בגין העבירות של החזקת סמים לצריכה עצמית והחזקת סכין שלא כדין, </w:t>
      </w:r>
      <w:r w:rsidRPr="00E2130C">
        <w:rPr>
          <w:rFonts w:ascii="Calibri" w:hAnsi="Calibri" w:cs="FrankRuehl" w:hint="eastAsia"/>
          <w:spacing w:val="10"/>
          <w:sz w:val="28"/>
          <w:szCs w:val="28"/>
          <w:rtl/>
        </w:rPr>
        <w:t>עניינם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בהגנה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על</w:t>
      </w:r>
      <w:r w:rsidRPr="00E2130C">
        <w:rPr>
          <w:rFonts w:ascii="Calibri" w:hAnsi="Calibri" w:cs="FrankRuehl"/>
          <w:spacing w:val="10"/>
          <w:sz w:val="28"/>
          <w:szCs w:val="28"/>
          <w:rtl/>
        </w:rPr>
        <w:t xml:space="preserve"> </w:t>
      </w:r>
      <w:r w:rsidRPr="00E2130C">
        <w:rPr>
          <w:rFonts w:ascii="FrankRuehl" w:hAnsi="FrankRuehl" w:cs="FrankRuehl" w:hint="eastAsia"/>
          <w:color w:val="000000"/>
          <w:spacing w:val="10"/>
          <w:sz w:val="28"/>
          <w:szCs w:val="28"/>
          <w:rtl/>
        </w:rPr>
        <w:t>שמירת</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הסדר</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החברתי</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שלטון</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החוק</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ושלום</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הציבור</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וכן</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הגנה</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על</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חוסנה</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של</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החברה</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מפני</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פגיעות</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שעלולות</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להיגרם</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עקב</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עבירות</w:t>
      </w:r>
      <w:r w:rsidRPr="00E2130C">
        <w:rPr>
          <w:rFonts w:ascii="FrankRuehl" w:hAnsi="FrankRuehl" w:cs="FrankRuehl"/>
          <w:color w:val="000000"/>
          <w:spacing w:val="10"/>
          <w:sz w:val="28"/>
          <w:szCs w:val="28"/>
          <w:rtl/>
        </w:rPr>
        <w:t xml:space="preserve"> </w:t>
      </w:r>
      <w:r w:rsidRPr="00E2130C">
        <w:rPr>
          <w:rFonts w:ascii="FrankRuehl" w:hAnsi="FrankRuehl" w:cs="FrankRuehl" w:hint="eastAsia"/>
          <w:color w:val="000000"/>
          <w:spacing w:val="10"/>
          <w:sz w:val="28"/>
          <w:szCs w:val="28"/>
          <w:rtl/>
        </w:rPr>
        <w:t>סמים</w:t>
      </w:r>
      <w:r w:rsidRPr="00E2130C">
        <w:rPr>
          <w:rFonts w:ascii="FrankRuehl" w:hAnsi="FrankRuehl" w:cs="FrankRuehl"/>
          <w:color w:val="000000"/>
          <w:spacing w:val="10"/>
          <w:sz w:val="28"/>
          <w:szCs w:val="28"/>
        </w:rPr>
        <w:t>.</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בשים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לב</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לעונש</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המרבי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הקבוע</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לצד</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כל</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אחת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משתי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העבירות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נושא</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התיק</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המצורף</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מאסר</w:t>
      </w:r>
      <w:r w:rsidRPr="00E2130C">
        <w:rPr>
          <w:rFonts w:ascii="Calibri" w:hAnsi="Calibri" w:cs="FrankRuehl"/>
          <w:spacing w:val="10"/>
          <w:sz w:val="28"/>
          <w:szCs w:val="28"/>
          <w:rtl/>
        </w:rPr>
        <w:t xml:space="preserve"> 3 </w:t>
      </w:r>
      <w:r w:rsidRPr="00E2130C">
        <w:rPr>
          <w:rFonts w:ascii="Calibri" w:hAnsi="Calibri" w:cs="FrankRuehl" w:hint="eastAsia"/>
          <w:spacing w:val="10"/>
          <w:sz w:val="28"/>
          <w:szCs w:val="28"/>
          <w:rtl/>
        </w:rPr>
        <w:t>שנים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בגין</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העבירה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של</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החזקת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סמים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לצריכה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עצמית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ומאסר</w:t>
      </w:r>
      <w:r w:rsidRPr="00E2130C">
        <w:rPr>
          <w:rFonts w:ascii="Calibri" w:hAnsi="Calibri" w:cs="FrankRuehl"/>
          <w:spacing w:val="10"/>
          <w:sz w:val="28"/>
          <w:szCs w:val="28"/>
          <w:rtl/>
        </w:rPr>
        <w:t xml:space="preserve"> 5 </w:t>
      </w:r>
      <w:r w:rsidRPr="00E2130C">
        <w:rPr>
          <w:rFonts w:ascii="Calibri" w:hAnsi="Calibri" w:cs="FrankRuehl" w:hint="eastAsia"/>
          <w:spacing w:val="10"/>
          <w:sz w:val="28"/>
          <w:szCs w:val="28"/>
          <w:rtl/>
        </w:rPr>
        <w:t>שנים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בגין</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העבירה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של</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החזקת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סכין</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שלא</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כדין</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וכן</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בשים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לב</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לענישה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הנוהגת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בפסיקה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אני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סבורה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כי</w:t>
      </w:r>
      <w:r w:rsidRPr="00E2130C">
        <w:rPr>
          <w:rFonts w:ascii="Calibri" w:hAnsi="Calibri" w:cs="FrankRuehl"/>
          <w:spacing w:val="10"/>
          <w:sz w:val="28"/>
          <w:szCs w:val="28"/>
          <w:rtl/>
        </w:rPr>
        <w:t xml:space="preserve"> </w:t>
      </w:r>
      <w:r w:rsidRPr="00E2130C">
        <w:rPr>
          <w:rFonts w:ascii="Arial TUR" w:hAnsi="Arial TUR" w:cs="FrankRuehl"/>
          <w:b/>
          <w:bCs/>
          <w:spacing w:val="10"/>
          <w:sz w:val="22"/>
          <w:szCs w:val="28"/>
          <w:rtl/>
        </w:rPr>
        <w:t>מתחם העונש ההולם בתיק המצורף נע ממאסר על תנאי ועד מספר בודד של חודשי מאסר בפועל</w:t>
      </w:r>
      <w:r w:rsidRPr="00E2130C">
        <w:rPr>
          <w:rFonts w:ascii="Arial TUR" w:hAnsi="Arial TUR" w:cs="FrankRuehl"/>
          <w:spacing w:val="10"/>
          <w:sz w:val="22"/>
          <w:szCs w:val="28"/>
          <w:rtl/>
        </w:rPr>
        <w:t xml:space="preserve"> כנטען על-ידי המאשימה.</w:t>
      </w:r>
    </w:p>
    <w:p w14:paraId="47F038E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alibri" w:hAnsi="Calibri" w:cs="FrankRuehl"/>
          <w:spacing w:val="10"/>
          <w:sz w:val="28"/>
          <w:szCs w:val="28"/>
          <w:rtl/>
        </w:rPr>
      </w:pPr>
    </w:p>
    <w:p w14:paraId="65C2CE0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alibri" w:hAnsi="Calibri" w:cs="FrankRuehl"/>
          <w:spacing w:val="10"/>
          <w:sz w:val="28"/>
          <w:szCs w:val="28"/>
          <w:rtl/>
        </w:rPr>
      </w:pPr>
      <w:r w:rsidRPr="00E2130C">
        <w:rPr>
          <w:rFonts w:ascii="Calibri" w:hAnsi="Calibri" w:cs="FrankRuehl"/>
          <w:spacing w:val="10"/>
          <w:sz w:val="28"/>
          <w:szCs w:val="28"/>
          <w:rtl/>
        </w:rPr>
        <w:t>11.</w:t>
      </w:r>
      <w:r w:rsidRPr="00E2130C">
        <w:rPr>
          <w:rFonts w:ascii="Calibri" w:hAnsi="Calibri" w:cs="FrankRuehl"/>
          <w:spacing w:val="10"/>
          <w:sz w:val="28"/>
          <w:szCs w:val="28"/>
          <w:rtl/>
        </w:rPr>
        <w:tab/>
      </w:r>
      <w:r w:rsidRPr="00E2130C">
        <w:rPr>
          <w:rFonts w:ascii="Calibri" w:hAnsi="Calibri" w:cs="FrankRuehl" w:hint="eastAsia"/>
          <w:spacing w:val="10"/>
          <w:sz w:val="28"/>
          <w:szCs w:val="28"/>
          <w:rtl/>
        </w:rPr>
        <w:t>יוער</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כי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לא</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מצאתי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הצדקה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לסטות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ממתחמי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הענישה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ההולמת</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לחומרה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משיקולי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הגנה</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על</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שלום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הציבור</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או</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לקולא</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משיקולי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שיקום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אף</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לא</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התבקשתי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לכך</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מטעם</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מי</w:t>
      </w:r>
      <w:r w:rsidRPr="00E2130C">
        <w:rPr>
          <w:rFonts w:ascii="Calibri" w:hAnsi="Calibri" w:cs="FrankRuehl"/>
          <w:spacing w:val="10"/>
          <w:sz w:val="28"/>
          <w:szCs w:val="28"/>
          <w:rtl/>
        </w:rPr>
        <w:t xml:space="preserve"> </w:t>
      </w:r>
      <w:r w:rsidRPr="00E2130C">
        <w:rPr>
          <w:rFonts w:ascii="Calibri" w:hAnsi="Calibri" w:cs="FrankRuehl" w:hint="eastAsia"/>
          <w:spacing w:val="10"/>
          <w:sz w:val="28"/>
          <w:szCs w:val="28"/>
          <w:rtl/>
        </w:rPr>
        <w:t>מהצדדים</w:t>
      </w:r>
      <w:r w:rsidRPr="00E2130C">
        <w:rPr>
          <w:rFonts w:ascii="Calibri" w:hAnsi="Calibri" w:cs="FrankRuehl"/>
          <w:spacing w:val="10"/>
          <w:sz w:val="28"/>
          <w:szCs w:val="28"/>
          <w:rtl/>
        </w:rPr>
        <w:t>.</w:t>
      </w:r>
    </w:p>
    <w:p w14:paraId="7D65D407"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alibri" w:hAnsi="Calibri" w:cs="FrankRuehl"/>
          <w:spacing w:val="10"/>
          <w:sz w:val="28"/>
          <w:szCs w:val="28"/>
          <w:rtl/>
        </w:rPr>
      </w:pPr>
    </w:p>
    <w:p w14:paraId="4683FE5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alibri" w:hAnsi="Calibri" w:cs="FrankRuehl"/>
          <w:b/>
          <w:bCs/>
          <w:spacing w:val="10"/>
          <w:sz w:val="28"/>
          <w:szCs w:val="28"/>
          <w:u w:val="single"/>
          <w:rtl/>
        </w:rPr>
      </w:pPr>
      <w:r w:rsidRPr="00E2130C">
        <w:rPr>
          <w:rFonts w:ascii="Calibri" w:hAnsi="Calibri" w:cs="FrankRuehl" w:hint="eastAsia"/>
          <w:b/>
          <w:bCs/>
          <w:spacing w:val="10"/>
          <w:sz w:val="28"/>
          <w:szCs w:val="28"/>
          <w:u w:val="single"/>
          <w:rtl/>
        </w:rPr>
        <w:t>קביעת</w:t>
      </w:r>
      <w:r w:rsidRPr="00E2130C">
        <w:rPr>
          <w:rFonts w:ascii="Calibri" w:hAnsi="Calibri" w:cs="FrankRuehl"/>
          <w:b/>
          <w:bCs/>
          <w:spacing w:val="10"/>
          <w:sz w:val="28"/>
          <w:szCs w:val="28"/>
          <w:u w:val="single"/>
          <w:rtl/>
        </w:rPr>
        <w:t xml:space="preserve"> </w:t>
      </w:r>
      <w:r w:rsidRPr="00E2130C">
        <w:rPr>
          <w:rFonts w:ascii="Calibri" w:hAnsi="Calibri" w:cs="FrankRuehl" w:hint="eastAsia"/>
          <w:b/>
          <w:bCs/>
          <w:spacing w:val="10"/>
          <w:sz w:val="28"/>
          <w:szCs w:val="28"/>
          <w:u w:val="single"/>
          <w:rtl/>
        </w:rPr>
        <w:t>העונש</w:t>
      </w:r>
      <w:r w:rsidRPr="00E2130C">
        <w:rPr>
          <w:rFonts w:ascii="Calibri" w:hAnsi="Calibri" w:cs="FrankRuehl"/>
          <w:b/>
          <w:bCs/>
          <w:spacing w:val="10"/>
          <w:sz w:val="28"/>
          <w:szCs w:val="28"/>
          <w:u w:val="single"/>
          <w:rtl/>
        </w:rPr>
        <w:t xml:space="preserve"> </w:t>
      </w:r>
      <w:r w:rsidRPr="00E2130C">
        <w:rPr>
          <w:rFonts w:ascii="Calibri" w:hAnsi="Calibri" w:cs="FrankRuehl" w:hint="eastAsia"/>
          <w:b/>
          <w:bCs/>
          <w:spacing w:val="10"/>
          <w:sz w:val="28"/>
          <w:szCs w:val="28"/>
          <w:u w:val="single"/>
          <w:rtl/>
        </w:rPr>
        <w:t>המתאים</w:t>
      </w:r>
    </w:p>
    <w:p w14:paraId="50C020F2"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12.</w:t>
      </w:r>
      <w:r w:rsidRPr="00E2130C">
        <w:rPr>
          <w:rFonts w:ascii="Arial TUR" w:hAnsi="Arial TUR" w:cs="FrankRuehl"/>
          <w:spacing w:val="10"/>
          <w:sz w:val="22"/>
          <w:szCs w:val="28"/>
          <w:rtl/>
        </w:rPr>
        <w:tab/>
        <w:t xml:space="preserve">לצורך גזירת עונשו של הנאשם בגדרי המתחמים שנקבעו לעיל, יש לשקול את הנסיבות שאינן קשורות לביצוע העבירות כאמור </w:t>
      </w:r>
      <w:hyperlink r:id="rId43" w:history="1">
        <w:r w:rsidR="00A32C39" w:rsidRPr="00A32C39">
          <w:rPr>
            <w:rStyle w:val="Hyperlink"/>
            <w:rFonts w:ascii="Arial TUR" w:hAnsi="Arial TUR" w:cs="FrankRuehl"/>
            <w:spacing w:val="10"/>
            <w:sz w:val="22"/>
            <w:szCs w:val="28"/>
            <w:rtl/>
          </w:rPr>
          <w:t>בסעיף 40יא</w:t>
        </w:r>
      </w:hyperlink>
      <w:r w:rsidRPr="00E2130C">
        <w:rPr>
          <w:rFonts w:ascii="Arial TUR" w:hAnsi="Arial TUR" w:cs="FrankRuehl"/>
          <w:spacing w:val="10"/>
          <w:sz w:val="22"/>
          <w:szCs w:val="28"/>
          <w:rtl/>
        </w:rPr>
        <w:t xml:space="preserve"> ל</w:t>
      </w:r>
      <w:hyperlink r:id="rId44" w:history="1">
        <w:r w:rsidR="00360CB5" w:rsidRPr="00360CB5">
          <w:rPr>
            <w:rFonts w:ascii="Arial TUR" w:hAnsi="Arial TUR" w:cs="FrankRuehl"/>
            <w:color w:val="0000FF"/>
            <w:spacing w:val="10"/>
            <w:sz w:val="22"/>
            <w:szCs w:val="28"/>
            <w:u w:val="single"/>
            <w:rtl/>
          </w:rPr>
          <w:t>חוק העונשין</w:t>
        </w:r>
      </w:hyperlink>
      <w:r w:rsidRPr="00E2130C">
        <w:rPr>
          <w:rFonts w:ascii="Arial TUR" w:hAnsi="Arial TUR" w:cs="FrankRuehl"/>
          <w:spacing w:val="10"/>
          <w:sz w:val="22"/>
          <w:szCs w:val="28"/>
          <w:rtl/>
        </w:rPr>
        <w:t>.</w:t>
      </w:r>
    </w:p>
    <w:p w14:paraId="75BCD49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8351F57"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r>
      <w:r w:rsidRPr="00E2130C">
        <w:rPr>
          <w:rFonts w:ascii="Arial TUR" w:hAnsi="Arial TUR" w:cs="FrankRuehl"/>
          <w:b/>
          <w:bCs/>
          <w:spacing w:val="10"/>
          <w:sz w:val="22"/>
          <w:szCs w:val="28"/>
          <w:rtl/>
        </w:rPr>
        <w:t>לקולא</w:t>
      </w:r>
      <w:r w:rsidRPr="00E2130C">
        <w:rPr>
          <w:rFonts w:ascii="Arial TUR" w:hAnsi="Arial TUR" w:cs="FrankRuehl"/>
          <w:spacing w:val="10"/>
          <w:sz w:val="22"/>
          <w:szCs w:val="28"/>
          <w:rtl/>
        </w:rPr>
        <w:t>, שקלתי את הודאת הנאשם בתיק העיקרי ובתיק המצורף, את נטילת האחריות על ידו, ואת החרטה שהביע על מעשיו. בהקשר זה יש לתת משקל מהותי לכך שהודאת הנאשם חסכה מהמתלונן את הצורך להעיד במשפט. עוד לקחתי בחשבון כי מדובר בבחור צעיר יחסית (בן 24), אשר לטענת הסנגור גדל בנסיבות חיים לא פשוטות ואשר אמו חולה (יוער כי לא הוגש תיעוד בעניין). בנוסף, נתתי משקל מסוים לדברי הנאשם שטען לפניי כי הוא נכון להשתלב בטיפול לשליטה בכעסים, באופן שיתכן שמלמד על ראשיתה של תובנה בדבר הצורך בשינוי. אציין כי נתתי דעתי גם לחלוף הזמן מאז ביצוע העבירות נושא התיק המצורף בשנת 2016.</w:t>
      </w:r>
    </w:p>
    <w:p w14:paraId="59002F23"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71D261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r>
      <w:r w:rsidRPr="00E2130C">
        <w:rPr>
          <w:rFonts w:ascii="Arial TUR" w:hAnsi="Arial TUR" w:cs="FrankRuehl"/>
          <w:b/>
          <w:bCs/>
          <w:spacing w:val="10"/>
          <w:sz w:val="22"/>
          <w:szCs w:val="28"/>
          <w:rtl/>
        </w:rPr>
        <w:t>לחומרא</w:t>
      </w:r>
      <w:r w:rsidRPr="00E2130C">
        <w:rPr>
          <w:rFonts w:ascii="Arial TUR" w:hAnsi="Arial TUR" w:cs="FrankRuehl"/>
          <w:spacing w:val="10"/>
          <w:sz w:val="22"/>
          <w:szCs w:val="28"/>
          <w:rtl/>
        </w:rPr>
        <w:t>, שקלתי את עברו הפלילי של הנאשם הכולל שתי הרשעות קודמות בעבירות אלימות, לרבות בעבירה של פציעה כשהעבריין מזויין (ראו הפירוט בפס' 4 לדבריי לעיל). כאמור, כנגד הנאשם תלוי ועומד עונש מאסר מותנה בגין עבירת אלימות, אולם הדבר לא מנע ממנו מלתקוף את המתלונן במספר דקירות סכין, ולאחר מכן לנסות להדיח אחרים בחקירה. מכל אלה עולה תמונה מדאיגה בנוגע לרמת הסיכון הנשקפת מהנאשם בגין התנהלות תוקפנית ושלוחת רסן תוך שימוש בנשק קר, ובגין התנהגות חוזרת ונשנית להדחה בחקירה שיש בה ניגוד בוטה לעקרון שלטון החוק. תמונה מדאיגה זו מחייבת ענישה הולמת שיהיה בה כדי להרתיע את היחיד וגם את הרבים מפני הישנות מעשים דומים בעתיד.</w:t>
      </w:r>
    </w:p>
    <w:p w14:paraId="344AE1B3"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7C1636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13.</w:t>
      </w:r>
      <w:r w:rsidRPr="00E2130C">
        <w:rPr>
          <w:rFonts w:ascii="Arial TUR" w:hAnsi="Arial TUR" w:cs="FrankRuehl"/>
          <w:spacing w:val="10"/>
          <w:sz w:val="22"/>
          <w:szCs w:val="28"/>
          <w:rtl/>
        </w:rPr>
        <w:tab/>
        <w:t xml:space="preserve">באיזון בין השיקולים, אני סבורה כי יש למקם את עונשו של הנאשם בטווח האמצעי של שני המתחמים שנקבעו, באופן שבגין שני התיקים יחדיו יוטל על הנאשם עונש כולל של 46 חודשי מאסר בפועל (בניכוי ימי מעצר), וכן ענישה שצופה פני עתיד. יובהר כי אלמלא הודאת הנאשם ונטילת האחריות מצדו באופן שחסך את הצורך בהעדת המתלונן, היה מקום לשקול עונש חמור יותר מכפי שנגזר. </w:t>
      </w:r>
    </w:p>
    <w:p w14:paraId="11100672"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2ED3FF9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בנוסף, יש להורות על הפעלת עונש המאסר המותנה בן 7 החודשים שהוטל על הנאשם ב</w:t>
      </w:r>
      <w:hyperlink r:id="rId45" w:history="1">
        <w:r w:rsidR="00360CB5" w:rsidRPr="00360CB5">
          <w:rPr>
            <w:rFonts w:ascii="Arial TUR" w:hAnsi="Arial TUR" w:cs="FrankRuehl"/>
            <w:color w:val="0000FF"/>
            <w:spacing w:val="10"/>
            <w:sz w:val="22"/>
            <w:szCs w:val="28"/>
            <w:u w:val="single"/>
            <w:rtl/>
          </w:rPr>
          <w:t>ת"פ (שלום י-ם) 3823-05-14</w:t>
        </w:r>
      </w:hyperlink>
      <w:r w:rsidRPr="00E2130C">
        <w:rPr>
          <w:rFonts w:ascii="Arial TUR" w:hAnsi="Arial TUR" w:cs="FrankRuehl"/>
          <w:spacing w:val="10"/>
          <w:sz w:val="22"/>
          <w:szCs w:val="28"/>
          <w:rtl/>
        </w:rPr>
        <w:t xml:space="preserve">. ברגיל, הכלל לפי </w:t>
      </w:r>
      <w:hyperlink r:id="rId46" w:history="1">
        <w:r w:rsidR="00A32C39" w:rsidRPr="00A32C39">
          <w:rPr>
            <w:rStyle w:val="Hyperlink"/>
            <w:rFonts w:ascii="Arial TUR" w:hAnsi="Arial TUR" w:cs="FrankRuehl"/>
            <w:spacing w:val="10"/>
            <w:sz w:val="22"/>
            <w:szCs w:val="28"/>
            <w:rtl/>
          </w:rPr>
          <w:t>סעיף 58</w:t>
        </w:r>
      </w:hyperlink>
      <w:r w:rsidRPr="00E2130C">
        <w:rPr>
          <w:rFonts w:ascii="Arial TUR" w:hAnsi="Arial TUR" w:cs="FrankRuehl"/>
          <w:spacing w:val="10"/>
          <w:sz w:val="22"/>
          <w:szCs w:val="28"/>
          <w:rtl/>
        </w:rPr>
        <w:t xml:space="preserve"> ל</w:t>
      </w:r>
      <w:hyperlink r:id="rId47" w:history="1">
        <w:r w:rsidR="00360CB5" w:rsidRPr="00360CB5">
          <w:rPr>
            <w:rFonts w:ascii="Arial TUR" w:hAnsi="Arial TUR" w:cs="FrankRuehl"/>
            <w:color w:val="0000FF"/>
            <w:spacing w:val="10"/>
            <w:sz w:val="22"/>
            <w:szCs w:val="28"/>
            <w:u w:val="single"/>
            <w:rtl/>
          </w:rPr>
          <w:t>חוק העונשין</w:t>
        </w:r>
      </w:hyperlink>
      <w:r w:rsidRPr="00E2130C">
        <w:rPr>
          <w:rFonts w:ascii="Arial TUR" w:hAnsi="Arial TUR" w:cs="FrankRuehl"/>
          <w:spacing w:val="10"/>
          <w:sz w:val="22"/>
          <w:szCs w:val="28"/>
          <w:rtl/>
        </w:rPr>
        <w:t xml:space="preserve"> הנו הפעלה במצטבר של עונש המאסר על תנאי. יחד עם זאת, בשים לב לנסיבות לקולא שפורטו בפס' 12 לעיל, לרבות דבריו של הנאשם לפניי כי הוא מתחרט על מעשיו ומעוניין בטיפול, ראיתי לנכון להפעיל את עונש המאסר המותנה באופן ש-4 חודשים ממנו יופעלו במצטבר ו-3 החודשים הנותרים יופעלו בחופף, כך שסך הכל יוטלו על הנאשם 50 חודשי מאסר בפועל.</w:t>
      </w:r>
    </w:p>
    <w:p w14:paraId="1600CB8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78BB53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14.</w:t>
      </w:r>
      <w:r w:rsidRPr="00E2130C">
        <w:rPr>
          <w:rFonts w:ascii="Arial TUR" w:hAnsi="Arial TUR" w:cs="FrankRuehl"/>
          <w:spacing w:val="10"/>
          <w:sz w:val="22"/>
          <w:szCs w:val="28"/>
          <w:rtl/>
        </w:rPr>
        <w:tab/>
        <w:t xml:space="preserve">מאחר שהעבירות בהן הורשע הנאשם בתיק העיקרי ובתיק המצורף לא בוצעו ממניע כלכלי, לא ראיתי להטיל על הנאשם קנס כספי. </w:t>
      </w:r>
    </w:p>
    <w:p w14:paraId="05B3859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31831A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ab/>
        <w:t>אשר לרכיב הפיצוי – באופן כללי, לפיצוי נפגע עבירה במסגרת ההליך הפלילי מספר מטרות אפשריות, המשלבות תכליות אזרחיות ביחד עם תכליות מהתחום הפלילי. עמד על כך כב' השופט מלצר בזו הלשון:</w:t>
      </w:r>
    </w:p>
    <w:p w14:paraId="6235473A"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p>
    <w:p w14:paraId="30FA766E" w14:textId="77777777" w:rsidR="0062506A" w:rsidRPr="00E2130C" w:rsidRDefault="0062506A" w:rsidP="0062506A">
      <w:pPr>
        <w:overflowPunct w:val="0"/>
        <w:autoSpaceDE w:val="0"/>
        <w:autoSpaceDN w:val="0"/>
        <w:adjustRightInd w:val="0"/>
        <w:ind w:left="1644" w:right="1276"/>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 xml:space="preserve">"לפיצוי שנפסק לטובת נפגע עבירה קיימות מספר תכליות שונות, המשקפות את היותו פיצוי בעל רכיב אזרחי דומיננטי המתקיים ב"סביבה" פלילית-עונשית (ראו: </w:t>
      </w:r>
      <w:hyperlink r:id="rId48" w:history="1">
        <w:r w:rsidR="00360CB5" w:rsidRPr="00360CB5">
          <w:rPr>
            <w:rFonts w:ascii="Arial TUR" w:hAnsi="Arial TUR" w:cs="FrankRuehl"/>
            <w:color w:val="0000FF"/>
            <w:spacing w:val="10"/>
            <w:sz w:val="22"/>
            <w:szCs w:val="28"/>
            <w:u w:val="single"/>
            <w:rtl/>
          </w:rPr>
          <w:t>רע"פ 2976/01 אסף נ' מדינת ישראל, פ"ד נו</w:t>
        </w:r>
      </w:hyperlink>
      <w:r w:rsidRPr="00E2130C">
        <w:rPr>
          <w:rFonts w:ascii="Arial TUR" w:hAnsi="Arial TUR" w:cs="FrankRuehl"/>
          <w:spacing w:val="10"/>
          <w:sz w:val="22"/>
          <w:szCs w:val="28"/>
          <w:rtl/>
        </w:rPr>
        <w:t xml:space="preserve">(3) 418 (2002) (להלן: </w:t>
      </w:r>
      <w:r w:rsidRPr="00E2130C">
        <w:rPr>
          <w:rFonts w:ascii="Arial TUR" w:hAnsi="Arial TUR" w:cs="Miriam"/>
          <w:spacing w:val="10"/>
          <w:rtl/>
        </w:rPr>
        <w:t>עניין אסף</w:t>
      </w:r>
      <w:r w:rsidRPr="00E2130C">
        <w:rPr>
          <w:rFonts w:ascii="Arial TUR" w:hAnsi="Arial TUR" w:cs="FrankRuehl"/>
          <w:spacing w:val="10"/>
          <w:sz w:val="22"/>
          <w:szCs w:val="28"/>
          <w:rtl/>
        </w:rPr>
        <w:t>)). בין התכליות האמורות ניתן לציין את הבאות: מתן סעד לנפגע העבירה בטווח זמנים קצר, מבלי שייאלץ להמתין לסיום הליכים אזרחיים בעניינו; מניעת מפגש מחודש עם העבריין שפגע בו במסגרת של הליך אזרחי נוסף; הכרה חברתית בסבלו של הנפגע; העלאת מעמדו של קורבן העבירה בהליך הפלילי, כחלק מהמגמה לשלבו בהליך הפלילי ולהכיר בזכויותיו במסגרת הליך זה; ואף יסוד של היטהרות לעבריין עצמו, שחיובו בפיצוי לטובת הנפגע עשוי לתרום לשיקומו...".</w:t>
      </w:r>
    </w:p>
    <w:p w14:paraId="139E2531" w14:textId="77777777" w:rsidR="0062506A" w:rsidRPr="00E2130C" w:rsidRDefault="0062506A" w:rsidP="0062506A">
      <w:pPr>
        <w:overflowPunct w:val="0"/>
        <w:autoSpaceDE w:val="0"/>
        <w:autoSpaceDN w:val="0"/>
        <w:adjustRightInd w:val="0"/>
        <w:ind w:left="1644" w:right="1276"/>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w:t>
      </w:r>
      <w:hyperlink r:id="rId49" w:history="1">
        <w:r w:rsidR="00360CB5" w:rsidRPr="00360CB5">
          <w:rPr>
            <w:rFonts w:ascii="Arial TUR" w:hAnsi="Arial TUR" w:cs="FrankRuehl"/>
            <w:color w:val="0000FF"/>
            <w:spacing w:val="10"/>
            <w:sz w:val="22"/>
            <w:szCs w:val="28"/>
            <w:u w:val="single"/>
            <w:rtl/>
          </w:rPr>
          <w:t>ע"פ 8745/08</w:t>
        </w:r>
      </w:hyperlink>
      <w:r w:rsidRPr="00E2130C">
        <w:rPr>
          <w:rFonts w:ascii="Arial TUR" w:hAnsi="Arial TUR" w:cs="FrankRuehl"/>
          <w:spacing w:val="10"/>
          <w:sz w:val="22"/>
          <w:szCs w:val="28"/>
          <w:rtl/>
        </w:rPr>
        <w:t xml:space="preserve"> </w:t>
      </w:r>
      <w:r w:rsidRPr="00E2130C">
        <w:rPr>
          <w:rFonts w:ascii="Arial TUR" w:hAnsi="Arial TUR" w:cs="Miriam"/>
          <w:spacing w:val="10"/>
          <w:rtl/>
        </w:rPr>
        <w:t>פלוני נ' מדינת ישראל</w:t>
      </w:r>
      <w:r w:rsidRPr="00E2130C">
        <w:rPr>
          <w:rFonts w:ascii="Arial TUR" w:hAnsi="Arial TUR" w:cs="FrankRuehl"/>
          <w:spacing w:val="10"/>
          <w:sz w:val="22"/>
          <w:szCs w:val="28"/>
          <w:rtl/>
        </w:rPr>
        <w:t xml:space="preserve"> (30.11.2011), פס' 30).</w:t>
      </w:r>
    </w:p>
    <w:p w14:paraId="35058A5D"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p>
    <w:p w14:paraId="3099E927"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r w:rsidRPr="00E2130C">
        <w:rPr>
          <w:rFonts w:cs="FrankRuehl"/>
          <w:spacing w:val="10"/>
          <w:sz w:val="28"/>
          <w:szCs w:val="28"/>
          <w:rtl/>
        </w:rPr>
        <w:tab/>
        <w:t>במקרה דנן, לא הוגש תסקיר נפגע עבירה. אף-על-פי-כן, לא יכול להיות חולק בדבר הנזקים הממשיים שנגרמו למתלונן כעולה מעובדות כתב האישום המתוקן בהן הודה הנאשם. לפיכך, מוצדק לחייב את הנאשם בפיצוי לטובת המתלונן. הסנגור בהגינותו לא טען לפניי אחרת, והותיר את סוגית הפיצוי לשיקול דעת בית המשפט.</w:t>
      </w:r>
    </w:p>
    <w:p w14:paraId="1B924F11"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p>
    <w:p w14:paraId="56F0071B" w14:textId="77777777" w:rsidR="0062506A" w:rsidRPr="00E2130C" w:rsidRDefault="0062506A" w:rsidP="0062506A">
      <w:pPr>
        <w:overflowPunct w:val="0"/>
        <w:autoSpaceDE w:val="0"/>
        <w:autoSpaceDN w:val="0"/>
        <w:adjustRightInd w:val="0"/>
        <w:spacing w:line="360" w:lineRule="auto"/>
        <w:ind w:firstLine="720"/>
        <w:jc w:val="both"/>
        <w:textAlignment w:val="baseline"/>
        <w:rPr>
          <w:rFonts w:cs="FrankRuehl"/>
          <w:spacing w:val="10"/>
          <w:sz w:val="28"/>
          <w:szCs w:val="28"/>
          <w:rtl/>
        </w:rPr>
      </w:pPr>
      <w:r w:rsidRPr="00E2130C">
        <w:rPr>
          <w:rFonts w:cs="FrankRuehl"/>
          <w:spacing w:val="10"/>
          <w:sz w:val="28"/>
          <w:szCs w:val="28"/>
          <w:rtl/>
        </w:rPr>
        <w:t xml:space="preserve">אשר לשיעור הפיצוי - בהתאם </w:t>
      </w:r>
      <w:hyperlink r:id="rId50" w:history="1">
        <w:r w:rsidR="00A32C39" w:rsidRPr="00A32C39">
          <w:rPr>
            <w:rStyle w:val="Hyperlink"/>
            <w:rFonts w:cs="FrankRuehl"/>
            <w:spacing w:val="10"/>
            <w:sz w:val="28"/>
            <w:szCs w:val="28"/>
            <w:rtl/>
          </w:rPr>
          <w:t>לסעיף 77(א)</w:t>
        </w:r>
      </w:hyperlink>
      <w:r w:rsidRPr="00E2130C">
        <w:rPr>
          <w:rFonts w:cs="FrankRuehl"/>
          <w:spacing w:val="10"/>
          <w:sz w:val="28"/>
          <w:szCs w:val="28"/>
          <w:rtl/>
        </w:rPr>
        <w:t xml:space="preserve"> ל</w:t>
      </w:r>
      <w:hyperlink r:id="rId51" w:history="1">
        <w:r w:rsidR="00360CB5" w:rsidRPr="00360CB5">
          <w:rPr>
            <w:rFonts w:cs="FrankRuehl"/>
            <w:color w:val="0000FF"/>
            <w:spacing w:val="10"/>
            <w:sz w:val="28"/>
            <w:szCs w:val="28"/>
            <w:u w:val="single"/>
            <w:rtl/>
          </w:rPr>
          <w:t>חוק העונשין</w:t>
        </w:r>
      </w:hyperlink>
      <w:r w:rsidRPr="00E2130C">
        <w:rPr>
          <w:rFonts w:cs="FrankRuehl"/>
          <w:spacing w:val="10"/>
          <w:sz w:val="28"/>
          <w:szCs w:val="28"/>
          <w:rtl/>
        </w:rPr>
        <w:t xml:space="preserve">, הפיצוי משולם בגין נזק או סבל שנגרם לנפגע העבירה, וזאת עד התקרה הקבועה באותו סעיף (ראו: </w:t>
      </w:r>
      <w:hyperlink r:id="rId52" w:history="1">
        <w:r w:rsidR="00360CB5" w:rsidRPr="00360CB5">
          <w:rPr>
            <w:rFonts w:cs="FrankRuehl"/>
            <w:color w:val="0000FF"/>
            <w:spacing w:val="10"/>
            <w:sz w:val="28"/>
            <w:szCs w:val="28"/>
            <w:u w:val="single"/>
            <w:rtl/>
          </w:rPr>
          <w:t>ע"פ 4666/12</w:t>
        </w:r>
      </w:hyperlink>
      <w:r w:rsidRPr="00E2130C">
        <w:rPr>
          <w:rFonts w:cs="FrankRuehl"/>
          <w:spacing w:val="10"/>
          <w:sz w:val="28"/>
          <w:szCs w:val="28"/>
          <w:rtl/>
        </w:rPr>
        <w:t xml:space="preserve"> </w:t>
      </w:r>
      <w:r w:rsidRPr="00E2130C">
        <w:rPr>
          <w:rFonts w:cs="Miriam"/>
          <w:spacing w:val="10"/>
          <w:rtl/>
        </w:rPr>
        <w:t>גורבץ נ' מדינת ישראל</w:t>
      </w:r>
      <w:r w:rsidRPr="00E2130C">
        <w:rPr>
          <w:rFonts w:cs="FrankRuehl"/>
          <w:spacing w:val="10"/>
          <w:sz w:val="28"/>
          <w:szCs w:val="28"/>
          <w:rtl/>
        </w:rPr>
        <w:t xml:space="preserve"> (8.11.2012), פס' 14). בהתאם להלכה הפסוקה, קביעת שיעור הפיצוי מסורה להערכת בית המשפט והיא מהווה "פרי איזון בין מכלול של שיקולים וביניהם מכלול נסיבות העניין, היקף הנזק שנגרם ותוצאותיו" (ראו והשוו: דברי כב' השופטת ארבל ב</w:t>
      </w:r>
      <w:hyperlink r:id="rId53" w:history="1">
        <w:r w:rsidR="00360CB5" w:rsidRPr="00360CB5">
          <w:rPr>
            <w:rFonts w:cs="FrankRuehl"/>
            <w:color w:val="0000FF"/>
            <w:spacing w:val="10"/>
            <w:sz w:val="28"/>
            <w:szCs w:val="28"/>
            <w:u w:val="single"/>
            <w:rtl/>
          </w:rPr>
          <w:t>ע"פ 10632/07</w:t>
        </w:r>
      </w:hyperlink>
      <w:r w:rsidRPr="00E2130C">
        <w:rPr>
          <w:rFonts w:cs="FrankRuehl"/>
          <w:spacing w:val="10"/>
          <w:sz w:val="28"/>
          <w:szCs w:val="28"/>
          <w:rtl/>
        </w:rPr>
        <w:t xml:space="preserve"> </w:t>
      </w:r>
      <w:r w:rsidRPr="00E2130C">
        <w:rPr>
          <w:rFonts w:cs="Miriam"/>
          <w:spacing w:val="10"/>
          <w:rtl/>
        </w:rPr>
        <w:t>מזרחי נ' מדינת ישראל</w:t>
      </w:r>
      <w:r w:rsidRPr="00E2130C">
        <w:rPr>
          <w:rFonts w:cs="FrankRuehl"/>
          <w:spacing w:val="10"/>
          <w:sz w:val="28"/>
          <w:szCs w:val="28"/>
          <w:rtl/>
        </w:rPr>
        <w:t xml:space="preserve"> (10.6.2008), פס' 11). בחינת הפסיקה מעלה כי בגין עבירת אלימות מהסוג בה עסקינן בתיק העיקרי, נוהגים בתי-המשפט לפסוק במסגרת ההליך הפלילי סכומי פיצוי מגוונים שנעים ממספר בודד של אלפי ₪ ועד עשרות אלפי ₪ - כל מקרה לפי נסיבותיו. </w:t>
      </w:r>
    </w:p>
    <w:p w14:paraId="514D7F08"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p>
    <w:p w14:paraId="250F4926"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r w:rsidRPr="00E2130C">
        <w:rPr>
          <w:rFonts w:cs="FrankRuehl"/>
          <w:spacing w:val="10"/>
          <w:sz w:val="28"/>
          <w:szCs w:val="28"/>
          <w:rtl/>
        </w:rPr>
        <w:tab/>
        <w:t xml:space="preserve">בהמשך לדברים האמורים, אזכיר כי חיוב בפיצוי לפי </w:t>
      </w:r>
      <w:hyperlink r:id="rId54" w:history="1">
        <w:r w:rsidR="00A32C39" w:rsidRPr="00A32C39">
          <w:rPr>
            <w:rStyle w:val="Hyperlink"/>
            <w:rFonts w:cs="FrankRuehl"/>
            <w:spacing w:val="10"/>
            <w:sz w:val="28"/>
            <w:szCs w:val="28"/>
            <w:rtl/>
          </w:rPr>
          <w:t>סעיף 77</w:t>
        </w:r>
      </w:hyperlink>
      <w:r w:rsidRPr="00E2130C">
        <w:rPr>
          <w:rFonts w:cs="FrankRuehl"/>
          <w:spacing w:val="10"/>
          <w:sz w:val="28"/>
          <w:szCs w:val="28"/>
          <w:rtl/>
        </w:rPr>
        <w:t xml:space="preserve"> ל</w:t>
      </w:r>
      <w:hyperlink r:id="rId55" w:history="1">
        <w:r w:rsidR="00360CB5" w:rsidRPr="00360CB5">
          <w:rPr>
            <w:rFonts w:cs="FrankRuehl"/>
            <w:color w:val="0000FF"/>
            <w:spacing w:val="10"/>
            <w:sz w:val="28"/>
            <w:szCs w:val="28"/>
            <w:u w:val="single"/>
            <w:rtl/>
          </w:rPr>
          <w:t>חוק העונשין</w:t>
        </w:r>
      </w:hyperlink>
      <w:r w:rsidRPr="00E2130C">
        <w:rPr>
          <w:rFonts w:cs="FrankRuehl"/>
          <w:spacing w:val="10"/>
          <w:sz w:val="28"/>
          <w:szCs w:val="28"/>
          <w:rtl/>
        </w:rPr>
        <w:t xml:space="preserve">, הוא חיוב בעל מאפיינים אזרחיים במסגרת הליך פלילי. כשם שבהליך אזרחי במסגרת תביעה נזיקית אין חשיבות לשאלת יכולתו הכלכלית של הנתבע במסגרת עצם החיוב או שיעורו, כך גם בהליך הפלילי אין ליתן משקל משמעותי לנתון זה במסגרת קביעת שיעור הפיצוי. ובלשונו של כב' השופט רובינשטיין: "אין הסכום קשור מטבעו ביכולתו הכלכלית של החייב" (ראו: </w:t>
      </w:r>
      <w:hyperlink r:id="rId56" w:history="1">
        <w:r w:rsidR="00360CB5" w:rsidRPr="00360CB5">
          <w:rPr>
            <w:rFonts w:cs="FrankRuehl"/>
            <w:color w:val="0000FF"/>
            <w:spacing w:val="10"/>
            <w:sz w:val="28"/>
            <w:szCs w:val="28"/>
            <w:u w:val="single"/>
            <w:rtl/>
          </w:rPr>
          <w:t>ע"פ 5761/05</w:t>
        </w:r>
      </w:hyperlink>
      <w:r w:rsidRPr="00E2130C">
        <w:rPr>
          <w:rFonts w:cs="FrankRuehl"/>
          <w:spacing w:val="10"/>
          <w:sz w:val="28"/>
          <w:szCs w:val="28"/>
          <w:rtl/>
        </w:rPr>
        <w:t xml:space="preserve"> </w:t>
      </w:r>
      <w:r w:rsidRPr="00E2130C">
        <w:rPr>
          <w:rFonts w:ascii="Century" w:hAnsi="Century" w:cs="Miriam" w:hint="eastAsia"/>
          <w:spacing w:val="10"/>
          <w:rtl/>
        </w:rPr>
        <w:t>מג</w:t>
      </w:r>
      <w:r w:rsidRPr="00E2130C">
        <w:rPr>
          <w:rFonts w:ascii="Century" w:hAnsi="Century" w:cs="Miriam"/>
          <w:spacing w:val="10"/>
          <w:rtl/>
        </w:rPr>
        <w:t>'</w:t>
      </w:r>
      <w:r w:rsidRPr="00E2130C">
        <w:rPr>
          <w:rFonts w:ascii="Century" w:hAnsi="Century" w:cs="Miriam" w:hint="eastAsia"/>
          <w:spacing w:val="10"/>
          <w:rtl/>
        </w:rPr>
        <w:t>דלאוי</w:t>
      </w:r>
      <w:r w:rsidRPr="00E2130C">
        <w:rPr>
          <w:rFonts w:ascii="Century" w:hAnsi="Century" w:cs="Miriam"/>
          <w:spacing w:val="10"/>
          <w:rtl/>
        </w:rPr>
        <w:t xml:space="preserve"> </w:t>
      </w:r>
      <w:r w:rsidRPr="00E2130C">
        <w:rPr>
          <w:rFonts w:ascii="Century" w:hAnsi="Century" w:cs="Miriam" w:hint="eastAsia"/>
          <w:spacing w:val="10"/>
          <w:rtl/>
        </w:rPr>
        <w:t>נ</w:t>
      </w:r>
      <w:r w:rsidRPr="00E2130C">
        <w:rPr>
          <w:rFonts w:ascii="Century" w:hAnsi="Century" w:cs="Miriam"/>
          <w:spacing w:val="10"/>
          <w:rtl/>
        </w:rPr>
        <w:t xml:space="preserve">' </w:t>
      </w:r>
      <w:r w:rsidRPr="00E2130C">
        <w:rPr>
          <w:rFonts w:ascii="Century" w:hAnsi="Century" w:cs="Miriam" w:hint="eastAsia"/>
          <w:spacing w:val="10"/>
          <w:rtl/>
        </w:rPr>
        <w:t>מדינת</w:t>
      </w:r>
      <w:r w:rsidRPr="00E2130C">
        <w:rPr>
          <w:rFonts w:ascii="Century" w:hAnsi="Century" w:cs="Miriam"/>
          <w:spacing w:val="10"/>
          <w:rtl/>
        </w:rPr>
        <w:t xml:space="preserve"> </w:t>
      </w:r>
      <w:r w:rsidRPr="00E2130C">
        <w:rPr>
          <w:rFonts w:ascii="Century" w:hAnsi="Century" w:cs="Miriam" w:hint="eastAsia"/>
          <w:spacing w:val="10"/>
          <w:rtl/>
        </w:rPr>
        <w:t>ישראל</w:t>
      </w:r>
      <w:r w:rsidRPr="00E2130C">
        <w:rPr>
          <w:rFonts w:ascii="Century" w:hAnsi="Century" w:cs="FrankRuehl"/>
          <w:spacing w:val="10"/>
          <w:sz w:val="28"/>
          <w:szCs w:val="28"/>
          <w:rtl/>
        </w:rPr>
        <w:t xml:space="preserve"> (24.7.2006), </w:t>
      </w:r>
      <w:r w:rsidRPr="00E2130C">
        <w:rPr>
          <w:rFonts w:ascii="Century" w:hAnsi="Century" w:cs="FrankRuehl" w:hint="eastAsia"/>
          <w:spacing w:val="10"/>
          <w:sz w:val="28"/>
          <w:szCs w:val="28"/>
          <w:rtl/>
        </w:rPr>
        <w:t>פס</w:t>
      </w:r>
      <w:r w:rsidRPr="00E2130C">
        <w:rPr>
          <w:rFonts w:ascii="Century" w:hAnsi="Century" w:cs="FrankRuehl"/>
          <w:spacing w:val="10"/>
          <w:sz w:val="28"/>
          <w:szCs w:val="28"/>
          <w:rtl/>
        </w:rPr>
        <w:t xml:space="preserve">' </w:t>
      </w:r>
      <w:r w:rsidRPr="00E2130C">
        <w:rPr>
          <w:rFonts w:ascii="Century" w:hAnsi="Century" w:cs="FrankRuehl" w:hint="eastAsia"/>
          <w:spacing w:val="10"/>
          <w:sz w:val="28"/>
          <w:szCs w:val="28"/>
          <w:rtl/>
        </w:rPr>
        <w:t>ט</w:t>
      </w:r>
      <w:r w:rsidRPr="00E2130C">
        <w:rPr>
          <w:rFonts w:ascii="Century" w:hAnsi="Century" w:cs="FrankRuehl"/>
          <w:spacing w:val="10"/>
          <w:sz w:val="28"/>
          <w:szCs w:val="28"/>
          <w:rtl/>
        </w:rPr>
        <w:t>(2);</w:t>
      </w:r>
      <w:r w:rsidRPr="00E2130C">
        <w:rPr>
          <w:rFonts w:cs="FrankRuehl"/>
          <w:spacing w:val="10"/>
          <w:sz w:val="28"/>
          <w:szCs w:val="28"/>
          <w:rtl/>
        </w:rPr>
        <w:t xml:space="preserve"> עוד ראו: </w:t>
      </w:r>
      <w:hyperlink r:id="rId57" w:history="1">
        <w:r w:rsidR="00360CB5" w:rsidRPr="00360CB5">
          <w:rPr>
            <w:rFonts w:cs="FrankRuehl"/>
            <w:color w:val="0000FF"/>
            <w:spacing w:val="10"/>
            <w:sz w:val="28"/>
            <w:szCs w:val="28"/>
            <w:u w:val="single"/>
            <w:rtl/>
          </w:rPr>
          <w:t>ע"פ 420/09</w:t>
        </w:r>
      </w:hyperlink>
      <w:r w:rsidRPr="00E2130C">
        <w:rPr>
          <w:rFonts w:cs="FrankRuehl"/>
          <w:spacing w:val="10"/>
          <w:sz w:val="28"/>
          <w:szCs w:val="28"/>
          <w:rtl/>
        </w:rPr>
        <w:t xml:space="preserve"> </w:t>
      </w:r>
      <w:r w:rsidRPr="00E2130C">
        <w:rPr>
          <w:rFonts w:cs="Miriam"/>
          <w:spacing w:val="10"/>
          <w:rtl/>
        </w:rPr>
        <w:t>פלוני נ' מדינת ישראל</w:t>
      </w:r>
      <w:r w:rsidRPr="00E2130C">
        <w:rPr>
          <w:rFonts w:cs="FrankRuehl"/>
          <w:spacing w:val="10"/>
          <w:sz w:val="28"/>
          <w:szCs w:val="28"/>
          <w:rtl/>
        </w:rPr>
        <w:t xml:space="preserve"> (23.11.2009), פס' 96). </w:t>
      </w:r>
    </w:p>
    <w:p w14:paraId="5675F837" w14:textId="77777777" w:rsidR="0062506A" w:rsidRPr="00E2130C" w:rsidRDefault="0062506A" w:rsidP="0062506A">
      <w:pPr>
        <w:overflowPunct w:val="0"/>
        <w:autoSpaceDE w:val="0"/>
        <w:autoSpaceDN w:val="0"/>
        <w:adjustRightInd w:val="0"/>
        <w:spacing w:line="360" w:lineRule="auto"/>
        <w:jc w:val="both"/>
        <w:textAlignment w:val="baseline"/>
        <w:rPr>
          <w:rFonts w:cs="FrankRuehl"/>
          <w:spacing w:val="10"/>
          <w:sz w:val="28"/>
          <w:szCs w:val="28"/>
          <w:rtl/>
        </w:rPr>
      </w:pPr>
      <w:r w:rsidRPr="00E2130C">
        <w:rPr>
          <w:rFonts w:cs="FrankRuehl"/>
          <w:spacing w:val="10"/>
          <w:sz w:val="28"/>
          <w:szCs w:val="28"/>
          <w:rtl/>
        </w:rPr>
        <w:tab/>
        <w:t xml:space="preserve"> </w:t>
      </w:r>
    </w:p>
    <w:p w14:paraId="06C045C7" w14:textId="77777777" w:rsidR="0062506A" w:rsidRPr="00E2130C" w:rsidRDefault="0062506A" w:rsidP="0062506A">
      <w:pPr>
        <w:overflowPunct w:val="0"/>
        <w:autoSpaceDE w:val="0"/>
        <w:autoSpaceDN w:val="0"/>
        <w:adjustRightInd w:val="0"/>
        <w:spacing w:line="360" w:lineRule="auto"/>
        <w:jc w:val="both"/>
        <w:textAlignment w:val="baseline"/>
        <w:rPr>
          <w:rFonts w:ascii="Century" w:hAnsi="Century" w:cs="FrankRuehl"/>
          <w:spacing w:val="10"/>
          <w:sz w:val="28"/>
          <w:szCs w:val="28"/>
        </w:rPr>
      </w:pPr>
      <w:r w:rsidRPr="00E2130C">
        <w:rPr>
          <w:rFonts w:cs="FrankRuehl"/>
          <w:spacing w:val="10"/>
          <w:sz w:val="28"/>
          <w:szCs w:val="28"/>
          <w:rtl/>
        </w:rPr>
        <w:tab/>
        <w:t xml:space="preserve">בהתחשב במכלול השיקולים שפורטו לעיל ובשים לב לחבלות החמורות שנגרמו למתלונן, אני רואה להעמיד את שיעור הפיצוי בהליך הפלילי על סך של 10,000 ₪. ככל שהמתלונן סבור כי פיצוי זה אינו מכסה את מלוא היקף הנזקים שנגרמו לו, הדרך נותרת פתוחה לפניו לתבוע את מלוא יתרת נזקיו בהליך אזרחי מתאים. </w:t>
      </w:r>
    </w:p>
    <w:p w14:paraId="19419712"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044D54B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spacing w:val="10"/>
          <w:sz w:val="22"/>
          <w:szCs w:val="28"/>
          <w:rtl/>
        </w:rPr>
        <w:t xml:space="preserve"> 15.</w:t>
      </w:r>
      <w:r w:rsidRPr="00E2130C">
        <w:rPr>
          <w:rFonts w:ascii="Arial TUR" w:hAnsi="Arial TUR" w:cs="FrankRuehl"/>
          <w:spacing w:val="10"/>
          <w:sz w:val="22"/>
          <w:szCs w:val="28"/>
          <w:rtl/>
        </w:rPr>
        <w:tab/>
        <w:t xml:space="preserve">בכל הנוגע לבקשת המאשימה להשית על הנאשם עונש של פסילת רישיון נהיגה בגין הרשעתו בעבירה של החזקת סמים לצריכה עצמית במסגרת התיק המצורף – לא נטען לפניי כי הנאשם הורשע בעבר בעבירה לפי </w:t>
      </w:r>
      <w:hyperlink r:id="rId58" w:history="1">
        <w:r w:rsidR="00360CB5" w:rsidRPr="00360CB5">
          <w:rPr>
            <w:rFonts w:ascii="Arial TUR" w:hAnsi="Arial TUR" w:cs="FrankRuehl"/>
            <w:color w:val="0000FF"/>
            <w:spacing w:val="10"/>
            <w:sz w:val="22"/>
            <w:szCs w:val="28"/>
            <w:u w:val="single"/>
            <w:rtl/>
          </w:rPr>
          <w:t>פקודת הסמים המסוכנים</w:t>
        </w:r>
      </w:hyperlink>
      <w:r w:rsidRPr="00E2130C">
        <w:rPr>
          <w:rFonts w:ascii="Arial TUR" w:hAnsi="Arial TUR" w:cs="FrankRuehl"/>
          <w:spacing w:val="10"/>
          <w:sz w:val="22"/>
          <w:szCs w:val="28"/>
          <w:rtl/>
        </w:rPr>
        <w:t xml:space="preserve">. לפיכך, חל בעניין זה </w:t>
      </w:r>
      <w:hyperlink r:id="rId59" w:history="1">
        <w:r w:rsidR="00A32C39" w:rsidRPr="00A32C39">
          <w:rPr>
            <w:rStyle w:val="Hyperlink"/>
            <w:rFonts w:ascii="Arial TUR" w:hAnsi="Arial TUR" w:cs="FrankRuehl"/>
            <w:spacing w:val="10"/>
            <w:sz w:val="22"/>
            <w:szCs w:val="28"/>
            <w:rtl/>
          </w:rPr>
          <w:t>סעיף 37א(א)</w:t>
        </w:r>
      </w:hyperlink>
      <w:r w:rsidRPr="00E2130C">
        <w:rPr>
          <w:rFonts w:ascii="Arial TUR" w:hAnsi="Arial TUR" w:cs="FrankRuehl"/>
          <w:spacing w:val="10"/>
          <w:sz w:val="22"/>
          <w:szCs w:val="28"/>
          <w:rtl/>
        </w:rPr>
        <w:t xml:space="preserve"> (להבדיל מסעיף </w:t>
      </w:r>
      <w:hyperlink r:id="rId60" w:history="1">
        <w:r w:rsidR="00A32C39" w:rsidRPr="00A32C39">
          <w:rPr>
            <w:rStyle w:val="Hyperlink"/>
            <w:rFonts w:ascii="Arial TUR" w:hAnsi="Arial TUR" w:cs="FrankRuehl"/>
            <w:spacing w:val="10"/>
            <w:sz w:val="22"/>
            <w:szCs w:val="28"/>
            <w:rtl/>
          </w:rPr>
          <w:t>37א(ב))</w:t>
        </w:r>
      </w:hyperlink>
      <w:r w:rsidRPr="00E2130C">
        <w:rPr>
          <w:rFonts w:ascii="Arial TUR" w:hAnsi="Arial TUR" w:cs="FrankRuehl"/>
          <w:spacing w:val="10"/>
          <w:sz w:val="22"/>
          <w:szCs w:val="28"/>
          <w:rtl/>
        </w:rPr>
        <w:t xml:space="preserve"> לפקודה הנ"ל. בנסיבות העניין, ובשים לב בין היתר לזמן שחלף מאז ביצוע המעשים בתיק האמור, ראיתי להימנע מהטלת עונש של פסילת רישיון נהיגה בפועל, ולהסתפק בפסילה מותנית. </w:t>
      </w:r>
    </w:p>
    <w:p w14:paraId="25B8061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FCF5643"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Arial TUR" w:hAnsi="Arial TUR" w:cs="FrankRuehl"/>
          <w:b/>
          <w:bCs/>
          <w:spacing w:val="10"/>
          <w:sz w:val="22"/>
          <w:szCs w:val="28"/>
          <w:u w:val="single"/>
          <w:rtl/>
        </w:rPr>
        <w:t>סוף דבר</w:t>
      </w:r>
    </w:p>
    <w:p w14:paraId="702D0601"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spacing w:val="10"/>
          <w:sz w:val="22"/>
          <w:szCs w:val="28"/>
          <w:rtl/>
        </w:rPr>
        <w:t>16.</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נוכח</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מכלול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הטעמים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שפורטו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אני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גוזרת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הנאשם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כדלקמן</w:t>
      </w:r>
      <w:r w:rsidRPr="00E2130C">
        <w:rPr>
          <w:rFonts w:ascii="Century" w:hAnsi="Century" w:cs="FrankRuehl"/>
          <w:spacing w:val="10"/>
          <w:sz w:val="22"/>
          <w:szCs w:val="28"/>
          <w:rtl/>
        </w:rPr>
        <w:t>:</w:t>
      </w:r>
    </w:p>
    <w:p w14:paraId="0A4C4103"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א</w:t>
      </w:r>
      <w:r w:rsidRPr="00E2130C">
        <w:rPr>
          <w:rFonts w:ascii="Century" w:hAnsi="Century" w:cs="FrankRuehl"/>
          <w:spacing w:val="10"/>
          <w:sz w:val="22"/>
          <w:szCs w:val="28"/>
          <w:rtl/>
        </w:rPr>
        <w:t>.</w:t>
      </w:r>
      <w:r w:rsidRPr="00E2130C">
        <w:rPr>
          <w:rFonts w:ascii="Century" w:hAnsi="Century" w:cs="FrankRuehl"/>
          <w:spacing w:val="10"/>
          <w:sz w:val="22"/>
          <w:szCs w:val="28"/>
          <w:rtl/>
        </w:rPr>
        <w:tab/>
        <w:t xml:space="preserve">46 </w:t>
      </w:r>
      <w:r w:rsidRPr="00E2130C">
        <w:rPr>
          <w:rFonts w:ascii="Century" w:hAnsi="Century" w:cs="FrankRuehl" w:hint="eastAsia"/>
          <w:spacing w:val="10"/>
          <w:sz w:val="22"/>
          <w:szCs w:val="28"/>
          <w:rtl/>
        </w:rPr>
        <w:t>חודשי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בפועל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בגין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התיק</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העיקרי</w:t>
      </w:r>
      <w:r w:rsidRPr="00E2130C">
        <w:rPr>
          <w:rFonts w:ascii="Century" w:hAnsi="Century" w:cs="FrankRuehl"/>
          <w:spacing w:val="10"/>
          <w:sz w:val="22"/>
          <w:szCs w:val="28"/>
          <w:rtl/>
        </w:rPr>
        <w:t xml:space="preserve"> (</w:t>
      </w:r>
      <w:hyperlink r:id="rId61" w:history="1">
        <w:r w:rsidR="00360CB5" w:rsidRPr="00360CB5">
          <w:rPr>
            <w:rFonts w:ascii="Century" w:hAnsi="Century" w:cs="FrankRuehl" w:hint="eastAsia"/>
            <w:color w:val="0000FF"/>
            <w:spacing w:val="10"/>
            <w:sz w:val="22"/>
            <w:szCs w:val="28"/>
            <w:u w:val="single"/>
            <w:rtl/>
          </w:rPr>
          <w:t>ת</w:t>
        </w:r>
        <w:r w:rsidR="00360CB5" w:rsidRPr="00360CB5">
          <w:rPr>
            <w:rFonts w:ascii="Century" w:hAnsi="Century" w:cs="FrankRuehl"/>
            <w:color w:val="0000FF"/>
            <w:spacing w:val="10"/>
            <w:sz w:val="22"/>
            <w:szCs w:val="28"/>
            <w:u w:val="single"/>
            <w:rtl/>
          </w:rPr>
          <w:t>"</w:t>
        </w:r>
        <w:r w:rsidR="00360CB5" w:rsidRPr="00360CB5">
          <w:rPr>
            <w:rFonts w:ascii="Century" w:hAnsi="Century" w:cs="FrankRuehl" w:hint="eastAsia"/>
            <w:color w:val="0000FF"/>
            <w:spacing w:val="10"/>
            <w:sz w:val="22"/>
            <w:szCs w:val="28"/>
            <w:u w:val="single"/>
            <w:rtl/>
          </w:rPr>
          <w:t>פ</w:t>
        </w:r>
        <w:r w:rsidR="00360CB5" w:rsidRPr="00360CB5">
          <w:rPr>
            <w:rFonts w:ascii="Century" w:hAnsi="Century" w:cs="FrankRuehl"/>
            <w:color w:val="0000FF"/>
            <w:spacing w:val="10"/>
            <w:sz w:val="22"/>
            <w:szCs w:val="28"/>
            <w:u w:val="single"/>
            <w:rtl/>
          </w:rPr>
          <w:t xml:space="preserve"> 54137-11-19</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ובגין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התיק</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המצורף</w:t>
      </w:r>
      <w:r w:rsidRPr="00E2130C">
        <w:rPr>
          <w:rFonts w:ascii="Century" w:hAnsi="Century" w:cs="FrankRuehl"/>
          <w:spacing w:val="10"/>
          <w:sz w:val="22"/>
          <w:szCs w:val="28"/>
          <w:rtl/>
        </w:rPr>
        <w:t xml:space="preserve"> </w:t>
      </w:r>
      <w:r w:rsidRPr="00E2130C">
        <w:rPr>
          <w:rFonts w:ascii="Arial TUR" w:hAnsi="Arial TUR" w:cs="FrankRuehl"/>
          <w:spacing w:val="10"/>
          <w:sz w:val="22"/>
          <w:szCs w:val="28"/>
          <w:rtl/>
        </w:rPr>
        <w:t>(</w:t>
      </w:r>
      <w:hyperlink r:id="rId62" w:history="1">
        <w:r w:rsidR="00360CB5" w:rsidRPr="00360CB5">
          <w:rPr>
            <w:rFonts w:ascii="Arial TUR" w:hAnsi="Arial TUR" w:cs="FrankRuehl"/>
            <w:color w:val="0000FF"/>
            <w:spacing w:val="10"/>
            <w:sz w:val="22"/>
            <w:szCs w:val="28"/>
            <w:u w:val="single"/>
            <w:rtl/>
          </w:rPr>
          <w:t>ת"פ 31494-06-18</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יחדיו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בניכוי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ימי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המעצר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בשני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התיקים</w:t>
      </w:r>
      <w:r w:rsidRPr="00E2130C">
        <w:rPr>
          <w:rFonts w:ascii="Century" w:hAnsi="Century" w:cs="FrankRuehl"/>
          <w:spacing w:val="10"/>
          <w:sz w:val="22"/>
          <w:szCs w:val="28"/>
          <w:rtl/>
        </w:rPr>
        <w:t>.</w:t>
      </w:r>
    </w:p>
    <w:p w14:paraId="2A66D241"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59CCA0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ב</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עונש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המותנה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בן</w:t>
      </w:r>
      <w:r w:rsidRPr="00E2130C">
        <w:rPr>
          <w:rFonts w:ascii="Century" w:hAnsi="Century" w:cs="FrankRuehl"/>
          <w:spacing w:val="10"/>
          <w:sz w:val="22"/>
          <w:szCs w:val="28"/>
          <w:rtl/>
        </w:rPr>
        <w:t xml:space="preserve"> 7 </w:t>
      </w:r>
      <w:r w:rsidRPr="00E2130C">
        <w:rPr>
          <w:rFonts w:ascii="Century" w:hAnsi="Century" w:cs="FrankRuehl" w:hint="eastAsia"/>
          <w:spacing w:val="10"/>
          <w:sz w:val="22"/>
          <w:szCs w:val="28"/>
          <w:rtl/>
        </w:rPr>
        <w:t>החודשים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אשר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הוטל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הנאשם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בבית</w:t>
      </w:r>
      <w:r w:rsidRPr="00E2130C">
        <w:rPr>
          <w:rFonts w:ascii="Century" w:hAnsi="Century" w:cs="FrankRuehl"/>
          <w:spacing w:val="10"/>
          <w:sz w:val="22"/>
          <w:szCs w:val="28"/>
          <w:rtl/>
        </w:rPr>
        <w:t>-</w:t>
      </w:r>
      <w:r w:rsidRPr="00E2130C">
        <w:rPr>
          <w:rFonts w:ascii="Century" w:hAnsi="Century" w:cs="FrankRuehl" w:hint="eastAsia"/>
          <w:spacing w:val="10"/>
          <w:sz w:val="22"/>
          <w:szCs w:val="28"/>
          <w:rtl/>
        </w:rPr>
        <w:t>משפט</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השלום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בירושלים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w:t>
      </w:r>
      <w:hyperlink r:id="rId63" w:history="1">
        <w:r w:rsidR="00360CB5" w:rsidRPr="00360CB5">
          <w:rPr>
            <w:rFonts w:ascii="Century" w:hAnsi="Century" w:cs="FrankRuehl" w:hint="eastAsia"/>
            <w:color w:val="0000FF"/>
            <w:spacing w:val="10"/>
            <w:sz w:val="22"/>
            <w:szCs w:val="28"/>
            <w:u w:val="single"/>
            <w:rtl/>
          </w:rPr>
          <w:t>ת</w:t>
        </w:r>
        <w:r w:rsidR="00360CB5" w:rsidRPr="00360CB5">
          <w:rPr>
            <w:rFonts w:ascii="Century" w:hAnsi="Century" w:cs="FrankRuehl"/>
            <w:color w:val="0000FF"/>
            <w:spacing w:val="10"/>
            <w:sz w:val="22"/>
            <w:szCs w:val="28"/>
            <w:u w:val="single"/>
            <w:rtl/>
          </w:rPr>
          <w:t>"</w:t>
        </w:r>
        <w:r w:rsidR="00360CB5" w:rsidRPr="00360CB5">
          <w:rPr>
            <w:rFonts w:ascii="Century" w:hAnsi="Century" w:cs="FrankRuehl" w:hint="eastAsia"/>
            <w:color w:val="0000FF"/>
            <w:spacing w:val="10"/>
            <w:sz w:val="22"/>
            <w:szCs w:val="28"/>
            <w:u w:val="single"/>
            <w:rtl/>
          </w:rPr>
          <w:t>פ</w:t>
        </w:r>
        <w:r w:rsidR="00360CB5" w:rsidRPr="00360CB5">
          <w:rPr>
            <w:rFonts w:ascii="Century" w:hAnsi="Century" w:cs="FrankRuehl"/>
            <w:color w:val="0000FF"/>
            <w:spacing w:val="10"/>
            <w:sz w:val="22"/>
            <w:szCs w:val="28"/>
            <w:u w:val="single"/>
            <w:rtl/>
          </w:rPr>
          <w:t xml:space="preserve"> 3823-05-14</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יופעל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באופן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w:t>
      </w:r>
      <w:r w:rsidRPr="00E2130C">
        <w:rPr>
          <w:rFonts w:ascii="Century" w:hAnsi="Century" w:cs="FrankRuehl"/>
          <w:spacing w:val="10"/>
          <w:sz w:val="22"/>
          <w:szCs w:val="28"/>
          <w:rtl/>
        </w:rPr>
        <w:t xml:space="preserve">-4 </w:t>
      </w:r>
      <w:r w:rsidRPr="00E2130C">
        <w:rPr>
          <w:rFonts w:ascii="Century" w:hAnsi="Century" w:cs="FrankRuehl" w:hint="eastAsia"/>
          <w:spacing w:val="10"/>
          <w:sz w:val="22"/>
          <w:szCs w:val="28"/>
          <w:rtl/>
        </w:rPr>
        <w:t>חודשים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ממנו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w:t>
      </w:r>
      <w:r>
        <w:rPr>
          <w:rFonts w:ascii="Century" w:hAnsi="Century" w:cs="FrankRuehl" w:hint="cs"/>
          <w:spacing w:val="10"/>
          <w:sz w:val="22"/>
          <w:szCs w:val="28"/>
          <w:rtl/>
        </w:rPr>
        <w:t>רוצו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במצטבר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ו</w:t>
      </w:r>
      <w:r w:rsidRPr="00E2130C">
        <w:rPr>
          <w:rFonts w:ascii="Century" w:hAnsi="Century" w:cs="FrankRuehl"/>
          <w:spacing w:val="10"/>
          <w:sz w:val="22"/>
          <w:szCs w:val="28"/>
          <w:rtl/>
        </w:rPr>
        <w:t xml:space="preserve">-3 </w:t>
      </w:r>
      <w:r w:rsidRPr="00E2130C">
        <w:rPr>
          <w:rFonts w:ascii="Century" w:hAnsi="Century" w:cs="FrankRuehl" w:hint="eastAsia"/>
          <w:spacing w:val="10"/>
          <w:sz w:val="22"/>
          <w:szCs w:val="28"/>
          <w:rtl/>
        </w:rPr>
        <w:t>חודשים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בחופף</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לעונש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שהוטל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בפיסקה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לעיל</w:t>
      </w:r>
      <w:r w:rsidRPr="00E2130C">
        <w:rPr>
          <w:rFonts w:ascii="Century" w:hAnsi="Century" w:cs="FrankRuehl"/>
          <w:spacing w:val="10"/>
          <w:sz w:val="22"/>
          <w:szCs w:val="28"/>
          <w:rtl/>
        </w:rPr>
        <w:t xml:space="preserve">. </w:t>
      </w:r>
    </w:p>
    <w:p w14:paraId="2AFE394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סה</w:t>
      </w:r>
      <w:r w:rsidRPr="00E2130C">
        <w:rPr>
          <w:rFonts w:ascii="Century" w:hAnsi="Century" w:cs="FrankRuehl"/>
          <w:spacing w:val="10"/>
          <w:sz w:val="22"/>
          <w:szCs w:val="28"/>
          <w:rtl/>
        </w:rPr>
        <w:t>"</w:t>
      </w:r>
      <w:r w:rsidRPr="00E2130C">
        <w:rPr>
          <w:rFonts w:ascii="Century" w:hAnsi="Century" w:cs="FrankRuehl" w:hint="eastAsia"/>
          <w:spacing w:val="10"/>
          <w:sz w:val="22"/>
          <w:szCs w:val="28"/>
          <w:rtl/>
        </w:rPr>
        <w:t>כ</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ירצה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הנאשם</w:t>
      </w:r>
      <w:r w:rsidRPr="00E2130C">
        <w:rPr>
          <w:rFonts w:ascii="Century" w:hAnsi="Century" w:cs="FrankRuehl"/>
          <w:spacing w:val="10"/>
          <w:sz w:val="22"/>
          <w:szCs w:val="28"/>
          <w:rtl/>
        </w:rPr>
        <w:t xml:space="preserve"> 50 </w:t>
      </w:r>
      <w:r w:rsidRPr="00E2130C">
        <w:rPr>
          <w:rFonts w:ascii="Century" w:hAnsi="Century" w:cs="FrankRuehl" w:hint="eastAsia"/>
          <w:spacing w:val="10"/>
          <w:sz w:val="22"/>
          <w:szCs w:val="28"/>
          <w:rtl/>
        </w:rPr>
        <w:t>חודשי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בפועל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בניכוי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ימי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המעצר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בתיק</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העיקרי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ובתיק</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המצורף</w:t>
      </w:r>
      <w:r w:rsidRPr="00E2130C">
        <w:rPr>
          <w:rFonts w:ascii="Century" w:hAnsi="Century" w:cs="FrankRuehl"/>
          <w:spacing w:val="10"/>
          <w:sz w:val="22"/>
          <w:szCs w:val="28"/>
          <w:rtl/>
        </w:rPr>
        <w:t>.</w:t>
      </w:r>
    </w:p>
    <w:p w14:paraId="75E8BD2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CAE3366"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ג</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חודשיים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למשך</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שלוש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שנים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מיום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השחרור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הוא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שהנאשם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יבצע</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עבירה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לפי</w:t>
      </w:r>
      <w:r w:rsidRPr="00E2130C">
        <w:rPr>
          <w:rFonts w:ascii="Century" w:hAnsi="Century" w:cs="FrankRuehl"/>
          <w:spacing w:val="10"/>
          <w:sz w:val="22"/>
          <w:szCs w:val="28"/>
          <w:rtl/>
        </w:rPr>
        <w:t xml:space="preserve"> </w:t>
      </w:r>
      <w:hyperlink r:id="rId64" w:history="1">
        <w:r w:rsidR="00360CB5" w:rsidRPr="00360CB5">
          <w:rPr>
            <w:rFonts w:ascii="Century" w:hAnsi="Century" w:cs="FrankRuehl" w:hint="eastAsia"/>
            <w:color w:val="0000FF"/>
            <w:spacing w:val="10"/>
            <w:sz w:val="22"/>
            <w:szCs w:val="28"/>
            <w:u w:val="single"/>
            <w:rtl/>
          </w:rPr>
          <w:t>פקודת</w:t>
        </w:r>
        <w:r w:rsidR="00360CB5" w:rsidRPr="00360CB5">
          <w:rPr>
            <w:rFonts w:ascii="Century" w:hAnsi="Century" w:cs="FrankRuehl"/>
            <w:color w:val="0000FF"/>
            <w:spacing w:val="10"/>
            <w:sz w:val="22"/>
            <w:szCs w:val="28"/>
            <w:u w:val="single"/>
            <w:rtl/>
          </w:rPr>
          <w:t xml:space="preserve"> </w:t>
        </w:r>
        <w:r w:rsidR="00360CB5" w:rsidRPr="00360CB5">
          <w:rPr>
            <w:rFonts w:ascii="Century" w:hAnsi="Century" w:cs="FrankRuehl" w:hint="eastAsia"/>
            <w:color w:val="0000FF"/>
            <w:spacing w:val="10"/>
            <w:sz w:val="22"/>
            <w:szCs w:val="28"/>
            <w:u w:val="single"/>
            <w:rtl/>
          </w:rPr>
          <w:t>הסמים</w:t>
        </w:r>
        <w:r w:rsidR="00360CB5" w:rsidRPr="00360CB5">
          <w:rPr>
            <w:rFonts w:ascii="Century" w:hAnsi="Century" w:cs="FrankRuehl"/>
            <w:color w:val="0000FF"/>
            <w:spacing w:val="10"/>
            <w:sz w:val="22"/>
            <w:szCs w:val="28"/>
            <w:u w:val="single"/>
            <w:rtl/>
          </w:rPr>
          <w:t xml:space="preserve"> </w:t>
        </w:r>
        <w:r w:rsidR="00360CB5" w:rsidRPr="00360CB5">
          <w:rPr>
            <w:rFonts w:ascii="Century" w:hAnsi="Century" w:cs="FrankRuehl" w:hint="eastAsia"/>
            <w:color w:val="0000FF"/>
            <w:spacing w:val="10"/>
            <w:sz w:val="22"/>
            <w:szCs w:val="28"/>
            <w:u w:val="single"/>
            <w:rtl/>
          </w:rPr>
          <w:t>המסוכנים</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לרבות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החזקה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לצריכה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עצמית</w:t>
      </w:r>
      <w:r w:rsidRPr="00E2130C">
        <w:rPr>
          <w:rFonts w:ascii="Century" w:hAnsi="Century" w:cs="FrankRuehl"/>
          <w:spacing w:val="10"/>
          <w:sz w:val="22"/>
          <w:szCs w:val="28"/>
          <w:rtl/>
        </w:rPr>
        <w:t>).</w:t>
      </w:r>
      <w:r w:rsidRPr="00E2130C">
        <w:rPr>
          <w:rFonts w:ascii="Century" w:hAnsi="Century" w:cs="FrankRuehl"/>
          <w:spacing w:val="10"/>
          <w:sz w:val="22"/>
          <w:szCs w:val="28"/>
          <w:rtl/>
        </w:rPr>
        <w:tab/>
      </w:r>
    </w:p>
    <w:p w14:paraId="41F6B7F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0FCEFA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ד</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w:t>
      </w:r>
      <w:r w:rsidRPr="00E2130C">
        <w:rPr>
          <w:rFonts w:ascii="Century" w:hAnsi="Century" w:cs="FrankRuehl"/>
          <w:spacing w:val="10"/>
          <w:sz w:val="22"/>
          <w:szCs w:val="28"/>
          <w:rtl/>
        </w:rPr>
        <w:t xml:space="preserve"> 4 </w:t>
      </w:r>
      <w:r w:rsidRPr="00E2130C">
        <w:rPr>
          <w:rFonts w:ascii="Century" w:hAnsi="Century" w:cs="FrankRuehl" w:hint="eastAsia"/>
          <w:spacing w:val="10"/>
          <w:sz w:val="22"/>
          <w:szCs w:val="28"/>
          <w:rtl/>
        </w:rPr>
        <w:t>חודשים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למשך</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שלוש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שנים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מיום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השחרור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הוא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שהנאשם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יבצע</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עבירת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אלימות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מסוג</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עוון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לרבות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עבירת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איומים</w:t>
      </w:r>
      <w:r w:rsidRPr="00E2130C">
        <w:rPr>
          <w:rFonts w:ascii="Century" w:hAnsi="Century" w:cs="FrankRuehl"/>
          <w:spacing w:val="10"/>
          <w:sz w:val="22"/>
          <w:szCs w:val="28"/>
          <w:rtl/>
        </w:rPr>
        <w:t>).</w:t>
      </w:r>
    </w:p>
    <w:p w14:paraId="7281A5F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2C9C515"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ה</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w:t>
      </w:r>
      <w:r w:rsidRPr="00E2130C">
        <w:rPr>
          <w:rFonts w:ascii="Century" w:hAnsi="Century" w:cs="FrankRuehl"/>
          <w:spacing w:val="10"/>
          <w:sz w:val="22"/>
          <w:szCs w:val="28"/>
          <w:rtl/>
        </w:rPr>
        <w:t xml:space="preserve"> 9 </w:t>
      </w:r>
      <w:r w:rsidRPr="00E2130C">
        <w:rPr>
          <w:rFonts w:ascii="Century" w:hAnsi="Century" w:cs="FrankRuehl" w:hint="eastAsia"/>
          <w:spacing w:val="10"/>
          <w:sz w:val="22"/>
          <w:szCs w:val="28"/>
          <w:rtl/>
        </w:rPr>
        <w:t>חודשים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למשך</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שלוש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שנים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מיום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השחרור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ממאסר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התנאי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הוא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שהנאשם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יבצע</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עבירת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אלימות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מסוג</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פשע</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עבירה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הדחה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בחקירה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לפי</w:t>
      </w:r>
      <w:r w:rsidRPr="00E2130C">
        <w:rPr>
          <w:rFonts w:ascii="Century" w:hAnsi="Century" w:cs="FrankRuehl"/>
          <w:spacing w:val="10"/>
          <w:sz w:val="22"/>
          <w:szCs w:val="28"/>
          <w:rtl/>
        </w:rPr>
        <w:t xml:space="preserve"> </w:t>
      </w:r>
      <w:hyperlink r:id="rId65" w:history="1">
        <w:r w:rsidR="00A32C39" w:rsidRPr="00A32C39">
          <w:rPr>
            <w:rStyle w:val="Hyperlink"/>
            <w:rFonts w:ascii="Century" w:hAnsi="Century" w:cs="FrankRuehl" w:hint="eastAsia"/>
            <w:spacing w:val="10"/>
            <w:sz w:val="22"/>
            <w:szCs w:val="28"/>
            <w:rtl/>
          </w:rPr>
          <w:t>סעיף</w:t>
        </w:r>
        <w:r w:rsidR="00A32C39" w:rsidRPr="00A32C39">
          <w:rPr>
            <w:rStyle w:val="Hyperlink"/>
            <w:rFonts w:ascii="Century" w:hAnsi="Century" w:cs="FrankRuehl"/>
            <w:spacing w:val="10"/>
            <w:sz w:val="22"/>
            <w:szCs w:val="28"/>
            <w:rtl/>
          </w:rPr>
          <w:t xml:space="preserve"> 245</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w:t>
      </w:r>
      <w:hyperlink r:id="rId66" w:history="1">
        <w:r w:rsidR="00360CB5" w:rsidRPr="00360CB5">
          <w:rPr>
            <w:rFonts w:ascii="Century" w:hAnsi="Century" w:cs="FrankRuehl" w:hint="eastAsia"/>
            <w:color w:val="0000FF"/>
            <w:spacing w:val="10"/>
            <w:sz w:val="22"/>
            <w:szCs w:val="28"/>
            <w:u w:val="single"/>
            <w:rtl/>
          </w:rPr>
          <w:t>חוק</w:t>
        </w:r>
        <w:r w:rsidR="00360CB5" w:rsidRPr="00360CB5">
          <w:rPr>
            <w:rFonts w:ascii="Century" w:hAnsi="Century" w:cs="FrankRuehl"/>
            <w:color w:val="0000FF"/>
            <w:spacing w:val="10"/>
            <w:sz w:val="22"/>
            <w:szCs w:val="28"/>
            <w:u w:val="single"/>
            <w:rtl/>
          </w:rPr>
          <w:t xml:space="preserve"> </w:t>
        </w:r>
        <w:r w:rsidR="00360CB5" w:rsidRPr="00360CB5">
          <w:rPr>
            <w:rFonts w:ascii="Century" w:hAnsi="Century" w:cs="FrankRuehl" w:hint="eastAsia"/>
            <w:color w:val="0000FF"/>
            <w:spacing w:val="10"/>
            <w:sz w:val="22"/>
            <w:szCs w:val="28"/>
            <w:u w:val="single"/>
            <w:rtl/>
          </w:rPr>
          <w:t>העונשין</w:t>
        </w:r>
      </w:hyperlink>
      <w:r w:rsidRPr="00E2130C">
        <w:rPr>
          <w:rFonts w:ascii="Century" w:hAnsi="Century" w:cs="FrankRuehl"/>
          <w:spacing w:val="10"/>
          <w:sz w:val="22"/>
          <w:szCs w:val="28"/>
          <w:rtl/>
        </w:rPr>
        <w:t>.</w:t>
      </w:r>
    </w:p>
    <w:p w14:paraId="419A9F4E"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3DE43BB"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ו</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פסיל</w:t>
      </w:r>
      <w:r>
        <w:rPr>
          <w:rFonts w:ascii="Century" w:hAnsi="Century" w:cs="FrankRuehl" w:hint="cs"/>
          <w:spacing w:val="10"/>
          <w:sz w:val="22"/>
          <w:szCs w:val="28"/>
          <w:rtl/>
        </w:rPr>
        <w:t xml:space="preserve">ת </w:t>
      </w:r>
      <w:r w:rsidRPr="00E2130C">
        <w:rPr>
          <w:rFonts w:ascii="Century" w:hAnsi="Century" w:cs="FrankRuehl" w:hint="eastAsia"/>
          <w:spacing w:val="10"/>
          <w:sz w:val="22"/>
          <w:szCs w:val="28"/>
          <w:rtl/>
        </w:rPr>
        <w:t>רישיון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נהיגה</w:t>
      </w:r>
      <w:r w:rsidRPr="00E2130C">
        <w:rPr>
          <w:rFonts w:ascii="Century" w:hAnsi="Century" w:cs="FrankRuehl"/>
          <w:spacing w:val="10"/>
          <w:sz w:val="22"/>
          <w:szCs w:val="28"/>
          <w:rtl/>
        </w:rPr>
        <w:t xml:space="preserve"> </w:t>
      </w:r>
      <w:r>
        <w:rPr>
          <w:rFonts w:ascii="Century" w:hAnsi="Century" w:cs="FrankRuehl" w:hint="cs"/>
          <w:spacing w:val="10"/>
          <w:sz w:val="22"/>
          <w:szCs w:val="28"/>
          <w:rtl/>
        </w:rPr>
        <w:t xml:space="preserve">על תנאי של </w:t>
      </w:r>
      <w:r w:rsidRPr="00E2130C">
        <w:rPr>
          <w:rFonts w:ascii="Century" w:hAnsi="Century" w:cs="FrankRuehl"/>
          <w:spacing w:val="10"/>
          <w:sz w:val="22"/>
          <w:szCs w:val="28"/>
          <w:rtl/>
        </w:rPr>
        <w:t xml:space="preserve">6 </w:t>
      </w:r>
      <w:r w:rsidRPr="00E2130C">
        <w:rPr>
          <w:rFonts w:ascii="Century" w:hAnsi="Century" w:cs="FrankRuehl" w:hint="eastAsia"/>
          <w:spacing w:val="10"/>
          <w:sz w:val="22"/>
          <w:szCs w:val="28"/>
          <w:rtl/>
        </w:rPr>
        <w:t>חודשים</w:t>
      </w:r>
      <w:r>
        <w:rPr>
          <w:rFonts w:ascii="Century" w:hAnsi="Century" w:cs="FrankRuehl" w:hint="cs"/>
          <w:spacing w:val="10"/>
          <w:sz w:val="22"/>
          <w:szCs w:val="28"/>
          <w:rtl/>
        </w:rPr>
        <w:t xml:space="preserve"> למשך </w:t>
      </w:r>
      <w:r w:rsidRPr="00E2130C">
        <w:rPr>
          <w:rFonts w:ascii="Century" w:hAnsi="Century" w:cs="FrankRuehl" w:hint="eastAsia"/>
          <w:spacing w:val="10"/>
          <w:sz w:val="22"/>
          <w:szCs w:val="28"/>
          <w:rtl/>
        </w:rPr>
        <w:t>שלוש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שנים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מיום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השחרור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ממאסר</w:t>
      </w:r>
      <w:r>
        <w:rPr>
          <w:rFonts w:ascii="Century" w:hAnsi="Century" w:cs="FrankRuehl" w:hint="cs"/>
          <w:spacing w:val="10"/>
          <w:sz w:val="22"/>
          <w:szCs w:val="28"/>
          <w:rtl/>
        </w:rPr>
        <w:t>. התנאי הוא</w:t>
      </w:r>
      <w:r w:rsidRPr="00E2130C">
        <w:rPr>
          <w:rFonts w:ascii="Century" w:hAnsi="Century" w:cs="FrankRuehl"/>
          <w:spacing w:val="10"/>
          <w:sz w:val="22"/>
          <w:szCs w:val="28"/>
          <w:rtl/>
        </w:rPr>
        <w:t xml:space="preserve"> </w:t>
      </w:r>
      <w:r>
        <w:rPr>
          <w:rFonts w:ascii="Century" w:hAnsi="Century" w:cs="FrankRuehl" w:hint="cs"/>
          <w:spacing w:val="10"/>
          <w:sz w:val="22"/>
          <w:szCs w:val="28"/>
          <w:rtl/>
        </w:rPr>
        <w:t>ש</w:t>
      </w:r>
      <w:r w:rsidRPr="00E2130C">
        <w:rPr>
          <w:rFonts w:ascii="Century" w:hAnsi="Century" w:cs="FrankRuehl" w:hint="eastAsia"/>
          <w:spacing w:val="10"/>
          <w:sz w:val="22"/>
          <w:szCs w:val="28"/>
          <w:rtl/>
        </w:rPr>
        <w:t>הנאשם</w:t>
      </w:r>
      <w:r w:rsidRPr="00E2130C">
        <w:rPr>
          <w:rFonts w:ascii="Century" w:hAnsi="Century" w:cs="FrankRuehl"/>
          <w:spacing w:val="10"/>
          <w:sz w:val="22"/>
          <w:szCs w:val="28"/>
          <w:rtl/>
        </w:rPr>
        <w:t xml:space="preserve"> </w:t>
      </w:r>
      <w:r>
        <w:rPr>
          <w:rFonts w:ascii="Century" w:hAnsi="Century" w:cs="FrankRuehl" w:hint="cs"/>
          <w:spacing w:val="10"/>
          <w:sz w:val="22"/>
          <w:szCs w:val="28"/>
          <w:rtl/>
        </w:rPr>
        <w:t xml:space="preserve">לא יבצע </w:t>
      </w:r>
      <w:r w:rsidRPr="00E2130C">
        <w:rPr>
          <w:rFonts w:ascii="Century" w:hAnsi="Century" w:cs="FrankRuehl" w:hint="eastAsia"/>
          <w:spacing w:val="10"/>
          <w:sz w:val="22"/>
          <w:szCs w:val="28"/>
          <w:rtl/>
        </w:rPr>
        <w:t>עבירה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לפי</w:t>
      </w:r>
      <w:r w:rsidRPr="00E2130C">
        <w:rPr>
          <w:rFonts w:ascii="Century" w:hAnsi="Century" w:cs="FrankRuehl"/>
          <w:spacing w:val="10"/>
          <w:sz w:val="22"/>
          <w:szCs w:val="28"/>
          <w:rtl/>
        </w:rPr>
        <w:t xml:space="preserve"> </w:t>
      </w:r>
      <w:hyperlink r:id="rId67" w:history="1">
        <w:r w:rsidR="00360CB5" w:rsidRPr="00360CB5">
          <w:rPr>
            <w:rFonts w:ascii="Century" w:hAnsi="Century" w:cs="FrankRuehl" w:hint="eastAsia"/>
            <w:color w:val="0000FF"/>
            <w:spacing w:val="10"/>
            <w:sz w:val="22"/>
            <w:szCs w:val="28"/>
            <w:u w:val="single"/>
            <w:rtl/>
          </w:rPr>
          <w:t>פקודת</w:t>
        </w:r>
        <w:r w:rsidR="00360CB5" w:rsidRPr="00360CB5">
          <w:rPr>
            <w:rFonts w:ascii="Century" w:hAnsi="Century" w:cs="FrankRuehl"/>
            <w:color w:val="0000FF"/>
            <w:spacing w:val="10"/>
            <w:sz w:val="22"/>
            <w:szCs w:val="28"/>
            <w:u w:val="single"/>
            <w:rtl/>
          </w:rPr>
          <w:t xml:space="preserve"> </w:t>
        </w:r>
        <w:r w:rsidR="00360CB5" w:rsidRPr="00360CB5">
          <w:rPr>
            <w:rFonts w:ascii="Century" w:hAnsi="Century" w:cs="FrankRuehl" w:hint="eastAsia"/>
            <w:color w:val="0000FF"/>
            <w:spacing w:val="10"/>
            <w:sz w:val="22"/>
            <w:szCs w:val="28"/>
            <w:u w:val="single"/>
            <w:rtl/>
          </w:rPr>
          <w:t>הסמים</w:t>
        </w:r>
        <w:r w:rsidR="00360CB5" w:rsidRPr="00360CB5">
          <w:rPr>
            <w:rFonts w:ascii="Century" w:hAnsi="Century" w:cs="FrankRuehl"/>
            <w:color w:val="0000FF"/>
            <w:spacing w:val="10"/>
            <w:sz w:val="22"/>
            <w:szCs w:val="28"/>
            <w:u w:val="single"/>
            <w:rtl/>
          </w:rPr>
          <w:t xml:space="preserve"> </w:t>
        </w:r>
        <w:r w:rsidR="00360CB5" w:rsidRPr="00360CB5">
          <w:rPr>
            <w:rFonts w:ascii="Century" w:hAnsi="Century" w:cs="FrankRuehl" w:hint="eastAsia"/>
            <w:color w:val="0000FF"/>
            <w:spacing w:val="10"/>
            <w:sz w:val="22"/>
            <w:szCs w:val="28"/>
            <w:u w:val="single"/>
            <w:rtl/>
          </w:rPr>
          <w:t>המסוכנים</w:t>
        </w:r>
      </w:hyperlink>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לרבות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החזקה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לצריכה</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עצמית</w:t>
      </w:r>
      <w:r w:rsidRPr="00E2130C">
        <w:rPr>
          <w:rFonts w:ascii="Century" w:hAnsi="Century" w:cs="FrankRuehl"/>
          <w:spacing w:val="10"/>
          <w:sz w:val="22"/>
          <w:szCs w:val="28"/>
          <w:rtl/>
        </w:rPr>
        <w:t>).</w:t>
      </w:r>
    </w:p>
    <w:p w14:paraId="60D95950"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D443FFC"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hint="eastAsia"/>
          <w:spacing w:val="10"/>
          <w:sz w:val="22"/>
          <w:szCs w:val="28"/>
          <w:rtl/>
        </w:rPr>
        <w:t>ז</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Century" w:hAnsi="Century" w:cs="FrankRuehl" w:hint="eastAsia"/>
          <w:spacing w:val="10"/>
          <w:sz w:val="22"/>
          <w:szCs w:val="28"/>
          <w:rtl/>
        </w:rPr>
        <w:t>פיצוי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למתלונן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בסך</w:t>
      </w:r>
      <w:r w:rsidRPr="00E2130C">
        <w:rPr>
          <w:rFonts w:ascii="Century" w:hAnsi="Century" w:cs="FrankRuehl"/>
          <w:spacing w:val="10"/>
          <w:sz w:val="22"/>
          <w:szCs w:val="28"/>
          <w:rtl/>
        </w:rPr>
        <w:t xml:space="preserve"> 10,000 </w:t>
      </w:r>
      <w:r w:rsidRPr="00E2130C">
        <w:rPr>
          <w:rFonts w:ascii="Century" w:hAnsi="Century" w:cs="FrankRuehl" w:hint="eastAsia"/>
          <w:spacing w:val="10"/>
          <w:sz w:val="22"/>
          <w:szCs w:val="28"/>
          <w:rtl/>
        </w:rPr>
        <w:t>₪</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הפיצוי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ישולם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w:t>
      </w:r>
      <w:r w:rsidRPr="00E2130C">
        <w:rPr>
          <w:rFonts w:ascii="Century" w:hAnsi="Century" w:cs="FrankRuehl"/>
          <w:spacing w:val="10"/>
          <w:sz w:val="22"/>
          <w:szCs w:val="28"/>
          <w:rtl/>
        </w:rPr>
        <w:t xml:space="preserve">-20 </w:t>
      </w:r>
      <w:r w:rsidRPr="00E2130C">
        <w:rPr>
          <w:rFonts w:ascii="Century" w:hAnsi="Century" w:cs="FrankRuehl" w:hint="eastAsia"/>
          <w:spacing w:val="10"/>
          <w:sz w:val="22"/>
          <w:szCs w:val="28"/>
          <w:rtl/>
        </w:rPr>
        <w:t>תשלומים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חודשיים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שווים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ורצופים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החל</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מיום</w:t>
      </w:r>
      <w:r w:rsidRPr="00E2130C">
        <w:rPr>
          <w:rFonts w:ascii="Century" w:hAnsi="Century" w:cs="FrankRuehl"/>
          <w:spacing w:val="10"/>
          <w:sz w:val="22"/>
          <w:szCs w:val="28"/>
          <w:rtl/>
        </w:rPr>
        <w:t xml:space="preserve"> 2.5.2021 </w:t>
      </w:r>
      <w:r w:rsidRPr="00E2130C">
        <w:rPr>
          <w:rFonts w:ascii="Century" w:hAnsi="Century" w:cs="FrankRuehl" w:hint="eastAsia"/>
          <w:spacing w:val="10"/>
          <w:sz w:val="22"/>
          <w:szCs w:val="28"/>
          <w:rtl/>
        </w:rPr>
        <w:t>ובכל</w:t>
      </w:r>
      <w:r w:rsidRPr="00E2130C">
        <w:rPr>
          <w:rFonts w:ascii="Century" w:hAnsi="Century" w:cs="FrankRuehl"/>
          <w:spacing w:val="10"/>
          <w:sz w:val="22"/>
          <w:szCs w:val="28"/>
          <w:rtl/>
        </w:rPr>
        <w:t xml:space="preserve"> 2 </w:t>
      </w:r>
      <w:r w:rsidRPr="00E2130C">
        <w:rPr>
          <w:rFonts w:ascii="Century" w:hAnsi="Century" w:cs="FrankRuehl" w:hint="eastAsia"/>
          <w:spacing w:val="10"/>
          <w:sz w:val="22"/>
          <w:szCs w:val="28"/>
          <w:rtl/>
        </w:rPr>
        <w:t>לחודש</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שלאחר</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מכן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לא</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ישולם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אחד</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התשלומים</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במועדו</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תעמוד</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יתרת</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הפיצוי</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לפירעון</w:t>
      </w:r>
      <w:r w:rsidRPr="00E2130C">
        <w:rPr>
          <w:rFonts w:ascii="Century" w:hAnsi="Century" w:cs="FrankRuehl"/>
          <w:spacing w:val="10"/>
          <w:sz w:val="22"/>
          <w:szCs w:val="28"/>
          <w:rtl/>
        </w:rPr>
        <w:t xml:space="preserve"> </w:t>
      </w:r>
      <w:r w:rsidRPr="00E2130C">
        <w:rPr>
          <w:rFonts w:ascii="Century" w:hAnsi="Century" w:cs="FrankRuehl" w:hint="eastAsia"/>
          <w:spacing w:val="10"/>
          <w:sz w:val="22"/>
          <w:szCs w:val="28"/>
          <w:rtl/>
        </w:rPr>
        <w:t>מידי</w:t>
      </w:r>
      <w:r w:rsidRPr="00E2130C">
        <w:rPr>
          <w:rFonts w:ascii="Century" w:hAnsi="Century" w:cs="FrankRuehl"/>
          <w:spacing w:val="10"/>
          <w:sz w:val="22"/>
          <w:szCs w:val="28"/>
          <w:rtl/>
        </w:rPr>
        <w:t xml:space="preserve">. </w:t>
      </w:r>
    </w:p>
    <w:p w14:paraId="0E576BEF"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4AD46AF1"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130C">
        <w:rPr>
          <w:rFonts w:ascii="Century" w:hAnsi="Century" w:cs="FrankRuehl" w:hint="eastAsia"/>
          <w:spacing w:val="10"/>
          <w:sz w:val="22"/>
          <w:szCs w:val="28"/>
          <w:rtl/>
        </w:rPr>
        <w:t>ח</w:t>
      </w:r>
      <w:r w:rsidRPr="00E2130C">
        <w:rPr>
          <w:rFonts w:ascii="Century" w:hAnsi="Century" w:cs="FrankRuehl"/>
          <w:spacing w:val="10"/>
          <w:sz w:val="22"/>
          <w:szCs w:val="28"/>
          <w:rtl/>
        </w:rPr>
        <w:t>.</w:t>
      </w:r>
      <w:r w:rsidRPr="00E2130C">
        <w:rPr>
          <w:rFonts w:ascii="Century" w:hAnsi="Century" w:cs="FrankRuehl"/>
          <w:spacing w:val="10"/>
          <w:sz w:val="22"/>
          <w:szCs w:val="28"/>
          <w:rtl/>
        </w:rPr>
        <w:tab/>
      </w:r>
      <w:r w:rsidRPr="00E2130C">
        <w:rPr>
          <w:rFonts w:ascii="Arial TUR" w:hAnsi="Arial TUR" w:cs="FrankRuehl"/>
          <w:spacing w:val="10"/>
          <w:sz w:val="22"/>
          <w:szCs w:val="28"/>
          <w:rtl/>
        </w:rPr>
        <w:t>בהסכמת הצדדים, ניתן בזה צו להשמדת הסמים והסכין שנתפסו.</w:t>
      </w:r>
    </w:p>
    <w:p w14:paraId="52178574"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B678E2D"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Pr>
      </w:pPr>
      <w:r w:rsidRPr="00E2130C">
        <w:rPr>
          <w:rFonts w:ascii="Arial TUR" w:hAnsi="Arial TUR" w:cs="FrankRuehl"/>
          <w:spacing w:val="10"/>
          <w:sz w:val="22"/>
          <w:szCs w:val="28"/>
          <w:rtl/>
        </w:rPr>
        <w:tab/>
        <w:t xml:space="preserve">תשומת לב רשויות שב"ס לרצון שהביע הנאשם בדבריו לפניי </w:t>
      </w:r>
      <w:r>
        <w:rPr>
          <w:rFonts w:ascii="Arial TUR" w:hAnsi="Arial TUR" w:cs="FrankRuehl" w:hint="cs"/>
          <w:spacing w:val="10"/>
          <w:sz w:val="22"/>
          <w:szCs w:val="28"/>
          <w:rtl/>
        </w:rPr>
        <w:t xml:space="preserve">להשתלב בתכנית טיפולית </w:t>
      </w:r>
      <w:r w:rsidRPr="00E2130C">
        <w:rPr>
          <w:rFonts w:ascii="Arial TUR" w:hAnsi="Arial TUR" w:cs="FrankRuehl"/>
          <w:spacing w:val="10"/>
          <w:sz w:val="22"/>
          <w:szCs w:val="28"/>
          <w:rtl/>
        </w:rPr>
        <w:t>בין כתלי בית הכלא.</w:t>
      </w:r>
    </w:p>
    <w:p w14:paraId="7EC648C8"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spacing w:val="10"/>
          <w:sz w:val="22"/>
          <w:szCs w:val="28"/>
          <w:rtl/>
        </w:rPr>
        <w:tab/>
      </w:r>
    </w:p>
    <w:p w14:paraId="17E32B5A" w14:textId="77777777" w:rsidR="0062506A" w:rsidRPr="00E2130C" w:rsidRDefault="0062506A" w:rsidP="0062506A">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130C">
        <w:rPr>
          <w:rFonts w:ascii="Century" w:hAnsi="Century" w:cs="FrankRuehl"/>
          <w:spacing w:val="10"/>
          <w:sz w:val="22"/>
          <w:szCs w:val="28"/>
          <w:rtl/>
        </w:rPr>
        <w:tab/>
      </w:r>
      <w:r w:rsidRPr="00E2130C">
        <w:rPr>
          <w:rFonts w:ascii="Century" w:hAnsi="Century" w:cs="FrankRuehl" w:hint="eastAsia"/>
          <w:b/>
          <w:bCs/>
          <w:spacing w:val="10"/>
          <w:sz w:val="22"/>
          <w:szCs w:val="28"/>
          <w:rtl/>
        </w:rPr>
        <w:t>זכות</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ערעור</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לבית</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המשפט</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העליון</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תוך</w:t>
      </w:r>
      <w:r w:rsidRPr="00E2130C">
        <w:rPr>
          <w:rFonts w:ascii="Century" w:hAnsi="Century" w:cs="FrankRuehl"/>
          <w:b/>
          <w:bCs/>
          <w:spacing w:val="10"/>
          <w:sz w:val="22"/>
          <w:szCs w:val="28"/>
          <w:rtl/>
        </w:rPr>
        <w:t xml:space="preserve"> 45 </w:t>
      </w:r>
      <w:r w:rsidRPr="00E2130C">
        <w:rPr>
          <w:rFonts w:ascii="Century" w:hAnsi="Century" w:cs="FrankRuehl" w:hint="eastAsia"/>
          <w:b/>
          <w:bCs/>
          <w:spacing w:val="10"/>
          <w:sz w:val="22"/>
          <w:szCs w:val="28"/>
          <w:rtl/>
        </w:rPr>
        <w:t>ימים</w:t>
      </w:r>
      <w:r w:rsidRPr="00E2130C">
        <w:rPr>
          <w:rFonts w:ascii="Century" w:hAnsi="Century" w:cs="FrankRuehl"/>
          <w:b/>
          <w:bCs/>
          <w:spacing w:val="10"/>
          <w:sz w:val="22"/>
          <w:szCs w:val="28"/>
          <w:rtl/>
        </w:rPr>
        <w:t xml:space="preserve"> </w:t>
      </w:r>
      <w:r w:rsidRPr="00E2130C">
        <w:rPr>
          <w:rFonts w:ascii="Century" w:hAnsi="Century" w:cs="FrankRuehl" w:hint="eastAsia"/>
          <w:b/>
          <w:bCs/>
          <w:spacing w:val="10"/>
          <w:sz w:val="22"/>
          <w:szCs w:val="28"/>
          <w:rtl/>
        </w:rPr>
        <w:t>מהיום</w:t>
      </w:r>
      <w:r w:rsidRPr="00E2130C">
        <w:rPr>
          <w:rFonts w:ascii="Century" w:hAnsi="Century" w:cs="FrankRuehl"/>
          <w:spacing w:val="10"/>
          <w:sz w:val="22"/>
          <w:szCs w:val="28"/>
          <w:rtl/>
        </w:rPr>
        <w:t>.</w:t>
      </w:r>
    </w:p>
    <w:p w14:paraId="0102D791" w14:textId="77777777" w:rsidR="0062506A" w:rsidRPr="00360CB5" w:rsidRDefault="00360CB5" w:rsidP="0062506A">
      <w:pPr>
        <w:tabs>
          <w:tab w:val="left" w:pos="800"/>
        </w:tabs>
        <w:overflowPunct w:val="0"/>
        <w:autoSpaceDE w:val="0"/>
        <w:autoSpaceDN w:val="0"/>
        <w:adjustRightInd w:val="0"/>
        <w:spacing w:line="360" w:lineRule="auto"/>
        <w:jc w:val="both"/>
        <w:textAlignment w:val="baseline"/>
        <w:rPr>
          <w:rFonts w:ascii="Century" w:hAnsi="Century" w:cs="FrankRuehl"/>
          <w:color w:val="FFFFFF"/>
          <w:spacing w:val="10"/>
          <w:sz w:val="2"/>
          <w:szCs w:val="2"/>
          <w:rtl/>
        </w:rPr>
      </w:pPr>
      <w:r w:rsidRPr="00360CB5">
        <w:rPr>
          <w:rFonts w:ascii="Century" w:hAnsi="Century" w:cs="FrankRuehl"/>
          <w:color w:val="FFFFFF"/>
          <w:spacing w:val="10"/>
          <w:sz w:val="2"/>
          <w:szCs w:val="2"/>
          <w:rtl/>
        </w:rPr>
        <w:t>5129371</w:t>
      </w:r>
    </w:p>
    <w:p w14:paraId="65148E2B" w14:textId="77777777" w:rsidR="0062506A" w:rsidRDefault="00360CB5" w:rsidP="0062506A">
      <w:pPr>
        <w:rPr>
          <w:rFonts w:cs="FrankRuehl"/>
          <w:sz w:val="28"/>
          <w:szCs w:val="28"/>
          <w:rtl/>
        </w:rPr>
      </w:pPr>
      <w:bookmarkStart w:id="8" w:name="Nitan"/>
      <w:r w:rsidRPr="00360CB5">
        <w:rPr>
          <w:rFonts w:ascii="Arial" w:hAnsi="Arial" w:cs="FrankRuehl"/>
          <w:color w:val="FFFFFF"/>
          <w:sz w:val="2"/>
          <w:szCs w:val="2"/>
          <w:rtl/>
        </w:rPr>
        <w:t>54678313</w:t>
      </w:r>
      <w:r>
        <w:rPr>
          <w:rFonts w:ascii="Arial" w:hAnsi="Arial" w:cs="FrankRuehl"/>
          <w:sz w:val="28"/>
          <w:szCs w:val="28"/>
          <w:rtl/>
        </w:rPr>
        <w:t xml:space="preserve">ניתן היום,  ט"ז כסלו תשפ"א, 02 דצמבר 2020, בנוכחות הצדדים. </w:t>
      </w:r>
      <w:bookmarkEnd w:id="8"/>
    </w:p>
    <w:p w14:paraId="609F062D" w14:textId="77777777" w:rsidR="0062506A" w:rsidRDefault="0062506A" w:rsidP="00360C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BCC9A2" w14:textId="77777777" w:rsidR="00360CB5" w:rsidRDefault="00360CB5" w:rsidP="00360CB5">
      <w:pPr>
        <w:rPr>
          <w:rtl/>
        </w:rPr>
      </w:pPr>
    </w:p>
    <w:p w14:paraId="18902B2A" w14:textId="77777777" w:rsidR="00360CB5" w:rsidRDefault="00360CB5" w:rsidP="00360CB5">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6DD49F88" w14:textId="77777777" w:rsidR="00A32C39" w:rsidRPr="00A32C39" w:rsidRDefault="00A32C39" w:rsidP="00A32C39">
      <w:pPr>
        <w:keepNext/>
        <w:rPr>
          <w:rFonts w:ascii="David" w:hAnsi="David"/>
          <w:color w:val="000000"/>
          <w:sz w:val="22"/>
          <w:szCs w:val="22"/>
          <w:rtl/>
        </w:rPr>
      </w:pPr>
    </w:p>
    <w:p w14:paraId="10F903DE" w14:textId="77777777" w:rsidR="00A32C39" w:rsidRPr="00A32C39" w:rsidRDefault="00A32C39" w:rsidP="00A32C39">
      <w:pPr>
        <w:keepNext/>
        <w:rPr>
          <w:rFonts w:ascii="David" w:hAnsi="David"/>
          <w:color w:val="000000"/>
          <w:sz w:val="22"/>
          <w:szCs w:val="22"/>
          <w:rtl/>
        </w:rPr>
      </w:pPr>
      <w:r w:rsidRPr="00A32C39">
        <w:rPr>
          <w:rFonts w:ascii="David" w:hAnsi="David"/>
          <w:color w:val="000000"/>
          <w:sz w:val="22"/>
          <w:szCs w:val="22"/>
          <w:rtl/>
        </w:rPr>
        <w:t>דנה כהן לקח 54678313-/</w:t>
      </w:r>
    </w:p>
    <w:p w14:paraId="3C161F02" w14:textId="77777777" w:rsidR="00360CB5" w:rsidRPr="00360CB5" w:rsidRDefault="00A32C39" w:rsidP="00A32C39">
      <w:pPr>
        <w:rPr>
          <w:rFonts w:hint="cs"/>
          <w:color w:val="0000FF"/>
          <w:u w:val="single"/>
        </w:rPr>
      </w:pPr>
      <w:r w:rsidRPr="00A32C39">
        <w:rPr>
          <w:color w:val="000000"/>
          <w:u w:val="single"/>
          <w:rtl/>
        </w:rPr>
        <w:t>נוסח מסמך זה כפוף לשינויי ניסוח ועריכה</w:t>
      </w:r>
      <w:r w:rsidR="008E7DCA">
        <w:rPr>
          <w:rFonts w:hint="cs"/>
          <w:color w:val="0000FF"/>
          <w:u w:val="single"/>
          <w:rtl/>
        </w:rPr>
        <w:t xml:space="preserve"> </w:t>
      </w:r>
      <w:r w:rsidR="001C58BC">
        <w:rPr>
          <w:rFonts w:hint="cs"/>
          <w:color w:val="0000FF"/>
          <w:u w:val="single"/>
          <w:rtl/>
        </w:rPr>
        <w:t xml:space="preserve"> </w:t>
      </w:r>
    </w:p>
    <w:sectPr w:rsidR="00360CB5" w:rsidRPr="00360CB5" w:rsidSect="00A32C39">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68310" w14:textId="77777777" w:rsidR="0043118A" w:rsidRDefault="0043118A" w:rsidP="00CB6379">
      <w:r>
        <w:separator/>
      </w:r>
    </w:p>
  </w:endnote>
  <w:endnote w:type="continuationSeparator" w:id="0">
    <w:p w14:paraId="154E4EC9" w14:textId="77777777" w:rsidR="0043118A" w:rsidRDefault="0043118A" w:rsidP="00CB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F7D8" w14:textId="77777777" w:rsidR="00A32C39" w:rsidRDefault="00A32C39" w:rsidP="00A32C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36DB08" w14:textId="77777777" w:rsidR="00A32C39" w:rsidRPr="00A32C39" w:rsidRDefault="00A32C39" w:rsidP="00A32C39">
    <w:pPr>
      <w:pStyle w:val="a5"/>
      <w:pBdr>
        <w:top w:val="single" w:sz="4" w:space="1" w:color="auto"/>
        <w:between w:val="single" w:sz="4" w:space="0" w:color="auto"/>
      </w:pBdr>
      <w:spacing w:after="60"/>
      <w:jc w:val="center"/>
      <w:rPr>
        <w:rFonts w:ascii="FrankRuehl" w:hAnsi="FrankRuehl" w:cs="FrankRuehl"/>
        <w:color w:val="000000"/>
      </w:rPr>
    </w:pPr>
    <w:r w:rsidRPr="00A32C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DE454" w14:textId="77777777" w:rsidR="00A32C39" w:rsidRDefault="00A32C39" w:rsidP="00A32C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7CF5">
      <w:rPr>
        <w:rFonts w:ascii="FrankRuehl" w:hAnsi="FrankRuehl" w:cs="FrankRuehl"/>
        <w:noProof/>
        <w:rtl/>
      </w:rPr>
      <w:t>1</w:t>
    </w:r>
    <w:r>
      <w:rPr>
        <w:rFonts w:ascii="FrankRuehl" w:hAnsi="FrankRuehl" w:cs="FrankRuehl"/>
        <w:rtl/>
      </w:rPr>
      <w:fldChar w:fldCharType="end"/>
    </w:r>
  </w:p>
  <w:p w14:paraId="1BDD3286" w14:textId="77777777" w:rsidR="00A32C39" w:rsidRPr="00A32C39" w:rsidRDefault="00A32C39" w:rsidP="00A32C39">
    <w:pPr>
      <w:pStyle w:val="a5"/>
      <w:pBdr>
        <w:top w:val="single" w:sz="4" w:space="1" w:color="auto"/>
        <w:between w:val="single" w:sz="4" w:space="0" w:color="auto"/>
      </w:pBdr>
      <w:spacing w:after="60"/>
      <w:jc w:val="center"/>
      <w:rPr>
        <w:rFonts w:ascii="FrankRuehl" w:hAnsi="FrankRuehl" w:cs="FrankRuehl"/>
        <w:color w:val="000000"/>
      </w:rPr>
    </w:pPr>
    <w:r w:rsidRPr="00A32C39">
      <w:rPr>
        <w:rFonts w:ascii="FrankRuehl" w:hAnsi="FrankRuehl" w:cs="FrankRuehl"/>
        <w:color w:val="000000"/>
      </w:rPr>
      <w:pict w14:anchorId="48F51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0BDD3" w14:textId="77777777" w:rsidR="0043118A" w:rsidRDefault="0043118A" w:rsidP="00CB6379">
      <w:r>
        <w:separator/>
      </w:r>
    </w:p>
  </w:footnote>
  <w:footnote w:type="continuationSeparator" w:id="0">
    <w:p w14:paraId="7F9EE20C" w14:textId="77777777" w:rsidR="0043118A" w:rsidRDefault="0043118A" w:rsidP="00CB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7AE8B" w14:textId="77777777" w:rsidR="00A32C39" w:rsidRPr="00A32C39" w:rsidRDefault="00A32C39" w:rsidP="00A32C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54137-11-19</w:t>
    </w:r>
    <w:r>
      <w:rPr>
        <w:rFonts w:ascii="David" w:hAnsi="David"/>
        <w:color w:val="000000"/>
        <w:sz w:val="22"/>
        <w:szCs w:val="22"/>
        <w:rtl/>
      </w:rPr>
      <w:tab/>
      <w:t xml:space="preserve"> מדינת ישראל נ' דוד ליאל דרגן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CC2A" w14:textId="77777777" w:rsidR="00A32C39" w:rsidRPr="00A32C39" w:rsidRDefault="00A32C39" w:rsidP="00A32C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54137-11-19</w:t>
    </w:r>
    <w:r>
      <w:rPr>
        <w:rFonts w:ascii="David" w:hAnsi="David"/>
        <w:color w:val="000000"/>
        <w:sz w:val="22"/>
        <w:szCs w:val="22"/>
        <w:rtl/>
      </w:rPr>
      <w:tab/>
      <w:t xml:space="preserve"> מדינת ישראל נ' דוד ליאל דרגן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506A"/>
    <w:rsid w:val="00115E06"/>
    <w:rsid w:val="001C58BC"/>
    <w:rsid w:val="002B0B53"/>
    <w:rsid w:val="00360CB5"/>
    <w:rsid w:val="003A0A02"/>
    <w:rsid w:val="003A33AF"/>
    <w:rsid w:val="003C36B4"/>
    <w:rsid w:val="003E1B77"/>
    <w:rsid w:val="00425143"/>
    <w:rsid w:val="0043118A"/>
    <w:rsid w:val="005F7CF5"/>
    <w:rsid w:val="0062506A"/>
    <w:rsid w:val="007E7E60"/>
    <w:rsid w:val="008E7DCA"/>
    <w:rsid w:val="00A32C39"/>
    <w:rsid w:val="00CB6379"/>
    <w:rsid w:val="00E30169"/>
    <w:rsid w:val="00E83E14"/>
    <w:rsid w:val="00EE7A8C"/>
    <w:rsid w:val="00F716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2EDD84"/>
  <w15:chartTrackingRefBased/>
  <w15:docId w15:val="{ECCD0C31-6AC4-4F10-85B2-4F39600E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0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506A"/>
    <w:pPr>
      <w:tabs>
        <w:tab w:val="center" w:pos="4153"/>
        <w:tab w:val="right" w:pos="8306"/>
      </w:tabs>
    </w:pPr>
  </w:style>
  <w:style w:type="character" w:customStyle="1" w:styleId="a4">
    <w:name w:val="כותרת עליונה תו"/>
    <w:link w:val="a3"/>
    <w:rsid w:val="0062506A"/>
    <w:rPr>
      <w:rFonts w:ascii="Times New Roman" w:eastAsia="Times New Roman" w:hAnsi="Times New Roman" w:cs="David"/>
      <w:sz w:val="24"/>
      <w:szCs w:val="24"/>
    </w:rPr>
  </w:style>
  <w:style w:type="paragraph" w:styleId="a5">
    <w:name w:val="footer"/>
    <w:basedOn w:val="a"/>
    <w:link w:val="a6"/>
    <w:rsid w:val="0062506A"/>
    <w:pPr>
      <w:tabs>
        <w:tab w:val="center" w:pos="4153"/>
        <w:tab w:val="right" w:pos="8306"/>
      </w:tabs>
    </w:pPr>
  </w:style>
  <w:style w:type="character" w:customStyle="1" w:styleId="a6">
    <w:name w:val="כותרת תחתונה תו"/>
    <w:link w:val="a5"/>
    <w:rsid w:val="0062506A"/>
    <w:rPr>
      <w:rFonts w:ascii="Times New Roman" w:eastAsia="Times New Roman" w:hAnsi="Times New Roman" w:cs="David"/>
      <w:sz w:val="24"/>
      <w:szCs w:val="24"/>
    </w:rPr>
  </w:style>
  <w:style w:type="table" w:styleId="a7">
    <w:name w:val="Table Grid"/>
    <w:basedOn w:val="a1"/>
    <w:rsid w:val="006250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506A"/>
  </w:style>
  <w:style w:type="character" w:styleId="Hyperlink">
    <w:name w:val="Hyperlink"/>
    <w:rsid w:val="00360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5"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1865382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6905206"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335" TargetMode="External"/><Relationship Id="rId29" Type="http://schemas.openxmlformats.org/officeDocument/2006/relationships/hyperlink" Target="http://www.nevo.co.il/law/70301/245.b"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4216/37a.b"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40jc.a"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case/16905206" TargetMode="External"/><Relationship Id="rId53" Type="http://schemas.openxmlformats.org/officeDocument/2006/relationships/hyperlink" Target="http://www.nevo.co.il/case/5802143" TargetMode="External"/><Relationship Id="rId58" Type="http://schemas.openxmlformats.org/officeDocument/2006/relationships/hyperlink" Target="http://www.nevo.co.il/law/4216" TargetMode="External"/><Relationship Id="rId66" Type="http://schemas.openxmlformats.org/officeDocument/2006/relationships/hyperlink" Target="http://www.nevo.co.il/law/70301"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case/26211215"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245.b"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45.a" TargetMode="External"/><Relationship Id="rId35" Type="http://schemas.openxmlformats.org/officeDocument/2006/relationships/hyperlink" Target="http://www.nevo.co.il/law/70301/186.a"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5868564" TargetMode="External"/><Relationship Id="rId56" Type="http://schemas.openxmlformats.org/officeDocument/2006/relationships/hyperlink" Target="http://www.nevo.co.il/case/6031891" TargetMode="External"/><Relationship Id="rId64" Type="http://schemas.openxmlformats.org/officeDocument/2006/relationships/hyperlink" Target="http://www.nevo.co.il/law/4216" TargetMode="External"/><Relationship Id="rId69" Type="http://schemas.openxmlformats.org/officeDocument/2006/relationships/header" Target="header1.xml"/><Relationship Id="rId8" Type="http://schemas.openxmlformats.org/officeDocument/2006/relationships/hyperlink" Target="http://www.nevo.co.il/law/70301/58" TargetMode="External"/><Relationship Id="rId51" Type="http://schemas.openxmlformats.org/officeDocument/2006/relationships/hyperlink" Target="http://www.nevo.co.il/law/70301"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245"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33"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40jc.b" TargetMode="External"/><Relationship Id="rId46" Type="http://schemas.openxmlformats.org/officeDocument/2006/relationships/hyperlink" Target="http://www.nevo.co.il/law/70301/58" TargetMode="External"/><Relationship Id="rId59" Type="http://schemas.openxmlformats.org/officeDocument/2006/relationships/hyperlink" Target="http://www.nevo.co.il/law/4216/37a.a" TargetMode="External"/><Relationship Id="rId67"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6842731" TargetMode="External"/><Relationship Id="rId54" Type="http://schemas.openxmlformats.org/officeDocument/2006/relationships/hyperlink" Target="http://www.nevo.co.il/law/70301/77" TargetMode="External"/><Relationship Id="rId62" Type="http://schemas.openxmlformats.org/officeDocument/2006/relationships/hyperlink" Target="http://www.nevo.co.il/case/24301558" TargetMode="External"/><Relationship Id="rId7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3" TargetMode="External"/><Relationship Id="rId23" Type="http://schemas.openxmlformats.org/officeDocument/2006/relationships/hyperlink" Target="http://www.nevo.co.il/law/4216/37a.a" TargetMode="External"/><Relationship Id="rId28" Type="http://schemas.openxmlformats.org/officeDocument/2006/relationships/hyperlink" Target="http://www.nevo.co.il/law/70301/186.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248631" TargetMode="External"/><Relationship Id="rId57" Type="http://schemas.openxmlformats.org/officeDocument/2006/relationships/hyperlink" Target="http://www.nevo.co.il/case/6245504" TargetMode="External"/><Relationship Id="rId10" Type="http://schemas.openxmlformats.org/officeDocument/2006/relationships/hyperlink" Target="http://www.nevo.co.il/law/70301/77.a" TargetMode="External"/><Relationship Id="rId31" Type="http://schemas.openxmlformats.org/officeDocument/2006/relationships/hyperlink" Target="http://www.nevo.co.il/case/24301558"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587820" TargetMode="External"/><Relationship Id="rId60" Type="http://schemas.openxmlformats.org/officeDocument/2006/relationships/hyperlink" Target="http://www.nevo.co.il/law/4216/37a.b" TargetMode="External"/><Relationship Id="rId65" Type="http://schemas.openxmlformats.org/officeDocument/2006/relationships/hyperlink" Target="http://www.nevo.co.il/law/70301/245"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77" TargetMode="External"/><Relationship Id="rId13" Type="http://schemas.openxmlformats.org/officeDocument/2006/relationships/hyperlink" Target="http://www.nevo.co.il/law/70301/245.a"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77.a"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40c.a"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3754</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22483</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8257637</vt:i4>
      </vt:variant>
      <vt:variant>
        <vt:i4>183</vt:i4>
      </vt:variant>
      <vt:variant>
        <vt:i4>0</vt:i4>
      </vt:variant>
      <vt:variant>
        <vt:i4>5</vt:i4>
      </vt:variant>
      <vt:variant>
        <vt:lpwstr>http://www.nevo.co.il/law/4216</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6357095</vt:i4>
      </vt:variant>
      <vt:variant>
        <vt:i4>177</vt:i4>
      </vt:variant>
      <vt:variant>
        <vt:i4>0</vt:i4>
      </vt:variant>
      <vt:variant>
        <vt:i4>5</vt:i4>
      </vt:variant>
      <vt:variant>
        <vt:lpwstr>http://www.nevo.co.il/law/70301/245</vt:lpwstr>
      </vt:variant>
      <vt:variant>
        <vt:lpwstr/>
      </vt:variant>
      <vt:variant>
        <vt:i4>8257637</vt:i4>
      </vt:variant>
      <vt:variant>
        <vt:i4>174</vt:i4>
      </vt:variant>
      <vt:variant>
        <vt:i4>0</vt:i4>
      </vt:variant>
      <vt:variant>
        <vt:i4>5</vt:i4>
      </vt:variant>
      <vt:variant>
        <vt:lpwstr>http://www.nevo.co.il/law/4216</vt:lpwstr>
      </vt:variant>
      <vt:variant>
        <vt:lpwstr/>
      </vt:variant>
      <vt:variant>
        <vt:i4>3997808</vt:i4>
      </vt:variant>
      <vt:variant>
        <vt:i4>171</vt:i4>
      </vt:variant>
      <vt:variant>
        <vt:i4>0</vt:i4>
      </vt:variant>
      <vt:variant>
        <vt:i4>5</vt:i4>
      </vt:variant>
      <vt:variant>
        <vt:lpwstr>http://www.nevo.co.il/case/16905206</vt:lpwstr>
      </vt:variant>
      <vt:variant>
        <vt:lpwstr/>
      </vt:variant>
      <vt:variant>
        <vt:i4>3473525</vt:i4>
      </vt:variant>
      <vt:variant>
        <vt:i4>168</vt:i4>
      </vt:variant>
      <vt:variant>
        <vt:i4>0</vt:i4>
      </vt:variant>
      <vt:variant>
        <vt:i4>5</vt:i4>
      </vt:variant>
      <vt:variant>
        <vt:lpwstr>http://www.nevo.co.il/case/24301558</vt:lpwstr>
      </vt:variant>
      <vt:variant>
        <vt:lpwstr/>
      </vt:variant>
      <vt:variant>
        <vt:i4>3145841</vt:i4>
      </vt:variant>
      <vt:variant>
        <vt:i4>165</vt:i4>
      </vt:variant>
      <vt:variant>
        <vt:i4>0</vt:i4>
      </vt:variant>
      <vt:variant>
        <vt:i4>5</vt:i4>
      </vt:variant>
      <vt:variant>
        <vt:lpwstr>http://www.nevo.co.il/case/26211215</vt:lpwstr>
      </vt:variant>
      <vt:variant>
        <vt:lpwstr/>
      </vt:variant>
      <vt:variant>
        <vt:i4>5111891</vt:i4>
      </vt:variant>
      <vt:variant>
        <vt:i4>162</vt:i4>
      </vt:variant>
      <vt:variant>
        <vt:i4>0</vt:i4>
      </vt:variant>
      <vt:variant>
        <vt:i4>5</vt:i4>
      </vt:variant>
      <vt:variant>
        <vt:lpwstr>http://www.nevo.co.il/law/4216/37a.b</vt:lpwstr>
      </vt:variant>
      <vt:variant>
        <vt:lpwstr/>
      </vt:variant>
      <vt:variant>
        <vt:i4>5046355</vt:i4>
      </vt:variant>
      <vt:variant>
        <vt:i4>159</vt:i4>
      </vt:variant>
      <vt:variant>
        <vt:i4>0</vt:i4>
      </vt:variant>
      <vt:variant>
        <vt:i4>5</vt:i4>
      </vt:variant>
      <vt:variant>
        <vt:lpwstr>http://www.nevo.co.il/law/4216/37a.a</vt:lpwstr>
      </vt:variant>
      <vt:variant>
        <vt:lpwstr/>
      </vt:variant>
      <vt:variant>
        <vt:i4>8257637</vt:i4>
      </vt:variant>
      <vt:variant>
        <vt:i4>156</vt:i4>
      </vt:variant>
      <vt:variant>
        <vt:i4>0</vt:i4>
      </vt:variant>
      <vt:variant>
        <vt:i4>5</vt:i4>
      </vt:variant>
      <vt:variant>
        <vt:lpwstr>http://www.nevo.co.il/law/4216</vt:lpwstr>
      </vt:variant>
      <vt:variant>
        <vt:lpwstr/>
      </vt:variant>
      <vt:variant>
        <vt:i4>3342451</vt:i4>
      </vt:variant>
      <vt:variant>
        <vt:i4>153</vt:i4>
      </vt:variant>
      <vt:variant>
        <vt:i4>0</vt:i4>
      </vt:variant>
      <vt:variant>
        <vt:i4>5</vt:i4>
      </vt:variant>
      <vt:variant>
        <vt:lpwstr>http://www.nevo.co.il/case/6245504</vt:lpwstr>
      </vt:variant>
      <vt:variant>
        <vt:lpwstr/>
      </vt:variant>
      <vt:variant>
        <vt:i4>3932284</vt:i4>
      </vt:variant>
      <vt:variant>
        <vt:i4>150</vt:i4>
      </vt:variant>
      <vt:variant>
        <vt:i4>0</vt:i4>
      </vt:variant>
      <vt:variant>
        <vt:i4>5</vt:i4>
      </vt:variant>
      <vt:variant>
        <vt:lpwstr>http://www.nevo.co.il/case/6031891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6422626</vt:i4>
      </vt:variant>
      <vt:variant>
        <vt:i4>144</vt:i4>
      </vt:variant>
      <vt:variant>
        <vt:i4>0</vt:i4>
      </vt:variant>
      <vt:variant>
        <vt:i4>5</vt:i4>
      </vt:variant>
      <vt:variant>
        <vt:lpwstr>http://www.nevo.co.il/law/70301/77</vt:lpwstr>
      </vt:variant>
      <vt:variant>
        <vt:lpwstr/>
      </vt:variant>
      <vt:variant>
        <vt:i4>3604602</vt:i4>
      </vt:variant>
      <vt:variant>
        <vt:i4>141</vt:i4>
      </vt:variant>
      <vt:variant>
        <vt:i4>0</vt:i4>
      </vt:variant>
      <vt:variant>
        <vt:i4>5</vt:i4>
      </vt:variant>
      <vt:variant>
        <vt:lpwstr>http://www.nevo.co.il/case/5802143</vt:lpwstr>
      </vt:variant>
      <vt:variant>
        <vt:lpwstr/>
      </vt:variant>
      <vt:variant>
        <vt:i4>3473524</vt:i4>
      </vt:variant>
      <vt:variant>
        <vt:i4>138</vt:i4>
      </vt:variant>
      <vt:variant>
        <vt:i4>0</vt:i4>
      </vt:variant>
      <vt:variant>
        <vt:i4>5</vt:i4>
      </vt:variant>
      <vt:variant>
        <vt:lpwstr>http://www.nevo.co.il/case/5587820</vt:lpwstr>
      </vt:variant>
      <vt:variant>
        <vt:lpwstr/>
      </vt:variant>
      <vt:variant>
        <vt:i4>7995492</vt:i4>
      </vt:variant>
      <vt:variant>
        <vt:i4>135</vt:i4>
      </vt:variant>
      <vt:variant>
        <vt:i4>0</vt:i4>
      </vt:variant>
      <vt:variant>
        <vt:i4>5</vt:i4>
      </vt:variant>
      <vt:variant>
        <vt:lpwstr>http://www.nevo.co.il/law/70301</vt:lpwstr>
      </vt:variant>
      <vt:variant>
        <vt:lpwstr/>
      </vt:variant>
      <vt:variant>
        <vt:i4>196684</vt:i4>
      </vt:variant>
      <vt:variant>
        <vt:i4>132</vt:i4>
      </vt:variant>
      <vt:variant>
        <vt:i4>0</vt:i4>
      </vt:variant>
      <vt:variant>
        <vt:i4>5</vt:i4>
      </vt:variant>
      <vt:variant>
        <vt:lpwstr>http://www.nevo.co.il/law/70301/77.a</vt:lpwstr>
      </vt:variant>
      <vt:variant>
        <vt:lpwstr/>
      </vt:variant>
      <vt:variant>
        <vt:i4>3473533</vt:i4>
      </vt:variant>
      <vt:variant>
        <vt:i4>129</vt:i4>
      </vt:variant>
      <vt:variant>
        <vt:i4>0</vt:i4>
      </vt:variant>
      <vt:variant>
        <vt:i4>5</vt:i4>
      </vt:variant>
      <vt:variant>
        <vt:lpwstr>http://www.nevo.co.il/case/6248631</vt:lpwstr>
      </vt:variant>
      <vt:variant>
        <vt:lpwstr/>
      </vt:variant>
      <vt:variant>
        <vt:i4>3276914</vt:i4>
      </vt:variant>
      <vt:variant>
        <vt:i4>126</vt:i4>
      </vt:variant>
      <vt:variant>
        <vt:i4>0</vt:i4>
      </vt:variant>
      <vt:variant>
        <vt:i4>5</vt:i4>
      </vt:variant>
      <vt:variant>
        <vt:lpwstr>http://www.nevo.co.il/case/5868564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7143520</vt:i4>
      </vt:variant>
      <vt:variant>
        <vt:i4>120</vt:i4>
      </vt:variant>
      <vt:variant>
        <vt:i4>0</vt:i4>
      </vt:variant>
      <vt:variant>
        <vt:i4>5</vt:i4>
      </vt:variant>
      <vt:variant>
        <vt:lpwstr>http://www.nevo.co.il/law/70301/58</vt:lpwstr>
      </vt:variant>
      <vt:variant>
        <vt:lpwstr/>
      </vt:variant>
      <vt:variant>
        <vt:i4>3997808</vt:i4>
      </vt:variant>
      <vt:variant>
        <vt:i4>117</vt:i4>
      </vt:variant>
      <vt:variant>
        <vt:i4>0</vt:i4>
      </vt:variant>
      <vt:variant>
        <vt:i4>5</vt:i4>
      </vt:variant>
      <vt:variant>
        <vt:lpwstr>http://www.nevo.co.il/case/16905206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3539057</vt:i4>
      </vt:variant>
      <vt:variant>
        <vt:i4>108</vt:i4>
      </vt:variant>
      <vt:variant>
        <vt:i4>0</vt:i4>
      </vt:variant>
      <vt:variant>
        <vt:i4>5</vt:i4>
      </vt:variant>
      <vt:variant>
        <vt:lpwstr>http://www.nevo.co.il/case/18653821</vt:lpwstr>
      </vt:variant>
      <vt:variant>
        <vt:lpwstr/>
      </vt:variant>
      <vt:variant>
        <vt:i4>3407997</vt:i4>
      </vt:variant>
      <vt:variant>
        <vt:i4>105</vt:i4>
      </vt:variant>
      <vt:variant>
        <vt:i4>0</vt:i4>
      </vt:variant>
      <vt:variant>
        <vt:i4>5</vt:i4>
      </vt:variant>
      <vt:variant>
        <vt:lpwstr>http://www.nevo.co.il/case/6842731</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6553637</vt:i4>
      </vt:variant>
      <vt:variant>
        <vt:i4>96</vt:i4>
      </vt:variant>
      <vt:variant>
        <vt:i4>0</vt:i4>
      </vt:variant>
      <vt:variant>
        <vt:i4>5</vt:i4>
      </vt:variant>
      <vt:variant>
        <vt:lpwstr>http://www.nevo.co.il/law/70301/40jc.b</vt:lpwstr>
      </vt:variant>
      <vt:variant>
        <vt:lpwstr/>
      </vt:variant>
      <vt:variant>
        <vt:i4>6750245</vt:i4>
      </vt:variant>
      <vt:variant>
        <vt:i4>93</vt:i4>
      </vt:variant>
      <vt:variant>
        <vt:i4>0</vt:i4>
      </vt:variant>
      <vt:variant>
        <vt:i4>5</vt:i4>
      </vt:variant>
      <vt:variant>
        <vt:lpwstr>http://www.nevo.co.il/law/70301/40jc.a</vt:lpwstr>
      </vt:variant>
      <vt:variant>
        <vt:lpwstr/>
      </vt:variant>
      <vt:variant>
        <vt:i4>7995492</vt:i4>
      </vt:variant>
      <vt:variant>
        <vt:i4>90</vt:i4>
      </vt:variant>
      <vt:variant>
        <vt:i4>0</vt:i4>
      </vt:variant>
      <vt:variant>
        <vt:i4>5</vt:i4>
      </vt:variant>
      <vt:variant>
        <vt:lpwstr>http://www.nevo.co.il/law/70301</vt:lpwstr>
      </vt:variant>
      <vt:variant>
        <vt:lpwstr/>
      </vt:variant>
      <vt:variant>
        <vt:i4>4390994</vt:i4>
      </vt:variant>
      <vt:variant>
        <vt:i4>87</vt:i4>
      </vt:variant>
      <vt:variant>
        <vt:i4>0</vt:i4>
      </vt:variant>
      <vt:variant>
        <vt:i4>5</vt:i4>
      </vt:variant>
      <vt:variant>
        <vt:lpwstr>http://www.nevo.co.il/law/70301/186.a</vt:lpwstr>
      </vt:variant>
      <vt:variant>
        <vt:lpwstr/>
      </vt:variant>
      <vt:variant>
        <vt:i4>8257637</vt:i4>
      </vt:variant>
      <vt:variant>
        <vt:i4>84</vt:i4>
      </vt:variant>
      <vt:variant>
        <vt:i4>0</vt:i4>
      </vt:variant>
      <vt:variant>
        <vt:i4>5</vt:i4>
      </vt:variant>
      <vt:variant>
        <vt:lpwstr>http://www.nevo.co.il/law/4216</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3473525</vt:i4>
      </vt:variant>
      <vt:variant>
        <vt:i4>75</vt:i4>
      </vt:variant>
      <vt:variant>
        <vt:i4>0</vt:i4>
      </vt:variant>
      <vt:variant>
        <vt:i4>5</vt:i4>
      </vt:variant>
      <vt:variant>
        <vt:lpwstr>http://www.nevo.co.il/case/24301558</vt:lpwstr>
      </vt:variant>
      <vt:variant>
        <vt:lpwstr/>
      </vt:variant>
      <vt:variant>
        <vt:i4>5177426</vt:i4>
      </vt:variant>
      <vt:variant>
        <vt:i4>72</vt:i4>
      </vt:variant>
      <vt:variant>
        <vt:i4>0</vt:i4>
      </vt:variant>
      <vt:variant>
        <vt:i4>5</vt:i4>
      </vt:variant>
      <vt:variant>
        <vt:lpwstr>http://www.nevo.co.il/law/70301/245.a</vt:lpwstr>
      </vt:variant>
      <vt:variant>
        <vt:lpwstr/>
      </vt:variant>
      <vt:variant>
        <vt:i4>5177426</vt:i4>
      </vt:variant>
      <vt:variant>
        <vt:i4>69</vt:i4>
      </vt:variant>
      <vt:variant>
        <vt:i4>0</vt:i4>
      </vt:variant>
      <vt:variant>
        <vt:i4>5</vt:i4>
      </vt:variant>
      <vt:variant>
        <vt:lpwstr>http://www.nevo.co.il/law/70301/245.b</vt:lpwstr>
      </vt:variant>
      <vt:variant>
        <vt:lpwstr/>
      </vt:variant>
      <vt:variant>
        <vt:i4>4390994</vt:i4>
      </vt:variant>
      <vt:variant>
        <vt:i4>66</vt:i4>
      </vt:variant>
      <vt:variant>
        <vt:i4>0</vt:i4>
      </vt:variant>
      <vt:variant>
        <vt:i4>5</vt:i4>
      </vt:variant>
      <vt:variant>
        <vt:lpwstr>http://www.nevo.co.il/law/70301/186.a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6684774</vt:i4>
      </vt:variant>
      <vt:variant>
        <vt:i4>60</vt:i4>
      </vt:variant>
      <vt:variant>
        <vt:i4>0</vt:i4>
      </vt:variant>
      <vt:variant>
        <vt:i4>5</vt:i4>
      </vt:variant>
      <vt:variant>
        <vt:lpwstr>http://www.nevo.co.il/law/70301/335</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5111891</vt:i4>
      </vt:variant>
      <vt:variant>
        <vt:i4>54</vt:i4>
      </vt:variant>
      <vt:variant>
        <vt:i4>0</vt:i4>
      </vt:variant>
      <vt:variant>
        <vt:i4>5</vt:i4>
      </vt:variant>
      <vt:variant>
        <vt:lpwstr>http://www.nevo.co.il/law/4216/37a.b</vt:lpwstr>
      </vt:variant>
      <vt:variant>
        <vt:lpwstr/>
      </vt:variant>
      <vt:variant>
        <vt:i4>5046355</vt:i4>
      </vt:variant>
      <vt:variant>
        <vt:i4>51</vt:i4>
      </vt:variant>
      <vt:variant>
        <vt:i4>0</vt:i4>
      </vt:variant>
      <vt:variant>
        <vt:i4>5</vt:i4>
      </vt:variant>
      <vt:variant>
        <vt:lpwstr>http://www.nevo.co.il/law/4216/37a.a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6684774</vt:i4>
      </vt:variant>
      <vt:variant>
        <vt:i4>30</vt:i4>
      </vt:variant>
      <vt:variant>
        <vt:i4>0</vt:i4>
      </vt:variant>
      <vt:variant>
        <vt:i4>5</vt:i4>
      </vt:variant>
      <vt:variant>
        <vt:lpwstr>http://www.nevo.co.il/law/70301/335</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5177426</vt:i4>
      </vt:variant>
      <vt:variant>
        <vt:i4>24</vt:i4>
      </vt:variant>
      <vt:variant>
        <vt:i4>0</vt:i4>
      </vt:variant>
      <vt:variant>
        <vt:i4>5</vt:i4>
      </vt:variant>
      <vt:variant>
        <vt:lpwstr>http://www.nevo.co.il/law/70301/245.b</vt:lpwstr>
      </vt:variant>
      <vt:variant>
        <vt:lpwstr/>
      </vt:variant>
      <vt:variant>
        <vt:i4>5177426</vt:i4>
      </vt:variant>
      <vt:variant>
        <vt:i4>21</vt:i4>
      </vt:variant>
      <vt:variant>
        <vt:i4>0</vt:i4>
      </vt:variant>
      <vt:variant>
        <vt:i4>5</vt:i4>
      </vt:variant>
      <vt:variant>
        <vt:lpwstr>http://www.nevo.co.il/law/70301/245.a</vt:lpwstr>
      </vt:variant>
      <vt:variant>
        <vt:lpwstr/>
      </vt:variant>
      <vt:variant>
        <vt:i4>6357095</vt:i4>
      </vt:variant>
      <vt:variant>
        <vt:i4>18</vt:i4>
      </vt:variant>
      <vt:variant>
        <vt:i4>0</vt:i4>
      </vt:variant>
      <vt:variant>
        <vt:i4>5</vt:i4>
      </vt:variant>
      <vt:variant>
        <vt:lpwstr>http://www.nevo.co.il/law/70301/245</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196684</vt:i4>
      </vt:variant>
      <vt:variant>
        <vt:i4>12</vt:i4>
      </vt:variant>
      <vt:variant>
        <vt:i4>0</vt:i4>
      </vt:variant>
      <vt:variant>
        <vt:i4>5</vt:i4>
      </vt:variant>
      <vt:variant>
        <vt:lpwstr>http://www.nevo.co.il/law/70301/77.a</vt:lpwstr>
      </vt:variant>
      <vt:variant>
        <vt:lpwstr/>
      </vt:variant>
      <vt:variant>
        <vt:i4>6422626</vt:i4>
      </vt:variant>
      <vt:variant>
        <vt:i4>9</vt:i4>
      </vt:variant>
      <vt:variant>
        <vt:i4>0</vt:i4>
      </vt:variant>
      <vt:variant>
        <vt:i4>5</vt:i4>
      </vt:variant>
      <vt:variant>
        <vt:lpwstr>http://www.nevo.co.il/law/70301/77</vt:lpwstr>
      </vt:variant>
      <vt:variant>
        <vt:lpwstr/>
      </vt:variant>
      <vt:variant>
        <vt:i4>7143520</vt:i4>
      </vt:variant>
      <vt:variant>
        <vt:i4>6</vt:i4>
      </vt:variant>
      <vt:variant>
        <vt:i4>0</vt:i4>
      </vt:variant>
      <vt:variant>
        <vt:i4>5</vt:i4>
      </vt:variant>
      <vt:variant>
        <vt:lpwstr>http://www.nevo.co.il/law/70301/58</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54137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ליאל דרגן</vt:lpwstr>
  </property>
  <property fmtid="{D5CDD505-2E9C-101B-9397-08002B2CF9AE}" pid="10" name="LAWYER">
    <vt:lpwstr>ספיר מרדכי;זוהר ארבל</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20201202</vt:lpwstr>
  </property>
  <property fmtid="{D5CDD505-2E9C-101B-9397-08002B2CF9AE}" pid="14" name="TYPE_N_DATE">
    <vt:lpwstr>39020201202</vt:lpwstr>
  </property>
  <property fmtid="{D5CDD505-2E9C-101B-9397-08002B2CF9AE}" pid="15" name="WORDNUMPAGES">
    <vt:lpwstr>13</vt:lpwstr>
  </property>
  <property fmtid="{D5CDD505-2E9C-101B-9397-08002B2CF9AE}" pid="16" name="TYPE_ABS_DATE">
    <vt:lpwstr>390020201202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24301558:2;6842731;18653821;16905206:2;5868564;6248631;5587820;5802143;6031891;6245504;26211215</vt:lpwstr>
  </property>
  <property fmtid="{D5CDD505-2E9C-101B-9397-08002B2CF9AE}" pid="36" name="LAWLISTTMP1">
    <vt:lpwstr>70301/333;335;186.a:2;245.b;245.a;40jc.a;40jc.b;040c.a;40ja;058;077.a;077;245</vt:lpwstr>
  </property>
  <property fmtid="{D5CDD505-2E9C-101B-9397-08002B2CF9AE}" pid="37" name="LAWLISTTMP2">
    <vt:lpwstr>4216/007.a;007.c;037a.a;037a.b</vt:lpwstr>
  </property>
</Properties>
</file>