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06D7D" w:rsidRPr="00B01008" w14:paraId="0D87EF6A" w14:textId="77777777" w:rsidTr="009D4FA9">
        <w:trPr>
          <w:trHeight w:hRule="exact" w:val="418"/>
          <w:jc w:val="center"/>
        </w:trPr>
        <w:tc>
          <w:tcPr>
            <w:tcW w:w="8721" w:type="dxa"/>
            <w:gridSpan w:val="2"/>
          </w:tcPr>
          <w:p w14:paraId="170A9F24" w14:textId="77777777" w:rsidR="00706D7D" w:rsidRPr="00B01008" w:rsidRDefault="00706D7D" w:rsidP="001C150A">
            <w:pPr>
              <w:pStyle w:val="a3"/>
              <w:jc w:val="center"/>
              <w:rPr>
                <w:rFonts w:ascii="Tahoma" w:hAnsi="Tahoma" w:cs="Tahoma"/>
                <w:color w:val="000080"/>
                <w:rtl/>
              </w:rPr>
            </w:pPr>
            <w:bookmarkStart w:id="0" w:name="LastJudge"/>
            <w:r w:rsidRPr="00B01008">
              <w:rPr>
                <w:rFonts w:ascii="Tahoma" w:hAnsi="Tahoma" w:cs="Tahoma"/>
                <w:b/>
                <w:bCs/>
                <w:color w:val="000080"/>
                <w:rtl/>
              </w:rPr>
              <w:t>בית המשפט המחוזי בחיפה</w:t>
            </w:r>
          </w:p>
        </w:tc>
      </w:tr>
      <w:tr w:rsidR="00706D7D" w:rsidRPr="00B01008" w14:paraId="3AD3A07D" w14:textId="77777777" w:rsidTr="009D4FA9">
        <w:trPr>
          <w:trHeight w:val="337"/>
          <w:jc w:val="center"/>
        </w:trPr>
        <w:tc>
          <w:tcPr>
            <w:tcW w:w="5058" w:type="dxa"/>
          </w:tcPr>
          <w:p w14:paraId="32F865FD" w14:textId="77777777" w:rsidR="00706D7D" w:rsidRPr="00B01008" w:rsidRDefault="00706D7D" w:rsidP="001C150A">
            <w:pPr>
              <w:rPr>
                <w:rFonts w:cs="FrankRuehl"/>
                <w:sz w:val="28"/>
                <w:szCs w:val="28"/>
                <w:rtl/>
              </w:rPr>
            </w:pPr>
            <w:r w:rsidRPr="00B01008">
              <w:rPr>
                <w:rFonts w:cs="FrankRuehl"/>
                <w:sz w:val="28"/>
                <w:szCs w:val="28"/>
                <w:rtl/>
              </w:rPr>
              <w:t>ת"פ</w:t>
            </w:r>
            <w:r w:rsidRPr="00B01008">
              <w:rPr>
                <w:rFonts w:cs="FrankRuehl" w:hint="cs"/>
                <w:sz w:val="28"/>
                <w:szCs w:val="28"/>
                <w:rtl/>
              </w:rPr>
              <w:t xml:space="preserve"> </w:t>
            </w:r>
            <w:r w:rsidRPr="00B01008">
              <w:rPr>
                <w:rFonts w:cs="FrankRuehl"/>
                <w:sz w:val="28"/>
                <w:szCs w:val="28"/>
                <w:rtl/>
              </w:rPr>
              <w:t>57066-11-19</w:t>
            </w:r>
            <w:r w:rsidRPr="00B01008">
              <w:rPr>
                <w:rFonts w:cs="FrankRuehl" w:hint="cs"/>
                <w:sz w:val="28"/>
                <w:szCs w:val="28"/>
                <w:rtl/>
              </w:rPr>
              <w:t xml:space="preserve"> </w:t>
            </w:r>
            <w:r w:rsidRPr="00B01008">
              <w:rPr>
                <w:rFonts w:cs="FrankRuehl"/>
                <w:sz w:val="28"/>
                <w:szCs w:val="28"/>
                <w:rtl/>
              </w:rPr>
              <w:t>מדינת ישראל נ' עבאס(עציר)</w:t>
            </w:r>
          </w:p>
          <w:p w14:paraId="7E6D6263" w14:textId="77777777" w:rsidR="00706D7D" w:rsidRPr="00B01008" w:rsidRDefault="00706D7D" w:rsidP="001C150A">
            <w:pPr>
              <w:pStyle w:val="a3"/>
              <w:rPr>
                <w:rFonts w:cs="FrankRuehl"/>
                <w:sz w:val="28"/>
                <w:szCs w:val="28"/>
                <w:rtl/>
              </w:rPr>
            </w:pPr>
          </w:p>
        </w:tc>
        <w:tc>
          <w:tcPr>
            <w:tcW w:w="3663" w:type="dxa"/>
          </w:tcPr>
          <w:p w14:paraId="45647B1B" w14:textId="77777777" w:rsidR="00706D7D" w:rsidRPr="00B01008" w:rsidRDefault="00706D7D" w:rsidP="001C150A">
            <w:pPr>
              <w:pStyle w:val="a3"/>
              <w:jc w:val="right"/>
              <w:rPr>
                <w:rFonts w:cs="FrankRuehl"/>
                <w:sz w:val="28"/>
                <w:szCs w:val="28"/>
                <w:rtl/>
              </w:rPr>
            </w:pPr>
          </w:p>
        </w:tc>
      </w:tr>
    </w:tbl>
    <w:p w14:paraId="63C0A18B" w14:textId="77777777" w:rsidR="00706D7D" w:rsidRPr="00B01008" w:rsidRDefault="00706D7D" w:rsidP="00706D7D">
      <w:pPr>
        <w:pStyle w:val="a3"/>
        <w:rPr>
          <w:rtl/>
        </w:rPr>
      </w:pPr>
      <w:r w:rsidRPr="00B01008">
        <w:rPr>
          <w:rFonts w:hint="cs"/>
          <w:rtl/>
        </w:rPr>
        <w:t xml:space="preserve"> </w:t>
      </w:r>
    </w:p>
    <w:p w14:paraId="70022BEF" w14:textId="77777777" w:rsidR="00706D7D" w:rsidRPr="00B01008" w:rsidRDefault="00706D7D" w:rsidP="00706D7D">
      <w:pPr>
        <w:spacing w:line="360" w:lineRule="auto"/>
        <w:jc w:val="both"/>
        <w:rPr>
          <w:rtl/>
        </w:rPr>
      </w:pPr>
    </w:p>
    <w:p w14:paraId="1E5C52E2" w14:textId="77777777" w:rsidR="00706D7D" w:rsidRPr="00B01008" w:rsidRDefault="00706D7D" w:rsidP="00706D7D">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706D7D" w:rsidRPr="00B01008" w14:paraId="28DCD8A5" w14:textId="77777777" w:rsidTr="00706D7D">
        <w:trPr>
          <w:gridAfter w:val="1"/>
          <w:wAfter w:w="56" w:type="dxa"/>
        </w:trPr>
        <w:tc>
          <w:tcPr>
            <w:tcW w:w="8718" w:type="dxa"/>
            <w:gridSpan w:val="2"/>
            <w:shd w:val="clear" w:color="auto" w:fill="auto"/>
          </w:tcPr>
          <w:p w14:paraId="56E460AC" w14:textId="77777777" w:rsidR="00706D7D" w:rsidRPr="00B01008" w:rsidRDefault="00706D7D" w:rsidP="001C150A">
            <w:pPr>
              <w:rPr>
                <w:b/>
                <w:bCs/>
                <w:sz w:val="26"/>
                <w:szCs w:val="26"/>
                <w:rtl/>
              </w:rPr>
            </w:pPr>
            <w:r w:rsidRPr="00B01008">
              <w:rPr>
                <w:rFonts w:hint="cs"/>
                <w:b/>
                <w:bCs/>
                <w:sz w:val="26"/>
                <w:szCs w:val="26"/>
                <w:rtl/>
              </w:rPr>
              <w:t>לפני כבוד ה</w:t>
            </w:r>
            <w:r w:rsidRPr="00B01008">
              <w:rPr>
                <w:b/>
                <w:bCs/>
                <w:sz w:val="26"/>
                <w:szCs w:val="26"/>
                <w:rtl/>
              </w:rPr>
              <w:t>שופטת רבקה פוקס</w:t>
            </w:r>
            <w:r w:rsidRPr="00B01008">
              <w:rPr>
                <w:rStyle w:val="TimesNewRomanTimesNewRoman"/>
                <w:rtl/>
              </w:rPr>
              <w:t xml:space="preserve"> </w:t>
            </w:r>
          </w:p>
          <w:p w14:paraId="125D85A5" w14:textId="77777777" w:rsidR="00706D7D" w:rsidRPr="00B01008" w:rsidRDefault="00706D7D" w:rsidP="001C150A">
            <w:pPr>
              <w:rPr>
                <w:b/>
                <w:bCs/>
                <w:sz w:val="26"/>
                <w:szCs w:val="26"/>
                <w:rtl/>
              </w:rPr>
            </w:pPr>
          </w:p>
        </w:tc>
      </w:tr>
      <w:tr w:rsidR="00706D7D" w:rsidRPr="00B01008" w14:paraId="67EF4433" w14:textId="77777777" w:rsidTr="00706D7D">
        <w:trPr>
          <w:cantSplit/>
          <w:trHeight w:val="243"/>
        </w:trPr>
        <w:tc>
          <w:tcPr>
            <w:tcW w:w="2880" w:type="dxa"/>
            <w:shd w:val="clear" w:color="auto" w:fill="auto"/>
          </w:tcPr>
          <w:p w14:paraId="3B6FF348" w14:textId="77777777" w:rsidR="00706D7D" w:rsidRPr="00B01008" w:rsidRDefault="00706D7D" w:rsidP="00706D7D">
            <w:pPr>
              <w:ind w:left="26"/>
              <w:rPr>
                <w:b/>
                <w:bCs/>
                <w:sz w:val="26"/>
                <w:szCs w:val="26"/>
                <w:rtl/>
              </w:rPr>
            </w:pPr>
            <w:bookmarkStart w:id="1" w:name="FirstAppellant"/>
            <w:r w:rsidRPr="00B01008">
              <w:rPr>
                <w:rFonts w:hint="cs"/>
                <w:b/>
                <w:bCs/>
                <w:sz w:val="26"/>
                <w:szCs w:val="26"/>
                <w:rtl/>
              </w:rPr>
              <w:t>ה</w:t>
            </w:r>
            <w:r w:rsidRPr="00B01008">
              <w:rPr>
                <w:b/>
                <w:bCs/>
                <w:sz w:val="26"/>
                <w:szCs w:val="26"/>
                <w:rtl/>
              </w:rPr>
              <w:t>מאשימה</w:t>
            </w:r>
          </w:p>
        </w:tc>
        <w:tc>
          <w:tcPr>
            <w:tcW w:w="5922" w:type="dxa"/>
            <w:gridSpan w:val="2"/>
            <w:shd w:val="clear" w:color="auto" w:fill="auto"/>
          </w:tcPr>
          <w:p w14:paraId="50D4D39E" w14:textId="77777777" w:rsidR="00706D7D" w:rsidRPr="00B01008" w:rsidRDefault="00706D7D" w:rsidP="001C150A">
            <w:pPr>
              <w:rPr>
                <w:b/>
                <w:bCs/>
                <w:sz w:val="26"/>
                <w:szCs w:val="26"/>
                <w:rtl/>
              </w:rPr>
            </w:pPr>
            <w:r w:rsidRPr="00B01008">
              <w:rPr>
                <w:b/>
                <w:bCs/>
                <w:sz w:val="26"/>
                <w:szCs w:val="26"/>
                <w:rtl/>
              </w:rPr>
              <w:t>מדינת ישראל</w:t>
            </w:r>
          </w:p>
          <w:p w14:paraId="0FC732A9" w14:textId="77777777" w:rsidR="00706D7D" w:rsidRPr="00B01008" w:rsidRDefault="00706D7D" w:rsidP="001C150A">
            <w:pPr>
              <w:rPr>
                <w:sz w:val="26"/>
                <w:szCs w:val="26"/>
                <w:rtl/>
              </w:rPr>
            </w:pPr>
            <w:r w:rsidRPr="00B01008">
              <w:rPr>
                <w:rFonts w:hint="cs"/>
                <w:sz w:val="26"/>
                <w:szCs w:val="26"/>
                <w:rtl/>
              </w:rPr>
              <w:t>באמצעות פרקליטות מחוז חיפה (פלילי)</w:t>
            </w:r>
          </w:p>
        </w:tc>
      </w:tr>
      <w:bookmarkEnd w:id="1"/>
      <w:tr w:rsidR="00706D7D" w:rsidRPr="00B01008" w14:paraId="58BDFB1B" w14:textId="77777777" w:rsidTr="00706D7D">
        <w:tc>
          <w:tcPr>
            <w:tcW w:w="8802" w:type="dxa"/>
            <w:gridSpan w:val="3"/>
            <w:shd w:val="clear" w:color="auto" w:fill="auto"/>
            <w:vAlign w:val="center"/>
          </w:tcPr>
          <w:p w14:paraId="61184B51" w14:textId="77777777" w:rsidR="00706D7D" w:rsidRPr="00B01008" w:rsidRDefault="00706D7D" w:rsidP="00706D7D">
            <w:pPr>
              <w:jc w:val="center"/>
              <w:rPr>
                <w:rFonts w:ascii="Arial" w:hAnsi="Arial"/>
                <w:b/>
                <w:bCs/>
                <w:sz w:val="26"/>
                <w:szCs w:val="26"/>
                <w:rtl/>
              </w:rPr>
            </w:pPr>
          </w:p>
          <w:p w14:paraId="7C0E46C0" w14:textId="77777777" w:rsidR="00706D7D" w:rsidRPr="00B01008" w:rsidRDefault="00706D7D" w:rsidP="00706D7D">
            <w:pPr>
              <w:jc w:val="center"/>
              <w:rPr>
                <w:rFonts w:ascii="Arial" w:hAnsi="Arial"/>
                <w:b/>
                <w:bCs/>
                <w:sz w:val="26"/>
                <w:szCs w:val="26"/>
                <w:rtl/>
              </w:rPr>
            </w:pPr>
            <w:r w:rsidRPr="00B01008">
              <w:rPr>
                <w:rFonts w:ascii="Arial" w:hAnsi="Arial" w:hint="cs"/>
                <w:b/>
                <w:bCs/>
                <w:sz w:val="26"/>
                <w:szCs w:val="26"/>
                <w:rtl/>
              </w:rPr>
              <w:t>נגד</w:t>
            </w:r>
          </w:p>
          <w:p w14:paraId="4ABD3C45" w14:textId="77777777" w:rsidR="00706D7D" w:rsidRPr="00B01008" w:rsidRDefault="00706D7D" w:rsidP="001C150A">
            <w:pPr>
              <w:rPr>
                <w:rFonts w:ascii="Arial" w:hAnsi="Arial"/>
                <w:b/>
                <w:bCs/>
                <w:sz w:val="26"/>
                <w:szCs w:val="26"/>
                <w:rtl/>
              </w:rPr>
            </w:pPr>
          </w:p>
        </w:tc>
      </w:tr>
      <w:tr w:rsidR="00706D7D" w:rsidRPr="00B01008" w14:paraId="361CEF40" w14:textId="77777777" w:rsidTr="00706D7D">
        <w:tc>
          <w:tcPr>
            <w:tcW w:w="2880" w:type="dxa"/>
            <w:shd w:val="clear" w:color="auto" w:fill="auto"/>
          </w:tcPr>
          <w:p w14:paraId="0B57250F" w14:textId="77777777" w:rsidR="00706D7D" w:rsidRPr="00B01008" w:rsidRDefault="00706D7D" w:rsidP="00706D7D">
            <w:pPr>
              <w:ind w:left="26"/>
              <w:rPr>
                <w:b/>
                <w:bCs/>
                <w:sz w:val="26"/>
                <w:szCs w:val="26"/>
              </w:rPr>
            </w:pPr>
            <w:r w:rsidRPr="00B01008">
              <w:rPr>
                <w:rFonts w:hint="cs"/>
                <w:b/>
                <w:bCs/>
                <w:sz w:val="26"/>
                <w:szCs w:val="26"/>
                <w:rtl/>
              </w:rPr>
              <w:t>ה</w:t>
            </w:r>
            <w:r w:rsidRPr="00B01008">
              <w:rPr>
                <w:b/>
                <w:bCs/>
                <w:sz w:val="26"/>
                <w:szCs w:val="26"/>
                <w:rtl/>
              </w:rPr>
              <w:t>נאשם</w:t>
            </w:r>
          </w:p>
        </w:tc>
        <w:tc>
          <w:tcPr>
            <w:tcW w:w="5922" w:type="dxa"/>
            <w:gridSpan w:val="2"/>
            <w:shd w:val="clear" w:color="auto" w:fill="auto"/>
          </w:tcPr>
          <w:p w14:paraId="293579A8" w14:textId="77777777" w:rsidR="00706D7D" w:rsidRPr="00B01008" w:rsidRDefault="00706D7D" w:rsidP="001C150A">
            <w:pPr>
              <w:rPr>
                <w:b/>
                <w:bCs/>
                <w:sz w:val="26"/>
                <w:szCs w:val="26"/>
                <w:rtl/>
              </w:rPr>
            </w:pPr>
            <w:r w:rsidRPr="00B01008">
              <w:rPr>
                <w:b/>
                <w:bCs/>
                <w:sz w:val="26"/>
                <w:szCs w:val="26"/>
                <w:rtl/>
              </w:rPr>
              <w:t>חאלד עבאס (עציר)</w:t>
            </w:r>
            <w:r w:rsidRPr="00B01008">
              <w:rPr>
                <w:rtl/>
              </w:rPr>
              <w:t xml:space="preserve"> </w:t>
            </w:r>
            <w:r w:rsidRPr="00B01008">
              <w:rPr>
                <w:b/>
                <w:bCs/>
                <w:sz w:val="26"/>
                <w:szCs w:val="26"/>
                <w:rtl/>
              </w:rPr>
              <w:t>ת.ז.</w:t>
            </w:r>
            <w:r w:rsidRPr="00B01008">
              <w:rPr>
                <w:rFonts w:hint="cs"/>
                <w:b/>
                <w:bCs/>
                <w:sz w:val="26"/>
                <w:szCs w:val="26"/>
                <w:rtl/>
              </w:rPr>
              <w:t xml:space="preserve">  </w:t>
            </w:r>
            <w:r w:rsidR="00B01008">
              <w:rPr>
                <w:b/>
                <w:bCs/>
                <w:sz w:val="26"/>
                <w:szCs w:val="26"/>
              </w:rPr>
              <w:t>xxxxxxxxxx</w:t>
            </w:r>
          </w:p>
          <w:p w14:paraId="0388E745" w14:textId="77777777" w:rsidR="00706D7D" w:rsidRPr="00B01008" w:rsidRDefault="00706D7D" w:rsidP="001C150A">
            <w:pPr>
              <w:rPr>
                <w:sz w:val="26"/>
                <w:szCs w:val="26"/>
                <w:rtl/>
              </w:rPr>
            </w:pPr>
            <w:r w:rsidRPr="00B01008">
              <w:rPr>
                <w:rFonts w:hint="cs"/>
                <w:sz w:val="26"/>
                <w:szCs w:val="26"/>
                <w:rtl/>
              </w:rPr>
              <w:t>באמצעות עוה"ד דניאל דרוביצקי וירון ברזילי</w:t>
            </w:r>
          </w:p>
        </w:tc>
      </w:tr>
    </w:tbl>
    <w:p w14:paraId="0F133209" w14:textId="77777777" w:rsidR="00706D7D" w:rsidRPr="00B01008" w:rsidRDefault="00706D7D" w:rsidP="00706D7D">
      <w:pPr>
        <w:spacing w:line="360" w:lineRule="auto"/>
        <w:jc w:val="both"/>
        <w:rPr>
          <w:rtl/>
        </w:rPr>
      </w:pPr>
    </w:p>
    <w:p w14:paraId="6E733731" w14:textId="77777777" w:rsidR="00706D7D" w:rsidRPr="00B01008" w:rsidRDefault="00706D7D" w:rsidP="00706D7D"/>
    <w:p w14:paraId="55194E48" w14:textId="77777777" w:rsidR="00706D7D" w:rsidRPr="00B01008" w:rsidRDefault="00706D7D" w:rsidP="009D4FA9">
      <w:pPr>
        <w:spacing w:before="120" w:line="360" w:lineRule="auto"/>
        <w:jc w:val="both"/>
        <w:rPr>
          <w:rFonts w:ascii="David" w:hAnsi="David"/>
          <w:spacing w:val="10"/>
        </w:rPr>
      </w:pPr>
    </w:p>
    <w:p w14:paraId="46DD072F" w14:textId="77777777" w:rsidR="009D4FA9" w:rsidRDefault="009D4FA9" w:rsidP="00706D7D">
      <w:pPr>
        <w:jc w:val="center"/>
        <w:rPr>
          <w:rFonts w:ascii="Arial" w:hAnsi="Arial" w:cs="FrankRuehl"/>
          <w:sz w:val="32"/>
          <w:szCs w:val="32"/>
          <w:rtl/>
        </w:rPr>
      </w:pPr>
      <w:bookmarkStart w:id="2" w:name="LawTable"/>
      <w:bookmarkEnd w:id="2"/>
    </w:p>
    <w:p w14:paraId="2869668D" w14:textId="77777777" w:rsidR="009D4FA9" w:rsidRPr="009D4FA9" w:rsidRDefault="009D4FA9" w:rsidP="009D4FA9">
      <w:pPr>
        <w:spacing w:after="120" w:line="240" w:lineRule="exact"/>
        <w:ind w:left="283" w:hanging="283"/>
        <w:jc w:val="both"/>
        <w:rPr>
          <w:rFonts w:ascii="FrankRuehl" w:hAnsi="FrankRuehl" w:cs="FrankRuehl"/>
          <w:rtl/>
        </w:rPr>
      </w:pPr>
    </w:p>
    <w:p w14:paraId="6E8FE5D8" w14:textId="77777777" w:rsidR="009D4FA9" w:rsidRPr="009D4FA9" w:rsidRDefault="009D4FA9" w:rsidP="009D4FA9">
      <w:pPr>
        <w:spacing w:after="120" w:line="240" w:lineRule="exact"/>
        <w:ind w:left="283" w:hanging="283"/>
        <w:jc w:val="both"/>
        <w:rPr>
          <w:rFonts w:ascii="FrankRuehl" w:hAnsi="FrankRuehl" w:cs="FrankRuehl"/>
          <w:rtl/>
        </w:rPr>
      </w:pPr>
      <w:r w:rsidRPr="009D4FA9">
        <w:rPr>
          <w:rFonts w:ascii="FrankRuehl" w:hAnsi="FrankRuehl" w:cs="FrankRuehl"/>
          <w:rtl/>
        </w:rPr>
        <w:t xml:space="preserve">חקיקה שאוזכרה: </w:t>
      </w:r>
    </w:p>
    <w:p w14:paraId="21717945" w14:textId="77777777" w:rsidR="009D4FA9" w:rsidRPr="009D4FA9" w:rsidRDefault="009D4FA9" w:rsidP="009D4FA9">
      <w:pPr>
        <w:spacing w:after="120" w:line="240" w:lineRule="exact"/>
        <w:ind w:left="283" w:hanging="283"/>
        <w:jc w:val="both"/>
        <w:rPr>
          <w:rFonts w:ascii="FrankRuehl" w:hAnsi="FrankRuehl" w:cs="FrankRuehl"/>
          <w:color w:val="0000FF"/>
          <w:u w:val="single"/>
          <w:rtl/>
        </w:rPr>
      </w:pPr>
      <w:hyperlink r:id="rId7" w:history="1">
        <w:r w:rsidRPr="009D4FA9">
          <w:rPr>
            <w:rStyle w:val="Hyperlink"/>
            <w:rFonts w:ascii="FrankRuehl" w:hAnsi="FrankRuehl" w:cs="FrankRuehl"/>
            <w:rtl/>
          </w:rPr>
          <w:t>פקודת הסמים המסוכנים [נוסח חדש], תשל"ג-1973</w:t>
        </w:r>
      </w:hyperlink>
      <w:r w:rsidRPr="009D4FA9">
        <w:rPr>
          <w:rFonts w:ascii="FrankRuehl" w:hAnsi="FrankRuehl" w:cs="FrankRuehl"/>
          <w:color w:val="0000FF"/>
          <w:u w:val="single"/>
          <w:rtl/>
        </w:rPr>
        <w:t xml:space="preserve">: סע'  </w:t>
      </w:r>
      <w:hyperlink r:id="rId8" w:history="1">
        <w:r w:rsidRPr="009D4FA9">
          <w:rPr>
            <w:rStyle w:val="Hyperlink"/>
            <w:rFonts w:ascii="FrankRuehl" w:hAnsi="FrankRuehl" w:cs="FrankRuehl"/>
          </w:rPr>
          <w:t>7.</w:t>
        </w:r>
        <w:r w:rsidRPr="009D4FA9">
          <w:rPr>
            <w:rStyle w:val="Hyperlink"/>
            <w:rFonts w:ascii="FrankRuehl" w:hAnsi="FrankRuehl" w:cs="FrankRuehl"/>
            <w:rtl/>
          </w:rPr>
          <w:t>א</w:t>
        </w:r>
        <w:r w:rsidRPr="009D4FA9">
          <w:rPr>
            <w:rStyle w:val="Hyperlink"/>
            <w:rFonts w:ascii="FrankRuehl" w:hAnsi="FrankRuehl" w:cs="FrankRuehl"/>
          </w:rPr>
          <w:t>.</w:t>
        </w:r>
      </w:hyperlink>
      <w:r w:rsidRPr="009D4FA9">
        <w:rPr>
          <w:rFonts w:ascii="FrankRuehl" w:hAnsi="FrankRuehl" w:cs="FrankRuehl"/>
          <w:color w:val="0000FF"/>
          <w:u w:val="single"/>
          <w:rtl/>
        </w:rPr>
        <w:t xml:space="preserve">, </w:t>
      </w:r>
      <w:hyperlink r:id="rId9" w:history="1">
        <w:r w:rsidRPr="009D4FA9">
          <w:rPr>
            <w:rStyle w:val="Hyperlink"/>
            <w:rFonts w:ascii="FrankRuehl" w:hAnsi="FrankRuehl" w:cs="FrankRuehl"/>
          </w:rPr>
          <w:t>7.</w:t>
        </w:r>
        <w:r w:rsidRPr="009D4FA9">
          <w:rPr>
            <w:rStyle w:val="Hyperlink"/>
            <w:rFonts w:ascii="FrankRuehl" w:hAnsi="FrankRuehl" w:cs="FrankRuehl"/>
            <w:rtl/>
          </w:rPr>
          <w:t>ג</w:t>
        </w:r>
      </w:hyperlink>
    </w:p>
    <w:p w14:paraId="194611D4" w14:textId="77777777" w:rsidR="009D4FA9" w:rsidRPr="009D4FA9" w:rsidRDefault="009D4FA9" w:rsidP="009D4FA9">
      <w:pPr>
        <w:spacing w:after="120" w:line="240" w:lineRule="exact"/>
        <w:ind w:left="283" w:hanging="283"/>
        <w:jc w:val="both"/>
        <w:rPr>
          <w:rFonts w:ascii="FrankRuehl" w:hAnsi="FrankRuehl" w:cs="FrankRuehl"/>
          <w:color w:val="0000FF"/>
          <w:u w:val="single"/>
          <w:rtl/>
        </w:rPr>
      </w:pPr>
      <w:hyperlink r:id="rId10" w:history="1">
        <w:r w:rsidRPr="009D4FA9">
          <w:rPr>
            <w:rStyle w:val="Hyperlink"/>
            <w:rFonts w:ascii="FrankRuehl" w:hAnsi="FrankRuehl" w:cs="FrankRuehl"/>
            <w:rtl/>
          </w:rPr>
          <w:t>חוק העונשין, תשל"ז-1977</w:t>
        </w:r>
      </w:hyperlink>
      <w:r w:rsidRPr="009D4FA9">
        <w:rPr>
          <w:rFonts w:ascii="FrankRuehl" w:hAnsi="FrankRuehl" w:cs="FrankRuehl"/>
          <w:color w:val="0000FF"/>
          <w:u w:val="single"/>
          <w:rtl/>
        </w:rPr>
        <w:t xml:space="preserve">: סע'  </w:t>
      </w:r>
      <w:hyperlink r:id="rId11" w:history="1">
        <w:r w:rsidRPr="009D4FA9">
          <w:rPr>
            <w:rStyle w:val="Hyperlink"/>
            <w:rFonts w:ascii="FrankRuehl" w:hAnsi="FrankRuehl" w:cs="FrankRuehl"/>
          </w:rPr>
          <w:t>40</w:t>
        </w:r>
        <w:r w:rsidRPr="009D4FA9">
          <w:rPr>
            <w:rStyle w:val="Hyperlink"/>
            <w:rFonts w:ascii="FrankRuehl" w:hAnsi="FrankRuehl" w:cs="FrankRuehl"/>
            <w:rtl/>
          </w:rPr>
          <w:t>ג(א</w:t>
        </w:r>
        <w:r w:rsidRPr="009D4FA9">
          <w:rPr>
            <w:rStyle w:val="Hyperlink"/>
            <w:rFonts w:ascii="FrankRuehl" w:hAnsi="FrankRuehl" w:cs="FrankRuehl"/>
          </w:rPr>
          <w:t>)</w:t>
        </w:r>
      </w:hyperlink>
      <w:r w:rsidRPr="009D4FA9">
        <w:rPr>
          <w:rFonts w:ascii="FrankRuehl" w:hAnsi="FrankRuehl" w:cs="FrankRuehl"/>
          <w:color w:val="0000FF"/>
          <w:u w:val="single"/>
          <w:rtl/>
        </w:rPr>
        <w:t xml:space="preserve">, </w:t>
      </w:r>
      <w:hyperlink r:id="rId12" w:history="1">
        <w:r w:rsidRPr="009D4FA9">
          <w:rPr>
            <w:rStyle w:val="Hyperlink"/>
            <w:rFonts w:ascii="FrankRuehl" w:hAnsi="FrankRuehl" w:cs="FrankRuehl"/>
          </w:rPr>
          <w:t>244</w:t>
        </w:r>
      </w:hyperlink>
      <w:r w:rsidRPr="009D4FA9">
        <w:rPr>
          <w:rFonts w:ascii="FrankRuehl" w:hAnsi="FrankRuehl" w:cs="FrankRuehl"/>
          <w:color w:val="0000FF"/>
          <w:u w:val="single"/>
          <w:rtl/>
        </w:rPr>
        <w:t xml:space="preserve">, </w:t>
      </w:r>
      <w:hyperlink r:id="rId13" w:history="1">
        <w:r w:rsidRPr="009D4FA9">
          <w:rPr>
            <w:rStyle w:val="Hyperlink"/>
            <w:rFonts w:ascii="FrankRuehl" w:hAnsi="FrankRuehl" w:cs="FrankRuehl"/>
          </w:rPr>
          <w:t>275</w:t>
        </w:r>
      </w:hyperlink>
    </w:p>
    <w:p w14:paraId="3026A99D" w14:textId="77777777" w:rsidR="009D4FA9" w:rsidRPr="009D4FA9" w:rsidRDefault="009D4FA9" w:rsidP="009D4FA9">
      <w:pPr>
        <w:spacing w:after="120" w:line="240" w:lineRule="exact"/>
        <w:ind w:left="283" w:hanging="283"/>
        <w:jc w:val="both"/>
        <w:rPr>
          <w:rFonts w:ascii="FrankRuehl" w:hAnsi="FrankRuehl" w:cs="FrankRuehl"/>
          <w:rtl/>
        </w:rPr>
      </w:pPr>
    </w:p>
    <w:p w14:paraId="5645BD55" w14:textId="77777777" w:rsidR="009D4FA9" w:rsidRPr="009D4FA9" w:rsidRDefault="009D4FA9" w:rsidP="00706D7D">
      <w:pPr>
        <w:jc w:val="center"/>
        <w:rPr>
          <w:rFonts w:ascii="Arial" w:hAnsi="Arial" w:cs="FrankRuehl"/>
          <w:sz w:val="32"/>
          <w:szCs w:val="32"/>
          <w:rtl/>
        </w:rPr>
      </w:pPr>
      <w:bookmarkStart w:id="3" w:name="LawTable_End"/>
      <w:bookmarkEnd w:id="3"/>
    </w:p>
    <w:p w14:paraId="4C7D42CA" w14:textId="77777777" w:rsidR="009D4FA9" w:rsidRPr="009D4FA9" w:rsidRDefault="009D4FA9" w:rsidP="00706D7D">
      <w:pPr>
        <w:jc w:val="center"/>
        <w:rPr>
          <w:rFonts w:ascii="Arial" w:hAnsi="Arial" w:cs="FrankRuehl"/>
          <w:b/>
          <w:bCs/>
          <w:sz w:val="32"/>
          <w:szCs w:val="32"/>
          <w:rtl/>
        </w:rPr>
      </w:pPr>
    </w:p>
    <w:p w14:paraId="7C782236" w14:textId="77777777" w:rsidR="009D4FA9" w:rsidRPr="009D4FA9" w:rsidRDefault="009D4FA9" w:rsidP="00706D7D">
      <w:pPr>
        <w:jc w:val="center"/>
        <w:rPr>
          <w:rFonts w:ascii="Arial" w:hAnsi="Arial" w:cs="FrankRuehl"/>
          <w:b/>
          <w:bCs/>
          <w:sz w:val="32"/>
          <w:szCs w:val="32"/>
          <w:rtl/>
        </w:rPr>
      </w:pPr>
    </w:p>
    <w:p w14:paraId="27C561DD" w14:textId="77777777" w:rsidR="009D4FA9" w:rsidRPr="00B01008" w:rsidRDefault="009D4FA9" w:rsidP="00B01008">
      <w:pPr>
        <w:jc w:val="center"/>
        <w:rPr>
          <w:rFonts w:ascii="Arial" w:hAnsi="Arial" w:cs="FrankRuehl"/>
          <w:sz w:val="32"/>
          <w:szCs w:val="32"/>
          <w:rtl/>
        </w:rPr>
      </w:pPr>
    </w:p>
    <w:p w14:paraId="5A4812A8" w14:textId="77777777" w:rsidR="009D4FA9" w:rsidRPr="00B01008" w:rsidRDefault="009D4FA9" w:rsidP="00B01008">
      <w:pPr>
        <w:jc w:val="center"/>
        <w:rPr>
          <w:rFonts w:ascii="Arial" w:hAnsi="Arial" w:cs="FrankRuehl"/>
          <w:b/>
          <w:bCs/>
          <w:sz w:val="32"/>
          <w:szCs w:val="32"/>
          <w:u w:val="single"/>
          <w:rtl/>
        </w:rPr>
      </w:pPr>
      <w:bookmarkStart w:id="4" w:name="PsakDin"/>
      <w:r w:rsidRPr="00B01008">
        <w:rPr>
          <w:rFonts w:ascii="Arial" w:hAnsi="Arial" w:cs="FrankRuehl"/>
          <w:b/>
          <w:bCs/>
          <w:sz w:val="32"/>
          <w:szCs w:val="32"/>
          <w:u w:val="single"/>
          <w:rtl/>
        </w:rPr>
        <w:t>גזר דין</w:t>
      </w:r>
    </w:p>
    <w:bookmarkEnd w:id="4"/>
    <w:p w14:paraId="1A0099CA" w14:textId="77777777" w:rsidR="009D4FA9" w:rsidRPr="00706D7D" w:rsidRDefault="009D4FA9" w:rsidP="00706D7D">
      <w:pPr>
        <w:jc w:val="center"/>
        <w:rPr>
          <w:rFonts w:ascii="Arial" w:hAnsi="Arial" w:cs="FrankRuehl"/>
          <w:sz w:val="32"/>
          <w:szCs w:val="32"/>
          <w:u w:val="single"/>
          <w:rtl/>
        </w:rPr>
      </w:pPr>
    </w:p>
    <w:p w14:paraId="24189D4C" w14:textId="77777777" w:rsidR="00706D7D" w:rsidRDefault="00706D7D" w:rsidP="00706D7D">
      <w:pPr>
        <w:numPr>
          <w:ilvl w:val="0"/>
          <w:numId w:val="1"/>
        </w:numPr>
        <w:spacing w:before="120" w:line="360" w:lineRule="auto"/>
        <w:ind w:left="0" w:firstLine="0"/>
        <w:jc w:val="both"/>
        <w:rPr>
          <w:rFonts w:ascii="David" w:hAnsi="David"/>
          <w:spacing w:val="10"/>
        </w:rPr>
      </w:pPr>
      <w:bookmarkStart w:id="5" w:name="ABSTRACT_START"/>
      <w:bookmarkEnd w:id="0"/>
      <w:bookmarkEnd w:id="5"/>
      <w:r>
        <w:rPr>
          <w:rFonts w:ascii="David" w:hAnsi="David"/>
          <w:spacing w:val="10"/>
          <w:rtl/>
        </w:rPr>
        <w:t xml:space="preserve">ביום 11.2.20 הגיעו הצדדים להסדר טיעון, במסגרתו הודה חאלד עבאס (להלן: "הנאשם") בעובדות כתב אישום מתוקן שסומן בש/1 (להלן: "כתב האישום"), והורשע על פי הודאתו בביצוע עבירות של </w:t>
      </w:r>
      <w:r>
        <w:rPr>
          <w:rFonts w:ascii="David" w:hAnsi="David"/>
          <w:b/>
          <w:bCs/>
          <w:spacing w:val="10"/>
          <w:rtl/>
        </w:rPr>
        <w:t xml:space="preserve">החזקת סם מסוכן שלא כדין ושלא לצריכה עצמית – </w:t>
      </w:r>
      <w:r>
        <w:rPr>
          <w:rFonts w:ascii="David" w:hAnsi="David"/>
          <w:spacing w:val="10"/>
          <w:rtl/>
        </w:rPr>
        <w:t xml:space="preserve">עבירה לפי סעיף </w:t>
      </w:r>
      <w:hyperlink r:id="rId14" w:history="1">
        <w:r w:rsidR="009D4FA9" w:rsidRPr="009D4FA9">
          <w:rPr>
            <w:rStyle w:val="Hyperlink"/>
            <w:rFonts w:ascii="David" w:hAnsi="David"/>
            <w:spacing w:val="10"/>
            <w:rtl/>
          </w:rPr>
          <w:t>7(א)+ (ג)</w:t>
        </w:r>
      </w:hyperlink>
      <w:r>
        <w:rPr>
          <w:rFonts w:ascii="David" w:hAnsi="David"/>
          <w:spacing w:val="10"/>
          <w:rtl/>
        </w:rPr>
        <w:t xml:space="preserve"> רישא ל</w:t>
      </w:r>
      <w:hyperlink r:id="rId15" w:history="1">
        <w:r w:rsidR="00B01008" w:rsidRPr="00B01008">
          <w:rPr>
            <w:rFonts w:ascii="David" w:hAnsi="David"/>
            <w:color w:val="0000FF"/>
            <w:spacing w:val="10"/>
            <w:u w:val="single"/>
            <w:rtl/>
          </w:rPr>
          <w:t>פקודת הסמים המסוכנים</w:t>
        </w:r>
      </w:hyperlink>
      <w:r>
        <w:rPr>
          <w:rFonts w:ascii="David" w:hAnsi="David"/>
          <w:spacing w:val="10"/>
          <w:rtl/>
        </w:rPr>
        <w:t xml:space="preserve"> [נוסח חדש], התשל"ג-1973, בעבירה של </w:t>
      </w:r>
      <w:r>
        <w:rPr>
          <w:rFonts w:ascii="David" w:hAnsi="David"/>
          <w:b/>
          <w:bCs/>
          <w:spacing w:val="10"/>
          <w:rtl/>
        </w:rPr>
        <w:t xml:space="preserve">הפרעה לשוטר במילוי תפקידו – </w:t>
      </w:r>
      <w:r>
        <w:rPr>
          <w:rFonts w:ascii="David" w:hAnsi="David"/>
          <w:spacing w:val="10"/>
          <w:rtl/>
        </w:rPr>
        <w:t xml:space="preserve">עבירה לפי </w:t>
      </w:r>
      <w:hyperlink r:id="rId16" w:history="1">
        <w:r w:rsidR="009D4FA9" w:rsidRPr="009D4FA9">
          <w:rPr>
            <w:rStyle w:val="Hyperlink"/>
            <w:rFonts w:ascii="David" w:hAnsi="David"/>
            <w:spacing w:val="10"/>
            <w:rtl/>
          </w:rPr>
          <w:t>סעיף 275</w:t>
        </w:r>
      </w:hyperlink>
      <w:r>
        <w:rPr>
          <w:rFonts w:ascii="David" w:hAnsi="David"/>
          <w:spacing w:val="10"/>
          <w:rtl/>
        </w:rPr>
        <w:t xml:space="preserve"> ל</w:t>
      </w:r>
      <w:hyperlink r:id="rId17" w:history="1">
        <w:r w:rsidR="00B01008" w:rsidRPr="00B01008">
          <w:rPr>
            <w:rFonts w:ascii="David" w:hAnsi="David"/>
            <w:color w:val="0000FF"/>
            <w:spacing w:val="10"/>
            <w:u w:val="single"/>
            <w:rtl/>
          </w:rPr>
          <w:t>חוק העונשין</w:t>
        </w:r>
      </w:hyperlink>
      <w:r>
        <w:rPr>
          <w:rFonts w:ascii="David" w:hAnsi="David"/>
          <w:spacing w:val="10"/>
          <w:rtl/>
        </w:rPr>
        <w:t xml:space="preserve">, התשל"ז-1977 (להלן: "חוק העונשין" או "החוק") ובעבירה של </w:t>
      </w:r>
      <w:r>
        <w:rPr>
          <w:rFonts w:ascii="David" w:hAnsi="David"/>
          <w:b/>
          <w:bCs/>
          <w:spacing w:val="10"/>
          <w:rtl/>
        </w:rPr>
        <w:t>שיבוש מהלכי משפט</w:t>
      </w:r>
      <w:r>
        <w:rPr>
          <w:rFonts w:ascii="David" w:hAnsi="David"/>
          <w:spacing w:val="10"/>
          <w:rtl/>
        </w:rPr>
        <w:t xml:space="preserve"> – עבירה לפי </w:t>
      </w:r>
      <w:hyperlink r:id="rId18" w:history="1">
        <w:r w:rsidR="009D4FA9" w:rsidRPr="009D4FA9">
          <w:rPr>
            <w:rStyle w:val="Hyperlink"/>
            <w:rFonts w:ascii="David" w:hAnsi="David"/>
            <w:spacing w:val="10"/>
            <w:rtl/>
          </w:rPr>
          <w:t>סעיף 244</w:t>
        </w:r>
      </w:hyperlink>
      <w:r>
        <w:rPr>
          <w:rFonts w:ascii="David" w:hAnsi="David"/>
          <w:spacing w:val="10"/>
          <w:rtl/>
        </w:rPr>
        <w:t xml:space="preserve"> לחוק העונשין. </w:t>
      </w:r>
    </w:p>
    <w:p w14:paraId="5F5727F3" w14:textId="77777777" w:rsidR="00706D7D" w:rsidRDefault="00706D7D" w:rsidP="00706D7D">
      <w:pPr>
        <w:numPr>
          <w:ilvl w:val="0"/>
          <w:numId w:val="1"/>
        </w:numPr>
        <w:spacing w:before="120" w:line="360" w:lineRule="auto"/>
        <w:ind w:left="0" w:firstLine="0"/>
        <w:jc w:val="both"/>
        <w:rPr>
          <w:rFonts w:ascii="David" w:hAnsi="David"/>
          <w:spacing w:val="10"/>
          <w:rtl/>
        </w:rPr>
      </w:pPr>
      <w:bookmarkStart w:id="6" w:name="ABSTRACT_END"/>
      <w:bookmarkEnd w:id="6"/>
      <w:r>
        <w:rPr>
          <w:rFonts w:ascii="David" w:hAnsi="David"/>
          <w:spacing w:val="10"/>
          <w:rtl/>
        </w:rPr>
        <w:lastRenderedPageBreak/>
        <w:t>על פי הסדר הטיעון, הוסכם בין ב"כ הצדדים כי על הנאשם ייגזר עונש של 32 חודשי מאסר בפועל, וכן יופעל עונש מאסר מותנה של 4 חודשים מהליך קודם – כך שחודשיים ירוצו בחופף וחודשיים במצטבר.</w:t>
      </w:r>
    </w:p>
    <w:p w14:paraId="2DA49016" w14:textId="77777777" w:rsidR="00706D7D" w:rsidRDefault="00706D7D" w:rsidP="00706D7D">
      <w:pPr>
        <w:numPr>
          <w:ilvl w:val="0"/>
          <w:numId w:val="1"/>
        </w:numPr>
        <w:spacing w:before="120" w:line="360" w:lineRule="auto"/>
        <w:ind w:left="0" w:firstLine="0"/>
        <w:jc w:val="both"/>
        <w:rPr>
          <w:rFonts w:ascii="David" w:hAnsi="David"/>
          <w:b/>
          <w:bCs/>
          <w:spacing w:val="10"/>
          <w:u w:val="single"/>
        </w:rPr>
      </w:pPr>
      <w:r>
        <w:rPr>
          <w:rFonts w:ascii="David" w:hAnsi="David"/>
          <w:spacing w:val="10"/>
          <w:rtl/>
        </w:rPr>
        <w:t xml:space="preserve">כמו כן הוסכם כי הצדדים יטענו באופן חופשי לגבי עונש המאסר המותנה והקנס. </w:t>
      </w:r>
    </w:p>
    <w:p w14:paraId="1D386AAB" w14:textId="77777777" w:rsidR="00706D7D" w:rsidRDefault="00706D7D" w:rsidP="00706D7D">
      <w:pPr>
        <w:spacing w:before="120" w:line="360" w:lineRule="auto"/>
        <w:jc w:val="both"/>
        <w:rPr>
          <w:rFonts w:ascii="David" w:hAnsi="David"/>
          <w:b/>
          <w:bCs/>
          <w:spacing w:val="10"/>
          <w:u w:val="single"/>
          <w:rtl/>
        </w:rPr>
      </w:pPr>
    </w:p>
    <w:p w14:paraId="1860F153" w14:textId="77777777" w:rsidR="00706D7D" w:rsidRDefault="00706D7D" w:rsidP="00706D7D">
      <w:pPr>
        <w:spacing w:before="120" w:line="360" w:lineRule="auto"/>
        <w:jc w:val="both"/>
        <w:rPr>
          <w:rFonts w:ascii="David" w:hAnsi="David"/>
          <w:b/>
          <w:bCs/>
          <w:spacing w:val="10"/>
          <w:u w:val="single"/>
        </w:rPr>
      </w:pPr>
      <w:r>
        <w:rPr>
          <w:rFonts w:ascii="David" w:hAnsi="David"/>
          <w:b/>
          <w:bCs/>
          <w:spacing w:val="10"/>
          <w:u w:val="single"/>
          <w:rtl/>
        </w:rPr>
        <w:t>עובדות כתב האישום</w:t>
      </w:r>
    </w:p>
    <w:p w14:paraId="5A16B067" w14:textId="77777777" w:rsidR="00706D7D" w:rsidRDefault="00706D7D" w:rsidP="00706D7D">
      <w:pPr>
        <w:numPr>
          <w:ilvl w:val="0"/>
          <w:numId w:val="1"/>
        </w:numPr>
        <w:spacing w:before="120" w:line="360" w:lineRule="auto"/>
        <w:ind w:left="0" w:firstLine="0"/>
        <w:jc w:val="both"/>
        <w:rPr>
          <w:rFonts w:ascii="David" w:hAnsi="David"/>
          <w:spacing w:val="10"/>
          <w:rtl/>
        </w:rPr>
      </w:pPr>
      <w:r>
        <w:rPr>
          <w:rFonts w:ascii="David" w:hAnsi="David"/>
          <w:spacing w:val="10"/>
          <w:rtl/>
        </w:rPr>
        <w:t>במועד הרלוונטי לכתב האישום, התגוררו הנאשם ואימו בבניין ברח' ברזילי בחיפה. הנאשם התגורר עם אשתו בדירה בקומה הראשונה (להלן: "הדירה"), ואימו של הנאשם התגוררה יחד עם שתי חברותיה בדירה בקומה השנייה (להלן: "דירת האם").</w:t>
      </w:r>
    </w:p>
    <w:p w14:paraId="337A428D"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על פי עובדות כתב האישום ביום 23.10.19, סמוך לשעה 12:30, החזיק הנאשם בדירת האם סם מסוכן מסוג הרואין במשקל 206.75 גרם נטו (להלן: "הסמים"), בתוך גרב שהחביא בארון בגדים, וזאת שלא לצריכה עצמית ושלא כדין.</w:t>
      </w:r>
    </w:p>
    <w:p w14:paraId="7457DA9C"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עוד תואר כי בזמן שהנאשם שהה בדירה, הוא החזיק בתוך קופסת מסטיקים סם מסוכן מסוג הרואין במשקל 3.9 גרם נטו (להלן: "הסמים הנוספים") וזאת שלא לצריכתו העצמית ושלא כדין.</w:t>
      </w:r>
    </w:p>
    <w:p w14:paraId="696A8622"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באותו מועד הגיעו שוטרים לדירה על מנת לערוך בה חיפוש על פי צו. משהבחין הנאשם בשוטרים, השליך את קופסת המסטיקים שבה היו הסמים האמורים מחלון הדירה, בכוונה להפריע לשוטרים בשעה שהם ממלאים את תפקידם כחוק או להכשילם בכך, ובכוונה למנוע או להכשיל הליך שיפוטי.</w:t>
      </w:r>
    </w:p>
    <w:p w14:paraId="36A8C31C" w14:textId="77777777" w:rsidR="00706D7D" w:rsidRDefault="00706D7D" w:rsidP="00706D7D">
      <w:pPr>
        <w:numPr>
          <w:ilvl w:val="0"/>
          <w:numId w:val="1"/>
        </w:numPr>
        <w:spacing w:before="120" w:line="360" w:lineRule="auto"/>
        <w:ind w:left="0" w:firstLine="0"/>
        <w:jc w:val="both"/>
        <w:rPr>
          <w:rFonts w:ascii="David" w:hAnsi="David"/>
          <w:b/>
          <w:bCs/>
          <w:spacing w:val="10"/>
          <w:u w:val="single"/>
        </w:rPr>
      </w:pPr>
      <w:r>
        <w:rPr>
          <w:rFonts w:ascii="David" w:hAnsi="David"/>
          <w:spacing w:val="10"/>
          <w:rtl/>
        </w:rPr>
        <w:t xml:space="preserve">לאור האמור לעיל, הורשע הנאשם כי החזיק בסם מסוכן מסוג הרואין במשקל 210.65 גרם נטו שלא לצריכתו העצמית, וכן עשה דבר בכוונה להפריע או להכשיל שוטרים ובכוונה למנוע או להכשיל הליך שיפוטי. </w:t>
      </w:r>
    </w:p>
    <w:p w14:paraId="0351CD36" w14:textId="77777777" w:rsidR="00706D7D" w:rsidRDefault="00706D7D" w:rsidP="00706D7D">
      <w:pPr>
        <w:keepNext/>
        <w:spacing w:before="120" w:line="360" w:lineRule="auto"/>
        <w:jc w:val="both"/>
        <w:rPr>
          <w:rFonts w:ascii="David" w:hAnsi="David"/>
          <w:b/>
          <w:bCs/>
          <w:spacing w:val="10"/>
          <w:u w:val="single"/>
          <w:rtl/>
        </w:rPr>
      </w:pPr>
    </w:p>
    <w:p w14:paraId="743A4165" w14:textId="77777777" w:rsidR="00706D7D" w:rsidRDefault="00706D7D" w:rsidP="00706D7D">
      <w:pPr>
        <w:keepNext/>
        <w:spacing w:before="120" w:line="360" w:lineRule="auto"/>
        <w:jc w:val="both"/>
        <w:rPr>
          <w:rFonts w:ascii="David" w:hAnsi="David"/>
          <w:b/>
          <w:bCs/>
          <w:spacing w:val="10"/>
          <w:u w:val="single"/>
          <w:rtl/>
        </w:rPr>
      </w:pPr>
      <w:r>
        <w:rPr>
          <w:rFonts w:ascii="David" w:hAnsi="David"/>
          <w:b/>
          <w:bCs/>
          <w:spacing w:val="10"/>
          <w:u w:val="single"/>
          <w:rtl/>
        </w:rPr>
        <w:t>ראיות לעונש</w:t>
      </w:r>
    </w:p>
    <w:p w14:paraId="79EBA30C" w14:textId="77777777" w:rsidR="00706D7D" w:rsidRPr="00706D7D" w:rsidRDefault="00706D7D" w:rsidP="00706D7D">
      <w:pPr>
        <w:numPr>
          <w:ilvl w:val="0"/>
          <w:numId w:val="1"/>
        </w:numPr>
        <w:spacing w:before="120" w:line="360" w:lineRule="auto"/>
        <w:ind w:left="0" w:firstLine="0"/>
        <w:jc w:val="both"/>
        <w:rPr>
          <w:rFonts w:ascii="David" w:eastAsia="Calibri" w:hAnsi="David"/>
          <w:spacing w:val="10"/>
          <w:rtl/>
        </w:rPr>
      </w:pPr>
      <w:r>
        <w:rPr>
          <w:rFonts w:ascii="David" w:hAnsi="David"/>
          <w:spacing w:val="10"/>
          <w:rtl/>
        </w:rPr>
        <w:t>המאשימה הגישה גיליון הרשעות פליליות של הנאשם (ס/1), ממנו עולה כי לחובת הנאשם 9 הרשעות בעבירות אלימות, רכוש וסמים.</w:t>
      </w:r>
    </w:p>
    <w:p w14:paraId="5FDAEEBB"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כמו כן הגישה המאשימה הכרעת דין וגזר דין שניתן בעניינו של הנאשם ביום 13.1.2019 ב</w:t>
      </w:r>
      <w:hyperlink r:id="rId19" w:history="1">
        <w:r w:rsidR="00B01008" w:rsidRPr="00B01008">
          <w:rPr>
            <w:rFonts w:ascii="David" w:hAnsi="David"/>
            <w:color w:val="0000FF"/>
            <w:spacing w:val="10"/>
            <w:u w:val="single"/>
            <w:rtl/>
          </w:rPr>
          <w:t>ת"פ 43134-06-18</w:t>
        </w:r>
      </w:hyperlink>
      <w:r>
        <w:rPr>
          <w:rFonts w:ascii="David" w:hAnsi="David"/>
          <w:spacing w:val="10"/>
          <w:rtl/>
        </w:rPr>
        <w:t xml:space="preserve"> בבית משפט השלום בחיפה (ס/2), בו הוטלו על הנאשם 4 חודשי מאסר מותנה למשך שנתיים, והתנאי הוא כי לא יעבור בתקופת התנאי, עבירות של זילות בית המשפט והפרעה לשוטר במילוי תפקידו.</w:t>
      </w:r>
    </w:p>
    <w:p w14:paraId="6D056102" w14:textId="77777777" w:rsidR="00706D7D" w:rsidRDefault="00706D7D" w:rsidP="00706D7D">
      <w:pPr>
        <w:keepNext/>
        <w:spacing w:before="120" w:line="360" w:lineRule="auto"/>
        <w:jc w:val="both"/>
        <w:rPr>
          <w:rFonts w:ascii="David" w:hAnsi="David"/>
          <w:b/>
          <w:bCs/>
          <w:spacing w:val="10"/>
          <w:u w:val="single"/>
          <w:rtl/>
        </w:rPr>
      </w:pPr>
    </w:p>
    <w:p w14:paraId="02678B35" w14:textId="77777777" w:rsidR="00706D7D" w:rsidRDefault="00706D7D" w:rsidP="00706D7D">
      <w:pPr>
        <w:keepNext/>
        <w:spacing w:before="120" w:line="360" w:lineRule="auto"/>
        <w:jc w:val="both"/>
        <w:rPr>
          <w:rFonts w:ascii="David" w:hAnsi="David"/>
          <w:b/>
          <w:bCs/>
          <w:spacing w:val="10"/>
          <w:u w:val="single"/>
        </w:rPr>
      </w:pPr>
      <w:r>
        <w:rPr>
          <w:rFonts w:ascii="David" w:hAnsi="David"/>
          <w:b/>
          <w:bCs/>
          <w:spacing w:val="10"/>
          <w:u w:val="single"/>
          <w:rtl/>
        </w:rPr>
        <w:t>טיעוני הצדדים לעונש</w:t>
      </w:r>
    </w:p>
    <w:p w14:paraId="59541EEF" w14:textId="77777777" w:rsidR="00706D7D" w:rsidRPr="00706D7D" w:rsidRDefault="00706D7D" w:rsidP="00706D7D">
      <w:pPr>
        <w:numPr>
          <w:ilvl w:val="0"/>
          <w:numId w:val="1"/>
        </w:numPr>
        <w:spacing w:before="120" w:line="360" w:lineRule="auto"/>
        <w:ind w:left="0" w:firstLine="0"/>
        <w:jc w:val="both"/>
        <w:rPr>
          <w:rFonts w:ascii="David" w:eastAsia="Calibri" w:hAnsi="David"/>
          <w:spacing w:val="10"/>
        </w:rPr>
      </w:pPr>
      <w:r>
        <w:rPr>
          <w:rFonts w:ascii="David" w:hAnsi="David"/>
          <w:spacing w:val="10"/>
          <w:rtl/>
        </w:rPr>
        <w:t xml:space="preserve">הצדדים הגיעו, כאמור, להסדר טיעון במסגרתו הודה הנאשם בכתב אישום מתוקן והוסכם כי יושת עליו עונש של 32 חודשי מאסר בפועל וכן יופעל עונש מאסר מותנה, חלקו במצטבר וחלקו בחופף, סך הכול ייגזר עונש מאסר של 34 חודשים. </w:t>
      </w:r>
    </w:p>
    <w:p w14:paraId="0B3396E3" w14:textId="77777777" w:rsidR="00706D7D" w:rsidRDefault="00706D7D" w:rsidP="00706D7D">
      <w:pPr>
        <w:numPr>
          <w:ilvl w:val="0"/>
          <w:numId w:val="1"/>
        </w:numPr>
        <w:spacing w:before="120" w:line="360" w:lineRule="auto"/>
        <w:ind w:left="0" w:firstLine="0"/>
        <w:jc w:val="both"/>
        <w:rPr>
          <w:rFonts w:ascii="David" w:hAnsi="David"/>
          <w:spacing w:val="10"/>
          <w:rtl/>
        </w:rPr>
      </w:pPr>
      <w:r>
        <w:rPr>
          <w:rFonts w:ascii="David" w:hAnsi="David"/>
          <w:spacing w:val="10"/>
          <w:rtl/>
        </w:rPr>
        <w:t>המאשימה בטיעוניה מסרה כי הנאשם היה עצור מיום 23.10.19 ועד ליום 3.11.19 ומיום 19.11.19 עד היום במסגרת החלטה למעצרו עד תום ההליכים.</w:t>
      </w:r>
    </w:p>
    <w:p w14:paraId="553047B3"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 xml:space="preserve">המאשימה טענה כי הצדדים הגיעו להסכמה על עונש מוסכם בשל קשיים ראייתיים והגבלות מודיעיניות, ועל כן סבורה המאשימה כי יש לאמץ את ההסדר. </w:t>
      </w:r>
    </w:p>
    <w:p w14:paraId="383B7193" w14:textId="77777777" w:rsidR="00706D7D" w:rsidRDefault="00706D7D" w:rsidP="00706D7D">
      <w:pPr>
        <w:numPr>
          <w:ilvl w:val="0"/>
          <w:numId w:val="1"/>
        </w:numPr>
        <w:spacing w:before="120" w:line="360" w:lineRule="auto"/>
        <w:ind w:left="0" w:firstLine="0"/>
        <w:jc w:val="both"/>
        <w:rPr>
          <w:rFonts w:ascii="David" w:hAnsi="David"/>
          <w:spacing w:val="10"/>
          <w:rtl/>
        </w:rPr>
      </w:pPr>
      <w:r>
        <w:rPr>
          <w:rFonts w:ascii="David" w:hAnsi="David"/>
          <w:spacing w:val="10"/>
          <w:rtl/>
        </w:rPr>
        <w:t>עוד עתרה המאשימה להשית על הנאשם מאסר מותנה לתקופה ארוכה וקנס משמעותי אשר יתאימו לחומרת המעשים.</w:t>
      </w:r>
    </w:p>
    <w:p w14:paraId="5B80DC2F" w14:textId="77777777" w:rsidR="00706D7D" w:rsidRDefault="00706D7D" w:rsidP="00706D7D">
      <w:pPr>
        <w:numPr>
          <w:ilvl w:val="0"/>
          <w:numId w:val="1"/>
        </w:numPr>
        <w:spacing w:before="120" w:line="360" w:lineRule="auto"/>
        <w:ind w:left="0" w:firstLine="0"/>
        <w:jc w:val="both"/>
        <w:rPr>
          <w:rFonts w:ascii="David" w:hAnsi="David"/>
          <w:spacing w:val="10"/>
          <w:rtl/>
        </w:rPr>
      </w:pPr>
      <w:r>
        <w:rPr>
          <w:rFonts w:ascii="David" w:hAnsi="David"/>
          <w:spacing w:val="10"/>
          <w:rtl/>
        </w:rPr>
        <w:t xml:space="preserve">ב"כ הנאשם עתר אף הוא לכיבוד הסדר הטיעון, בהדגישו כי הנאשם נטל אחריות והודה בכתב אישום מתוקן, חרף הקשיים הראייתיים והמגבלות המודיעיניות. </w:t>
      </w:r>
    </w:p>
    <w:p w14:paraId="798BD15C"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 xml:space="preserve">בתום טיעוני הצדדים אמר הנאשם כי הוא מצטער על מעשיו. </w:t>
      </w:r>
    </w:p>
    <w:p w14:paraId="03EBB1E8" w14:textId="77777777" w:rsidR="00706D7D" w:rsidRDefault="00706D7D" w:rsidP="00706D7D">
      <w:pPr>
        <w:pStyle w:val="a9"/>
        <w:spacing w:before="120" w:after="0" w:line="360" w:lineRule="auto"/>
        <w:ind w:left="0"/>
        <w:jc w:val="both"/>
        <w:rPr>
          <w:rFonts w:ascii="David" w:hAnsi="David" w:cs="David"/>
          <w:b/>
          <w:bCs/>
          <w:spacing w:val="10"/>
          <w:sz w:val="24"/>
          <w:szCs w:val="24"/>
          <w:u w:val="single"/>
          <w:rtl/>
        </w:rPr>
      </w:pPr>
    </w:p>
    <w:p w14:paraId="0414D1F3" w14:textId="77777777" w:rsidR="00706D7D" w:rsidRDefault="00706D7D" w:rsidP="00706D7D">
      <w:pPr>
        <w:pStyle w:val="a9"/>
        <w:spacing w:before="120" w:after="0" w:line="360" w:lineRule="auto"/>
        <w:ind w:left="0"/>
        <w:jc w:val="both"/>
        <w:rPr>
          <w:rFonts w:ascii="David" w:hAnsi="David" w:cs="David"/>
          <w:b/>
          <w:bCs/>
          <w:spacing w:val="10"/>
          <w:sz w:val="24"/>
          <w:szCs w:val="24"/>
          <w:u w:val="single"/>
        </w:rPr>
      </w:pPr>
      <w:r>
        <w:rPr>
          <w:rFonts w:ascii="David" w:hAnsi="David" w:cs="David"/>
          <w:b/>
          <w:bCs/>
          <w:spacing w:val="10"/>
          <w:sz w:val="24"/>
          <w:szCs w:val="24"/>
          <w:u w:val="single"/>
          <w:rtl/>
        </w:rPr>
        <w:t>דיון והכרעה</w:t>
      </w:r>
    </w:p>
    <w:p w14:paraId="2DC70163" w14:textId="77777777" w:rsidR="00706D7D" w:rsidRDefault="00706D7D" w:rsidP="00706D7D">
      <w:pPr>
        <w:numPr>
          <w:ilvl w:val="0"/>
          <w:numId w:val="1"/>
        </w:numPr>
        <w:spacing w:before="120" w:line="360" w:lineRule="auto"/>
        <w:ind w:left="0" w:firstLine="0"/>
        <w:jc w:val="both"/>
        <w:rPr>
          <w:rFonts w:ascii="David" w:hAnsi="David"/>
          <w:spacing w:val="10"/>
          <w:rtl/>
        </w:rPr>
      </w:pPr>
      <w:r>
        <w:rPr>
          <w:rFonts w:ascii="David" w:hAnsi="David"/>
          <w:spacing w:val="10"/>
          <w:rtl/>
        </w:rPr>
        <w:t xml:space="preserve">בית המשפט קובע את מתחם העונש ההולם, בהתחשב בעבירה ובנסיבות הקשורות בביצועה. בהתאם </w:t>
      </w:r>
      <w:hyperlink r:id="rId20" w:history="1">
        <w:r w:rsidR="009D4FA9" w:rsidRPr="009D4FA9">
          <w:rPr>
            <w:rStyle w:val="Hyperlink"/>
            <w:rFonts w:ascii="David" w:hAnsi="David"/>
            <w:spacing w:val="10"/>
            <w:rtl/>
          </w:rPr>
          <w:t>לסעיף 40ג(א)</w:t>
        </w:r>
      </w:hyperlink>
      <w:r>
        <w:rPr>
          <w:rFonts w:ascii="David" w:hAnsi="David"/>
          <w:spacing w:val="10"/>
          <w:rtl/>
        </w:rPr>
        <w:t xml:space="preserve"> ל</w:t>
      </w:r>
      <w:hyperlink r:id="rId21" w:history="1">
        <w:r w:rsidR="00B01008" w:rsidRPr="00B01008">
          <w:rPr>
            <w:rFonts w:ascii="David" w:hAnsi="David"/>
            <w:color w:val="0000FF"/>
            <w:spacing w:val="10"/>
            <w:u w:val="single"/>
            <w:rtl/>
          </w:rPr>
          <w:t>חוק העונשין</w:t>
        </w:r>
      </w:hyperlink>
      <w:r>
        <w:rPr>
          <w:rFonts w:ascii="David" w:hAnsi="David"/>
          <w:spacing w:val="10"/>
          <w:rtl/>
        </w:rPr>
        <w:t>, מתחם העונש ההולם ייקבע בהתאם לעיקרון ההלימה, שביישומו על בית המשפט להתחשב בערך החברתי שנפגע מביצוע העבירה, במדיניות הענישה הנהוגה ובנסיבות הקשורות בביצוע העבירה (</w:t>
      </w:r>
      <w:hyperlink r:id="rId22" w:history="1">
        <w:r w:rsidR="00B01008" w:rsidRPr="00B01008">
          <w:rPr>
            <w:rFonts w:ascii="David" w:hAnsi="David"/>
            <w:color w:val="0000FF"/>
            <w:spacing w:val="10"/>
            <w:u w:val="single"/>
            <w:rtl/>
          </w:rPr>
          <w:t>ע"פ 8641/12</w:t>
        </w:r>
      </w:hyperlink>
      <w:r>
        <w:rPr>
          <w:rFonts w:ascii="David" w:hAnsi="David"/>
          <w:spacing w:val="10"/>
          <w:rtl/>
        </w:rPr>
        <w:t xml:space="preserve"> </w:t>
      </w:r>
      <w:r>
        <w:rPr>
          <w:rFonts w:ascii="David" w:hAnsi="David"/>
          <w:b/>
          <w:bCs/>
          <w:spacing w:val="10"/>
          <w:rtl/>
        </w:rPr>
        <w:t>מוחמד סעד נ' מדינת ישראל</w:t>
      </w:r>
      <w:r>
        <w:rPr>
          <w:rFonts w:ascii="David" w:hAnsi="David"/>
          <w:spacing w:val="10"/>
          <w:rtl/>
        </w:rPr>
        <w:t>, מיום 5.8.2013).</w:t>
      </w:r>
    </w:p>
    <w:p w14:paraId="468D0FF3"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b/>
          <w:bCs/>
          <w:spacing w:val="10"/>
          <w:rtl/>
        </w:rPr>
        <w:t>הערך</w:t>
      </w:r>
      <w:r>
        <w:rPr>
          <w:rFonts w:ascii="David" w:hAnsi="David"/>
          <w:b/>
          <w:bCs/>
          <w:spacing w:val="10"/>
          <w:rtl/>
          <w:lang w:eastAsia="he-IL"/>
        </w:rPr>
        <w:t xml:space="preserve"> </w:t>
      </w:r>
      <w:r>
        <w:rPr>
          <w:rFonts w:ascii="David" w:hAnsi="David"/>
          <w:b/>
          <w:bCs/>
          <w:spacing w:val="10"/>
          <w:rtl/>
        </w:rPr>
        <w:t>החברתי</w:t>
      </w:r>
      <w:r>
        <w:rPr>
          <w:rFonts w:ascii="David" w:hAnsi="David"/>
          <w:b/>
          <w:bCs/>
          <w:spacing w:val="10"/>
          <w:rtl/>
          <w:lang w:eastAsia="he-IL"/>
        </w:rPr>
        <w:t xml:space="preserve"> </w:t>
      </w:r>
      <w:r>
        <w:rPr>
          <w:rFonts w:ascii="David" w:hAnsi="David"/>
          <w:b/>
          <w:bCs/>
          <w:spacing w:val="10"/>
          <w:rtl/>
        </w:rPr>
        <w:t>המוגן</w:t>
      </w:r>
      <w:r>
        <w:rPr>
          <w:rFonts w:ascii="David" w:hAnsi="David"/>
          <w:spacing w:val="10"/>
          <w:rtl/>
          <w:lang w:eastAsia="he-IL"/>
        </w:rPr>
        <w:t xml:space="preserve"> </w:t>
      </w:r>
      <w:r>
        <w:rPr>
          <w:rFonts w:ascii="David" w:hAnsi="David"/>
          <w:spacing w:val="10"/>
          <w:rtl/>
        </w:rPr>
        <w:t>שנפגע</w:t>
      </w:r>
      <w:r>
        <w:rPr>
          <w:rFonts w:ascii="David" w:hAnsi="David"/>
          <w:spacing w:val="10"/>
          <w:rtl/>
          <w:lang w:eastAsia="he-IL"/>
        </w:rPr>
        <w:t xml:space="preserve"> </w:t>
      </w:r>
      <w:r>
        <w:rPr>
          <w:rFonts w:ascii="David" w:hAnsi="David"/>
          <w:spacing w:val="10"/>
          <w:rtl/>
        </w:rPr>
        <w:t>כתוצאה</w:t>
      </w:r>
      <w:r>
        <w:rPr>
          <w:rFonts w:ascii="David" w:hAnsi="David"/>
          <w:spacing w:val="10"/>
          <w:rtl/>
          <w:lang w:eastAsia="he-IL"/>
        </w:rPr>
        <w:t xml:space="preserve"> </w:t>
      </w:r>
      <w:r>
        <w:rPr>
          <w:rFonts w:ascii="David" w:hAnsi="David"/>
          <w:spacing w:val="10"/>
          <w:rtl/>
        </w:rPr>
        <w:t>ממעשי</w:t>
      </w:r>
      <w:r>
        <w:rPr>
          <w:rFonts w:ascii="David" w:hAnsi="David"/>
          <w:spacing w:val="10"/>
          <w:rtl/>
          <w:lang w:eastAsia="he-IL"/>
        </w:rPr>
        <w:t xml:space="preserve"> הנאשם הוא שמירה על חייהם ובריאותם של אזרחי המדינה, וכן </w:t>
      </w:r>
      <w:r>
        <w:rPr>
          <w:rFonts w:ascii="David" w:hAnsi="David"/>
          <w:spacing w:val="10"/>
          <w:rtl/>
        </w:rPr>
        <w:t>שמירה</w:t>
      </w:r>
      <w:r>
        <w:rPr>
          <w:rFonts w:ascii="David" w:hAnsi="David"/>
          <w:spacing w:val="10"/>
          <w:rtl/>
          <w:lang w:eastAsia="he-IL"/>
        </w:rPr>
        <w:t xml:space="preserve"> על הסדר החברתי. </w:t>
      </w:r>
      <w:r>
        <w:rPr>
          <w:rFonts w:ascii="David" w:hAnsi="David"/>
          <w:b/>
          <w:bCs/>
          <w:spacing w:val="10"/>
          <w:rtl/>
        </w:rPr>
        <w:t>מידת הפגיעה</w:t>
      </w:r>
      <w:r>
        <w:rPr>
          <w:rFonts w:ascii="David" w:hAnsi="David"/>
          <w:spacing w:val="10"/>
          <w:rtl/>
        </w:rPr>
        <w:t xml:space="preserve"> בערך המוגן בענייננו היא משמעותית נוכח הכמות הגדולה של סם בה החזיק הנאשם ובהתחשב בסוגו. </w:t>
      </w:r>
    </w:p>
    <w:p w14:paraId="2CA9C714" w14:textId="77777777" w:rsidR="00706D7D" w:rsidRDefault="00706D7D" w:rsidP="00706D7D">
      <w:pPr>
        <w:spacing w:before="120" w:line="360" w:lineRule="auto"/>
        <w:jc w:val="both"/>
        <w:rPr>
          <w:rFonts w:ascii="David" w:hAnsi="David"/>
          <w:spacing w:val="10"/>
        </w:rPr>
      </w:pPr>
      <w:r>
        <w:rPr>
          <w:rFonts w:ascii="David" w:hAnsi="David"/>
          <w:spacing w:val="10"/>
          <w:rtl/>
          <w:lang w:eastAsia="he-IL"/>
        </w:rPr>
        <w:t xml:space="preserve">יפים לעניין זה הדברים שנאמרו </w:t>
      </w:r>
      <w:r>
        <w:rPr>
          <w:rFonts w:ascii="David" w:hAnsi="David"/>
          <w:spacing w:val="10"/>
          <w:rtl/>
        </w:rPr>
        <w:t>ב</w:t>
      </w:r>
      <w:hyperlink r:id="rId23" w:history="1">
        <w:r w:rsidR="00B01008" w:rsidRPr="00B01008">
          <w:rPr>
            <w:rFonts w:ascii="David" w:hAnsi="David"/>
            <w:color w:val="0000FF"/>
            <w:spacing w:val="10"/>
            <w:u w:val="single"/>
            <w:rtl/>
          </w:rPr>
          <w:t>ע"פ 211/09</w:t>
        </w:r>
      </w:hyperlink>
      <w:r>
        <w:rPr>
          <w:rFonts w:ascii="David" w:hAnsi="David"/>
          <w:spacing w:val="10"/>
          <w:rtl/>
        </w:rPr>
        <w:t xml:space="preserve"> </w:t>
      </w:r>
      <w:r>
        <w:rPr>
          <w:rFonts w:ascii="David" w:hAnsi="David"/>
          <w:b/>
          <w:bCs/>
          <w:spacing w:val="10"/>
          <w:rtl/>
        </w:rPr>
        <w:t>אזולאי נ' מדינת ישראל</w:t>
      </w:r>
      <w:r>
        <w:rPr>
          <w:rFonts w:ascii="David" w:hAnsi="David"/>
          <w:spacing w:val="10"/>
          <w:rtl/>
        </w:rPr>
        <w:t xml:space="preserve"> (פורסם בנבו,</w:t>
      </w:r>
      <w:r>
        <w:rPr>
          <w:rFonts w:ascii="David" w:hAnsi="David"/>
          <w:rtl/>
        </w:rPr>
        <w:t xml:space="preserve"> 22.6.2010):</w:t>
      </w:r>
    </w:p>
    <w:p w14:paraId="08471007" w14:textId="77777777" w:rsidR="00706D7D" w:rsidRDefault="00706D7D" w:rsidP="00706D7D">
      <w:pPr>
        <w:pStyle w:val="Ruller4"/>
        <w:shd w:val="clear" w:color="auto" w:fill="FFFFFF"/>
        <w:spacing w:before="120"/>
        <w:ind w:left="720"/>
        <w:rPr>
          <w:rFonts w:ascii="David" w:hAnsi="David" w:cs="David"/>
          <w:b/>
          <w:bCs/>
          <w:sz w:val="24"/>
          <w:szCs w:val="24"/>
          <w:rtl/>
        </w:rPr>
      </w:pPr>
      <w:r>
        <w:rPr>
          <w:rFonts w:ascii="David" w:hAnsi="David" w:cs="David"/>
          <w:b/>
          <w:bCs/>
          <w:sz w:val="24"/>
          <w:szCs w:val="24"/>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בפסקה 10, וראו גם, </w:t>
      </w:r>
      <w:hyperlink r:id="rId24" w:history="1">
        <w:r w:rsidR="00B01008" w:rsidRPr="00B01008">
          <w:rPr>
            <w:rFonts w:ascii="David" w:hAnsi="David" w:cs="David"/>
            <w:b/>
            <w:bCs/>
            <w:color w:val="0000FF"/>
            <w:sz w:val="24"/>
            <w:szCs w:val="24"/>
            <w:u w:val="single"/>
            <w:rtl/>
          </w:rPr>
          <w:t>ע"פ 3477/12</w:t>
        </w:r>
      </w:hyperlink>
      <w:r>
        <w:rPr>
          <w:rFonts w:ascii="David" w:hAnsi="David" w:cs="David"/>
          <w:b/>
          <w:bCs/>
          <w:sz w:val="24"/>
          <w:szCs w:val="24"/>
          <w:rtl/>
        </w:rPr>
        <w:t xml:space="preserve"> מרזוק נ' מדינת ישראל [פורסם בנבו] (25.6.2012); </w:t>
      </w:r>
      <w:hyperlink r:id="rId25" w:history="1">
        <w:r w:rsidR="00B01008" w:rsidRPr="00B01008">
          <w:rPr>
            <w:rFonts w:ascii="David" w:hAnsi="David" w:cs="David"/>
            <w:b/>
            <w:bCs/>
            <w:color w:val="0000FF"/>
            <w:sz w:val="24"/>
            <w:szCs w:val="24"/>
            <w:u w:val="single"/>
            <w:rtl/>
          </w:rPr>
          <w:t>ע"פ 5374/12</w:t>
        </w:r>
      </w:hyperlink>
      <w:r>
        <w:rPr>
          <w:rFonts w:ascii="David" w:hAnsi="David" w:cs="David"/>
          <w:b/>
          <w:bCs/>
          <w:sz w:val="24"/>
          <w:szCs w:val="24"/>
          <w:rtl/>
        </w:rPr>
        <w:t xml:space="preserve"> אברג'יל נ' מדינת ישראל [פורסם בנבו] (9.1.2013); </w:t>
      </w:r>
      <w:hyperlink r:id="rId26" w:history="1">
        <w:r w:rsidR="00B01008" w:rsidRPr="00B01008">
          <w:rPr>
            <w:rFonts w:ascii="David" w:hAnsi="David" w:cs="David"/>
            <w:b/>
            <w:bCs/>
            <w:color w:val="0000FF"/>
            <w:sz w:val="24"/>
            <w:szCs w:val="24"/>
            <w:u w:val="single"/>
            <w:rtl/>
          </w:rPr>
          <w:t>ע"פ 810/11</w:t>
        </w:r>
      </w:hyperlink>
      <w:r>
        <w:rPr>
          <w:rFonts w:ascii="David" w:hAnsi="David" w:cs="David"/>
          <w:b/>
          <w:bCs/>
          <w:sz w:val="24"/>
          <w:szCs w:val="24"/>
          <w:rtl/>
        </w:rPr>
        <w:t xml:space="preserve"> בורגרקר נ' מדינת ישראל [פורסם בנבו] (19.5.2011))".</w:t>
      </w:r>
    </w:p>
    <w:p w14:paraId="293E9424" w14:textId="77777777" w:rsidR="00706D7D" w:rsidRDefault="00706D7D" w:rsidP="00706D7D">
      <w:pPr>
        <w:numPr>
          <w:ilvl w:val="0"/>
          <w:numId w:val="1"/>
        </w:numPr>
        <w:spacing w:before="120" w:line="360" w:lineRule="auto"/>
        <w:ind w:left="0" w:firstLine="0"/>
        <w:jc w:val="both"/>
        <w:rPr>
          <w:rFonts w:ascii="David" w:hAnsi="David"/>
          <w:spacing w:val="10"/>
          <w:rtl/>
        </w:rPr>
      </w:pPr>
      <w:r>
        <w:rPr>
          <w:rFonts w:ascii="David" w:hAnsi="David"/>
          <w:b/>
          <w:bCs/>
          <w:spacing w:val="10"/>
          <w:rtl/>
        </w:rPr>
        <w:t xml:space="preserve">באשר לנסיבות הקשורות בביצוע העבירות, </w:t>
      </w:r>
      <w:r>
        <w:rPr>
          <w:rFonts w:ascii="David" w:hAnsi="David"/>
          <w:spacing w:val="10"/>
          <w:rtl/>
          <w:lang w:eastAsia="he-IL"/>
        </w:rPr>
        <w:t>יש להדגיש כי העבירות מושא ההליך עניינן בסם מסוכן מסוג הרואין במשקל של כ-210 גרם.</w:t>
      </w:r>
    </w:p>
    <w:p w14:paraId="60C5FA60" w14:textId="77777777" w:rsidR="00706D7D" w:rsidRDefault="00706D7D" w:rsidP="00706D7D">
      <w:pPr>
        <w:spacing w:before="120" w:line="360" w:lineRule="auto"/>
        <w:jc w:val="both"/>
        <w:rPr>
          <w:rFonts w:ascii="David" w:hAnsi="David"/>
          <w:spacing w:val="10"/>
        </w:rPr>
      </w:pPr>
      <w:r>
        <w:rPr>
          <w:rFonts w:ascii="David" w:hAnsi="David"/>
          <w:spacing w:val="10"/>
          <w:rtl/>
          <w:lang w:eastAsia="he-IL"/>
        </w:rPr>
        <w:t>הנזק הצפוי מביצוע העבירה הוא רב, שעה ששימוש בסמים מסוכנים פוגע בכל חלקה טובה בחברה, במיוחד שעסקינן בסם אשר פגיעתו במשתמשים גדולה ומשמעותית.</w:t>
      </w:r>
    </w:p>
    <w:p w14:paraId="262311CA" w14:textId="77777777" w:rsidR="00706D7D" w:rsidRDefault="00706D7D" w:rsidP="00706D7D">
      <w:pPr>
        <w:pStyle w:val="a9"/>
        <w:spacing w:before="120" w:after="0" w:line="360" w:lineRule="auto"/>
        <w:ind w:left="0"/>
        <w:jc w:val="both"/>
        <w:rPr>
          <w:rFonts w:ascii="David" w:hAnsi="David" w:cs="David"/>
          <w:spacing w:val="10"/>
          <w:sz w:val="24"/>
          <w:szCs w:val="24"/>
          <w:rtl/>
        </w:rPr>
      </w:pPr>
      <w:r>
        <w:rPr>
          <w:rFonts w:ascii="David" w:hAnsi="David" w:cs="David"/>
          <w:spacing w:val="10"/>
          <w:sz w:val="24"/>
          <w:szCs w:val="24"/>
          <w:rtl/>
        </w:rPr>
        <w:t>עוד אציין כי הנאשם לא השכיל להימנע מביצוע העבירה, גם כאשר השוטרים הגיעו לביתו, עת ביצע עבירות נוספות של הפרעה לשוטר בשעת מילוי תפקידו ושיבוש מהלכי משפט, בעודו משליך מחלון הדירה את קופסת המסטיקים בה היו הסמים הנוספים.</w:t>
      </w:r>
    </w:p>
    <w:p w14:paraId="2A6E2EDA" w14:textId="77777777" w:rsidR="00706D7D" w:rsidRDefault="00706D7D" w:rsidP="00706D7D">
      <w:pPr>
        <w:spacing w:before="120" w:line="360" w:lineRule="auto"/>
        <w:jc w:val="both"/>
        <w:rPr>
          <w:rFonts w:ascii="David" w:hAnsi="David"/>
          <w:spacing w:val="10"/>
          <w:rtl/>
        </w:rPr>
      </w:pPr>
      <w:r>
        <w:rPr>
          <w:rFonts w:ascii="David" w:hAnsi="David"/>
          <w:spacing w:val="10"/>
          <w:rtl/>
        </w:rPr>
        <w:t xml:space="preserve">יודגש כי </w:t>
      </w:r>
      <w:r>
        <w:rPr>
          <w:spacing w:val="10"/>
          <w:rtl/>
        </w:rPr>
        <w:t xml:space="preserve">בעבירה של הפרעה לשוטר העונש המרבי הקבוע בחוק הוא מאסר של 3 שנים, ולא פחות משבועיים ימים, ולגביה הביעו בתי המשפט לא אחת את עמדתם, לפיה יש להחמיר בעונשם של אלה </w:t>
      </w:r>
      <w:r>
        <w:rPr>
          <w:rFonts w:ascii="David" w:hAnsi="David"/>
          <w:spacing w:val="10"/>
          <w:rtl/>
        </w:rPr>
        <w:t>המבצעים</w:t>
      </w:r>
      <w:r>
        <w:rPr>
          <w:spacing w:val="10"/>
          <w:rtl/>
        </w:rPr>
        <w:t xml:space="preserve"> עבירות מסוג זה, שכן על בתי המשפט החובה להעביר לציבור מסר ברור וחד משמעי, כי מעשים מעין אלה כלפי אנשי אכיפת החוק ייענו בתגובה הולמת.</w:t>
      </w:r>
    </w:p>
    <w:p w14:paraId="60082B13"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 xml:space="preserve">מסקירת הפסיקה בעבירות בהן הורשע הנאשם, דומה כי קיימת קשת רחבה של עונשים, כאשר במקרים הדנים בהחזקת סם מסוכן מסוג הרואין או קוקאין, שלא לצריכה עצמית, בכמות של </w:t>
      </w:r>
      <w:r>
        <w:rPr>
          <w:rFonts w:ascii="David" w:hAnsi="David"/>
          <w:b/>
          <w:bCs/>
          <w:spacing w:val="10"/>
          <w:rtl/>
        </w:rPr>
        <w:t>עשרות גרמים,</w:t>
      </w:r>
      <w:r>
        <w:rPr>
          <w:rFonts w:ascii="David" w:hAnsi="David"/>
          <w:spacing w:val="10"/>
          <w:rtl/>
        </w:rPr>
        <w:t xml:space="preserve"> נע טווח העונש ההולם בין </w:t>
      </w:r>
      <w:r>
        <w:rPr>
          <w:rFonts w:ascii="David" w:hAnsi="David"/>
          <w:b/>
          <w:bCs/>
          <w:spacing w:val="10"/>
          <w:rtl/>
        </w:rPr>
        <w:t>שלוש שנות מאסר ובין חמש שנות מאסר</w:t>
      </w:r>
      <w:r>
        <w:rPr>
          <w:rFonts w:ascii="David" w:hAnsi="David"/>
          <w:spacing w:val="10"/>
          <w:rtl/>
        </w:rPr>
        <w:t xml:space="preserve"> (ראה לעניין זה </w:t>
      </w:r>
      <w:hyperlink r:id="rId27" w:history="1">
        <w:r w:rsidR="00B01008" w:rsidRPr="00B01008">
          <w:rPr>
            <w:rFonts w:ascii="David" w:hAnsi="David"/>
            <w:color w:val="0000FF"/>
            <w:spacing w:val="10"/>
            <w:u w:val="single"/>
            <w:rtl/>
          </w:rPr>
          <w:t>ע"פ 4592/15</w:t>
        </w:r>
      </w:hyperlink>
      <w:r>
        <w:rPr>
          <w:rFonts w:ascii="David" w:hAnsi="David"/>
          <w:spacing w:val="10"/>
          <w:rtl/>
        </w:rPr>
        <w:t xml:space="preserve"> </w:t>
      </w:r>
      <w:r>
        <w:rPr>
          <w:rFonts w:ascii="David" w:hAnsi="David"/>
          <w:b/>
          <w:bCs/>
          <w:spacing w:val="10"/>
          <w:rtl/>
        </w:rPr>
        <w:t>אשר פדידה נ' מדינת ישראל</w:t>
      </w:r>
      <w:r>
        <w:rPr>
          <w:rFonts w:ascii="David" w:hAnsi="David"/>
          <w:spacing w:val="10"/>
          <w:rtl/>
        </w:rPr>
        <w:t xml:space="preserve"> (פורסם בנבו, 8.2.2016) פסקה כה; </w:t>
      </w:r>
      <w:hyperlink r:id="rId28" w:history="1">
        <w:r w:rsidR="00B01008" w:rsidRPr="00B01008">
          <w:rPr>
            <w:rFonts w:ascii="David" w:hAnsi="David"/>
            <w:color w:val="0000FF"/>
            <w:spacing w:val="10"/>
            <w:u w:val="single"/>
            <w:rtl/>
          </w:rPr>
          <w:t>ע"פ 8820/14</w:t>
        </w:r>
      </w:hyperlink>
      <w:r>
        <w:rPr>
          <w:rFonts w:ascii="David" w:hAnsi="David"/>
          <w:spacing w:val="10"/>
          <w:rtl/>
        </w:rPr>
        <w:t xml:space="preserve"> </w:t>
      </w:r>
      <w:r>
        <w:rPr>
          <w:rFonts w:ascii="David" w:hAnsi="David"/>
          <w:b/>
          <w:bCs/>
          <w:spacing w:val="10"/>
          <w:rtl/>
        </w:rPr>
        <w:t>זהר שחר נ' מדינת ישראל</w:t>
      </w:r>
      <w:r>
        <w:rPr>
          <w:rFonts w:ascii="David" w:hAnsi="David"/>
          <w:spacing w:val="10"/>
          <w:rtl/>
        </w:rPr>
        <w:t xml:space="preserve"> (פורסם בנבו, 17.5.2015).</w:t>
      </w:r>
    </w:p>
    <w:p w14:paraId="3469557D"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 xml:space="preserve">בנסיבות אלה דומה כי העונש שהוסכם בין הצדדים חורג ממתחם העונש ההולם, במיוחד לאור כמות הסם וסוגו, בראי הרשעותיו של הנאשם. </w:t>
      </w:r>
    </w:p>
    <w:p w14:paraId="4801713B"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 xml:space="preserve">יחד עם זאת, מצאתי שלא לסטות מהסדר הטיעון, לאור ההלכה הפסוקה לפיה ככלל על בית-המשפט לאשר ולכבד הסדרי טיעון בשל הטעמים הקשורים בחשיבותם ובמעמדם של הסדרים אלו (ראו, למשל, </w:t>
      </w:r>
      <w:hyperlink r:id="rId29" w:history="1">
        <w:r w:rsidR="00B01008" w:rsidRPr="00B01008">
          <w:rPr>
            <w:rFonts w:ascii="David" w:hAnsi="David"/>
            <w:color w:val="0000FF"/>
            <w:spacing w:val="10"/>
            <w:u w:val="single"/>
            <w:rtl/>
          </w:rPr>
          <w:t>ע"פ 1958/98 פלוני נ' מדינת ישראל, פ"ד נז</w:t>
        </w:r>
      </w:hyperlink>
      <w:r>
        <w:rPr>
          <w:rFonts w:ascii="David" w:hAnsi="David"/>
          <w:spacing w:val="10"/>
          <w:rtl/>
        </w:rPr>
        <w:t xml:space="preserve">(1) 577 (2002)). </w:t>
      </w:r>
    </w:p>
    <w:p w14:paraId="7A61AF95" w14:textId="77777777" w:rsidR="00706D7D" w:rsidRDefault="00706D7D" w:rsidP="00706D7D">
      <w:pPr>
        <w:spacing w:before="120" w:line="360" w:lineRule="auto"/>
        <w:jc w:val="both"/>
        <w:rPr>
          <w:rFonts w:ascii="David" w:hAnsi="David"/>
          <w:spacing w:val="10"/>
        </w:rPr>
      </w:pPr>
      <w:r>
        <w:rPr>
          <w:rFonts w:ascii="David" w:hAnsi="David"/>
          <w:spacing w:val="10"/>
          <w:rtl/>
        </w:rPr>
        <w:t>על פי הפסיקה, הנטייה היא לכבד הסדרי טיעון במידה והם עומדים במבחן האיזון הראוי בין האינטרס הציבורי שבהטלת עונש ההולם את נסיבות העבירה, ובין טובת ההנאה לה זוכה הנאשם בהסדר, על רקע קשיים ראייתיים והצורך בחשיפת מידעים מודיעיניים.</w:t>
      </w:r>
    </w:p>
    <w:p w14:paraId="1099EE74" w14:textId="77777777" w:rsidR="00706D7D" w:rsidRDefault="00706D7D" w:rsidP="00706D7D">
      <w:pPr>
        <w:pStyle w:val="a9"/>
        <w:spacing w:before="120" w:after="0" w:line="360" w:lineRule="auto"/>
        <w:ind w:left="502" w:right="567"/>
        <w:jc w:val="both"/>
        <w:rPr>
          <w:rFonts w:ascii="David" w:eastAsia="Times New Roman" w:hAnsi="David" w:cs="David"/>
          <w:spacing w:val="10"/>
          <w:sz w:val="24"/>
          <w:szCs w:val="24"/>
        </w:rPr>
      </w:pPr>
      <w:r>
        <w:rPr>
          <w:rFonts w:ascii="David" w:eastAsia="Times New Roman" w:hAnsi="David" w:cs="David"/>
          <w:spacing w:val="10"/>
          <w:sz w:val="24"/>
          <w:szCs w:val="24"/>
          <w:rtl/>
        </w:rPr>
        <w:t>"</w:t>
      </w:r>
      <w:r>
        <w:rPr>
          <w:rFonts w:ascii="David" w:eastAsia="Times New Roman" w:hAnsi="David" w:cs="David"/>
          <w:b/>
          <w:bCs/>
          <w:spacing w:val="10"/>
          <w:sz w:val="24"/>
          <w:szCs w:val="24"/>
          <w:rtl/>
        </w:rPr>
        <w:t>ככלל, בית-המשפט יראה לקיים את הסדר הטיעון בשל הטעמים הקשורים בחשיבותם ובמעמדם של הסדרי הטיעון... בית המשפט ישווה לנגד עיניו, בין היתר, את המגמה העקרונית לעידוד הסדרי טיעון</w:t>
      </w:r>
      <w:r>
        <w:rPr>
          <w:rFonts w:ascii="David" w:eastAsia="Times New Roman" w:hAnsi="David" w:cs="David"/>
          <w:spacing w:val="10"/>
          <w:sz w:val="24"/>
          <w:szCs w:val="24"/>
          <w:rtl/>
        </w:rPr>
        <w:t xml:space="preserve">" </w:t>
      </w:r>
      <w:r>
        <w:rPr>
          <w:rFonts w:ascii="David" w:hAnsi="David" w:cs="David"/>
          <w:spacing w:val="10"/>
          <w:sz w:val="24"/>
          <w:szCs w:val="24"/>
          <w:rtl/>
        </w:rPr>
        <w:t>(</w:t>
      </w:r>
      <w:hyperlink r:id="rId30" w:history="1">
        <w:r w:rsidR="00B01008" w:rsidRPr="00B01008">
          <w:rPr>
            <w:rFonts w:ascii="David" w:hAnsi="David" w:cs="David"/>
            <w:color w:val="0000FF"/>
            <w:spacing w:val="10"/>
            <w:sz w:val="24"/>
            <w:szCs w:val="24"/>
            <w:u w:val="single"/>
            <w:rtl/>
          </w:rPr>
          <w:t>ע"פ 1958/98 פלוני נ' מדינת ישראל, פ"ד נז</w:t>
        </w:r>
      </w:hyperlink>
      <w:r>
        <w:rPr>
          <w:rFonts w:ascii="David" w:hAnsi="David" w:cs="David"/>
          <w:spacing w:val="10"/>
          <w:sz w:val="24"/>
          <w:szCs w:val="24"/>
          <w:rtl/>
        </w:rPr>
        <w:t>(1), 577).</w:t>
      </w:r>
    </w:p>
    <w:p w14:paraId="7C5D8D69" w14:textId="77777777" w:rsidR="00706D7D" w:rsidRDefault="00706D7D" w:rsidP="00706D7D">
      <w:pPr>
        <w:spacing w:before="120" w:line="360" w:lineRule="auto"/>
        <w:jc w:val="both"/>
        <w:rPr>
          <w:rFonts w:ascii="David" w:hAnsi="David"/>
          <w:spacing w:val="10"/>
        </w:rPr>
      </w:pPr>
      <w:r>
        <w:rPr>
          <w:rFonts w:ascii="David" w:hAnsi="David"/>
          <w:spacing w:val="10"/>
          <w:rtl/>
        </w:rPr>
        <w:t>וכן:</w:t>
      </w:r>
    </w:p>
    <w:p w14:paraId="2C06FAF8" w14:textId="77777777" w:rsidR="00706D7D" w:rsidRDefault="00706D7D" w:rsidP="00706D7D">
      <w:pPr>
        <w:pStyle w:val="a9"/>
        <w:spacing w:before="120" w:after="0" w:line="360" w:lineRule="auto"/>
        <w:ind w:left="502" w:right="567"/>
        <w:jc w:val="both"/>
        <w:rPr>
          <w:rFonts w:ascii="David" w:eastAsia="Times New Roman" w:hAnsi="David" w:cs="David"/>
          <w:spacing w:val="10"/>
          <w:sz w:val="24"/>
          <w:szCs w:val="24"/>
          <w:rtl/>
        </w:rPr>
      </w:pPr>
      <w:r>
        <w:rPr>
          <w:rFonts w:ascii="David" w:eastAsia="Times New Roman" w:hAnsi="David" w:cs="David"/>
          <w:b/>
          <w:bCs/>
          <w:spacing w:val="10"/>
          <w:sz w:val="24"/>
          <w:szCs w:val="24"/>
          <w:rtl/>
        </w:rPr>
        <w:t>"...סטיה מהסדר טיעון תיעשה במקרים חריגים ונדירים בלבד, וזוהי המגמה המסתמנת בשנים האחרונות בפסיקתו של בית משפט זה... בבוא בית המשפט קמא לבחון את הסדר הטיעון עליו לשקול, בין היתר, את מידת הפגיעה שתיגרם לנאשם נוכח החלטתו להודות במיוחס לו בכתב האישום המתוקן במסגרת הסדר הטיעון ושלא להמשיך בניהול הליך מלא בעניינו...</w:t>
      </w:r>
      <w:r>
        <w:rPr>
          <w:rFonts w:ascii="David" w:eastAsia="Times New Roman" w:hAnsi="David" w:cs="David"/>
          <w:spacing w:val="10"/>
          <w:sz w:val="24"/>
          <w:szCs w:val="24"/>
          <w:rtl/>
        </w:rPr>
        <w:t>" (</w:t>
      </w:r>
      <w:hyperlink r:id="rId31" w:history="1">
        <w:r w:rsidR="00B01008" w:rsidRPr="00B01008">
          <w:rPr>
            <w:rFonts w:ascii="David" w:eastAsia="Times New Roman" w:hAnsi="David" w:cs="David"/>
            <w:color w:val="0000FF"/>
            <w:spacing w:val="10"/>
            <w:sz w:val="24"/>
            <w:szCs w:val="24"/>
            <w:u w:val="single"/>
            <w:rtl/>
          </w:rPr>
          <w:t>ע"פ 7757/11</w:t>
        </w:r>
      </w:hyperlink>
      <w:r>
        <w:rPr>
          <w:rFonts w:ascii="David" w:eastAsia="Times New Roman" w:hAnsi="David" w:cs="David"/>
          <w:spacing w:val="10"/>
          <w:sz w:val="24"/>
          <w:szCs w:val="24"/>
          <w:rtl/>
        </w:rPr>
        <w:t xml:space="preserve"> </w:t>
      </w:r>
      <w:r>
        <w:rPr>
          <w:rFonts w:ascii="David" w:eastAsia="Times New Roman" w:hAnsi="David" w:cs="David"/>
          <w:b/>
          <w:bCs/>
          <w:spacing w:val="10"/>
          <w:sz w:val="24"/>
          <w:szCs w:val="24"/>
          <w:rtl/>
        </w:rPr>
        <w:t xml:space="preserve">פלוני נ' מדינת ישראל, </w:t>
      </w:r>
      <w:r>
        <w:rPr>
          <w:rFonts w:ascii="David" w:eastAsia="Times New Roman" w:hAnsi="David" w:cs="David"/>
          <w:spacing w:val="10"/>
          <w:sz w:val="24"/>
          <w:szCs w:val="24"/>
          <w:rtl/>
        </w:rPr>
        <w:t xml:space="preserve">מיום 13.02.13). </w:t>
      </w:r>
    </w:p>
    <w:p w14:paraId="22D6BF75" w14:textId="77777777" w:rsidR="00706D7D" w:rsidRPr="00706D7D" w:rsidRDefault="00706D7D" w:rsidP="00706D7D">
      <w:pPr>
        <w:numPr>
          <w:ilvl w:val="0"/>
          <w:numId w:val="1"/>
        </w:numPr>
        <w:spacing w:before="120" w:line="360" w:lineRule="auto"/>
        <w:ind w:left="0" w:firstLine="0"/>
        <w:jc w:val="both"/>
        <w:rPr>
          <w:rFonts w:ascii="Calibri" w:eastAsia="Calibri" w:hAnsi="Calibri"/>
          <w:spacing w:val="10"/>
          <w:rtl/>
        </w:rPr>
      </w:pPr>
      <w:r>
        <w:rPr>
          <w:spacing w:val="10"/>
          <w:rtl/>
        </w:rPr>
        <w:t xml:space="preserve">אשר על כן, אני סבורה כי את הסדר הטיעון המוצע יש לכבד, כשלנגד עינינו קשיים </w:t>
      </w:r>
      <w:r>
        <w:rPr>
          <w:rFonts w:ascii="David" w:hAnsi="David"/>
          <w:spacing w:val="10"/>
          <w:rtl/>
          <w:lang w:eastAsia="he-IL"/>
        </w:rPr>
        <w:t>ראייתיים</w:t>
      </w:r>
      <w:r>
        <w:rPr>
          <w:spacing w:val="10"/>
          <w:rtl/>
        </w:rPr>
        <w:t xml:space="preserve"> בהוכחת כתב האישום, כפי שהצהירה המאשימה.</w:t>
      </w:r>
    </w:p>
    <w:p w14:paraId="237BAA4C" w14:textId="77777777" w:rsidR="00706D7D" w:rsidRDefault="00706D7D" w:rsidP="00706D7D">
      <w:pPr>
        <w:numPr>
          <w:ilvl w:val="0"/>
          <w:numId w:val="1"/>
        </w:numPr>
        <w:spacing w:before="120" w:line="360" w:lineRule="auto"/>
        <w:ind w:left="0" w:firstLine="0"/>
        <w:jc w:val="both"/>
        <w:rPr>
          <w:spacing w:val="10"/>
        </w:rPr>
      </w:pPr>
      <w:r>
        <w:rPr>
          <w:rFonts w:ascii="David" w:hAnsi="David"/>
          <w:spacing w:val="10"/>
          <w:rtl/>
        </w:rPr>
        <w:t xml:space="preserve">לכך יש להוסיף את </w:t>
      </w:r>
      <w:r>
        <w:rPr>
          <w:rFonts w:ascii="David" w:hAnsi="David"/>
          <w:b/>
          <w:bCs/>
          <w:spacing w:val="10"/>
          <w:rtl/>
        </w:rPr>
        <w:t>הנסיבות שאינן קשורות בביצוע העבירה</w:t>
      </w:r>
      <w:r>
        <w:rPr>
          <w:rFonts w:ascii="David" w:hAnsi="David"/>
          <w:spacing w:val="10"/>
          <w:rtl/>
        </w:rPr>
        <w:t xml:space="preserve"> ולמנות לקולא את הודאתו של הנאשם, שניתנה בהזדמנות הראשונה וחסכה זמן שיפוטי יקר, ואת </w:t>
      </w:r>
      <w:r>
        <w:rPr>
          <w:spacing w:val="10"/>
          <w:rtl/>
        </w:rPr>
        <w:t xml:space="preserve">לקיחת האחריות על ידו והבעת חרטה על מעשיו. </w:t>
      </w:r>
    </w:p>
    <w:p w14:paraId="5A40E153" w14:textId="77777777" w:rsidR="00706D7D" w:rsidRDefault="00706D7D" w:rsidP="00706D7D">
      <w:pPr>
        <w:numPr>
          <w:ilvl w:val="0"/>
          <w:numId w:val="1"/>
        </w:numPr>
        <w:spacing w:before="120" w:line="360" w:lineRule="auto"/>
        <w:ind w:left="0" w:firstLine="0"/>
        <w:jc w:val="both"/>
        <w:rPr>
          <w:spacing w:val="10"/>
        </w:rPr>
      </w:pPr>
      <w:r>
        <w:rPr>
          <w:rFonts w:ascii="David" w:hAnsi="David"/>
          <w:spacing w:val="10"/>
          <w:rtl/>
        </w:rPr>
        <w:t>אשר על כן, אני גוזרת על הנאשם את העונשים הבאים:</w:t>
      </w:r>
    </w:p>
    <w:p w14:paraId="06112471" w14:textId="77777777" w:rsidR="00706D7D" w:rsidRDefault="00706D7D" w:rsidP="00706D7D">
      <w:pPr>
        <w:pStyle w:val="a9"/>
        <w:numPr>
          <w:ilvl w:val="0"/>
          <w:numId w:val="2"/>
        </w:numPr>
        <w:spacing w:before="120" w:after="0" w:line="360" w:lineRule="auto"/>
        <w:jc w:val="both"/>
        <w:rPr>
          <w:rFonts w:ascii="David" w:hAnsi="David" w:cs="David"/>
          <w:spacing w:val="10"/>
          <w:sz w:val="24"/>
          <w:szCs w:val="24"/>
        </w:rPr>
      </w:pPr>
      <w:r>
        <w:rPr>
          <w:rFonts w:ascii="David" w:hAnsi="David" w:cs="David"/>
          <w:b/>
          <w:bCs/>
          <w:spacing w:val="10"/>
          <w:sz w:val="24"/>
          <w:szCs w:val="24"/>
          <w:rtl/>
        </w:rPr>
        <w:t>32 חודשי מאסר בפועל</w:t>
      </w:r>
      <w:r>
        <w:rPr>
          <w:rFonts w:ascii="David" w:hAnsi="David" w:cs="David"/>
          <w:spacing w:val="10"/>
          <w:sz w:val="24"/>
          <w:szCs w:val="24"/>
          <w:rtl/>
        </w:rPr>
        <w:t xml:space="preserve">. </w:t>
      </w:r>
    </w:p>
    <w:p w14:paraId="5AAFBD1E" w14:textId="77777777" w:rsidR="00706D7D" w:rsidRDefault="00706D7D" w:rsidP="00706D7D">
      <w:pPr>
        <w:pStyle w:val="a9"/>
        <w:numPr>
          <w:ilvl w:val="0"/>
          <w:numId w:val="2"/>
        </w:numPr>
        <w:spacing w:before="120" w:after="0" w:line="360" w:lineRule="auto"/>
        <w:jc w:val="both"/>
        <w:rPr>
          <w:rFonts w:ascii="David" w:hAnsi="David" w:cs="David"/>
          <w:spacing w:val="10"/>
          <w:sz w:val="24"/>
          <w:szCs w:val="24"/>
          <w:rtl/>
        </w:rPr>
      </w:pPr>
      <w:r>
        <w:rPr>
          <w:rFonts w:ascii="David" w:hAnsi="David" w:cs="David"/>
          <w:b/>
          <w:bCs/>
          <w:spacing w:val="10"/>
          <w:sz w:val="24"/>
          <w:szCs w:val="24"/>
          <w:rtl/>
        </w:rPr>
        <w:t xml:space="preserve">אני מורה על הפעלת המאסר המותנה למשך 4 חודשים </w:t>
      </w:r>
      <w:r>
        <w:rPr>
          <w:rFonts w:ascii="David" w:hAnsi="David" w:cs="David"/>
          <w:spacing w:val="10"/>
          <w:sz w:val="24"/>
          <w:szCs w:val="24"/>
          <w:rtl/>
        </w:rPr>
        <w:t>מ</w:t>
      </w:r>
      <w:hyperlink r:id="rId32" w:history="1">
        <w:r w:rsidR="00B01008" w:rsidRPr="00B01008">
          <w:rPr>
            <w:rFonts w:ascii="David" w:hAnsi="David" w:cs="David"/>
            <w:color w:val="0000FF"/>
            <w:spacing w:val="10"/>
            <w:sz w:val="24"/>
            <w:szCs w:val="24"/>
            <w:u w:val="single"/>
            <w:rtl/>
          </w:rPr>
          <w:t>ת"פ</w:t>
        </w:r>
        <w:r w:rsidR="00B01008" w:rsidRPr="00B01008">
          <w:rPr>
            <w:rFonts w:ascii="David" w:hAnsi="David" w:cs="David"/>
            <w:color w:val="0000FF"/>
            <w:spacing w:val="10"/>
            <w:sz w:val="24"/>
            <w:szCs w:val="24"/>
            <w:u w:val="single"/>
            <w:rtl/>
          </w:rPr>
          <w:br/>
          <w:t>43134-06-18</w:t>
        </w:r>
      </w:hyperlink>
      <w:r>
        <w:rPr>
          <w:rFonts w:ascii="David" w:hAnsi="David" w:cs="David"/>
          <w:spacing w:val="10"/>
          <w:sz w:val="24"/>
          <w:szCs w:val="24"/>
          <w:rtl/>
        </w:rPr>
        <w:t xml:space="preserve"> של בית משפט השלום בחיפה, מיום 13.1.2019, באופן בו חודשיים יופעלו במצטבר, וחודשיים יופעלו בחופף.</w:t>
      </w:r>
    </w:p>
    <w:p w14:paraId="22F71F56" w14:textId="77777777" w:rsidR="00706D7D" w:rsidRDefault="00706D7D" w:rsidP="00706D7D">
      <w:pPr>
        <w:pStyle w:val="a9"/>
        <w:spacing w:before="120" w:after="0" w:line="360" w:lineRule="auto"/>
        <w:ind w:left="1440"/>
        <w:jc w:val="both"/>
        <w:rPr>
          <w:rFonts w:ascii="David" w:hAnsi="David" w:cs="David"/>
          <w:spacing w:val="10"/>
          <w:sz w:val="24"/>
          <w:szCs w:val="24"/>
        </w:rPr>
      </w:pPr>
      <w:r>
        <w:rPr>
          <w:rFonts w:ascii="David" w:hAnsi="David" w:cs="David"/>
          <w:b/>
          <w:bCs/>
          <w:spacing w:val="10"/>
          <w:sz w:val="24"/>
          <w:szCs w:val="24"/>
          <w:rtl/>
        </w:rPr>
        <w:t xml:space="preserve">סך הכול ירצה הנאשם 34 חודשי מאסר בפועל, </w:t>
      </w:r>
      <w:r>
        <w:rPr>
          <w:rFonts w:ascii="David" w:hAnsi="David" w:cs="David"/>
          <w:spacing w:val="10"/>
          <w:sz w:val="24"/>
          <w:szCs w:val="24"/>
          <w:rtl/>
        </w:rPr>
        <w:t>בניכוי ימי המעצר מיום 23.10.19 ועד יום 3.11.19, ומיום 19.11.19 ועד היום</w:t>
      </w:r>
    </w:p>
    <w:p w14:paraId="7D79EE3F" w14:textId="77777777" w:rsidR="00706D7D" w:rsidRDefault="00706D7D" w:rsidP="00706D7D">
      <w:pPr>
        <w:pStyle w:val="a9"/>
        <w:numPr>
          <w:ilvl w:val="0"/>
          <w:numId w:val="2"/>
        </w:numPr>
        <w:spacing w:before="120" w:after="0" w:line="360" w:lineRule="auto"/>
        <w:jc w:val="both"/>
        <w:rPr>
          <w:rFonts w:ascii="David" w:hAnsi="David" w:cs="David"/>
          <w:spacing w:val="10"/>
          <w:sz w:val="24"/>
          <w:szCs w:val="24"/>
        </w:rPr>
      </w:pPr>
      <w:r>
        <w:rPr>
          <w:rFonts w:ascii="David" w:hAnsi="David" w:cs="David"/>
          <w:spacing w:val="10"/>
          <w:sz w:val="24"/>
          <w:szCs w:val="24"/>
          <w:rtl/>
        </w:rPr>
        <w:t>אני משיתה על הנאשם מאסר על תנאי של 12 חודשים, לבל יעבור במשך 3 שנים עבירות סמים מסוג פשע.</w:t>
      </w:r>
    </w:p>
    <w:p w14:paraId="49B5D614" w14:textId="77777777" w:rsidR="00706D7D" w:rsidRDefault="00706D7D" w:rsidP="00706D7D">
      <w:pPr>
        <w:pStyle w:val="a9"/>
        <w:numPr>
          <w:ilvl w:val="0"/>
          <w:numId w:val="2"/>
        </w:numPr>
        <w:spacing w:before="120" w:after="0" w:line="360" w:lineRule="auto"/>
        <w:jc w:val="both"/>
        <w:rPr>
          <w:rFonts w:ascii="David" w:hAnsi="David" w:cs="David"/>
          <w:spacing w:val="10"/>
          <w:sz w:val="24"/>
          <w:szCs w:val="24"/>
          <w:rtl/>
        </w:rPr>
      </w:pPr>
      <w:r>
        <w:rPr>
          <w:rFonts w:ascii="David" w:hAnsi="David" w:cs="David"/>
          <w:spacing w:val="10"/>
          <w:sz w:val="24"/>
          <w:szCs w:val="24"/>
          <w:rtl/>
        </w:rPr>
        <w:t>אני משיתה על הנאשם מאסר על תנאי של 9 חודשים, לבל יעבור במשך 3 שנים עבירות סמים מסוג  עוון.</w:t>
      </w:r>
    </w:p>
    <w:p w14:paraId="5FE2AC62" w14:textId="77777777" w:rsidR="00706D7D" w:rsidRDefault="00706D7D" w:rsidP="00706D7D">
      <w:pPr>
        <w:pStyle w:val="a9"/>
        <w:numPr>
          <w:ilvl w:val="0"/>
          <w:numId w:val="2"/>
        </w:numPr>
        <w:spacing w:before="120" w:after="0" w:line="360" w:lineRule="auto"/>
        <w:jc w:val="both"/>
        <w:rPr>
          <w:rFonts w:ascii="David" w:hAnsi="David" w:cs="David"/>
          <w:spacing w:val="10"/>
          <w:sz w:val="24"/>
          <w:szCs w:val="24"/>
          <w:rtl/>
        </w:rPr>
      </w:pPr>
      <w:r>
        <w:rPr>
          <w:rFonts w:ascii="David" w:hAnsi="David" w:cs="David"/>
          <w:spacing w:val="10"/>
          <w:sz w:val="24"/>
          <w:szCs w:val="24"/>
          <w:rtl/>
        </w:rPr>
        <w:t xml:space="preserve">אני משיתה על הנאשם קנס כספי בסך של </w:t>
      </w:r>
      <w:r>
        <w:rPr>
          <w:rFonts w:ascii="David" w:hAnsi="David" w:cs="David"/>
          <w:b/>
          <w:bCs/>
          <w:spacing w:val="10"/>
          <w:sz w:val="24"/>
          <w:szCs w:val="24"/>
          <w:rtl/>
        </w:rPr>
        <w:t xml:space="preserve">25,000 ₪ </w:t>
      </w:r>
      <w:r>
        <w:rPr>
          <w:rFonts w:ascii="David" w:hAnsi="David" w:cs="David"/>
          <w:spacing w:val="10"/>
          <w:sz w:val="24"/>
          <w:szCs w:val="24"/>
          <w:rtl/>
        </w:rPr>
        <w:t>או</w:t>
      </w:r>
      <w:r>
        <w:rPr>
          <w:rFonts w:ascii="David" w:hAnsi="David" w:cs="David"/>
          <w:b/>
          <w:bCs/>
          <w:spacing w:val="10"/>
          <w:sz w:val="24"/>
          <w:szCs w:val="24"/>
          <w:rtl/>
        </w:rPr>
        <w:t xml:space="preserve"> 5 חודשי מאסר</w:t>
      </w:r>
      <w:r>
        <w:rPr>
          <w:rFonts w:ascii="David" w:hAnsi="David" w:cs="David"/>
          <w:spacing w:val="10"/>
          <w:sz w:val="24"/>
          <w:szCs w:val="24"/>
          <w:rtl/>
        </w:rPr>
        <w:t xml:space="preserve"> תמורתם. הקנס ישולם עד ליום</w:t>
      </w:r>
      <w:r>
        <w:rPr>
          <w:rFonts w:ascii="David" w:hAnsi="David" w:cs="David"/>
          <w:b/>
          <w:bCs/>
          <w:spacing w:val="10"/>
          <w:sz w:val="24"/>
          <w:szCs w:val="24"/>
          <w:rtl/>
        </w:rPr>
        <w:t xml:space="preserve"> 25.4.2021</w:t>
      </w:r>
      <w:r>
        <w:rPr>
          <w:rFonts w:ascii="David" w:hAnsi="David" w:cs="David"/>
          <w:spacing w:val="10"/>
          <w:sz w:val="24"/>
          <w:szCs w:val="24"/>
          <w:rtl/>
        </w:rPr>
        <w:t>.</w:t>
      </w:r>
    </w:p>
    <w:p w14:paraId="15FC13C1" w14:textId="77777777" w:rsidR="00706D7D" w:rsidRDefault="00706D7D" w:rsidP="00706D7D">
      <w:pPr>
        <w:numPr>
          <w:ilvl w:val="0"/>
          <w:numId w:val="1"/>
        </w:numPr>
        <w:spacing w:before="120" w:line="360" w:lineRule="auto"/>
        <w:ind w:left="0" w:firstLine="0"/>
        <w:jc w:val="both"/>
        <w:rPr>
          <w:rFonts w:ascii="David" w:hAnsi="David"/>
          <w:spacing w:val="10"/>
        </w:rPr>
      </w:pPr>
      <w:r>
        <w:rPr>
          <w:rFonts w:ascii="David" w:hAnsi="David"/>
          <w:spacing w:val="10"/>
          <w:rtl/>
        </w:rPr>
        <w:t>אני מורה כי הסמים שנתפסו יושמדו.</w:t>
      </w:r>
    </w:p>
    <w:p w14:paraId="028E9907" w14:textId="77777777" w:rsidR="00706D7D" w:rsidRPr="004B40CC" w:rsidRDefault="00706D7D" w:rsidP="00706D7D">
      <w:pPr>
        <w:pStyle w:val="a9"/>
        <w:spacing w:before="120" w:after="0" w:line="360" w:lineRule="auto"/>
        <w:ind w:left="0"/>
        <w:jc w:val="both"/>
        <w:rPr>
          <w:rFonts w:ascii="David" w:hAnsi="David" w:cs="David"/>
          <w:b/>
          <w:bCs/>
          <w:spacing w:val="10"/>
          <w:sz w:val="24"/>
          <w:szCs w:val="24"/>
          <w:u w:val="single"/>
          <w:rtl/>
        </w:rPr>
      </w:pPr>
      <w:r>
        <w:rPr>
          <w:rFonts w:ascii="David" w:hAnsi="David" w:cs="David"/>
          <w:b/>
          <w:bCs/>
          <w:spacing w:val="10"/>
          <w:sz w:val="24"/>
          <w:szCs w:val="24"/>
          <w:u w:val="single"/>
          <w:rtl/>
        </w:rPr>
        <w:t>זכות ערעור לבית המשפט העליון תוך 45 יום.</w:t>
      </w:r>
    </w:p>
    <w:p w14:paraId="339140B7" w14:textId="77777777" w:rsidR="00706D7D" w:rsidRPr="00B05847" w:rsidRDefault="00706D7D" w:rsidP="00706D7D">
      <w:pPr>
        <w:rPr>
          <w:rtl/>
        </w:rPr>
      </w:pPr>
    </w:p>
    <w:p w14:paraId="666C7589" w14:textId="77777777" w:rsidR="00706D7D" w:rsidRDefault="00B01008" w:rsidP="00706D7D">
      <w:pPr>
        <w:spacing w:line="360" w:lineRule="auto"/>
        <w:jc w:val="both"/>
        <w:rPr>
          <w:rFonts w:ascii="Arial" w:hAnsi="Arial"/>
          <w:rtl/>
        </w:rPr>
      </w:pPr>
      <w:bookmarkStart w:id="7" w:name="Nitan"/>
      <w:r>
        <w:rPr>
          <w:rFonts w:ascii="Arial" w:hAnsi="Arial"/>
          <w:rtl/>
        </w:rPr>
        <w:t xml:space="preserve">ניתן היום,  כ"ט ניסן תש"פ, 23 אפריל 2020. </w:t>
      </w:r>
      <w:bookmarkEnd w:id="7"/>
    </w:p>
    <w:p w14:paraId="69E5FD6E" w14:textId="77777777" w:rsidR="00706D7D" w:rsidRPr="00B01008" w:rsidRDefault="00B01008" w:rsidP="00706D7D">
      <w:pPr>
        <w:spacing w:line="360" w:lineRule="auto"/>
        <w:jc w:val="both"/>
        <w:rPr>
          <w:rFonts w:ascii="Arial" w:hAnsi="Arial"/>
          <w:color w:val="FFFFFF"/>
          <w:sz w:val="2"/>
          <w:szCs w:val="2"/>
          <w:rtl/>
        </w:rPr>
      </w:pPr>
      <w:r w:rsidRPr="00B01008">
        <w:rPr>
          <w:rFonts w:ascii="Arial" w:hAnsi="Arial"/>
          <w:color w:val="FFFFFF"/>
          <w:sz w:val="2"/>
          <w:szCs w:val="2"/>
          <w:rtl/>
        </w:rPr>
        <w:t>5129371</w:t>
      </w:r>
    </w:p>
    <w:tbl>
      <w:tblPr>
        <w:bidiVisual/>
        <w:tblW w:w="0" w:type="auto"/>
        <w:jc w:val="right"/>
        <w:tblLook w:val="01E0" w:firstRow="1" w:lastRow="1" w:firstColumn="1" w:lastColumn="1" w:noHBand="0" w:noVBand="0"/>
      </w:tblPr>
      <w:tblGrid>
        <w:gridCol w:w="2631"/>
      </w:tblGrid>
      <w:tr w:rsidR="00706D7D" w14:paraId="087CBA38" w14:textId="77777777" w:rsidTr="00706D7D">
        <w:trPr>
          <w:jc w:val="right"/>
        </w:trPr>
        <w:tc>
          <w:tcPr>
            <w:tcW w:w="2631" w:type="dxa"/>
            <w:tcBorders>
              <w:top w:val="nil"/>
              <w:left w:val="nil"/>
              <w:bottom w:val="single" w:sz="4" w:space="0" w:color="auto"/>
              <w:right w:val="nil"/>
            </w:tcBorders>
            <w:shd w:val="clear" w:color="auto" w:fill="auto"/>
            <w:vAlign w:val="bottom"/>
          </w:tcPr>
          <w:p w14:paraId="37385E0C" w14:textId="77777777" w:rsidR="00706D7D" w:rsidRPr="00B01008" w:rsidRDefault="00B01008" w:rsidP="00706D7D">
            <w:pPr>
              <w:jc w:val="center"/>
              <w:rPr>
                <w:rFonts w:ascii="Courier New" w:hAnsi="Courier New"/>
                <w:b/>
                <w:bCs/>
                <w:color w:val="FFFFFF"/>
                <w:sz w:val="2"/>
                <w:szCs w:val="2"/>
                <w:rtl/>
              </w:rPr>
            </w:pPr>
            <w:r w:rsidRPr="00B01008">
              <w:rPr>
                <w:rFonts w:ascii="Courier New" w:hAnsi="Courier New"/>
                <w:b/>
                <w:bCs/>
                <w:color w:val="FFFFFF"/>
                <w:sz w:val="2"/>
                <w:szCs w:val="2"/>
                <w:rtl/>
              </w:rPr>
              <w:t>54678313</w:t>
            </w:r>
          </w:p>
        </w:tc>
      </w:tr>
      <w:tr w:rsidR="00706D7D" w14:paraId="199C4229" w14:textId="77777777" w:rsidTr="00706D7D">
        <w:trPr>
          <w:jc w:val="right"/>
        </w:trPr>
        <w:tc>
          <w:tcPr>
            <w:tcW w:w="2631" w:type="dxa"/>
            <w:tcBorders>
              <w:top w:val="single" w:sz="4" w:space="0" w:color="auto"/>
              <w:left w:val="nil"/>
              <w:bottom w:val="nil"/>
              <w:right w:val="nil"/>
            </w:tcBorders>
            <w:shd w:val="clear" w:color="auto" w:fill="auto"/>
            <w:vAlign w:val="bottom"/>
          </w:tcPr>
          <w:p w14:paraId="3400B13D" w14:textId="77777777" w:rsidR="00706D7D" w:rsidRPr="00706D7D" w:rsidRDefault="00706D7D" w:rsidP="00706D7D">
            <w:pPr>
              <w:jc w:val="center"/>
              <w:rPr>
                <w:rFonts w:ascii="Courier New" w:hAnsi="Courier New"/>
                <w:b/>
                <w:bCs/>
              </w:rPr>
            </w:pPr>
            <w:r w:rsidRPr="00706D7D">
              <w:rPr>
                <w:rFonts w:ascii="Courier New" w:hAnsi="Courier New" w:hint="cs"/>
                <w:b/>
                <w:bCs/>
                <w:rtl/>
              </w:rPr>
              <w:t>ר' פוקס, שופטת</w:t>
            </w:r>
          </w:p>
        </w:tc>
      </w:tr>
    </w:tbl>
    <w:p w14:paraId="1AA2DFEF" w14:textId="77777777" w:rsidR="00706D7D" w:rsidRDefault="00706D7D" w:rsidP="00706D7D">
      <w:pPr>
        <w:rPr>
          <w:rtl/>
        </w:rPr>
      </w:pPr>
    </w:p>
    <w:p w14:paraId="7575A0C6" w14:textId="77777777" w:rsidR="00706D7D" w:rsidRDefault="00706D7D" w:rsidP="00706D7D"/>
    <w:p w14:paraId="3CA5BAAD" w14:textId="77777777" w:rsidR="00706D7D" w:rsidRPr="009D4FA9" w:rsidRDefault="009D4FA9" w:rsidP="00706D7D">
      <w:pPr>
        <w:pStyle w:val="a3"/>
        <w:jc w:val="center"/>
        <w:rPr>
          <w:color w:val="FFFFFF"/>
          <w:sz w:val="2"/>
          <w:szCs w:val="2"/>
          <w:rtl/>
        </w:rPr>
      </w:pPr>
      <w:r w:rsidRPr="009D4FA9">
        <w:rPr>
          <w:color w:val="FFFFFF"/>
          <w:sz w:val="2"/>
          <w:szCs w:val="2"/>
          <w:rtl/>
        </w:rPr>
        <w:t>5129371</w:t>
      </w:r>
    </w:p>
    <w:p w14:paraId="3CF7444F" w14:textId="77777777" w:rsidR="00DE0DE5" w:rsidRPr="009D4FA9" w:rsidRDefault="009D4FA9" w:rsidP="00B01008">
      <w:pPr>
        <w:keepNext/>
        <w:rPr>
          <w:rFonts w:ascii="David" w:hAnsi="David"/>
          <w:color w:val="FFFFFF"/>
          <w:sz w:val="2"/>
          <w:szCs w:val="2"/>
          <w:rtl/>
        </w:rPr>
      </w:pPr>
      <w:r w:rsidRPr="009D4FA9">
        <w:rPr>
          <w:rFonts w:ascii="David" w:hAnsi="David"/>
          <w:color w:val="FFFFFF"/>
          <w:sz w:val="2"/>
          <w:szCs w:val="2"/>
          <w:rtl/>
        </w:rPr>
        <w:t>54678313</w:t>
      </w:r>
    </w:p>
    <w:p w14:paraId="75044CC8" w14:textId="77777777" w:rsidR="00B01008" w:rsidRDefault="00B01008" w:rsidP="00B01008">
      <w:pPr>
        <w:rPr>
          <w:rtl/>
        </w:rPr>
      </w:pPr>
    </w:p>
    <w:p w14:paraId="41029CCD" w14:textId="77777777" w:rsidR="00B01008" w:rsidRDefault="00B01008" w:rsidP="00B01008">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C463FF6" w14:textId="77777777" w:rsidR="009D4FA9" w:rsidRPr="009D4FA9" w:rsidRDefault="009D4FA9" w:rsidP="009D4FA9">
      <w:pPr>
        <w:keepNext/>
        <w:rPr>
          <w:rFonts w:ascii="David" w:hAnsi="David"/>
          <w:color w:val="000000"/>
          <w:sz w:val="22"/>
          <w:szCs w:val="22"/>
          <w:rtl/>
        </w:rPr>
      </w:pPr>
    </w:p>
    <w:p w14:paraId="4E1091E3" w14:textId="77777777" w:rsidR="009D4FA9" w:rsidRPr="009D4FA9" w:rsidRDefault="009D4FA9" w:rsidP="009D4FA9">
      <w:pPr>
        <w:keepNext/>
        <w:rPr>
          <w:rFonts w:ascii="David" w:hAnsi="David"/>
          <w:color w:val="000000"/>
          <w:sz w:val="22"/>
          <w:szCs w:val="22"/>
          <w:rtl/>
        </w:rPr>
      </w:pPr>
      <w:r w:rsidRPr="009D4FA9">
        <w:rPr>
          <w:rFonts w:ascii="David" w:hAnsi="David"/>
          <w:color w:val="000000"/>
          <w:sz w:val="22"/>
          <w:szCs w:val="22"/>
          <w:rtl/>
        </w:rPr>
        <w:t>רבקה פוקס 54678313-/</w:t>
      </w:r>
    </w:p>
    <w:p w14:paraId="6CB9A347" w14:textId="77777777" w:rsidR="00B01008" w:rsidRPr="00B01008" w:rsidRDefault="009D4FA9" w:rsidP="009D4FA9">
      <w:pPr>
        <w:rPr>
          <w:color w:val="0000FF"/>
          <w:u w:val="single"/>
        </w:rPr>
      </w:pPr>
      <w:r w:rsidRPr="009D4FA9">
        <w:rPr>
          <w:color w:val="000000"/>
          <w:u w:val="single"/>
          <w:rtl/>
        </w:rPr>
        <w:t>נוסח מסמך זה כפוף לשינויי ניסוח ועריכה</w:t>
      </w:r>
    </w:p>
    <w:sectPr w:rsidR="00B01008" w:rsidRPr="00B01008" w:rsidSect="009D4FA9">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5B6CF" w14:textId="77777777" w:rsidR="00D056B8" w:rsidRDefault="00D056B8" w:rsidP="003C0CA5">
      <w:r>
        <w:separator/>
      </w:r>
    </w:p>
  </w:endnote>
  <w:endnote w:type="continuationSeparator" w:id="0">
    <w:p w14:paraId="33ED9ED5" w14:textId="77777777" w:rsidR="00D056B8" w:rsidRDefault="00D056B8" w:rsidP="003C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060EA" w14:textId="77777777" w:rsidR="009D4FA9" w:rsidRDefault="009D4FA9" w:rsidP="009D4F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A52ECDD" w14:textId="77777777" w:rsidR="001C150A" w:rsidRPr="009D4FA9" w:rsidRDefault="009D4FA9" w:rsidP="009D4FA9">
    <w:pPr>
      <w:pStyle w:val="a5"/>
      <w:pBdr>
        <w:top w:val="single" w:sz="4" w:space="1" w:color="auto"/>
        <w:between w:val="single" w:sz="4" w:space="0" w:color="auto"/>
      </w:pBdr>
      <w:spacing w:after="60"/>
      <w:jc w:val="center"/>
      <w:rPr>
        <w:rFonts w:ascii="FrankRuehl" w:hAnsi="FrankRuehl" w:cs="FrankRuehl"/>
        <w:color w:val="000000"/>
      </w:rPr>
    </w:pPr>
    <w:r w:rsidRPr="009D4F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ED09E" w14:textId="77777777" w:rsidR="009D4FA9" w:rsidRDefault="009D4FA9" w:rsidP="009D4FA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769D">
      <w:rPr>
        <w:rFonts w:ascii="FrankRuehl" w:hAnsi="FrankRuehl" w:cs="FrankRuehl"/>
        <w:noProof/>
        <w:rtl/>
      </w:rPr>
      <w:t>1</w:t>
    </w:r>
    <w:r>
      <w:rPr>
        <w:rFonts w:ascii="FrankRuehl" w:hAnsi="FrankRuehl" w:cs="FrankRuehl"/>
        <w:rtl/>
      </w:rPr>
      <w:fldChar w:fldCharType="end"/>
    </w:r>
  </w:p>
  <w:p w14:paraId="7E75F5E4" w14:textId="77777777" w:rsidR="001C150A" w:rsidRPr="009D4FA9" w:rsidRDefault="009D4FA9" w:rsidP="009D4FA9">
    <w:pPr>
      <w:pStyle w:val="a5"/>
      <w:pBdr>
        <w:top w:val="single" w:sz="4" w:space="1" w:color="auto"/>
        <w:between w:val="single" w:sz="4" w:space="0" w:color="auto"/>
      </w:pBdr>
      <w:spacing w:after="60"/>
      <w:jc w:val="center"/>
      <w:rPr>
        <w:rFonts w:ascii="FrankRuehl" w:hAnsi="FrankRuehl" w:cs="FrankRuehl"/>
        <w:color w:val="000000"/>
      </w:rPr>
    </w:pPr>
    <w:r w:rsidRPr="009D4FA9">
      <w:rPr>
        <w:rFonts w:ascii="FrankRuehl" w:hAnsi="FrankRuehl" w:cs="FrankRuehl"/>
        <w:color w:val="000000"/>
      </w:rPr>
      <w:pict w14:anchorId="5845C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1E046" w14:textId="77777777" w:rsidR="00D056B8" w:rsidRDefault="00D056B8" w:rsidP="003C0CA5">
      <w:r>
        <w:separator/>
      </w:r>
    </w:p>
  </w:footnote>
  <w:footnote w:type="continuationSeparator" w:id="0">
    <w:p w14:paraId="11357564" w14:textId="77777777" w:rsidR="00D056B8" w:rsidRDefault="00D056B8" w:rsidP="003C0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B05B3" w14:textId="77777777" w:rsidR="00B01008" w:rsidRPr="009D4FA9" w:rsidRDefault="009D4FA9" w:rsidP="009D4F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57066-11-19</w:t>
    </w:r>
    <w:r>
      <w:rPr>
        <w:rFonts w:ascii="David" w:hAnsi="David"/>
        <w:color w:val="000000"/>
        <w:sz w:val="22"/>
        <w:szCs w:val="22"/>
        <w:rtl/>
      </w:rPr>
      <w:tab/>
      <w:t xml:space="preserve"> מדינת ישראל נ' חאלד עבאס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4698A" w14:textId="77777777" w:rsidR="00B01008" w:rsidRPr="009D4FA9" w:rsidRDefault="009D4FA9" w:rsidP="009D4FA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57066-11-19</w:t>
    </w:r>
    <w:r>
      <w:rPr>
        <w:rFonts w:ascii="David" w:hAnsi="David"/>
        <w:color w:val="000000"/>
        <w:sz w:val="22"/>
        <w:szCs w:val="22"/>
        <w:rtl/>
      </w:rPr>
      <w:tab/>
      <w:t xml:space="preserve"> מדינת ישראל נ' חאלד עבאס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D771B"/>
    <w:multiLevelType w:val="hybridMultilevel"/>
    <w:tmpl w:val="87E6E1D4"/>
    <w:lvl w:ilvl="0" w:tplc="7D466036">
      <w:start w:val="1"/>
      <w:numFmt w:val="hebrew1"/>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87D09F2"/>
    <w:multiLevelType w:val="hybridMultilevel"/>
    <w:tmpl w:val="8F764A90"/>
    <w:lvl w:ilvl="0" w:tplc="F46A4A0E">
      <w:start w:val="1"/>
      <w:numFmt w:val="decimal"/>
      <w:lvlText w:val="%1."/>
      <w:lvlJc w:val="left"/>
      <w:pPr>
        <w:ind w:left="360" w:hanging="360"/>
      </w:pPr>
      <w:rPr>
        <w:rFonts w:ascii="David" w:hAnsi="David" w:cs="David" w:hint="default"/>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598388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12795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6D7D"/>
    <w:rsid w:val="001C150A"/>
    <w:rsid w:val="003C0CA5"/>
    <w:rsid w:val="00427B5B"/>
    <w:rsid w:val="005D00DE"/>
    <w:rsid w:val="00706D7D"/>
    <w:rsid w:val="009D4FA9"/>
    <w:rsid w:val="00B01008"/>
    <w:rsid w:val="00C1769D"/>
    <w:rsid w:val="00C501AB"/>
    <w:rsid w:val="00D056B8"/>
    <w:rsid w:val="00DE0D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C04751"/>
  <w15:chartTrackingRefBased/>
  <w15:docId w15:val="{D4EBB31D-85E0-430D-A803-1F3BC552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6D7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6D7D"/>
    <w:pPr>
      <w:tabs>
        <w:tab w:val="center" w:pos="4153"/>
        <w:tab w:val="right" w:pos="8306"/>
      </w:tabs>
    </w:pPr>
  </w:style>
  <w:style w:type="character" w:customStyle="1" w:styleId="a4">
    <w:name w:val="כותרת עליונה תו"/>
    <w:link w:val="a3"/>
    <w:rsid w:val="00706D7D"/>
    <w:rPr>
      <w:rFonts w:ascii="Times New Roman" w:eastAsia="Times New Roman" w:hAnsi="Times New Roman" w:cs="David"/>
      <w:sz w:val="24"/>
      <w:szCs w:val="24"/>
    </w:rPr>
  </w:style>
  <w:style w:type="paragraph" w:styleId="a5">
    <w:name w:val="footer"/>
    <w:basedOn w:val="a"/>
    <w:link w:val="a6"/>
    <w:rsid w:val="00706D7D"/>
    <w:pPr>
      <w:tabs>
        <w:tab w:val="center" w:pos="4153"/>
        <w:tab w:val="right" w:pos="8306"/>
      </w:tabs>
    </w:pPr>
  </w:style>
  <w:style w:type="character" w:customStyle="1" w:styleId="a6">
    <w:name w:val="כותרת תחתונה תו"/>
    <w:link w:val="a5"/>
    <w:rsid w:val="00706D7D"/>
    <w:rPr>
      <w:rFonts w:ascii="Times New Roman" w:eastAsia="Times New Roman" w:hAnsi="Times New Roman" w:cs="David"/>
      <w:sz w:val="24"/>
      <w:szCs w:val="24"/>
    </w:rPr>
  </w:style>
  <w:style w:type="table" w:styleId="a7">
    <w:name w:val="Table Grid"/>
    <w:basedOn w:val="a1"/>
    <w:rsid w:val="00706D7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6D7D"/>
  </w:style>
  <w:style w:type="character" w:customStyle="1" w:styleId="TimesNewRomanTimesNewRoman">
    <w:name w:val="סגנון (לטיני) Times New Roman (עברית ושפות אחרות) Times New Roman..."/>
    <w:rsid w:val="00706D7D"/>
    <w:rPr>
      <w:rFonts w:ascii="Times New Roman" w:hAnsi="Times New Roman" w:cs="David" w:hint="default"/>
      <w:b/>
      <w:bCs/>
      <w:sz w:val="26"/>
      <w:szCs w:val="26"/>
    </w:rPr>
  </w:style>
  <w:style w:type="paragraph" w:styleId="a9">
    <w:name w:val="List Paragraph"/>
    <w:basedOn w:val="a"/>
    <w:qFormat/>
    <w:rsid w:val="00706D7D"/>
    <w:pPr>
      <w:spacing w:after="160" w:line="256" w:lineRule="auto"/>
      <w:ind w:left="720"/>
      <w:contextualSpacing/>
    </w:pPr>
    <w:rPr>
      <w:rFonts w:ascii="Calibri" w:eastAsia="Calibri" w:hAnsi="Calibri" w:cs="Arial"/>
      <w:sz w:val="22"/>
      <w:szCs w:val="22"/>
    </w:rPr>
  </w:style>
  <w:style w:type="paragraph" w:customStyle="1" w:styleId="Ruller4">
    <w:name w:val="Ruller4"/>
    <w:basedOn w:val="a"/>
    <w:rsid w:val="00706D7D"/>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70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5727295"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24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590128"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case/1618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case/5583619" TargetMode="External"/><Relationship Id="rId32" Type="http://schemas.openxmlformats.org/officeDocument/2006/relationships/hyperlink" Target="http://www.nevo.co.il/case/24315480"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18753213"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4315480" TargetMode="External"/><Relationship Id="rId31" Type="http://schemas.openxmlformats.org/officeDocument/2006/relationships/hyperlink" Target="http://www.nevo.co.il/case/624801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73417" TargetMode="External"/><Relationship Id="rId27" Type="http://schemas.openxmlformats.org/officeDocument/2006/relationships/hyperlink" Target="http://www.nevo.co.il/case/20412551" TargetMode="External"/><Relationship Id="rId30" Type="http://schemas.openxmlformats.org/officeDocument/2006/relationships/hyperlink" Target="http://www.nevo.co.il/case/161892"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1600</Words>
  <Characters>8004</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9585</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3932277</vt:i4>
      </vt:variant>
      <vt:variant>
        <vt:i4>75</vt:i4>
      </vt:variant>
      <vt:variant>
        <vt:i4>0</vt:i4>
      </vt:variant>
      <vt:variant>
        <vt:i4>5</vt:i4>
      </vt:variant>
      <vt:variant>
        <vt:lpwstr>http://www.nevo.co.il/case/24315480</vt:lpwstr>
      </vt:variant>
      <vt:variant>
        <vt:lpwstr/>
      </vt:variant>
      <vt:variant>
        <vt:i4>3342463</vt:i4>
      </vt:variant>
      <vt:variant>
        <vt:i4>72</vt:i4>
      </vt:variant>
      <vt:variant>
        <vt:i4>0</vt:i4>
      </vt:variant>
      <vt:variant>
        <vt:i4>5</vt:i4>
      </vt:variant>
      <vt:variant>
        <vt:lpwstr>http://www.nevo.co.il/case/6248011</vt:lpwstr>
      </vt:variant>
      <vt:variant>
        <vt:lpwstr/>
      </vt:variant>
      <vt:variant>
        <vt:i4>589898</vt:i4>
      </vt:variant>
      <vt:variant>
        <vt:i4>69</vt:i4>
      </vt:variant>
      <vt:variant>
        <vt:i4>0</vt:i4>
      </vt:variant>
      <vt:variant>
        <vt:i4>5</vt:i4>
      </vt:variant>
      <vt:variant>
        <vt:lpwstr>http://www.nevo.co.il/case/161892</vt:lpwstr>
      </vt:variant>
      <vt:variant>
        <vt:lpwstr/>
      </vt:variant>
      <vt:variant>
        <vt:i4>589898</vt:i4>
      </vt:variant>
      <vt:variant>
        <vt:i4>66</vt:i4>
      </vt:variant>
      <vt:variant>
        <vt:i4>0</vt:i4>
      </vt:variant>
      <vt:variant>
        <vt:i4>5</vt:i4>
      </vt:variant>
      <vt:variant>
        <vt:lpwstr>http://www.nevo.co.il/case/161892</vt:lpwstr>
      </vt:variant>
      <vt:variant>
        <vt:lpwstr/>
      </vt:variant>
      <vt:variant>
        <vt:i4>3407995</vt:i4>
      </vt:variant>
      <vt:variant>
        <vt:i4>63</vt:i4>
      </vt:variant>
      <vt:variant>
        <vt:i4>0</vt:i4>
      </vt:variant>
      <vt:variant>
        <vt:i4>5</vt:i4>
      </vt:variant>
      <vt:variant>
        <vt:lpwstr>http://www.nevo.co.il/case/18753213</vt:lpwstr>
      </vt:variant>
      <vt:variant>
        <vt:lpwstr/>
      </vt:variant>
      <vt:variant>
        <vt:i4>3211376</vt:i4>
      </vt:variant>
      <vt:variant>
        <vt:i4>60</vt:i4>
      </vt:variant>
      <vt:variant>
        <vt:i4>0</vt:i4>
      </vt:variant>
      <vt:variant>
        <vt:i4>5</vt:i4>
      </vt:variant>
      <vt:variant>
        <vt:lpwstr>http://www.nevo.co.il/case/20412551</vt:lpwstr>
      </vt:variant>
      <vt:variant>
        <vt:lpwstr/>
      </vt:variant>
      <vt:variant>
        <vt:i4>3145853</vt:i4>
      </vt:variant>
      <vt:variant>
        <vt:i4>57</vt:i4>
      </vt:variant>
      <vt:variant>
        <vt:i4>0</vt:i4>
      </vt:variant>
      <vt:variant>
        <vt:i4>5</vt:i4>
      </vt:variant>
      <vt:variant>
        <vt:lpwstr>http://www.nevo.co.il/case/5727295</vt:lpwstr>
      </vt:variant>
      <vt:variant>
        <vt:lpwstr/>
      </vt:variant>
      <vt:variant>
        <vt:i4>3473523</vt:i4>
      </vt:variant>
      <vt:variant>
        <vt:i4>54</vt:i4>
      </vt:variant>
      <vt:variant>
        <vt:i4>0</vt:i4>
      </vt:variant>
      <vt:variant>
        <vt:i4>5</vt:i4>
      </vt:variant>
      <vt:variant>
        <vt:lpwstr>http://www.nevo.co.il/case/5590128</vt:lpwstr>
      </vt:variant>
      <vt:variant>
        <vt:lpwstr/>
      </vt:variant>
      <vt:variant>
        <vt:i4>3276915</vt:i4>
      </vt:variant>
      <vt:variant>
        <vt:i4>51</vt:i4>
      </vt:variant>
      <vt:variant>
        <vt:i4>0</vt:i4>
      </vt:variant>
      <vt:variant>
        <vt:i4>5</vt:i4>
      </vt:variant>
      <vt:variant>
        <vt:lpwstr>http://www.nevo.co.il/case/5583619</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4915202</vt:i4>
      </vt:variant>
      <vt:variant>
        <vt:i4>39</vt:i4>
      </vt:variant>
      <vt:variant>
        <vt:i4>0</vt:i4>
      </vt:variant>
      <vt:variant>
        <vt:i4>5</vt:i4>
      </vt:variant>
      <vt:variant>
        <vt:lpwstr>http://www.nevo.co.il/law/70301/40c.a</vt:lpwstr>
      </vt:variant>
      <vt:variant>
        <vt:lpwstr/>
      </vt:variant>
      <vt:variant>
        <vt:i4>3932277</vt:i4>
      </vt:variant>
      <vt:variant>
        <vt:i4>36</vt:i4>
      </vt:variant>
      <vt:variant>
        <vt:i4>0</vt:i4>
      </vt:variant>
      <vt:variant>
        <vt:i4>5</vt:i4>
      </vt:variant>
      <vt:variant>
        <vt:lpwstr>http://www.nevo.co.il/case/24315480</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2025-04-22T21:03:00Z</dcterms:created>
  <dcterms:modified xsi:type="dcterms:W3CDTF">2025-04-22T21:03:00Z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57066</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חאלד עבאס  </vt:lpwstr>
  </property>
  <property fmtid="{D5CDD505-2E9C-101B-9397-08002B2CF9AE}" pid="10" name="JUDGE">
    <vt:lpwstr>רבקה פוקס</vt:lpwstr>
  </property>
  <property fmtid="{D5CDD505-2E9C-101B-9397-08002B2CF9AE}" pid="11" name="CITY">
    <vt:lpwstr>חי'</vt:lpwstr>
  </property>
  <property fmtid="{D5CDD505-2E9C-101B-9397-08002B2CF9AE}" pid="12" name="DATE">
    <vt:lpwstr>20200423</vt:lpwstr>
  </property>
  <property fmtid="{D5CDD505-2E9C-101B-9397-08002B2CF9AE}" pid="13" name="TYPE_N_DATE">
    <vt:lpwstr>39020200423</vt:lpwstr>
  </property>
  <property fmtid="{D5CDD505-2E9C-101B-9397-08002B2CF9AE}" pid="14" name="CASESLISTTMP1">
    <vt:lpwstr>24315480:2;5573417;5698919;5583619;5590128;5727295;20412551;18753213;161892:2;6248011</vt:lpwstr>
  </property>
  <property fmtid="{D5CDD505-2E9C-101B-9397-08002B2CF9AE}" pid="15" name="WORDNUMPAGES">
    <vt:lpwstr>6</vt:lpwstr>
  </property>
  <property fmtid="{D5CDD505-2E9C-101B-9397-08002B2CF9AE}" pid="16" name="TYPE_ABS_DATE">
    <vt:lpwstr>390020200423</vt:lpwstr>
  </property>
  <property fmtid="{D5CDD505-2E9C-101B-9397-08002B2CF9AE}" pid="17" name="LAWYER">
    <vt:lpwstr>דניאל דרוביצקי;ירון ברזילי</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70301/275;244;040c.a</vt:lpwstr>
  </property>
</Properties>
</file>