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E57ED2" w:rsidRPr="003558A3" w14:paraId="16E774EF" w14:textId="77777777" w:rsidTr="00D47A79">
        <w:trPr>
          <w:trHeight w:hRule="exact" w:val="709"/>
          <w:jc w:val="center"/>
        </w:trPr>
        <w:tc>
          <w:tcPr>
            <w:tcW w:w="8721" w:type="dxa"/>
            <w:gridSpan w:val="2"/>
          </w:tcPr>
          <w:p w14:paraId="6EC8F51B" w14:textId="77777777" w:rsidR="00E57ED2" w:rsidRPr="003558A3" w:rsidRDefault="00E57ED2" w:rsidP="00E934D7">
            <w:pPr>
              <w:pStyle w:val="a3"/>
              <w:jc w:val="center"/>
              <w:rPr>
                <w:rFonts w:ascii="Tahoma" w:hAnsi="Tahoma" w:cs="Tahoma"/>
                <w:color w:val="000080"/>
                <w:rtl/>
              </w:rPr>
            </w:pPr>
            <w:bookmarkStart w:id="0" w:name="LastJudge"/>
            <w:r w:rsidRPr="003558A3">
              <w:rPr>
                <w:rFonts w:ascii="Tahoma" w:hAnsi="Tahoma" w:cs="Tahoma"/>
                <w:b/>
                <w:bCs/>
                <w:color w:val="000080"/>
                <w:rtl/>
              </w:rPr>
              <w:t>בית המשפט המחוזי בירושלים</w:t>
            </w:r>
          </w:p>
          <w:p w14:paraId="2E6FED18" w14:textId="77777777" w:rsidR="00E57ED2" w:rsidRPr="003558A3" w:rsidRDefault="00E57ED2" w:rsidP="00E934D7">
            <w:pPr>
              <w:pStyle w:val="a3"/>
              <w:jc w:val="center"/>
              <w:rPr>
                <w:rFonts w:ascii="Tahoma" w:hAnsi="Tahoma" w:cs="Tahoma"/>
                <w:b/>
                <w:bCs/>
                <w:color w:val="000080"/>
                <w:rtl/>
              </w:rPr>
            </w:pPr>
            <w:r w:rsidRPr="003558A3">
              <w:rPr>
                <w:rFonts w:ascii="Tahoma" w:hAnsi="Tahoma" w:cs="Tahoma" w:hint="cs"/>
                <w:b/>
                <w:bCs/>
                <w:color w:val="000080"/>
                <w:rtl/>
              </w:rPr>
              <w:t>לפני כבוד השופט רם וינוגרד</w:t>
            </w:r>
          </w:p>
        </w:tc>
      </w:tr>
      <w:tr w:rsidR="00E57ED2" w:rsidRPr="003558A3" w14:paraId="04911029" w14:textId="77777777" w:rsidTr="00D47A79">
        <w:trPr>
          <w:trHeight w:val="337"/>
          <w:jc w:val="center"/>
        </w:trPr>
        <w:tc>
          <w:tcPr>
            <w:tcW w:w="5055" w:type="dxa"/>
          </w:tcPr>
          <w:p w14:paraId="487DA5AD" w14:textId="77777777" w:rsidR="00E57ED2" w:rsidRPr="003558A3" w:rsidRDefault="00E57ED2" w:rsidP="00E934D7">
            <w:pPr>
              <w:rPr>
                <w:rFonts w:ascii="David" w:hAnsi="David"/>
                <w:b/>
                <w:bCs/>
                <w:sz w:val="28"/>
                <w:szCs w:val="28"/>
                <w:rtl/>
              </w:rPr>
            </w:pPr>
            <w:r w:rsidRPr="003558A3">
              <w:rPr>
                <w:rFonts w:ascii="David" w:hAnsi="David"/>
                <w:sz w:val="26"/>
                <w:szCs w:val="26"/>
                <w:rtl/>
              </w:rPr>
              <w:t xml:space="preserve">ת"פ 19469-12-19 </w:t>
            </w:r>
            <w:r w:rsidRPr="003558A3">
              <w:rPr>
                <w:rFonts w:ascii="David" w:hAnsi="David"/>
                <w:b/>
                <w:bCs/>
                <w:sz w:val="26"/>
                <w:szCs w:val="26"/>
                <w:rtl/>
              </w:rPr>
              <w:t xml:space="preserve">מדינת ישראל נ' מסוודא </w:t>
            </w:r>
          </w:p>
        </w:tc>
        <w:tc>
          <w:tcPr>
            <w:tcW w:w="3666" w:type="dxa"/>
          </w:tcPr>
          <w:p w14:paraId="1749C82C" w14:textId="77777777" w:rsidR="00E57ED2" w:rsidRPr="003558A3" w:rsidRDefault="00E57ED2" w:rsidP="00E934D7">
            <w:pPr>
              <w:pStyle w:val="a3"/>
              <w:jc w:val="right"/>
              <w:rPr>
                <w:rFonts w:cs="FrankRuehl"/>
                <w:sz w:val="28"/>
                <w:szCs w:val="28"/>
                <w:rtl/>
              </w:rPr>
            </w:pPr>
          </w:p>
        </w:tc>
      </w:tr>
    </w:tbl>
    <w:p w14:paraId="4C25B602" w14:textId="77777777" w:rsidR="00E57ED2" w:rsidRPr="003558A3" w:rsidRDefault="00E57ED2" w:rsidP="00E57ED2">
      <w:pPr>
        <w:pStyle w:val="a3"/>
        <w:rPr>
          <w:rtl/>
        </w:rPr>
      </w:pPr>
      <w:r w:rsidRPr="003558A3">
        <w:rPr>
          <w:rFonts w:hint="cs"/>
          <w:rtl/>
        </w:rPr>
        <w:t xml:space="preserve"> </w:t>
      </w:r>
    </w:p>
    <w:p w14:paraId="5DC43EA5" w14:textId="77777777" w:rsidR="00E57ED2" w:rsidRPr="003558A3" w:rsidRDefault="00E57ED2" w:rsidP="00E57ED2">
      <w:pPr>
        <w:rPr>
          <w:sz w:val="26"/>
          <w:szCs w:val="26"/>
          <w:rtl/>
        </w:rPr>
      </w:pPr>
    </w:p>
    <w:p w14:paraId="4CA42A90" w14:textId="77777777" w:rsidR="00E57ED2" w:rsidRPr="003558A3" w:rsidRDefault="00E57ED2" w:rsidP="00E57ED2">
      <w:pPr>
        <w:rPr>
          <w:sz w:val="26"/>
          <w:szCs w:val="26"/>
          <w:rtl/>
        </w:rPr>
      </w:pPr>
    </w:p>
    <w:tbl>
      <w:tblPr>
        <w:bidiVisual/>
        <w:tblW w:w="96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1"/>
        <w:gridCol w:w="5520"/>
        <w:gridCol w:w="2121"/>
      </w:tblGrid>
      <w:tr w:rsidR="00E57ED2" w:rsidRPr="003558A3" w14:paraId="7BA13E33" w14:textId="77777777" w:rsidTr="00E57ED2">
        <w:trPr>
          <w:trHeight w:val="355"/>
          <w:jc w:val="center"/>
        </w:trPr>
        <w:tc>
          <w:tcPr>
            <w:tcW w:w="2011" w:type="dxa"/>
            <w:tcBorders>
              <w:top w:val="nil"/>
              <w:left w:val="nil"/>
              <w:bottom w:val="nil"/>
              <w:right w:val="nil"/>
            </w:tcBorders>
            <w:shd w:val="clear" w:color="auto" w:fill="auto"/>
          </w:tcPr>
          <w:p w14:paraId="5101C25C" w14:textId="77777777" w:rsidR="00E57ED2" w:rsidRPr="003558A3" w:rsidRDefault="00E57ED2" w:rsidP="00E57ED2">
            <w:pPr>
              <w:jc w:val="both"/>
              <w:rPr>
                <w:rFonts w:ascii="David" w:hAnsi="David"/>
                <w:b/>
                <w:bCs/>
                <w:sz w:val="28"/>
                <w:szCs w:val="28"/>
              </w:rPr>
            </w:pPr>
            <w:bookmarkStart w:id="1" w:name="FirstAppellant"/>
            <w:bookmarkStart w:id="2" w:name="FirstLawyer"/>
            <w:r w:rsidRPr="003558A3">
              <w:rPr>
                <w:rFonts w:ascii="David" w:hAnsi="David"/>
                <w:b/>
                <w:bCs/>
                <w:sz w:val="28"/>
                <w:szCs w:val="28"/>
                <w:rtl/>
              </w:rPr>
              <w:t>בעניין:</w:t>
            </w:r>
          </w:p>
        </w:tc>
        <w:tc>
          <w:tcPr>
            <w:tcW w:w="5520" w:type="dxa"/>
            <w:tcBorders>
              <w:top w:val="nil"/>
              <w:left w:val="nil"/>
              <w:bottom w:val="nil"/>
              <w:right w:val="nil"/>
            </w:tcBorders>
            <w:shd w:val="clear" w:color="auto" w:fill="auto"/>
          </w:tcPr>
          <w:p w14:paraId="4B8A1A6A" w14:textId="77777777" w:rsidR="00E57ED2" w:rsidRPr="003558A3" w:rsidRDefault="00E57ED2" w:rsidP="00E57ED2">
            <w:pPr>
              <w:spacing w:line="360" w:lineRule="auto"/>
              <w:rPr>
                <w:rFonts w:ascii="David" w:hAnsi="David"/>
                <w:b/>
                <w:bCs/>
                <w:sz w:val="28"/>
                <w:szCs w:val="28"/>
                <w:rtl/>
              </w:rPr>
            </w:pPr>
            <w:r w:rsidRPr="003558A3">
              <w:rPr>
                <w:rFonts w:ascii="David" w:hAnsi="David"/>
                <w:b/>
                <w:bCs/>
                <w:sz w:val="28"/>
                <w:szCs w:val="28"/>
                <w:rtl/>
              </w:rPr>
              <w:t>מדינת ישראל</w:t>
            </w:r>
          </w:p>
          <w:p w14:paraId="0C2429EE" w14:textId="77777777" w:rsidR="00E57ED2" w:rsidRPr="003558A3" w:rsidRDefault="00E57ED2" w:rsidP="00E57ED2">
            <w:pPr>
              <w:spacing w:line="360" w:lineRule="auto"/>
              <w:rPr>
                <w:rFonts w:ascii="David" w:hAnsi="David"/>
                <w:sz w:val="28"/>
                <w:szCs w:val="28"/>
              </w:rPr>
            </w:pPr>
            <w:r w:rsidRPr="003558A3">
              <w:rPr>
                <w:rFonts w:ascii="David" w:hAnsi="David" w:hint="cs"/>
                <w:sz w:val="28"/>
                <w:szCs w:val="28"/>
                <w:rtl/>
              </w:rPr>
              <w:t>ע"י ב"כ עו"ד דנה חביליו (פרקליטות מחוז ירושלים)</w:t>
            </w:r>
          </w:p>
        </w:tc>
        <w:tc>
          <w:tcPr>
            <w:tcW w:w="2121" w:type="dxa"/>
            <w:tcBorders>
              <w:top w:val="nil"/>
              <w:left w:val="nil"/>
              <w:bottom w:val="nil"/>
              <w:right w:val="nil"/>
            </w:tcBorders>
            <w:shd w:val="clear" w:color="auto" w:fill="auto"/>
          </w:tcPr>
          <w:p w14:paraId="626945A2" w14:textId="77777777" w:rsidR="00E57ED2" w:rsidRPr="003558A3" w:rsidRDefault="00E57ED2" w:rsidP="00E57ED2">
            <w:pPr>
              <w:jc w:val="both"/>
              <w:rPr>
                <w:rFonts w:ascii="David" w:hAnsi="David"/>
                <w:b/>
                <w:bCs/>
                <w:sz w:val="28"/>
                <w:szCs w:val="28"/>
              </w:rPr>
            </w:pPr>
          </w:p>
        </w:tc>
      </w:tr>
      <w:bookmarkEnd w:id="1"/>
      <w:bookmarkEnd w:id="2"/>
      <w:tr w:rsidR="00E57ED2" w:rsidRPr="003558A3" w14:paraId="51C1DF96" w14:textId="77777777" w:rsidTr="00E57ED2">
        <w:trPr>
          <w:trHeight w:val="355"/>
          <w:jc w:val="center"/>
        </w:trPr>
        <w:tc>
          <w:tcPr>
            <w:tcW w:w="2011" w:type="dxa"/>
            <w:tcBorders>
              <w:top w:val="nil"/>
              <w:left w:val="nil"/>
              <w:bottom w:val="nil"/>
              <w:right w:val="nil"/>
            </w:tcBorders>
            <w:shd w:val="clear" w:color="auto" w:fill="auto"/>
          </w:tcPr>
          <w:p w14:paraId="73DC2F5F" w14:textId="77777777" w:rsidR="00E57ED2" w:rsidRPr="003558A3" w:rsidRDefault="00E57ED2" w:rsidP="00E57ED2">
            <w:pPr>
              <w:jc w:val="both"/>
              <w:rPr>
                <w:rFonts w:ascii="David" w:hAnsi="David"/>
                <w:b/>
                <w:bCs/>
                <w:sz w:val="28"/>
                <w:szCs w:val="28"/>
                <w:rtl/>
              </w:rPr>
            </w:pPr>
          </w:p>
        </w:tc>
        <w:tc>
          <w:tcPr>
            <w:tcW w:w="5520" w:type="dxa"/>
            <w:tcBorders>
              <w:top w:val="nil"/>
              <w:left w:val="nil"/>
              <w:bottom w:val="nil"/>
              <w:right w:val="nil"/>
            </w:tcBorders>
            <w:shd w:val="clear" w:color="auto" w:fill="auto"/>
          </w:tcPr>
          <w:p w14:paraId="611251A9" w14:textId="77777777" w:rsidR="00E57ED2" w:rsidRPr="003558A3" w:rsidRDefault="00E57ED2" w:rsidP="00E57ED2">
            <w:pPr>
              <w:jc w:val="both"/>
              <w:rPr>
                <w:rFonts w:ascii="David" w:hAnsi="David"/>
                <w:b/>
                <w:bCs/>
                <w:sz w:val="28"/>
                <w:szCs w:val="28"/>
                <w:rtl/>
              </w:rPr>
            </w:pPr>
          </w:p>
        </w:tc>
        <w:tc>
          <w:tcPr>
            <w:tcW w:w="2121" w:type="dxa"/>
            <w:tcBorders>
              <w:top w:val="nil"/>
              <w:left w:val="nil"/>
              <w:bottom w:val="nil"/>
              <w:right w:val="nil"/>
            </w:tcBorders>
            <w:shd w:val="clear" w:color="auto" w:fill="auto"/>
          </w:tcPr>
          <w:p w14:paraId="16D3ADDE" w14:textId="77777777" w:rsidR="00E57ED2" w:rsidRPr="003558A3" w:rsidRDefault="00E57ED2" w:rsidP="00E934D7">
            <w:pPr>
              <w:rPr>
                <w:rFonts w:ascii="David" w:hAnsi="David"/>
                <w:b/>
                <w:bCs/>
                <w:sz w:val="28"/>
                <w:szCs w:val="28"/>
                <w:rtl/>
              </w:rPr>
            </w:pPr>
            <w:r w:rsidRPr="003558A3">
              <w:rPr>
                <w:rFonts w:ascii="David" w:hAnsi="David"/>
                <w:b/>
                <w:bCs/>
                <w:sz w:val="28"/>
                <w:szCs w:val="28"/>
                <w:rtl/>
              </w:rPr>
              <w:t>המאשימה</w:t>
            </w:r>
          </w:p>
        </w:tc>
      </w:tr>
      <w:tr w:rsidR="00E57ED2" w:rsidRPr="003558A3" w14:paraId="3C368093" w14:textId="77777777" w:rsidTr="00E57ED2">
        <w:trPr>
          <w:trHeight w:val="355"/>
          <w:jc w:val="center"/>
        </w:trPr>
        <w:tc>
          <w:tcPr>
            <w:tcW w:w="2011" w:type="dxa"/>
            <w:tcBorders>
              <w:top w:val="nil"/>
              <w:left w:val="nil"/>
              <w:bottom w:val="nil"/>
              <w:right w:val="nil"/>
            </w:tcBorders>
            <w:shd w:val="clear" w:color="auto" w:fill="auto"/>
          </w:tcPr>
          <w:p w14:paraId="15AB5157" w14:textId="77777777" w:rsidR="00E57ED2" w:rsidRPr="003558A3" w:rsidRDefault="00E57ED2" w:rsidP="00E57ED2">
            <w:pPr>
              <w:jc w:val="both"/>
              <w:rPr>
                <w:rFonts w:ascii="David" w:hAnsi="David"/>
                <w:b/>
                <w:bCs/>
                <w:sz w:val="28"/>
                <w:szCs w:val="28"/>
                <w:rtl/>
              </w:rPr>
            </w:pPr>
          </w:p>
        </w:tc>
        <w:tc>
          <w:tcPr>
            <w:tcW w:w="7638" w:type="dxa"/>
            <w:gridSpan w:val="2"/>
            <w:tcBorders>
              <w:top w:val="nil"/>
              <w:left w:val="nil"/>
              <w:bottom w:val="nil"/>
              <w:right w:val="nil"/>
            </w:tcBorders>
            <w:shd w:val="clear" w:color="auto" w:fill="auto"/>
          </w:tcPr>
          <w:p w14:paraId="685C33E5" w14:textId="77777777" w:rsidR="00E57ED2" w:rsidRPr="003558A3" w:rsidRDefault="00E57ED2" w:rsidP="00E57ED2">
            <w:pPr>
              <w:jc w:val="center"/>
              <w:rPr>
                <w:rFonts w:ascii="David" w:hAnsi="David"/>
                <w:b/>
                <w:bCs/>
                <w:sz w:val="28"/>
                <w:szCs w:val="28"/>
                <w:rtl/>
              </w:rPr>
            </w:pPr>
          </w:p>
          <w:p w14:paraId="343FC85C" w14:textId="77777777" w:rsidR="00E57ED2" w:rsidRPr="003558A3" w:rsidRDefault="00E57ED2" w:rsidP="00E934D7">
            <w:pPr>
              <w:rPr>
                <w:rFonts w:ascii="David" w:hAnsi="David"/>
                <w:b/>
                <w:bCs/>
                <w:sz w:val="28"/>
                <w:szCs w:val="28"/>
                <w:rtl/>
              </w:rPr>
            </w:pPr>
            <w:r w:rsidRPr="003558A3">
              <w:rPr>
                <w:rFonts w:ascii="David" w:hAnsi="David" w:hint="cs"/>
                <w:b/>
                <w:bCs/>
                <w:sz w:val="28"/>
                <w:szCs w:val="28"/>
                <w:rtl/>
              </w:rPr>
              <w:t xml:space="preserve">             </w:t>
            </w:r>
            <w:r w:rsidRPr="003558A3">
              <w:rPr>
                <w:rFonts w:ascii="David" w:hAnsi="David"/>
                <w:b/>
                <w:bCs/>
                <w:sz w:val="28"/>
                <w:szCs w:val="28"/>
                <w:rtl/>
              </w:rPr>
              <w:t>נגד</w:t>
            </w:r>
          </w:p>
          <w:p w14:paraId="0DF6480B" w14:textId="77777777" w:rsidR="00E57ED2" w:rsidRPr="003558A3" w:rsidRDefault="00E57ED2" w:rsidP="00E57ED2">
            <w:pPr>
              <w:jc w:val="both"/>
              <w:rPr>
                <w:rFonts w:ascii="David" w:hAnsi="David"/>
                <w:b/>
                <w:bCs/>
                <w:sz w:val="28"/>
                <w:szCs w:val="28"/>
              </w:rPr>
            </w:pPr>
          </w:p>
        </w:tc>
      </w:tr>
      <w:tr w:rsidR="00E57ED2" w:rsidRPr="003558A3" w14:paraId="77598B25" w14:textId="77777777" w:rsidTr="00E57ED2">
        <w:trPr>
          <w:trHeight w:val="355"/>
          <w:jc w:val="center"/>
        </w:trPr>
        <w:tc>
          <w:tcPr>
            <w:tcW w:w="2011" w:type="dxa"/>
            <w:tcBorders>
              <w:top w:val="nil"/>
              <w:left w:val="nil"/>
              <w:bottom w:val="nil"/>
              <w:right w:val="nil"/>
            </w:tcBorders>
            <w:shd w:val="clear" w:color="auto" w:fill="auto"/>
          </w:tcPr>
          <w:p w14:paraId="11EF522F" w14:textId="77777777" w:rsidR="00E57ED2" w:rsidRPr="003558A3" w:rsidRDefault="00E57ED2" w:rsidP="00E934D7">
            <w:pPr>
              <w:rPr>
                <w:rFonts w:ascii="David" w:hAnsi="David"/>
                <w:b/>
                <w:bCs/>
                <w:sz w:val="28"/>
                <w:szCs w:val="28"/>
                <w:rtl/>
              </w:rPr>
            </w:pPr>
          </w:p>
        </w:tc>
        <w:tc>
          <w:tcPr>
            <w:tcW w:w="5520" w:type="dxa"/>
            <w:tcBorders>
              <w:top w:val="nil"/>
              <w:left w:val="nil"/>
              <w:bottom w:val="nil"/>
              <w:right w:val="nil"/>
            </w:tcBorders>
            <w:shd w:val="clear" w:color="auto" w:fill="auto"/>
          </w:tcPr>
          <w:p w14:paraId="25309331" w14:textId="77777777" w:rsidR="00E57ED2" w:rsidRPr="003558A3" w:rsidRDefault="00E57ED2" w:rsidP="00E57ED2">
            <w:pPr>
              <w:spacing w:line="360" w:lineRule="auto"/>
              <w:rPr>
                <w:rFonts w:ascii="David" w:hAnsi="David"/>
                <w:b/>
                <w:bCs/>
                <w:sz w:val="28"/>
                <w:szCs w:val="28"/>
                <w:rtl/>
              </w:rPr>
            </w:pPr>
            <w:r w:rsidRPr="003558A3">
              <w:rPr>
                <w:rFonts w:ascii="David" w:hAnsi="David"/>
                <w:b/>
                <w:bCs/>
                <w:sz w:val="28"/>
                <w:szCs w:val="28"/>
                <w:rtl/>
              </w:rPr>
              <w:t>עבדאללטיף מסוודא</w:t>
            </w:r>
          </w:p>
          <w:p w14:paraId="538B8888" w14:textId="77777777" w:rsidR="00E57ED2" w:rsidRPr="003558A3" w:rsidRDefault="00E57ED2" w:rsidP="00E57ED2">
            <w:pPr>
              <w:spacing w:line="360" w:lineRule="auto"/>
              <w:rPr>
                <w:rFonts w:ascii="David" w:hAnsi="David"/>
                <w:sz w:val="28"/>
                <w:szCs w:val="28"/>
                <w:rtl/>
              </w:rPr>
            </w:pPr>
            <w:r w:rsidRPr="003558A3">
              <w:rPr>
                <w:rFonts w:ascii="David" w:hAnsi="David" w:hint="cs"/>
                <w:sz w:val="28"/>
                <w:szCs w:val="28"/>
                <w:rtl/>
              </w:rPr>
              <w:t xml:space="preserve">ע"י ב"כ עו"ד נאיל זחאלקה (הסנגוריה הציבורית) </w:t>
            </w:r>
          </w:p>
        </w:tc>
        <w:tc>
          <w:tcPr>
            <w:tcW w:w="2121" w:type="dxa"/>
            <w:tcBorders>
              <w:top w:val="nil"/>
              <w:left w:val="nil"/>
              <w:bottom w:val="nil"/>
              <w:right w:val="nil"/>
            </w:tcBorders>
            <w:shd w:val="clear" w:color="auto" w:fill="auto"/>
          </w:tcPr>
          <w:p w14:paraId="2B01990E" w14:textId="77777777" w:rsidR="00E57ED2" w:rsidRPr="003558A3" w:rsidRDefault="00E57ED2" w:rsidP="00E57ED2">
            <w:pPr>
              <w:jc w:val="right"/>
              <w:rPr>
                <w:rFonts w:ascii="David" w:hAnsi="David"/>
                <w:b/>
                <w:bCs/>
                <w:sz w:val="28"/>
                <w:szCs w:val="28"/>
              </w:rPr>
            </w:pPr>
          </w:p>
        </w:tc>
      </w:tr>
      <w:tr w:rsidR="00E57ED2" w:rsidRPr="003558A3" w14:paraId="4D8738F1" w14:textId="77777777" w:rsidTr="00E57ED2">
        <w:trPr>
          <w:trHeight w:val="355"/>
          <w:jc w:val="center"/>
        </w:trPr>
        <w:tc>
          <w:tcPr>
            <w:tcW w:w="2011" w:type="dxa"/>
            <w:tcBorders>
              <w:top w:val="nil"/>
              <w:left w:val="nil"/>
              <w:bottom w:val="nil"/>
              <w:right w:val="nil"/>
            </w:tcBorders>
            <w:shd w:val="clear" w:color="auto" w:fill="auto"/>
          </w:tcPr>
          <w:p w14:paraId="413BFB35" w14:textId="77777777" w:rsidR="00E57ED2" w:rsidRPr="003558A3" w:rsidRDefault="00E57ED2" w:rsidP="00E57ED2">
            <w:pPr>
              <w:jc w:val="both"/>
              <w:rPr>
                <w:rFonts w:ascii="David" w:hAnsi="David"/>
                <w:b/>
                <w:bCs/>
                <w:sz w:val="28"/>
                <w:szCs w:val="28"/>
                <w:rtl/>
              </w:rPr>
            </w:pPr>
          </w:p>
        </w:tc>
        <w:tc>
          <w:tcPr>
            <w:tcW w:w="5520" w:type="dxa"/>
            <w:tcBorders>
              <w:top w:val="nil"/>
              <w:left w:val="nil"/>
              <w:bottom w:val="nil"/>
              <w:right w:val="nil"/>
            </w:tcBorders>
            <w:shd w:val="clear" w:color="auto" w:fill="auto"/>
          </w:tcPr>
          <w:p w14:paraId="35210855" w14:textId="77777777" w:rsidR="00E57ED2" w:rsidRPr="003558A3" w:rsidRDefault="00E57ED2" w:rsidP="00E57ED2">
            <w:pPr>
              <w:jc w:val="both"/>
              <w:rPr>
                <w:rFonts w:ascii="David" w:hAnsi="David"/>
                <w:b/>
                <w:bCs/>
                <w:sz w:val="28"/>
                <w:szCs w:val="28"/>
                <w:rtl/>
              </w:rPr>
            </w:pPr>
          </w:p>
        </w:tc>
        <w:tc>
          <w:tcPr>
            <w:tcW w:w="2121" w:type="dxa"/>
            <w:tcBorders>
              <w:top w:val="nil"/>
              <w:left w:val="nil"/>
              <w:bottom w:val="nil"/>
              <w:right w:val="nil"/>
            </w:tcBorders>
            <w:shd w:val="clear" w:color="auto" w:fill="auto"/>
          </w:tcPr>
          <w:p w14:paraId="4F4963D1" w14:textId="77777777" w:rsidR="00E57ED2" w:rsidRPr="003558A3" w:rsidRDefault="00E57ED2" w:rsidP="00E934D7">
            <w:pPr>
              <w:rPr>
                <w:rFonts w:ascii="David" w:hAnsi="David"/>
                <w:b/>
                <w:bCs/>
                <w:sz w:val="28"/>
                <w:szCs w:val="28"/>
              </w:rPr>
            </w:pPr>
            <w:r w:rsidRPr="003558A3">
              <w:rPr>
                <w:rFonts w:ascii="David" w:hAnsi="David"/>
                <w:b/>
                <w:bCs/>
                <w:sz w:val="28"/>
                <w:szCs w:val="28"/>
                <w:rtl/>
              </w:rPr>
              <w:t>הנאשם</w:t>
            </w:r>
          </w:p>
        </w:tc>
      </w:tr>
    </w:tbl>
    <w:p w14:paraId="57A06498" w14:textId="77777777" w:rsidR="00E57ED2" w:rsidRPr="003558A3" w:rsidRDefault="00E57ED2" w:rsidP="00E57ED2">
      <w:pPr>
        <w:rPr>
          <w:sz w:val="26"/>
          <w:szCs w:val="26"/>
        </w:rPr>
      </w:pPr>
    </w:p>
    <w:p w14:paraId="3F3FFC67" w14:textId="77777777" w:rsidR="00EA2E0C" w:rsidRDefault="00EA2E0C" w:rsidP="00EA2E0C">
      <w:pPr>
        <w:rPr>
          <w:rFonts w:ascii="David" w:hAnsi="David"/>
          <w:sz w:val="26"/>
          <w:szCs w:val="26"/>
          <w:rtl/>
        </w:rPr>
      </w:pPr>
      <w:bookmarkStart w:id="3" w:name="LawTable"/>
      <w:bookmarkEnd w:id="3"/>
    </w:p>
    <w:p w14:paraId="14C2C573" w14:textId="77777777" w:rsidR="00EA2E0C" w:rsidRPr="00EA2E0C" w:rsidRDefault="00EA2E0C" w:rsidP="00EA2E0C">
      <w:pPr>
        <w:spacing w:before="120" w:after="120" w:line="240" w:lineRule="exact"/>
        <w:ind w:left="283" w:hanging="283"/>
        <w:jc w:val="both"/>
        <w:rPr>
          <w:rFonts w:ascii="FrankRuehl" w:hAnsi="FrankRuehl" w:cs="FrankRuehl"/>
          <w:rtl/>
        </w:rPr>
      </w:pPr>
    </w:p>
    <w:p w14:paraId="0F1D91F1" w14:textId="77777777" w:rsidR="00EA2E0C" w:rsidRPr="00EA2E0C" w:rsidRDefault="00EA2E0C" w:rsidP="00EA2E0C">
      <w:pPr>
        <w:spacing w:before="120" w:after="120" w:line="240" w:lineRule="exact"/>
        <w:ind w:left="283" w:hanging="283"/>
        <w:jc w:val="both"/>
        <w:rPr>
          <w:rFonts w:ascii="FrankRuehl" w:hAnsi="FrankRuehl" w:cs="FrankRuehl"/>
          <w:rtl/>
        </w:rPr>
      </w:pPr>
    </w:p>
    <w:p w14:paraId="7C7470C3" w14:textId="77777777" w:rsidR="00EA2E0C" w:rsidRPr="00EA2E0C" w:rsidRDefault="00EA2E0C" w:rsidP="00EA2E0C">
      <w:pPr>
        <w:spacing w:before="120" w:after="120" w:line="240" w:lineRule="exact"/>
        <w:ind w:left="283" w:hanging="283"/>
        <w:jc w:val="both"/>
        <w:rPr>
          <w:rFonts w:ascii="FrankRuehl" w:hAnsi="FrankRuehl" w:cs="FrankRuehl"/>
          <w:rtl/>
        </w:rPr>
      </w:pPr>
      <w:r w:rsidRPr="00EA2E0C">
        <w:rPr>
          <w:rFonts w:ascii="FrankRuehl" w:hAnsi="FrankRuehl" w:cs="FrankRuehl"/>
          <w:rtl/>
        </w:rPr>
        <w:t xml:space="preserve">חקיקה שאוזכרה: </w:t>
      </w:r>
    </w:p>
    <w:p w14:paraId="1A16DB1C" w14:textId="77777777" w:rsidR="00EA2E0C" w:rsidRPr="00EA2E0C" w:rsidRDefault="00EA2E0C" w:rsidP="00EA2E0C">
      <w:pPr>
        <w:spacing w:before="120" w:after="120" w:line="240" w:lineRule="exact"/>
        <w:ind w:left="283" w:hanging="283"/>
        <w:jc w:val="both"/>
        <w:rPr>
          <w:rFonts w:ascii="FrankRuehl" w:hAnsi="FrankRuehl" w:cs="FrankRuehl"/>
          <w:rtl/>
        </w:rPr>
      </w:pPr>
      <w:hyperlink r:id="rId7" w:history="1">
        <w:r w:rsidRPr="00EA2E0C">
          <w:rPr>
            <w:rFonts w:ascii="FrankRuehl" w:hAnsi="FrankRuehl" w:cs="FrankRuehl"/>
            <w:color w:val="0000FF"/>
            <w:rtl/>
          </w:rPr>
          <w:t>פקודת הסמים המסוכנים [נוסח חדש], תשל"ג-1973</w:t>
        </w:r>
      </w:hyperlink>
      <w:r w:rsidRPr="00EA2E0C">
        <w:rPr>
          <w:rFonts w:ascii="FrankRuehl" w:hAnsi="FrankRuehl" w:cs="FrankRuehl"/>
          <w:rtl/>
        </w:rPr>
        <w:t xml:space="preserve">: סע'  </w:t>
      </w:r>
      <w:hyperlink r:id="rId8" w:history="1">
        <w:r w:rsidRPr="00EA2E0C">
          <w:rPr>
            <w:rFonts w:ascii="FrankRuehl" w:hAnsi="FrankRuehl" w:cs="FrankRuehl"/>
            <w:color w:val="0000FF"/>
            <w:rtl/>
          </w:rPr>
          <w:t>13</w:t>
        </w:r>
      </w:hyperlink>
      <w:r w:rsidRPr="00EA2E0C">
        <w:rPr>
          <w:rFonts w:ascii="FrankRuehl" w:hAnsi="FrankRuehl" w:cs="FrankRuehl"/>
          <w:rtl/>
        </w:rPr>
        <w:t xml:space="preserve">, </w:t>
      </w:r>
      <w:hyperlink r:id="rId9" w:history="1">
        <w:r w:rsidRPr="00EA2E0C">
          <w:rPr>
            <w:rFonts w:ascii="FrankRuehl" w:hAnsi="FrankRuehl" w:cs="FrankRuehl"/>
            <w:color w:val="0000FF"/>
            <w:rtl/>
          </w:rPr>
          <w:t>14</w:t>
        </w:r>
      </w:hyperlink>
      <w:r w:rsidRPr="00EA2E0C">
        <w:rPr>
          <w:rFonts w:ascii="FrankRuehl" w:hAnsi="FrankRuehl" w:cs="FrankRuehl"/>
          <w:rtl/>
        </w:rPr>
        <w:t xml:space="preserve">, </w:t>
      </w:r>
      <w:hyperlink r:id="rId10" w:history="1">
        <w:r w:rsidRPr="00EA2E0C">
          <w:rPr>
            <w:rFonts w:ascii="FrankRuehl" w:hAnsi="FrankRuehl" w:cs="FrankRuehl"/>
            <w:color w:val="0000FF"/>
            <w:rtl/>
          </w:rPr>
          <w:t>19א</w:t>
        </w:r>
      </w:hyperlink>
    </w:p>
    <w:p w14:paraId="79E074CB" w14:textId="77777777" w:rsidR="00EA2E0C" w:rsidRPr="00EA2E0C" w:rsidRDefault="00EA2E0C" w:rsidP="00EA2E0C">
      <w:pPr>
        <w:spacing w:before="120" w:after="120" w:line="240" w:lineRule="exact"/>
        <w:ind w:left="283" w:hanging="283"/>
        <w:jc w:val="both"/>
        <w:rPr>
          <w:rFonts w:ascii="FrankRuehl" w:hAnsi="FrankRuehl" w:cs="FrankRuehl"/>
          <w:rtl/>
        </w:rPr>
      </w:pPr>
      <w:hyperlink r:id="rId11" w:history="1">
        <w:r w:rsidRPr="00EA2E0C">
          <w:rPr>
            <w:rFonts w:ascii="FrankRuehl" w:hAnsi="FrankRuehl" w:cs="FrankRuehl"/>
            <w:color w:val="0000FF"/>
            <w:rtl/>
          </w:rPr>
          <w:t>חוק העונשין, תשל"ז-1977</w:t>
        </w:r>
      </w:hyperlink>
      <w:r w:rsidRPr="00EA2E0C">
        <w:rPr>
          <w:rFonts w:ascii="FrankRuehl" w:hAnsi="FrankRuehl" w:cs="FrankRuehl"/>
          <w:rtl/>
        </w:rPr>
        <w:t xml:space="preserve">: סע'  </w:t>
      </w:r>
      <w:hyperlink r:id="rId12" w:history="1">
        <w:r w:rsidRPr="00EA2E0C">
          <w:rPr>
            <w:rFonts w:ascii="FrankRuehl" w:hAnsi="FrankRuehl" w:cs="FrankRuehl"/>
            <w:color w:val="0000FF"/>
            <w:rtl/>
          </w:rPr>
          <w:t>40ב</w:t>
        </w:r>
      </w:hyperlink>
      <w:r w:rsidRPr="00EA2E0C">
        <w:rPr>
          <w:rFonts w:ascii="FrankRuehl" w:hAnsi="FrankRuehl" w:cs="FrankRuehl"/>
          <w:rtl/>
        </w:rPr>
        <w:t xml:space="preserve">, </w:t>
      </w:r>
      <w:hyperlink r:id="rId13" w:history="1">
        <w:r w:rsidRPr="00EA2E0C">
          <w:rPr>
            <w:rFonts w:ascii="FrankRuehl" w:hAnsi="FrankRuehl" w:cs="FrankRuehl"/>
            <w:color w:val="0000FF"/>
            <w:rtl/>
          </w:rPr>
          <w:t>40ג(א)</w:t>
        </w:r>
      </w:hyperlink>
      <w:r w:rsidRPr="00EA2E0C">
        <w:rPr>
          <w:rFonts w:ascii="FrankRuehl" w:hAnsi="FrankRuehl" w:cs="FrankRuehl"/>
          <w:rtl/>
        </w:rPr>
        <w:t xml:space="preserve">, </w:t>
      </w:r>
      <w:hyperlink r:id="rId14" w:history="1">
        <w:r w:rsidRPr="00EA2E0C">
          <w:rPr>
            <w:rFonts w:ascii="FrankRuehl" w:hAnsi="FrankRuehl" w:cs="FrankRuehl"/>
            <w:color w:val="0000FF"/>
            <w:rtl/>
          </w:rPr>
          <w:t>40ח</w:t>
        </w:r>
      </w:hyperlink>
    </w:p>
    <w:p w14:paraId="32ED95B8" w14:textId="77777777" w:rsidR="00EA2E0C" w:rsidRPr="00EA2E0C" w:rsidRDefault="00EA2E0C" w:rsidP="00EA2E0C">
      <w:pPr>
        <w:rPr>
          <w:rFonts w:ascii="David" w:hAnsi="David"/>
          <w:sz w:val="26"/>
          <w:szCs w:val="26"/>
          <w:rtl/>
        </w:rPr>
      </w:pPr>
      <w:bookmarkStart w:id="4" w:name="LawTable_End"/>
      <w:bookmarkEnd w:id="4"/>
    </w:p>
    <w:p w14:paraId="5F9584FD" w14:textId="77777777" w:rsidR="00E57ED2" w:rsidRPr="00D47A79" w:rsidRDefault="00E57ED2" w:rsidP="00D47A79">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57ED2" w14:paraId="07726080" w14:textId="77777777" w:rsidTr="00E57ED2">
        <w:trPr>
          <w:trHeight w:val="355"/>
          <w:jc w:val="center"/>
        </w:trPr>
        <w:tc>
          <w:tcPr>
            <w:tcW w:w="8820" w:type="dxa"/>
            <w:tcBorders>
              <w:top w:val="nil"/>
              <w:left w:val="nil"/>
              <w:bottom w:val="nil"/>
              <w:right w:val="nil"/>
            </w:tcBorders>
            <w:shd w:val="clear" w:color="auto" w:fill="auto"/>
          </w:tcPr>
          <w:p w14:paraId="061BD340" w14:textId="77777777" w:rsidR="003558A3" w:rsidRPr="003558A3" w:rsidRDefault="003558A3" w:rsidP="003558A3">
            <w:pPr>
              <w:jc w:val="center"/>
              <w:rPr>
                <w:rFonts w:ascii="David" w:hAnsi="David"/>
                <w:b/>
                <w:bCs/>
                <w:sz w:val="36"/>
                <w:szCs w:val="36"/>
                <w:u w:val="single"/>
                <w:rtl/>
              </w:rPr>
            </w:pPr>
            <w:bookmarkStart w:id="5" w:name="PsakDin" w:colFirst="0" w:colLast="0"/>
            <w:bookmarkEnd w:id="0"/>
            <w:r w:rsidRPr="003558A3">
              <w:rPr>
                <w:rFonts w:ascii="David" w:hAnsi="David"/>
                <w:b/>
                <w:bCs/>
                <w:sz w:val="36"/>
                <w:szCs w:val="36"/>
                <w:u w:val="single"/>
                <w:rtl/>
              </w:rPr>
              <w:t>גזר-דין</w:t>
            </w:r>
          </w:p>
          <w:p w14:paraId="748402F5" w14:textId="77777777" w:rsidR="00E57ED2" w:rsidRPr="003558A3" w:rsidRDefault="00E57ED2" w:rsidP="003558A3">
            <w:pPr>
              <w:jc w:val="center"/>
              <w:rPr>
                <w:rFonts w:ascii="David" w:hAnsi="David"/>
                <w:bCs/>
                <w:sz w:val="36"/>
                <w:szCs w:val="36"/>
                <w:u w:val="single"/>
                <w:rtl/>
              </w:rPr>
            </w:pPr>
          </w:p>
        </w:tc>
      </w:tr>
      <w:bookmarkEnd w:id="5"/>
    </w:tbl>
    <w:p w14:paraId="49ECCCC4" w14:textId="77777777" w:rsidR="00E57ED2" w:rsidRPr="002B7D23" w:rsidRDefault="00E57ED2" w:rsidP="00E57ED2">
      <w:pPr>
        <w:rPr>
          <w:rFonts w:ascii="David" w:hAnsi="David"/>
          <w:sz w:val="26"/>
          <w:szCs w:val="26"/>
          <w:rtl/>
        </w:rPr>
      </w:pPr>
    </w:p>
    <w:p w14:paraId="1C7852DF" w14:textId="77777777" w:rsidR="00E57ED2" w:rsidRDefault="00E57ED2" w:rsidP="00E57ED2">
      <w:pPr>
        <w:pStyle w:val="a9"/>
        <w:numPr>
          <w:ilvl w:val="0"/>
          <w:numId w:val="1"/>
        </w:numPr>
        <w:spacing w:after="0" w:line="360" w:lineRule="auto"/>
        <w:ind w:hanging="636"/>
        <w:jc w:val="both"/>
        <w:rPr>
          <w:rFonts w:ascii="David" w:hAnsi="David" w:cs="David"/>
          <w:sz w:val="26"/>
          <w:szCs w:val="26"/>
        </w:rPr>
      </w:pPr>
      <w:bookmarkStart w:id="6" w:name="ABSTRACT_START"/>
      <w:bookmarkEnd w:id="6"/>
      <w:r>
        <w:rPr>
          <w:rFonts w:ascii="David" w:hAnsi="David" w:cs="David"/>
          <w:sz w:val="26"/>
          <w:szCs w:val="26"/>
          <w:rtl/>
        </w:rPr>
        <w:t xml:space="preserve">הנאשם הורשע על פי הודאתו, שהושגה במסגרת הסדר גישור, בעובדות כתב האישום המתוקן המייחס לו עבירה של תיווך בסם מסוכן (עבירה לפי </w:t>
      </w:r>
      <w:hyperlink r:id="rId15" w:history="1">
        <w:r w:rsidR="00D47A79" w:rsidRPr="00D47A79">
          <w:rPr>
            <w:rStyle w:val="Hyperlink"/>
            <w:rFonts w:ascii="David" w:hAnsi="David" w:cs="David"/>
            <w:sz w:val="26"/>
            <w:szCs w:val="26"/>
            <w:rtl/>
          </w:rPr>
          <w:t>סעיף 14</w:t>
        </w:r>
      </w:hyperlink>
      <w:r>
        <w:rPr>
          <w:rFonts w:ascii="David" w:hAnsi="David" w:cs="David"/>
          <w:sz w:val="26"/>
          <w:szCs w:val="26"/>
          <w:rtl/>
        </w:rPr>
        <w:t xml:space="preserve"> בצירוף </w:t>
      </w:r>
      <w:hyperlink r:id="rId16" w:history="1">
        <w:r w:rsidR="00D47A79" w:rsidRPr="00D47A79">
          <w:rPr>
            <w:rStyle w:val="Hyperlink"/>
            <w:rFonts w:ascii="David" w:hAnsi="David" w:cs="David"/>
            <w:sz w:val="26"/>
            <w:szCs w:val="26"/>
            <w:rtl/>
          </w:rPr>
          <w:t>סעיפים 13</w:t>
        </w:r>
      </w:hyperlink>
      <w:r>
        <w:rPr>
          <w:rFonts w:ascii="David" w:hAnsi="David" w:cs="David"/>
          <w:sz w:val="26"/>
          <w:szCs w:val="26"/>
          <w:rtl/>
        </w:rPr>
        <w:t xml:space="preserve"> ו-</w:t>
      </w:r>
      <w:hyperlink r:id="rId17" w:history="1">
        <w:r w:rsidR="00D47A79" w:rsidRPr="00D47A79">
          <w:rPr>
            <w:rStyle w:val="Hyperlink"/>
            <w:rFonts w:ascii="David" w:hAnsi="David" w:cs="David"/>
            <w:sz w:val="26"/>
            <w:szCs w:val="26"/>
            <w:rtl/>
          </w:rPr>
          <w:t>19א</w:t>
        </w:r>
      </w:hyperlink>
      <w:r>
        <w:rPr>
          <w:rFonts w:ascii="David" w:hAnsi="David" w:cs="David"/>
          <w:sz w:val="26"/>
          <w:szCs w:val="26"/>
          <w:rtl/>
        </w:rPr>
        <w:t xml:space="preserve"> ל</w:t>
      </w:r>
      <w:hyperlink r:id="rId18" w:history="1">
        <w:r w:rsidR="003558A3" w:rsidRPr="003558A3">
          <w:rPr>
            <w:rFonts w:ascii="David" w:hAnsi="David" w:cs="David"/>
            <w:color w:val="0000FF"/>
            <w:sz w:val="26"/>
            <w:szCs w:val="26"/>
            <w:u w:val="single"/>
            <w:rtl/>
          </w:rPr>
          <w:t>פקודת הסמים המסוכנים</w:t>
        </w:r>
      </w:hyperlink>
      <w:r>
        <w:rPr>
          <w:rFonts w:ascii="David" w:hAnsi="David" w:cs="David"/>
          <w:sz w:val="26"/>
          <w:szCs w:val="26"/>
          <w:rtl/>
        </w:rPr>
        <w:t xml:space="preserve"> [נוסח חדש], התשל"ג-1973).</w:t>
      </w:r>
    </w:p>
    <w:p w14:paraId="4F0FFC6B" w14:textId="77777777" w:rsidR="00E57ED2" w:rsidRDefault="00E57ED2" w:rsidP="00E57ED2">
      <w:pPr>
        <w:pStyle w:val="a9"/>
        <w:spacing w:after="0" w:line="360" w:lineRule="auto"/>
        <w:jc w:val="both"/>
        <w:rPr>
          <w:rFonts w:ascii="David" w:hAnsi="David" w:cs="David"/>
          <w:sz w:val="26"/>
          <w:szCs w:val="26"/>
        </w:rPr>
      </w:pPr>
      <w:bookmarkStart w:id="7" w:name="ABSTRACT_END"/>
      <w:bookmarkEnd w:id="7"/>
    </w:p>
    <w:p w14:paraId="335372AF" w14:textId="77777777" w:rsidR="00E57ED2" w:rsidRDefault="00E57ED2" w:rsidP="00E57ED2">
      <w:pPr>
        <w:pStyle w:val="a9"/>
        <w:spacing w:after="0" w:line="360" w:lineRule="auto"/>
        <w:jc w:val="both"/>
        <w:rPr>
          <w:rFonts w:ascii="David" w:hAnsi="David" w:cs="David"/>
          <w:sz w:val="26"/>
          <w:szCs w:val="26"/>
          <w:rtl/>
        </w:rPr>
      </w:pPr>
      <w:r>
        <w:rPr>
          <w:rFonts w:ascii="David" w:hAnsi="David" w:cs="David"/>
          <w:sz w:val="26"/>
          <w:szCs w:val="26"/>
          <w:rtl/>
        </w:rPr>
        <w:t xml:space="preserve">על פי עובדות כתב האישום, פנה אל הנאשם סוכן משטרתי שבינו לבין הנאשם היתה קיימת חברות קודמת. עסקת הסמים המיוחסת לנאשם התבצעה ביום 27.10.2019. כשבוע קודם לכן נפגשו השניים. הנאשם שאל את הסוכן אם הוא מחזיק סם מסוג נייס-גאי. הסוכן השיב בשלילה, ושאל את הנאשם אם ביכולתו לספק כמות גדולה של טבליות המכילות סם מסוכן מסוג </w:t>
      </w:r>
      <w:r>
        <w:rPr>
          <w:rFonts w:ascii="David" w:hAnsi="David" w:cs="David"/>
          <w:sz w:val="24"/>
          <w:szCs w:val="24"/>
        </w:rPr>
        <w:t>MDMA</w:t>
      </w:r>
      <w:r>
        <w:rPr>
          <w:rFonts w:ascii="David" w:hAnsi="David" w:cs="David"/>
          <w:sz w:val="24"/>
          <w:szCs w:val="24"/>
          <w:rtl/>
        </w:rPr>
        <w:t xml:space="preserve"> </w:t>
      </w:r>
      <w:r>
        <w:rPr>
          <w:rFonts w:ascii="David" w:hAnsi="David" w:cs="David"/>
          <w:sz w:val="26"/>
          <w:szCs w:val="26"/>
          <w:rtl/>
        </w:rPr>
        <w:t xml:space="preserve">(שהוגדר בכתב האישום גם </w:t>
      </w:r>
      <w:r>
        <w:rPr>
          <w:rFonts w:ascii="David" w:hAnsi="David" w:cs="David"/>
          <w:sz w:val="26"/>
          <w:szCs w:val="26"/>
          <w:rtl/>
        </w:rPr>
        <w:lastRenderedPageBreak/>
        <w:t xml:space="preserve">כאקסטזי, להלן: </w:t>
      </w:r>
      <w:r>
        <w:rPr>
          <w:rFonts w:ascii="Miriam" w:hAnsi="Miriam" w:cs="Miriam"/>
          <w:sz w:val="24"/>
          <w:szCs w:val="24"/>
          <w:rtl/>
        </w:rPr>
        <w:t>אקסטזי</w:t>
      </w:r>
      <w:r>
        <w:rPr>
          <w:rFonts w:ascii="David" w:hAnsi="David" w:cs="David"/>
          <w:sz w:val="26"/>
          <w:szCs w:val="26"/>
          <w:rtl/>
        </w:rPr>
        <w:t xml:space="preserve">). הנאשם השיב כי יש לו שלושה סוגים של טבליות מסם זה, כי המחיר לטבליה עומד על 23 ₪ והכמות המינימלית לעסקה היא 1,000 טבליות. </w:t>
      </w:r>
    </w:p>
    <w:p w14:paraId="236366F0" w14:textId="77777777" w:rsidR="00E57ED2" w:rsidRDefault="00E57ED2" w:rsidP="00E57ED2">
      <w:pPr>
        <w:pStyle w:val="a9"/>
        <w:spacing w:after="0" w:line="360" w:lineRule="auto"/>
        <w:jc w:val="both"/>
        <w:rPr>
          <w:rFonts w:ascii="David" w:hAnsi="David" w:cs="David"/>
          <w:sz w:val="26"/>
          <w:szCs w:val="26"/>
          <w:rtl/>
        </w:rPr>
      </w:pPr>
    </w:p>
    <w:p w14:paraId="3770C3FA" w14:textId="77777777" w:rsidR="00E57ED2" w:rsidRDefault="00E57ED2" w:rsidP="00E57ED2">
      <w:pPr>
        <w:pStyle w:val="a9"/>
        <w:spacing w:after="0" w:line="360" w:lineRule="auto"/>
        <w:jc w:val="both"/>
        <w:rPr>
          <w:rFonts w:ascii="David" w:hAnsi="David" w:cs="David"/>
          <w:sz w:val="26"/>
          <w:szCs w:val="26"/>
          <w:rtl/>
        </w:rPr>
      </w:pPr>
      <w:r>
        <w:rPr>
          <w:rFonts w:ascii="David" w:hAnsi="David" w:cs="David"/>
          <w:sz w:val="26"/>
          <w:szCs w:val="26"/>
          <w:rtl/>
        </w:rPr>
        <w:t xml:space="preserve">ביום 26.10.19 התקשר הסוכן לנאשם וביקש להזמין 1,000 </w:t>
      </w:r>
      <w:r>
        <w:rPr>
          <w:rFonts w:ascii="David" w:hAnsi="David" w:cs="David" w:hint="cs"/>
          <w:sz w:val="26"/>
          <w:szCs w:val="26"/>
          <w:rtl/>
        </w:rPr>
        <w:t>טבליות</w:t>
      </w:r>
      <w:r>
        <w:rPr>
          <w:rFonts w:ascii="David" w:hAnsi="David" w:cs="David"/>
          <w:sz w:val="26"/>
          <w:szCs w:val="26"/>
          <w:rtl/>
        </w:rPr>
        <w:t xml:space="preserve"> אקסטזי. לאחר דין ודברים הוסכם כי הסם יימכר במחיר של 22 ₪ לטבליה, והעסקה תתבצע למחרת היום. ביום המעשה סוכם על שעת ביצוע העסקה. אין מחלוקת כי הסוכן התקשר לנאשם 14 פעמים ביום ביצוע העסקה, באופן שמעיד – לשיטת הנאשם – על המאמצים שעשה להדיח את הנאשם לכלל ביצוע העבירה. ביום 27.10.19 בסמוך לשעה 18:30 הגיע הנאשם למקום המפגש שנקבע בין השניים, כשהוא נוהג ברכבו ולידו אדם אחר. הנאשם קיבל מהאדם האחר שקית שחורה המכילה 991 טבליות אקסטזי ומסר אותה לסוכן. בתמורה מסר הסוכן לנאשם סכום של 22,000 ₪. הנאשם העביר לאדם האחר סכום של 21,000 ₪ והותיר בידיו סכום של 1,000 ₪ עבור התיווך בעסקה. </w:t>
      </w:r>
    </w:p>
    <w:p w14:paraId="7C1B2FE6" w14:textId="77777777" w:rsidR="00E57ED2" w:rsidRDefault="00E57ED2" w:rsidP="00E57ED2">
      <w:pPr>
        <w:pStyle w:val="a9"/>
        <w:spacing w:after="0" w:line="360" w:lineRule="auto"/>
        <w:jc w:val="both"/>
        <w:rPr>
          <w:rFonts w:ascii="David" w:hAnsi="David" w:cs="David"/>
          <w:sz w:val="26"/>
          <w:szCs w:val="26"/>
        </w:rPr>
      </w:pPr>
    </w:p>
    <w:p w14:paraId="3A0981D7" w14:textId="77777777" w:rsidR="00E57ED2" w:rsidRDefault="00E57ED2" w:rsidP="00E57ED2">
      <w:pPr>
        <w:pStyle w:val="a9"/>
        <w:numPr>
          <w:ilvl w:val="0"/>
          <w:numId w:val="1"/>
        </w:numPr>
        <w:spacing w:after="0" w:line="360" w:lineRule="auto"/>
        <w:ind w:hanging="636"/>
        <w:jc w:val="both"/>
        <w:rPr>
          <w:rFonts w:ascii="David" w:hAnsi="David" w:cs="David"/>
          <w:sz w:val="26"/>
          <w:szCs w:val="26"/>
        </w:rPr>
      </w:pPr>
      <w:r>
        <w:rPr>
          <w:rFonts w:ascii="David" w:hAnsi="David" w:cs="David"/>
          <w:sz w:val="26"/>
          <w:szCs w:val="26"/>
          <w:rtl/>
        </w:rPr>
        <w:t xml:space="preserve">הנאשם הודה בביצוע העבירה במסגרת הליך גישור שהתקיים לפניי והכרעת הדין המרשיעה אותו בביצוע העבירה ניתנה ביום 11.8.2020. מלאכת גזירת דינו של הנאשם נדחתה פעם אחר פעם לנוכח המלצות שירות המבחן שביקש לשלב אותו בהליך שיקומי. במרוצת פרק הזמן שחלף מאז הכרעת הדין עבר הנאשם הליך שיקומי משמעותי ביותר, עד שבתחילת חודש נובמבר האחרון השתלב בעבודה, לראשונה זה שנים ארוכות. הדרך המשמעותית שעבר הנאשם בתקופה זו הביאה גם את המאשימה לכלל תובנה לפיה יש להעניק משקל ממשי לשיקולי השיקום בעת גזירת העונש. לעניין זה אדרש במקומו, לאחר סקירת העובדות הנוגעות לעושה. </w:t>
      </w:r>
    </w:p>
    <w:p w14:paraId="19C6F58A" w14:textId="77777777" w:rsidR="00E57ED2" w:rsidRDefault="00E57ED2" w:rsidP="00E57ED2">
      <w:pPr>
        <w:pStyle w:val="a9"/>
        <w:spacing w:after="0" w:line="360" w:lineRule="auto"/>
        <w:rPr>
          <w:rFonts w:ascii="David" w:hAnsi="David" w:cs="David"/>
          <w:sz w:val="26"/>
          <w:szCs w:val="26"/>
        </w:rPr>
      </w:pPr>
    </w:p>
    <w:p w14:paraId="00C68036" w14:textId="77777777" w:rsidR="00E57ED2" w:rsidRDefault="00E57ED2" w:rsidP="00E57ED2">
      <w:pPr>
        <w:pStyle w:val="a9"/>
        <w:spacing w:after="0" w:line="360" w:lineRule="auto"/>
        <w:rPr>
          <w:rFonts w:ascii="Miriam" w:hAnsi="Miriam" w:cs="Miriam"/>
          <w:sz w:val="26"/>
          <w:szCs w:val="26"/>
          <w:rtl/>
        </w:rPr>
      </w:pPr>
      <w:r>
        <w:rPr>
          <w:rFonts w:ascii="Miriam" w:hAnsi="Miriam" w:cs="Miriam"/>
          <w:sz w:val="26"/>
          <w:szCs w:val="26"/>
          <w:rtl/>
        </w:rPr>
        <w:t>הראיות והטיעונים לעונש</w:t>
      </w:r>
    </w:p>
    <w:p w14:paraId="5A313942" w14:textId="77777777" w:rsidR="00E57ED2" w:rsidRDefault="00E57ED2" w:rsidP="00E57ED2">
      <w:pPr>
        <w:pStyle w:val="a9"/>
        <w:numPr>
          <w:ilvl w:val="0"/>
          <w:numId w:val="1"/>
        </w:numPr>
        <w:spacing w:after="0" w:line="360" w:lineRule="auto"/>
        <w:ind w:hanging="636"/>
        <w:jc w:val="both"/>
        <w:rPr>
          <w:rFonts w:ascii="David" w:hAnsi="David" w:cs="David"/>
          <w:sz w:val="26"/>
          <w:szCs w:val="26"/>
          <w:rtl/>
        </w:rPr>
      </w:pPr>
      <w:r>
        <w:rPr>
          <w:rFonts w:ascii="David" w:hAnsi="David" w:cs="David"/>
          <w:sz w:val="26"/>
          <w:szCs w:val="26"/>
          <w:rtl/>
        </w:rPr>
        <w:t xml:space="preserve">הנאשם הוא יליד פברואר 1967. מתסקיר המבחן עולה שנסיבות חייו לא היו פשוטות, הוא סבל מקשיים במסגרת משפחתו הגרעינית בילדותו, הסתבך בפלילים כבר בנערותו, נפגע מירי של שוטרים בחזה עת מלאו לו 18 שנים, ומצבו המורכב הביא לכך שבנו הבכור מהקשר הזוגי הראשון שחווה, גדל אצל בת משפחה קרובה. במרוצת השנים מאז נערותו של הנאשם ועד לשנת 2009 הורשע הנאשם ב-12 הליכים פליליים, ובסך הכל ריצה תקופות מאסר מצטברות של קרוב ל-13 שנים. עיון בגיליון הרישום הפלילי מעלה כי מרבית המאסרים המשמעותיים הוטלו על הנאשם עד לשנת 1998, אף שעונשי מאסר הוטלו עליו גם בשנים שלאחר מכן. העבירה </w:t>
      </w:r>
      <w:r>
        <w:rPr>
          <w:rFonts w:ascii="David" w:hAnsi="David" w:cs="David"/>
          <w:sz w:val="26"/>
          <w:szCs w:val="26"/>
          <w:rtl/>
        </w:rPr>
        <w:lastRenderedPageBreak/>
        <w:t xml:space="preserve">המשמעותית האחרונה שביצע הנאשם, שאף היא היתה בתחום עבריינות הסמים, בוצעה בשנת 2009. </w:t>
      </w:r>
    </w:p>
    <w:p w14:paraId="2D6E882C" w14:textId="77777777" w:rsidR="00E57ED2" w:rsidRDefault="00E57ED2" w:rsidP="00E57ED2">
      <w:pPr>
        <w:pStyle w:val="a9"/>
        <w:spacing w:after="0" w:line="360" w:lineRule="auto"/>
        <w:rPr>
          <w:rFonts w:ascii="David" w:hAnsi="David" w:cs="David"/>
          <w:sz w:val="26"/>
          <w:szCs w:val="26"/>
        </w:rPr>
      </w:pPr>
    </w:p>
    <w:p w14:paraId="046AD435" w14:textId="77777777" w:rsidR="00E57ED2" w:rsidRDefault="00E57ED2" w:rsidP="00E57ED2">
      <w:pPr>
        <w:pStyle w:val="a9"/>
        <w:numPr>
          <w:ilvl w:val="0"/>
          <w:numId w:val="1"/>
        </w:numPr>
        <w:spacing w:after="0" w:line="360" w:lineRule="auto"/>
        <w:ind w:hanging="636"/>
        <w:jc w:val="both"/>
        <w:rPr>
          <w:rFonts w:ascii="David" w:hAnsi="David" w:cs="David"/>
          <w:sz w:val="26"/>
          <w:szCs w:val="26"/>
          <w:rtl/>
        </w:rPr>
      </w:pPr>
      <w:r>
        <w:rPr>
          <w:rFonts w:ascii="David" w:hAnsi="David" w:cs="David"/>
          <w:sz w:val="26"/>
          <w:szCs w:val="26"/>
          <w:rtl/>
        </w:rPr>
        <w:t xml:space="preserve">שירות המבחן ציין כי אף שהנאשם עבר טיפול של גמילה מסמים בעבר, לא עלה בידו להשתלב בשוק העבודה והדבר הביאו לתחושות של חוסר אונים ותסכול בשל העובדה שעברו הפלילי מונע ממנו למצוא עבודה. במקביל לתהליך הגמילה נישא הנאשם שנית ולבני הזוג שלושה ילדים בגילאים 13-6. הנאשם תיאר את מערכת היחסים עם אשתו כמערכת יחסים חיובית המושתתת על אמון וכנות. בהקשר זה יש לציין כי אכזבתה של אשתו מכך שחזר לחיי הפשע התבטאה בכך שהיא סירבה לקבלו לביתם עם שחרורו מהמעצר בהליך הנוכחי, ולפיכך שוחרר הנאשם בתחילה למעצר בית בבית אחותו. רק לאחר שהתקדמו ההליכים, ונראה היה שהנאשם בוחר בדרך של שיקום, השתקמו היחסים בתוך המשפחה והנאשם חזר לחיק משפחתו הגרעינית. </w:t>
      </w:r>
    </w:p>
    <w:p w14:paraId="115BAF07" w14:textId="77777777" w:rsidR="00E57ED2" w:rsidRDefault="00E57ED2" w:rsidP="00E57ED2">
      <w:pPr>
        <w:pStyle w:val="a9"/>
        <w:spacing w:after="0" w:line="360" w:lineRule="auto"/>
        <w:jc w:val="both"/>
        <w:rPr>
          <w:rFonts w:ascii="David" w:hAnsi="David" w:cs="David"/>
          <w:sz w:val="26"/>
          <w:szCs w:val="26"/>
        </w:rPr>
      </w:pPr>
    </w:p>
    <w:p w14:paraId="055654BF" w14:textId="77777777" w:rsidR="00E57ED2" w:rsidRDefault="00E57ED2" w:rsidP="00E57ED2">
      <w:pPr>
        <w:pStyle w:val="a9"/>
        <w:numPr>
          <w:ilvl w:val="0"/>
          <w:numId w:val="1"/>
        </w:numPr>
        <w:spacing w:after="0" w:line="360" w:lineRule="auto"/>
        <w:ind w:hanging="636"/>
        <w:jc w:val="both"/>
        <w:rPr>
          <w:rFonts w:ascii="David" w:hAnsi="David" w:cs="David"/>
          <w:sz w:val="26"/>
          <w:szCs w:val="26"/>
        </w:rPr>
      </w:pPr>
      <w:r>
        <w:rPr>
          <w:rFonts w:ascii="David" w:hAnsi="David" w:cs="David"/>
          <w:sz w:val="26"/>
          <w:szCs w:val="26"/>
          <w:rtl/>
        </w:rPr>
        <w:t xml:space="preserve">שירות המבחן המליץ על הליך טיפולי משמעותי. בתסקירו הראשון ציין כי נראה שהרקע לעבירה בה הורשע הנאשם הוא ההתמכרות לאורך השנים והקושי להתמודדות שנבע ממנה. שירות המבחן התרשם שלנאשם גבולות פנימיים חלשים, ויש לשלבו במסגרת מתאימה כדי לחזק גבולות אלה. הנאשם הופנה לאבחון וטיפול במסגרת "מרכז הזדמנות" בירושלים. הוא שיתף פעולה באופן מלא בהליך הטיפול שהוצע לו, תואר כבעל תפקוד תקין וחיובי ואף קיבל תפקיד של "מתאם" עבור שאר המטופלים במרכז היום. הצוות במקום מצא כי הוא לוקח את תפקידו ברצינות. לכל אורך התקופה עבר הנאשם בדיקות לאיתור שרידי סם, שנמצאו נקיות. התהליך הטיפולי הסתיים בסמוך לחודש נובמבר 2011. שירות המבחן התרשם מהצלחת התהליך, ציין שהנאשם שמר לכל אורך הדרך על קשר יזום ורציף עם שירות המבחן והביע רצון להמשיך בתהליך הטיפולי והשיקומי. </w:t>
      </w:r>
    </w:p>
    <w:p w14:paraId="5BFDD583" w14:textId="77777777" w:rsidR="00E57ED2" w:rsidRDefault="00E57ED2" w:rsidP="00E57ED2">
      <w:pPr>
        <w:pStyle w:val="a9"/>
        <w:spacing w:after="0" w:line="360" w:lineRule="auto"/>
        <w:rPr>
          <w:rFonts w:ascii="David" w:hAnsi="David" w:cs="David"/>
          <w:sz w:val="26"/>
          <w:szCs w:val="26"/>
        </w:rPr>
      </w:pPr>
    </w:p>
    <w:p w14:paraId="33F4F049" w14:textId="77777777" w:rsidR="00E57ED2" w:rsidRDefault="00E57ED2" w:rsidP="00E57ED2">
      <w:pPr>
        <w:pStyle w:val="a9"/>
        <w:spacing w:after="0" w:line="360" w:lineRule="auto"/>
        <w:jc w:val="both"/>
        <w:rPr>
          <w:rFonts w:ascii="David" w:hAnsi="David" w:cs="David"/>
          <w:sz w:val="26"/>
          <w:szCs w:val="26"/>
          <w:rtl/>
        </w:rPr>
      </w:pPr>
      <w:r>
        <w:rPr>
          <w:rFonts w:ascii="David" w:hAnsi="David" w:cs="David"/>
          <w:sz w:val="26"/>
          <w:szCs w:val="26"/>
          <w:rtl/>
        </w:rPr>
        <w:t xml:space="preserve">בתסקיר הסופי בעניינו צויין כי הנאשם עבר תהליך משמעותי של התבוננות פנימית ועבודה רצינית ומודעת על דפוסיו. שירות המבחן ציין שיש לתת משקל לעובדה שמדובר באדם שבעברו ניהל אורח חיים התמכרותי ועברייני, וביצוע העבירה מושא כתב האישום היה מקרה בודד בתקופה של עשר שנים, שלא חזר על עצמו לאחר ביצוע המעשה. בחיתום התסקיר הסופי הובע חשש כי אם יישלח הנאשם למאסר בפועל יביא הדבר לחשיפתו המחודשת לחברה עבריינית, ממנה הוא נמנע בעקבות הטיפול, ולחזרה לאורח החיים שאימץ בעבר. לפיכך המליץ שירות המבחן להימנע ממאסר בפועל, ולהסתפק בהטלת עונש של מאסר בעבודות שירות בשילוב עם צו מבחן. </w:t>
      </w:r>
    </w:p>
    <w:p w14:paraId="56B2F75C" w14:textId="77777777" w:rsidR="00E57ED2" w:rsidRDefault="00E57ED2" w:rsidP="00E57ED2">
      <w:pPr>
        <w:pStyle w:val="a9"/>
        <w:spacing w:after="0" w:line="360" w:lineRule="auto"/>
        <w:jc w:val="both"/>
        <w:rPr>
          <w:rFonts w:ascii="David" w:hAnsi="David" w:cs="David"/>
          <w:sz w:val="26"/>
          <w:szCs w:val="26"/>
        </w:rPr>
      </w:pPr>
      <w:r>
        <w:rPr>
          <w:rFonts w:ascii="David" w:hAnsi="David" w:cs="David"/>
          <w:sz w:val="26"/>
          <w:szCs w:val="26"/>
          <w:rtl/>
        </w:rPr>
        <w:t xml:space="preserve"> </w:t>
      </w:r>
    </w:p>
    <w:p w14:paraId="2AC87245" w14:textId="77777777" w:rsidR="00E57ED2" w:rsidRDefault="00E57ED2" w:rsidP="00E57ED2">
      <w:pPr>
        <w:pStyle w:val="a9"/>
        <w:numPr>
          <w:ilvl w:val="0"/>
          <w:numId w:val="1"/>
        </w:numPr>
        <w:spacing w:after="0" w:line="360" w:lineRule="auto"/>
        <w:ind w:hanging="636"/>
        <w:jc w:val="both"/>
        <w:rPr>
          <w:rFonts w:ascii="David" w:hAnsi="David" w:cs="David"/>
          <w:sz w:val="26"/>
          <w:szCs w:val="26"/>
        </w:rPr>
      </w:pPr>
      <w:r>
        <w:rPr>
          <w:rFonts w:ascii="David" w:hAnsi="David" w:cs="David"/>
          <w:sz w:val="26"/>
          <w:szCs w:val="26"/>
          <w:rtl/>
        </w:rPr>
        <w:t xml:space="preserve">הממונה על עבודות השירות מצא את הנאשם מתאים לביצוע עבודות שירות במגבלות מסוימות הנוגעות למצבו הרפואי (חוות דעת מיום 12.12.21). </w:t>
      </w:r>
    </w:p>
    <w:p w14:paraId="66D47F7B" w14:textId="77777777" w:rsidR="00E57ED2" w:rsidRDefault="00E57ED2" w:rsidP="00E57ED2">
      <w:pPr>
        <w:pStyle w:val="a9"/>
        <w:spacing w:after="0" w:line="360" w:lineRule="auto"/>
        <w:rPr>
          <w:rFonts w:ascii="David" w:hAnsi="David" w:cs="David"/>
          <w:sz w:val="26"/>
          <w:szCs w:val="26"/>
        </w:rPr>
      </w:pPr>
    </w:p>
    <w:p w14:paraId="012B774A" w14:textId="77777777" w:rsidR="00E57ED2" w:rsidRDefault="00E57ED2" w:rsidP="00E57ED2">
      <w:pPr>
        <w:pStyle w:val="a9"/>
        <w:numPr>
          <w:ilvl w:val="0"/>
          <w:numId w:val="1"/>
        </w:numPr>
        <w:spacing w:after="0" w:line="360" w:lineRule="auto"/>
        <w:ind w:hanging="636"/>
        <w:jc w:val="both"/>
        <w:rPr>
          <w:rFonts w:ascii="David" w:hAnsi="David" w:cs="David"/>
          <w:sz w:val="26"/>
          <w:szCs w:val="26"/>
          <w:rtl/>
        </w:rPr>
      </w:pPr>
      <w:r>
        <w:rPr>
          <w:rFonts w:ascii="David" w:hAnsi="David" w:cs="David"/>
          <w:sz w:val="26"/>
          <w:szCs w:val="26"/>
          <w:rtl/>
        </w:rPr>
        <w:t xml:space="preserve">בטיעוניה לעונש עמדה המאשימה בהרחבה על החומרה הנודעת לביצוע עבירות סמים, ועל השפעתם ההרסנית של הסמים המסוכנים על החברה. המאשימה לא התעלמה מהליך השיקום שעבר הנאשם, אך סברה שאין בו כדי להוות שיקול מספיק לחריגה ממתחם הענישה. נטען כי מתחם הענישה הנוגע לעבירות של תיווך בסם מסוכן הוא מגוון ביותר. ב"כ המאשימה ציינה כי עובדות כתב האישום מצביעות על הנאשם כמי שהיה מעורה היטב בעולם הסחר בסמים, וכי במנעד האפשרי של ההתנהגויות המקימות את עבירת התיווך בסם מסוכן יש לראותו כמי שנמצא ברף העליון של עבירת התיווך. לפיכך טענה כי יש לקבוע את מתחם הענישה ככזה הנע בין 20 חודשי מאסר בפועל ל-40 חודשי מאסר בפועל. לשיטתה, ההתחשבות בתהליך השיקום אמורה לבוא לידי ביטוי בגזירת העונש ברף התחתון של המתחם, דהיינו: גזירת עונש מאסר בפועל של 20 חודשים. כן עתרה המאשימה לגזירת עונש מאסר על תנאי ולהשתת קנס על הנאשם. </w:t>
      </w:r>
    </w:p>
    <w:p w14:paraId="7B8C110B" w14:textId="77777777" w:rsidR="00E57ED2" w:rsidRDefault="00E57ED2" w:rsidP="00E57ED2">
      <w:pPr>
        <w:pStyle w:val="a9"/>
        <w:spacing w:after="0" w:line="360" w:lineRule="auto"/>
        <w:rPr>
          <w:rFonts w:ascii="David" w:hAnsi="David" w:cs="David"/>
          <w:sz w:val="26"/>
          <w:szCs w:val="26"/>
        </w:rPr>
      </w:pPr>
    </w:p>
    <w:p w14:paraId="4776D7EC" w14:textId="77777777" w:rsidR="00E57ED2" w:rsidRDefault="00E57ED2" w:rsidP="00E57ED2">
      <w:pPr>
        <w:pStyle w:val="a9"/>
        <w:numPr>
          <w:ilvl w:val="0"/>
          <w:numId w:val="1"/>
        </w:numPr>
        <w:spacing w:after="0" w:line="360" w:lineRule="auto"/>
        <w:ind w:hanging="636"/>
        <w:jc w:val="both"/>
        <w:rPr>
          <w:rFonts w:ascii="David" w:hAnsi="David" w:cs="David"/>
          <w:sz w:val="26"/>
          <w:szCs w:val="26"/>
          <w:rtl/>
        </w:rPr>
      </w:pPr>
      <w:r>
        <w:rPr>
          <w:rFonts w:ascii="David" w:hAnsi="David" w:cs="David"/>
          <w:sz w:val="26"/>
          <w:szCs w:val="26"/>
          <w:rtl/>
        </w:rPr>
        <w:t xml:space="preserve">ב"כ הנאשם ביקש לאמץ את המלצת שירות המבחן ולהסתפק בענישה בדרך של מאסר אותו יישא הנאשם בעבודות שירות. הוא הציג מקרים בהם סטה בית המשפט ממתחם הענישה הנוהג בעבירות סמים בשל שיקולי שיקום, תוך שהוא טוען שגם במקרה זה יש מקום לסטייה משמעותית ממתחם הענישה לנוכח תהליך השיקום המשמעותי שעבר הנאשם. לדבריו, אם יושב הנאשם לכלא יהיה בכך כדי להוריד לטמיון את כל הדרך הארוכה שהוא עבר במרוצת התקופה שחלפה מהכרעת הדין ועד לגזירת עונשו. </w:t>
      </w:r>
    </w:p>
    <w:p w14:paraId="35464097" w14:textId="77777777" w:rsidR="00E57ED2" w:rsidRDefault="00E57ED2" w:rsidP="00E57ED2">
      <w:pPr>
        <w:pStyle w:val="a9"/>
        <w:spacing w:after="0" w:line="360" w:lineRule="auto"/>
        <w:rPr>
          <w:rFonts w:ascii="David" w:hAnsi="David" w:cs="David"/>
          <w:sz w:val="26"/>
          <w:szCs w:val="26"/>
        </w:rPr>
      </w:pPr>
    </w:p>
    <w:p w14:paraId="6328C21C" w14:textId="77777777" w:rsidR="00E57ED2" w:rsidRDefault="00E57ED2" w:rsidP="00E57ED2">
      <w:pPr>
        <w:pStyle w:val="a9"/>
        <w:numPr>
          <w:ilvl w:val="0"/>
          <w:numId w:val="1"/>
        </w:numPr>
        <w:spacing w:after="0" w:line="360" w:lineRule="auto"/>
        <w:ind w:hanging="636"/>
        <w:jc w:val="both"/>
        <w:rPr>
          <w:rFonts w:ascii="David" w:hAnsi="David" w:cs="David"/>
          <w:sz w:val="26"/>
          <w:szCs w:val="26"/>
          <w:rtl/>
        </w:rPr>
      </w:pPr>
      <w:r>
        <w:rPr>
          <w:rFonts w:ascii="David" w:hAnsi="David" w:cs="David"/>
          <w:sz w:val="26"/>
          <w:szCs w:val="26"/>
          <w:rtl/>
        </w:rPr>
        <w:t>הנאשם הביע את חרטתו על ביצוע העבירות. בדיונים שהתקיימו בעניינו אמר הנאשם כי ביצע את העבירה בשל המצב הכלכלי הקשה אליו נקלע מחמת העובדה שלא עלה בידו למצוא מקום עבודה. הוא טען כי ביצע את העבירה בשל הפצרותיו החוזרות והנשנות של הסוכן, חברו. הוא הטעים כי עבר תהליך ממושך מאז ההרשעה, שיתף פעולה באופן מלא ו"</w:t>
      </w:r>
      <w:r>
        <w:rPr>
          <w:rFonts w:ascii="Miriam" w:hAnsi="Miriam" w:cs="Miriam"/>
          <w:sz w:val="24"/>
          <w:szCs w:val="24"/>
          <w:rtl/>
        </w:rPr>
        <w:t>עבדתי על עצמי טוב מאוד</w:t>
      </w:r>
      <w:r>
        <w:rPr>
          <w:rFonts w:ascii="David" w:hAnsi="David" w:cs="David"/>
          <w:sz w:val="26"/>
          <w:szCs w:val="26"/>
          <w:rtl/>
        </w:rPr>
        <w:t>". הוא הביע צער על עצם ביצוע העבירה, ועל הפגיעה במשפחתו ובסביבה. הנאשם התייחס גם למצבו הבריאותי. הוא ציין כי בעקבות השיקום המשמעותי שעבר, הוא שולב בעבודה בבית אבות, והוא מסייע בטיפול בקשישים "</w:t>
      </w:r>
      <w:r>
        <w:rPr>
          <w:rFonts w:ascii="Miriam" w:hAnsi="Miriam" w:cs="Miriam"/>
          <w:sz w:val="24"/>
          <w:szCs w:val="24"/>
          <w:rtl/>
        </w:rPr>
        <w:t>מחליף חיתולים, מקלח ומגלח אותם ומחליף להם בגדים</w:t>
      </w:r>
      <w:r>
        <w:rPr>
          <w:rFonts w:ascii="David" w:hAnsi="David" w:cs="David"/>
          <w:sz w:val="26"/>
          <w:szCs w:val="26"/>
          <w:rtl/>
        </w:rPr>
        <w:t xml:space="preserve">". בדיון היום הוסיף הנאשם כי העבודה בטיפול בקשישים השפיעה גם על דרך חשיבתו, וכי הוא מבצע את הטיפול ברגש ומכל הלב. </w:t>
      </w:r>
    </w:p>
    <w:p w14:paraId="2DABA389" w14:textId="77777777" w:rsidR="00E57ED2" w:rsidRDefault="00E57ED2" w:rsidP="00E57ED2">
      <w:pPr>
        <w:pStyle w:val="a9"/>
        <w:spacing w:after="0" w:line="360" w:lineRule="auto"/>
        <w:rPr>
          <w:rFonts w:ascii="David" w:hAnsi="David" w:cs="David"/>
          <w:sz w:val="26"/>
          <w:szCs w:val="26"/>
        </w:rPr>
      </w:pPr>
    </w:p>
    <w:p w14:paraId="2CAD7FCF" w14:textId="77777777" w:rsidR="00E57ED2" w:rsidRDefault="00E57ED2" w:rsidP="00E57ED2">
      <w:pPr>
        <w:pStyle w:val="a9"/>
        <w:spacing w:after="0" w:line="360" w:lineRule="auto"/>
        <w:rPr>
          <w:rFonts w:ascii="Miriam" w:hAnsi="Miriam" w:cs="Miriam"/>
          <w:sz w:val="26"/>
          <w:szCs w:val="26"/>
          <w:rtl/>
        </w:rPr>
      </w:pPr>
      <w:r>
        <w:rPr>
          <w:rFonts w:ascii="Miriam" w:hAnsi="Miriam" w:cs="Miriam"/>
          <w:sz w:val="26"/>
          <w:szCs w:val="26"/>
          <w:rtl/>
        </w:rPr>
        <w:t>העונש הראוי</w:t>
      </w:r>
    </w:p>
    <w:p w14:paraId="170CF527" w14:textId="77777777" w:rsidR="00E57ED2" w:rsidRDefault="00E57ED2" w:rsidP="00E57ED2">
      <w:pPr>
        <w:pStyle w:val="a9"/>
        <w:numPr>
          <w:ilvl w:val="0"/>
          <w:numId w:val="1"/>
        </w:numPr>
        <w:spacing w:after="0" w:line="360" w:lineRule="auto"/>
        <w:jc w:val="both"/>
        <w:rPr>
          <w:rFonts w:ascii="David" w:hAnsi="David" w:cs="David"/>
          <w:sz w:val="26"/>
          <w:szCs w:val="26"/>
          <w:rtl/>
        </w:rPr>
      </w:pPr>
      <w:r>
        <w:rPr>
          <w:rFonts w:ascii="David" w:hAnsi="David" w:cs="David"/>
          <w:sz w:val="26"/>
          <w:szCs w:val="26"/>
          <w:rtl/>
        </w:rPr>
        <w:t>אין חולק כי העיקרון המנחה בענישה, כפי שנקבע במסגרת תיקון 113 ל</w:t>
      </w:r>
      <w:hyperlink r:id="rId19" w:history="1">
        <w:r w:rsidR="003558A3" w:rsidRPr="003558A3">
          <w:rPr>
            <w:rFonts w:ascii="David" w:hAnsi="David" w:cs="David"/>
            <w:color w:val="0000FF"/>
            <w:sz w:val="26"/>
            <w:szCs w:val="26"/>
            <w:u w:val="single"/>
            <w:rtl/>
          </w:rPr>
          <w:t>חוק העונשין</w:t>
        </w:r>
      </w:hyperlink>
      <w:r>
        <w:rPr>
          <w:rFonts w:ascii="David" w:hAnsi="David" w:cs="David"/>
          <w:sz w:val="26"/>
          <w:szCs w:val="26"/>
          <w:rtl/>
        </w:rPr>
        <w:t>, התשל"ז-1977, הוא עקרון ההלימה (</w:t>
      </w:r>
      <w:hyperlink r:id="rId20" w:history="1">
        <w:r w:rsidR="00D47A79" w:rsidRPr="00D47A79">
          <w:rPr>
            <w:rStyle w:val="Hyperlink"/>
            <w:rFonts w:ascii="David" w:hAnsi="David" w:cs="David"/>
            <w:sz w:val="26"/>
            <w:szCs w:val="26"/>
            <w:rtl/>
          </w:rPr>
          <w:t>סעיף 40ב</w:t>
        </w:r>
      </w:hyperlink>
      <w:r>
        <w:rPr>
          <w:rFonts w:ascii="David" w:hAnsi="David" w:cs="David"/>
          <w:sz w:val="26"/>
          <w:szCs w:val="26"/>
          <w:rtl/>
        </w:rPr>
        <w:t xml:space="preserve"> לחוק). "עקרון ההלימה הוא הכלל המרכזי בתורת הענישה על פי </w:t>
      </w:r>
      <w:hyperlink r:id="rId21" w:history="1">
        <w:r w:rsidR="003558A3" w:rsidRPr="003558A3">
          <w:rPr>
            <w:rFonts w:ascii="David" w:hAnsi="David" w:cs="David"/>
            <w:color w:val="0000FF"/>
            <w:sz w:val="26"/>
            <w:szCs w:val="26"/>
            <w:u w:val="single"/>
            <w:rtl/>
          </w:rPr>
          <w:t>חוק העונשין</w:t>
        </w:r>
      </w:hyperlink>
      <w:r>
        <w:rPr>
          <w:rFonts w:ascii="David" w:hAnsi="David" w:cs="David"/>
          <w:sz w:val="26"/>
          <w:szCs w:val="26"/>
          <w:rtl/>
        </w:rPr>
        <w:t>" (</w:t>
      </w:r>
      <w:hyperlink r:id="rId22" w:history="1">
        <w:r w:rsidR="003558A3" w:rsidRPr="003558A3">
          <w:rPr>
            <w:rFonts w:ascii="David" w:hAnsi="David" w:cs="David"/>
            <w:color w:val="0000FF"/>
            <w:sz w:val="26"/>
            <w:szCs w:val="26"/>
            <w:u w:val="single"/>
            <w:rtl/>
          </w:rPr>
          <w:t>ע"פ 2336/20</w:t>
        </w:r>
      </w:hyperlink>
      <w:r>
        <w:rPr>
          <w:rFonts w:ascii="David" w:hAnsi="David" w:cs="David"/>
          <w:sz w:val="26"/>
          <w:szCs w:val="26"/>
          <w:rtl/>
        </w:rPr>
        <w:t xml:space="preserve"> </w:t>
      </w:r>
      <w:r>
        <w:rPr>
          <w:rFonts w:ascii="David" w:hAnsi="David" w:cs="David"/>
          <w:b/>
          <w:bCs/>
          <w:sz w:val="26"/>
          <w:szCs w:val="26"/>
          <w:rtl/>
        </w:rPr>
        <w:t>פלוני נ' מדינת ישראל</w:t>
      </w:r>
      <w:r>
        <w:rPr>
          <w:rFonts w:ascii="David" w:hAnsi="David" w:cs="David"/>
          <w:sz w:val="26"/>
          <w:szCs w:val="26"/>
          <w:rtl/>
        </w:rPr>
        <w:t>, מיום 25.8.21, בפסקה 2 לפסק-הדין). על רקע הוראה זו נקבע כי התיקון מעניק "בכורה, אם כי לא בלעדיות, לעקרון ההלימות, הוא – עקרון הגמול" (</w:t>
      </w:r>
      <w:hyperlink r:id="rId23" w:history="1">
        <w:r w:rsidR="003558A3" w:rsidRPr="003558A3">
          <w:rPr>
            <w:rFonts w:ascii="David" w:hAnsi="David" w:cs="David"/>
            <w:color w:val="0000FF"/>
            <w:sz w:val="26"/>
            <w:szCs w:val="26"/>
            <w:u w:val="single"/>
            <w:rtl/>
          </w:rPr>
          <w:t>ע"פ 8641/12</w:t>
        </w:r>
      </w:hyperlink>
      <w:r>
        <w:rPr>
          <w:rFonts w:ascii="David" w:hAnsi="David" w:cs="David"/>
          <w:sz w:val="26"/>
          <w:szCs w:val="26"/>
          <w:rtl/>
        </w:rPr>
        <w:t xml:space="preserve"> </w:t>
      </w:r>
      <w:r>
        <w:rPr>
          <w:rFonts w:ascii="David" w:hAnsi="David" w:cs="David"/>
          <w:b/>
          <w:bCs/>
          <w:sz w:val="26"/>
          <w:szCs w:val="26"/>
          <w:rtl/>
        </w:rPr>
        <w:t>סעד נ' מדינת ישראל</w:t>
      </w:r>
      <w:r>
        <w:rPr>
          <w:rFonts w:ascii="David" w:hAnsi="David" w:cs="David"/>
          <w:sz w:val="26"/>
          <w:szCs w:val="26"/>
          <w:rtl/>
        </w:rPr>
        <w:t xml:space="preserve">, מיום 5.8.13, בפסקה 21 לפסק-הדין; ההדגשות במקור – ר.ו.), וכי יש לראותו כעיקרון בעל "מעמד על" בתחום הענישה, שמטרתו </w:t>
      </w:r>
      <w:r>
        <w:rPr>
          <w:rFonts w:ascii="David" w:hAnsi="David" w:cs="David"/>
          <w:sz w:val="26"/>
          <w:szCs w:val="26"/>
          <w:rtl/>
          <w:lang w:val="en-GB"/>
        </w:rPr>
        <w:t>לכונן מחדש "את שיווי המשקל המוסרי שהופר" על ידי מעשי העבריין בדרך בה יהא עונשו "שקול כנגד מה שעולל לקורבנו" (</w:t>
      </w:r>
      <w:hyperlink r:id="rId24" w:history="1">
        <w:r w:rsidR="003558A3" w:rsidRPr="003558A3">
          <w:rPr>
            <w:rFonts w:ascii="David" w:hAnsi="David" w:cs="David"/>
            <w:color w:val="0000FF"/>
            <w:sz w:val="26"/>
            <w:szCs w:val="26"/>
            <w:u w:val="single"/>
            <w:rtl/>
            <w:lang w:val="en-GB"/>
          </w:rPr>
          <w:t>ע"פ 3792/18</w:t>
        </w:r>
      </w:hyperlink>
      <w:r>
        <w:rPr>
          <w:rFonts w:ascii="David" w:hAnsi="David" w:cs="David"/>
          <w:sz w:val="26"/>
          <w:szCs w:val="26"/>
          <w:rtl/>
          <w:lang w:val="en-GB"/>
        </w:rPr>
        <w:t xml:space="preserve"> </w:t>
      </w:r>
      <w:r>
        <w:rPr>
          <w:rFonts w:ascii="David" w:hAnsi="David" w:cs="David"/>
          <w:b/>
          <w:bCs/>
          <w:sz w:val="26"/>
          <w:szCs w:val="26"/>
          <w:rtl/>
          <w:lang w:val="en-GB"/>
        </w:rPr>
        <w:t>פלוני נ' מדינת ישראל</w:t>
      </w:r>
      <w:r>
        <w:rPr>
          <w:rFonts w:ascii="David" w:hAnsi="David" w:cs="David"/>
          <w:sz w:val="26"/>
          <w:szCs w:val="26"/>
          <w:rtl/>
          <w:lang w:val="en-GB"/>
        </w:rPr>
        <w:t xml:space="preserve">, מיום 11.11.18, בפסקה 20 לפסק-הדין; </w:t>
      </w:r>
      <w:r>
        <w:rPr>
          <w:rFonts w:ascii="David" w:hAnsi="David" w:cs="David"/>
          <w:sz w:val="26"/>
          <w:szCs w:val="26"/>
          <w:rtl/>
        </w:rPr>
        <w:t xml:space="preserve">לקביעה לפיה עקרון ההלימה הוא העקרון המכונן שבבסיס התיקון לחוק, ולמדיניות הענישה שמכוחו ראו לדוגמה </w:t>
      </w:r>
      <w:hyperlink r:id="rId25" w:history="1">
        <w:r w:rsidR="003558A3" w:rsidRPr="003558A3">
          <w:rPr>
            <w:rFonts w:ascii="David" w:hAnsi="David" w:cs="David"/>
            <w:color w:val="0000FF"/>
            <w:sz w:val="26"/>
            <w:szCs w:val="26"/>
            <w:u w:val="single"/>
            <w:rtl/>
          </w:rPr>
          <w:t>ע"פ 5919/13</w:t>
        </w:r>
      </w:hyperlink>
      <w:r>
        <w:rPr>
          <w:rFonts w:ascii="David" w:hAnsi="David" w:cs="David"/>
          <w:sz w:val="26"/>
          <w:szCs w:val="26"/>
          <w:rtl/>
        </w:rPr>
        <w:t xml:space="preserve"> </w:t>
      </w:r>
      <w:r>
        <w:rPr>
          <w:rFonts w:ascii="David" w:hAnsi="David" w:cs="David"/>
          <w:b/>
          <w:bCs/>
          <w:sz w:val="26"/>
          <w:szCs w:val="26"/>
          <w:rtl/>
        </w:rPr>
        <w:t>פלוני נ' מדינת ישראל</w:t>
      </w:r>
      <w:r>
        <w:rPr>
          <w:rFonts w:ascii="David" w:hAnsi="David" w:cs="David"/>
          <w:sz w:val="26"/>
          <w:szCs w:val="26"/>
          <w:rtl/>
        </w:rPr>
        <w:t xml:space="preserve">, מיום 25.3.14, בפסקה 22 לפסק-הדין; </w:t>
      </w:r>
      <w:hyperlink r:id="rId26" w:history="1">
        <w:r w:rsidR="003558A3" w:rsidRPr="003558A3">
          <w:rPr>
            <w:rFonts w:ascii="David" w:hAnsi="David" w:cs="David"/>
            <w:color w:val="0000FF"/>
            <w:sz w:val="26"/>
            <w:szCs w:val="26"/>
            <w:u w:val="single"/>
            <w:rtl/>
          </w:rPr>
          <w:t>ע"פ 8045/17</w:t>
        </w:r>
      </w:hyperlink>
      <w:r>
        <w:rPr>
          <w:rFonts w:ascii="David" w:hAnsi="David" w:cs="David"/>
          <w:sz w:val="26"/>
          <w:szCs w:val="26"/>
          <w:rtl/>
        </w:rPr>
        <w:t xml:space="preserve"> </w:t>
      </w:r>
      <w:r>
        <w:rPr>
          <w:rFonts w:ascii="David" w:hAnsi="David" w:cs="David"/>
          <w:b/>
          <w:bCs/>
          <w:sz w:val="26"/>
          <w:szCs w:val="26"/>
          <w:rtl/>
        </w:rPr>
        <w:t>בראנסי נ' מדינת ישראל</w:t>
      </w:r>
      <w:r>
        <w:rPr>
          <w:rFonts w:ascii="David" w:hAnsi="David" w:cs="David"/>
          <w:sz w:val="26"/>
          <w:szCs w:val="26"/>
          <w:rtl/>
        </w:rPr>
        <w:t xml:space="preserve">, מיום 16.8.18, בפסקה 22 לפסק-הדין, להלן: הלכת </w:t>
      </w:r>
      <w:r>
        <w:rPr>
          <w:rFonts w:ascii="David" w:hAnsi="David" w:cs="David"/>
          <w:b/>
          <w:bCs/>
          <w:sz w:val="26"/>
          <w:szCs w:val="26"/>
          <w:rtl/>
        </w:rPr>
        <w:t>בראנסי</w:t>
      </w:r>
      <w:r>
        <w:rPr>
          <w:rFonts w:ascii="David" w:hAnsi="David" w:cs="David"/>
          <w:sz w:val="26"/>
          <w:szCs w:val="26"/>
          <w:rtl/>
        </w:rPr>
        <w:t>; ודעת הרוב ב</w:t>
      </w:r>
      <w:hyperlink r:id="rId27" w:history="1">
        <w:r w:rsidR="003558A3" w:rsidRPr="003558A3">
          <w:rPr>
            <w:rFonts w:ascii="David" w:hAnsi="David" w:cs="David"/>
            <w:color w:val="0000FF"/>
            <w:sz w:val="26"/>
            <w:szCs w:val="26"/>
            <w:u w:val="single"/>
            <w:rtl/>
          </w:rPr>
          <w:t>ע"פ 2667/18</w:t>
        </w:r>
      </w:hyperlink>
      <w:r>
        <w:rPr>
          <w:rFonts w:ascii="David" w:hAnsi="David" w:cs="David"/>
          <w:sz w:val="26"/>
          <w:szCs w:val="26"/>
          <w:rtl/>
        </w:rPr>
        <w:t xml:space="preserve"> </w:t>
      </w:r>
      <w:r>
        <w:rPr>
          <w:rFonts w:ascii="David" w:hAnsi="David" w:cs="David"/>
          <w:b/>
          <w:bCs/>
          <w:sz w:val="26"/>
          <w:szCs w:val="26"/>
          <w:rtl/>
        </w:rPr>
        <w:t xml:space="preserve">יואל יצחק נ' מדינת ישראל, </w:t>
      </w:r>
      <w:r>
        <w:rPr>
          <w:rFonts w:ascii="David" w:hAnsi="David" w:cs="David"/>
          <w:sz w:val="26"/>
          <w:szCs w:val="26"/>
          <w:rtl/>
        </w:rPr>
        <w:t>מיום 10.10.18). מאליו מובן כי על בית המשפט להתחשב גם בשיקולי ענישה נוספים, דוגמת השיקום, ההגנה על הציבור וההרתעה האישית והכללית (</w:t>
      </w:r>
      <w:hyperlink r:id="rId28" w:history="1">
        <w:r w:rsidR="003558A3" w:rsidRPr="003558A3">
          <w:rPr>
            <w:rFonts w:ascii="David" w:hAnsi="David" w:cs="David"/>
            <w:color w:val="0000FF"/>
            <w:sz w:val="26"/>
            <w:szCs w:val="26"/>
            <w:u w:val="single"/>
            <w:rtl/>
          </w:rPr>
          <w:t>ע"פ 7907/14</w:t>
        </w:r>
      </w:hyperlink>
      <w:r>
        <w:rPr>
          <w:rFonts w:ascii="David" w:hAnsi="David" w:cs="David"/>
          <w:sz w:val="26"/>
          <w:szCs w:val="26"/>
          <w:rtl/>
        </w:rPr>
        <w:t xml:space="preserve"> </w:t>
      </w:r>
      <w:r>
        <w:rPr>
          <w:rFonts w:ascii="David" w:hAnsi="David" w:cs="David"/>
          <w:b/>
          <w:bCs/>
          <w:sz w:val="26"/>
          <w:szCs w:val="26"/>
          <w:rtl/>
        </w:rPr>
        <w:t>ואזנה נ' מדינת ישראל</w:t>
      </w:r>
      <w:r>
        <w:rPr>
          <w:rFonts w:ascii="David" w:hAnsi="David" w:cs="David"/>
          <w:sz w:val="26"/>
          <w:szCs w:val="26"/>
          <w:rtl/>
        </w:rPr>
        <w:t xml:space="preserve">, מיום 22.2.15, בפסקאות 18-14 לפסק-הדין; </w:t>
      </w:r>
      <w:hyperlink r:id="rId29" w:history="1">
        <w:r w:rsidR="003558A3" w:rsidRPr="003558A3">
          <w:rPr>
            <w:rFonts w:ascii="David" w:hAnsi="David" w:cs="David"/>
            <w:color w:val="0000FF"/>
            <w:sz w:val="26"/>
            <w:szCs w:val="26"/>
            <w:u w:val="single"/>
            <w:rtl/>
          </w:rPr>
          <w:t>ע"פ 2859/18</w:t>
        </w:r>
      </w:hyperlink>
      <w:r>
        <w:rPr>
          <w:rFonts w:ascii="David" w:hAnsi="David" w:cs="David"/>
          <w:sz w:val="26"/>
          <w:szCs w:val="26"/>
          <w:rtl/>
        </w:rPr>
        <w:t xml:space="preserve"> </w:t>
      </w:r>
      <w:r>
        <w:rPr>
          <w:rFonts w:ascii="David" w:hAnsi="David" w:cs="David"/>
          <w:b/>
          <w:bCs/>
          <w:sz w:val="26"/>
          <w:szCs w:val="26"/>
          <w:rtl/>
        </w:rPr>
        <w:t>ח'ארוף נ' מדינת ישראל</w:t>
      </w:r>
      <w:r>
        <w:rPr>
          <w:rFonts w:ascii="David" w:hAnsi="David" w:cs="David"/>
          <w:sz w:val="26"/>
          <w:szCs w:val="26"/>
          <w:rtl/>
        </w:rPr>
        <w:t xml:space="preserve">, מיום 11.11.18, בפסקה 2 לפסק-הדין).  </w:t>
      </w:r>
    </w:p>
    <w:p w14:paraId="6725A18C" w14:textId="77777777" w:rsidR="00E57ED2" w:rsidRDefault="00E57ED2" w:rsidP="00E57ED2">
      <w:pPr>
        <w:pStyle w:val="a9"/>
        <w:spacing w:after="0" w:line="360" w:lineRule="auto"/>
        <w:rPr>
          <w:rFonts w:ascii="David" w:hAnsi="David" w:cs="David"/>
          <w:sz w:val="26"/>
          <w:szCs w:val="26"/>
        </w:rPr>
      </w:pPr>
    </w:p>
    <w:p w14:paraId="29B36388" w14:textId="77777777" w:rsidR="00E57ED2" w:rsidRDefault="00E57ED2" w:rsidP="00E57ED2">
      <w:pPr>
        <w:pStyle w:val="a9"/>
        <w:numPr>
          <w:ilvl w:val="0"/>
          <w:numId w:val="1"/>
        </w:numPr>
        <w:spacing w:after="0" w:line="360" w:lineRule="auto"/>
        <w:ind w:hanging="636"/>
        <w:jc w:val="both"/>
        <w:rPr>
          <w:rFonts w:ascii="David" w:hAnsi="David" w:cs="David"/>
          <w:sz w:val="26"/>
          <w:szCs w:val="26"/>
          <w:rtl/>
        </w:rPr>
      </w:pPr>
      <w:r>
        <w:rPr>
          <w:rFonts w:ascii="Miriam" w:hAnsi="Miriam" w:cs="Miriam"/>
          <w:sz w:val="24"/>
          <w:szCs w:val="24"/>
          <w:rtl/>
        </w:rPr>
        <w:t>הערך החברתי שנפגע בגין ביצוע העבירה</w:t>
      </w:r>
      <w:r>
        <w:rPr>
          <w:rFonts w:ascii="David" w:hAnsi="David" w:cs="David"/>
          <w:sz w:val="24"/>
          <w:szCs w:val="24"/>
          <w:rtl/>
        </w:rPr>
        <w:t xml:space="preserve"> </w:t>
      </w:r>
      <w:r>
        <w:rPr>
          <w:rFonts w:ascii="David" w:hAnsi="David" w:cs="David"/>
          <w:sz w:val="26"/>
          <w:szCs w:val="26"/>
          <w:rtl/>
        </w:rPr>
        <w:t xml:space="preserve">בה הודה הנאשם הוא הנזק הנלווה לשימוש בסמים מסוכנים, הפוגע בכל שכבות החברה. נזק זה בא לידי ביטוי לא רק בנזקים הישירים למשתמשים בסם עצמם, אלא גם לנזקים העקיפים לחברה כולה הסובלת הן מהנטל המוטל עליה בשל הצורך בטיפול בנפגעי השימוש בסם, הן מתוצאות העבירות שמבוצעות על ידי מכורים לסם לצורך מימון השימוש בסם. במקרה דנא, מדובר </w:t>
      </w:r>
      <w:r>
        <w:rPr>
          <w:rFonts w:ascii="Miriam" w:hAnsi="Miriam" w:cs="Miriam"/>
          <w:sz w:val="24"/>
          <w:szCs w:val="24"/>
          <w:rtl/>
        </w:rPr>
        <w:t>בפגיעה ממשית בערך המוגן</w:t>
      </w:r>
      <w:r>
        <w:rPr>
          <w:rFonts w:ascii="David" w:hAnsi="David" w:cs="David"/>
          <w:sz w:val="26"/>
          <w:szCs w:val="26"/>
          <w:rtl/>
        </w:rPr>
        <w:t xml:space="preserve">, לנוכח כמות הסם שהיתה מעורבת בעסקת התיווך – 991 טבליות אקסטזי שנמכרו במחיר של 22,000 ₪. מהפסיקה עולה כי לסוגיית כמות הסם, טיבו ומחירו נודע משקל ממשי לצורך קביעת מתחם הענישה. אשר </w:t>
      </w:r>
      <w:r>
        <w:rPr>
          <w:rFonts w:ascii="Miriam" w:hAnsi="Miriam" w:cs="Miriam"/>
          <w:sz w:val="24"/>
          <w:szCs w:val="24"/>
          <w:rtl/>
        </w:rPr>
        <w:t>לנסיבות הקשורות בביצוע העבירה</w:t>
      </w:r>
      <w:r>
        <w:rPr>
          <w:rFonts w:ascii="David" w:hAnsi="David" w:cs="David"/>
          <w:sz w:val="26"/>
          <w:szCs w:val="26"/>
          <w:rtl/>
        </w:rPr>
        <w:t xml:space="preserve">, הרי שמדובר בעבירה שבוצעה לאחר דין ודברים שהחל כשבוע קודם לביצוע העבירה, בדרך שמצביעה על כך שקדם לביצוע העבירה תכנון. השיחה הראשונה שהתקיימה בין הנאשם לסוכן מצביעה לכאורה על נגישות לכמויות גדולות של סם, וניהול המשא ומתן בנוגע למחיר יש בו כדי לתמוך בטענה כי מדובר במעורבות גבוהה יחסית בתוך המנעד האפשרי של עבירות התיווך בסם (השוו: </w:t>
      </w:r>
      <w:hyperlink r:id="rId30" w:history="1">
        <w:r w:rsidR="003558A3" w:rsidRPr="003558A3">
          <w:rPr>
            <w:rFonts w:ascii="David" w:hAnsi="David" w:cs="David"/>
            <w:color w:val="0000FF"/>
            <w:sz w:val="26"/>
            <w:szCs w:val="26"/>
            <w:u w:val="single"/>
            <w:rtl/>
          </w:rPr>
          <w:t>ע"פ 3578/12</w:t>
        </w:r>
      </w:hyperlink>
      <w:r>
        <w:rPr>
          <w:rFonts w:ascii="David" w:hAnsi="David" w:cs="David"/>
          <w:sz w:val="26"/>
          <w:szCs w:val="26"/>
          <w:rtl/>
        </w:rPr>
        <w:t xml:space="preserve"> </w:t>
      </w:r>
      <w:r>
        <w:rPr>
          <w:rFonts w:ascii="David" w:hAnsi="David" w:cs="David"/>
          <w:b/>
          <w:bCs/>
          <w:sz w:val="26"/>
          <w:szCs w:val="26"/>
          <w:rtl/>
        </w:rPr>
        <w:t>עזמה נ' מדינת ישראל</w:t>
      </w:r>
      <w:r>
        <w:rPr>
          <w:rFonts w:ascii="David" w:hAnsi="David" w:cs="David"/>
          <w:sz w:val="26"/>
          <w:szCs w:val="26"/>
          <w:rtl/>
        </w:rPr>
        <w:t>, מיום 17.1.13). עם זאת, מעובדות כתב האישום ניתן ללמוד כי העבירה בוצעה רק לאחר פניות חוזרות ונשנות של הסוכן, ובכלל זה 14 פניות ביום האירוע עצמו, וכי המעורב העיקרי בעסקה הוא, ככל הנראה, אותו אדם אחר שהיה עם הנאשם ברכב בעת ביצוע העסקה ולא הועמד לדין. מאחר שבפועל מדובר בעסקה בודדת, ולא נטען כי הנאשם היה מעורב בעסקאות נוספות, הרי שעל אף ההתנהלות בכל הנוגע לעסקה לא ניתן לראותו כמי שהיה נטוע בעולם הסמים ומצוי בחלק העליון של פירמידת ביצוע העבירה.</w:t>
      </w:r>
    </w:p>
    <w:p w14:paraId="61FE32EB" w14:textId="77777777" w:rsidR="00E57ED2" w:rsidRDefault="00E57ED2" w:rsidP="00E57ED2">
      <w:pPr>
        <w:pStyle w:val="a9"/>
        <w:spacing w:after="0" w:line="360" w:lineRule="auto"/>
        <w:jc w:val="both"/>
        <w:rPr>
          <w:rFonts w:ascii="David" w:hAnsi="David" w:cs="David"/>
          <w:sz w:val="26"/>
          <w:szCs w:val="26"/>
        </w:rPr>
      </w:pPr>
    </w:p>
    <w:p w14:paraId="6FF44B64" w14:textId="77777777" w:rsidR="00E57ED2" w:rsidRDefault="00E57ED2" w:rsidP="00E57ED2">
      <w:pPr>
        <w:pStyle w:val="a9"/>
        <w:numPr>
          <w:ilvl w:val="0"/>
          <w:numId w:val="1"/>
        </w:numPr>
        <w:spacing w:after="0" w:line="360" w:lineRule="auto"/>
        <w:ind w:hanging="636"/>
        <w:jc w:val="both"/>
        <w:rPr>
          <w:rFonts w:ascii="David" w:hAnsi="David" w:cs="David"/>
          <w:sz w:val="26"/>
          <w:szCs w:val="26"/>
        </w:rPr>
      </w:pPr>
      <w:r>
        <w:rPr>
          <w:rFonts w:ascii="Miriam" w:hAnsi="Miriam" w:cs="Miriam"/>
          <w:sz w:val="24"/>
          <w:szCs w:val="24"/>
          <w:rtl/>
        </w:rPr>
        <w:t>הנזק שהיה צפוי להיגרם מביצוע העבירה</w:t>
      </w:r>
      <w:r>
        <w:rPr>
          <w:rFonts w:ascii="David" w:hAnsi="David" w:cs="David"/>
          <w:sz w:val="24"/>
          <w:szCs w:val="24"/>
          <w:rtl/>
        </w:rPr>
        <w:t xml:space="preserve"> </w:t>
      </w:r>
      <w:r>
        <w:rPr>
          <w:rFonts w:ascii="David" w:hAnsi="David" w:cs="David"/>
          <w:sz w:val="26"/>
          <w:szCs w:val="26"/>
          <w:rtl/>
        </w:rPr>
        <w:t xml:space="preserve">הוא נזק פוטנציאלי משמעותי אם אכן היו הסמים מגיעים לידיו של קונה מן השורה או לידיו של סוחר סמים (אין מחלוקת כי במקרה זה הסמים נתפסו והושמדו). אשר </w:t>
      </w:r>
      <w:r>
        <w:rPr>
          <w:rFonts w:ascii="Miriam" w:hAnsi="Miriam" w:cs="Miriam"/>
          <w:sz w:val="24"/>
          <w:szCs w:val="24"/>
          <w:rtl/>
        </w:rPr>
        <w:t>לסיבות שהביאו את הנאשם לביצוע העבירה,</w:t>
      </w:r>
      <w:r>
        <w:rPr>
          <w:rFonts w:ascii="David" w:hAnsi="David" w:cs="David"/>
          <w:sz w:val="26"/>
          <w:szCs w:val="26"/>
          <w:rtl/>
        </w:rPr>
        <w:t xml:space="preserve"> אין חולק כי אלה נעוצות במצב הכלכלי הקשה אליו הגיע הנאשם לאחר שנים רבות של קשיים במציאת עבודה בשל עברו הפלילי. </w:t>
      </w:r>
    </w:p>
    <w:p w14:paraId="09FD3C5C" w14:textId="77777777" w:rsidR="00E57ED2" w:rsidRDefault="00E57ED2" w:rsidP="00E57ED2">
      <w:pPr>
        <w:pStyle w:val="a9"/>
        <w:spacing w:after="0" w:line="360" w:lineRule="auto"/>
        <w:rPr>
          <w:rFonts w:ascii="David" w:hAnsi="David" w:cs="David"/>
          <w:sz w:val="26"/>
          <w:szCs w:val="26"/>
        </w:rPr>
      </w:pPr>
    </w:p>
    <w:p w14:paraId="530140CE" w14:textId="77777777" w:rsidR="00E57ED2" w:rsidRDefault="00E57ED2" w:rsidP="00E57ED2">
      <w:pPr>
        <w:pStyle w:val="a9"/>
        <w:numPr>
          <w:ilvl w:val="0"/>
          <w:numId w:val="1"/>
        </w:numPr>
        <w:spacing w:after="0" w:line="360" w:lineRule="auto"/>
        <w:jc w:val="both"/>
        <w:rPr>
          <w:rFonts w:ascii="David" w:hAnsi="David" w:cs="David"/>
          <w:sz w:val="26"/>
          <w:szCs w:val="26"/>
          <w:rtl/>
        </w:rPr>
      </w:pPr>
      <w:r>
        <w:rPr>
          <w:rFonts w:ascii="David" w:hAnsi="David" w:cs="David"/>
          <w:sz w:val="26"/>
          <w:szCs w:val="26"/>
          <w:rtl/>
        </w:rPr>
        <w:t>בחינה של מדיניות הענישה הנוהגת בעבירות מעין אלה מביאה למסקנה כי קשת העונשים שהושתו על עבירות דומות היא מגוונת עד מאוד:</w:t>
      </w:r>
    </w:p>
    <w:p w14:paraId="721FFF31" w14:textId="77777777" w:rsidR="00E57ED2" w:rsidRDefault="00E57ED2" w:rsidP="00E57ED2">
      <w:pPr>
        <w:pStyle w:val="a9"/>
        <w:spacing w:after="0" w:line="360" w:lineRule="auto"/>
        <w:rPr>
          <w:rFonts w:ascii="David" w:hAnsi="David" w:cs="David"/>
          <w:sz w:val="26"/>
          <w:szCs w:val="26"/>
        </w:rPr>
      </w:pPr>
    </w:p>
    <w:p w14:paraId="508DEB44" w14:textId="77777777" w:rsidR="00E57ED2" w:rsidRDefault="00E57ED2" w:rsidP="00E57ED2">
      <w:pPr>
        <w:pStyle w:val="a9"/>
        <w:spacing w:after="0" w:line="360" w:lineRule="auto"/>
        <w:jc w:val="both"/>
        <w:rPr>
          <w:rFonts w:ascii="David" w:hAnsi="David" w:cs="David"/>
          <w:sz w:val="26"/>
          <w:szCs w:val="26"/>
          <w:rtl/>
        </w:rPr>
      </w:pPr>
      <w:r>
        <w:rPr>
          <w:rFonts w:ascii="David" w:hAnsi="David" w:cs="David"/>
          <w:sz w:val="26"/>
          <w:szCs w:val="26"/>
          <w:rtl/>
        </w:rPr>
        <w:t>כך, לדוגמה, ב</w:t>
      </w:r>
      <w:hyperlink r:id="rId31" w:history="1">
        <w:r w:rsidR="003558A3" w:rsidRPr="003558A3">
          <w:rPr>
            <w:rFonts w:ascii="David" w:hAnsi="David" w:cs="David"/>
            <w:color w:val="0000FF"/>
            <w:sz w:val="26"/>
            <w:szCs w:val="26"/>
            <w:u w:val="single"/>
            <w:rtl/>
          </w:rPr>
          <w:t>ת"פ (חי') 31359-12-11</w:t>
        </w:r>
      </w:hyperlink>
      <w:r>
        <w:rPr>
          <w:rFonts w:ascii="David" w:hAnsi="David" w:cs="David"/>
          <w:sz w:val="26"/>
          <w:szCs w:val="26"/>
          <w:rtl/>
        </w:rPr>
        <w:t xml:space="preserve"> </w:t>
      </w:r>
      <w:r>
        <w:rPr>
          <w:rFonts w:ascii="David" w:hAnsi="David" w:cs="David"/>
          <w:b/>
          <w:bCs/>
          <w:sz w:val="26"/>
          <w:szCs w:val="26"/>
          <w:rtl/>
        </w:rPr>
        <w:t>מדינת ישראל נ' שרכס</w:t>
      </w:r>
      <w:r>
        <w:rPr>
          <w:rFonts w:ascii="David" w:hAnsi="David" w:cs="David"/>
          <w:sz w:val="26"/>
          <w:szCs w:val="26"/>
          <w:rtl/>
        </w:rPr>
        <w:t>, מיום 6.5.13, נקבע בעניינו של הנאשם 4  מתחם ענישה שנע בין 12 ל-30 חודשי מאסר בפועל על עבירת תיווך של 3,000 טבליות של אקסטזי, כאשר נאשם זה אמר לסוכן שבאפשרותו להשיג אלפי טבליות נוספות, והתיווך נעשה בשני מקרים שונים; ב</w:t>
      </w:r>
      <w:hyperlink r:id="rId32" w:history="1">
        <w:r w:rsidR="003558A3" w:rsidRPr="003558A3">
          <w:rPr>
            <w:rFonts w:ascii="David" w:hAnsi="David" w:cs="David"/>
            <w:color w:val="0000FF"/>
            <w:sz w:val="26"/>
            <w:szCs w:val="26"/>
            <w:u w:val="single"/>
            <w:rtl/>
          </w:rPr>
          <w:t>ת"פ (מרכז) 56235-06-13</w:t>
        </w:r>
      </w:hyperlink>
      <w:r>
        <w:rPr>
          <w:rFonts w:ascii="David" w:hAnsi="David" w:cs="David"/>
          <w:sz w:val="26"/>
          <w:szCs w:val="26"/>
          <w:rtl/>
        </w:rPr>
        <w:t xml:space="preserve"> </w:t>
      </w:r>
      <w:r>
        <w:rPr>
          <w:rFonts w:ascii="David" w:hAnsi="David" w:cs="David"/>
          <w:b/>
          <w:bCs/>
          <w:sz w:val="26"/>
          <w:szCs w:val="26"/>
          <w:rtl/>
        </w:rPr>
        <w:t>מדינת ישראל נ' גבריאל</w:t>
      </w:r>
      <w:r>
        <w:rPr>
          <w:rFonts w:ascii="David" w:hAnsi="David" w:cs="David"/>
          <w:sz w:val="26"/>
          <w:szCs w:val="26"/>
          <w:rtl/>
        </w:rPr>
        <w:t>, מיום 14.9.16, נקבע כי מתחם הענישה עבור עבירת התיווך בסם (20 גרם קוקאין ו-20 גרם  הירואין) ינוע בין שמונה ל-18 חודשי מאסר; ב</w:t>
      </w:r>
      <w:hyperlink r:id="rId33" w:history="1">
        <w:r w:rsidR="003558A3" w:rsidRPr="003558A3">
          <w:rPr>
            <w:rFonts w:ascii="David" w:hAnsi="David" w:cs="David"/>
            <w:color w:val="0000FF"/>
            <w:sz w:val="26"/>
            <w:szCs w:val="26"/>
            <w:u w:val="single"/>
            <w:rtl/>
          </w:rPr>
          <w:t>ת"פ (מרכז) 44877-06-13</w:t>
        </w:r>
      </w:hyperlink>
      <w:r>
        <w:rPr>
          <w:rFonts w:ascii="David" w:hAnsi="David" w:cs="David"/>
          <w:sz w:val="26"/>
          <w:szCs w:val="26"/>
          <w:rtl/>
        </w:rPr>
        <w:t xml:space="preserve"> </w:t>
      </w:r>
      <w:r>
        <w:rPr>
          <w:rFonts w:ascii="David" w:hAnsi="David" w:cs="David"/>
          <w:b/>
          <w:bCs/>
          <w:sz w:val="26"/>
          <w:szCs w:val="26"/>
          <w:rtl/>
        </w:rPr>
        <w:t>מדינת ישראל נ' רפאילוב</w:t>
      </w:r>
      <w:r>
        <w:rPr>
          <w:rFonts w:ascii="David" w:hAnsi="David" w:cs="David"/>
          <w:sz w:val="26"/>
          <w:szCs w:val="26"/>
          <w:rtl/>
        </w:rPr>
        <w:t xml:space="preserve">, מיום 8.1.19, נקבע כי מתחם הענישה עבור עבירת התיווך בסם (50 גרם של קוקאין שנמכרו תמורת 19,000 ₪) ינוע בין שמונה ל-18 חודשי מאסר בפועל. </w:t>
      </w:r>
    </w:p>
    <w:p w14:paraId="6F878244" w14:textId="77777777" w:rsidR="00E57ED2" w:rsidRDefault="00E57ED2" w:rsidP="00E57ED2">
      <w:pPr>
        <w:pStyle w:val="a9"/>
        <w:spacing w:after="0" w:line="360" w:lineRule="auto"/>
        <w:jc w:val="both"/>
        <w:rPr>
          <w:rFonts w:ascii="David" w:hAnsi="David" w:cs="David"/>
          <w:sz w:val="26"/>
          <w:szCs w:val="26"/>
          <w:rtl/>
        </w:rPr>
      </w:pPr>
    </w:p>
    <w:p w14:paraId="3C9D607E" w14:textId="77777777" w:rsidR="00E57ED2" w:rsidRDefault="00E57ED2" w:rsidP="00E57ED2">
      <w:pPr>
        <w:pStyle w:val="a9"/>
        <w:spacing w:after="0" w:line="360" w:lineRule="auto"/>
        <w:jc w:val="both"/>
        <w:rPr>
          <w:rFonts w:ascii="David" w:hAnsi="David" w:cs="David"/>
          <w:sz w:val="26"/>
          <w:szCs w:val="26"/>
          <w:rtl/>
        </w:rPr>
      </w:pPr>
      <w:r>
        <w:rPr>
          <w:rFonts w:ascii="David" w:hAnsi="David" w:cs="David"/>
          <w:sz w:val="26"/>
          <w:szCs w:val="26"/>
          <w:rtl/>
        </w:rPr>
        <w:t>מאליו מובן שניתן למצוא בפסיקה מקרים בהם נקבעו מתחמים מחמירים יותר. לעניין זה אפנה, כדוגמה בלבד, לסקירה ב</w:t>
      </w:r>
      <w:hyperlink r:id="rId34" w:history="1">
        <w:r w:rsidR="003558A3" w:rsidRPr="003558A3">
          <w:rPr>
            <w:rFonts w:ascii="David" w:hAnsi="David" w:cs="David"/>
            <w:color w:val="0000FF"/>
            <w:sz w:val="26"/>
            <w:szCs w:val="26"/>
            <w:u w:val="single"/>
            <w:rtl/>
          </w:rPr>
          <w:t>ת"פ (מרכז) 13227-12-16</w:t>
        </w:r>
      </w:hyperlink>
      <w:r>
        <w:rPr>
          <w:rFonts w:ascii="David" w:hAnsi="David" w:cs="David"/>
          <w:sz w:val="26"/>
          <w:szCs w:val="26"/>
          <w:rtl/>
        </w:rPr>
        <w:t xml:space="preserve"> </w:t>
      </w:r>
      <w:r>
        <w:rPr>
          <w:rFonts w:ascii="David" w:hAnsi="David" w:cs="David"/>
          <w:b/>
          <w:bCs/>
          <w:sz w:val="26"/>
          <w:szCs w:val="26"/>
          <w:rtl/>
        </w:rPr>
        <w:t>מדינת ישראל נ' מניעי</w:t>
      </w:r>
      <w:r>
        <w:rPr>
          <w:rFonts w:ascii="David" w:hAnsi="David" w:cs="David"/>
          <w:sz w:val="26"/>
          <w:szCs w:val="26"/>
          <w:rtl/>
        </w:rPr>
        <w:t xml:space="preserve">, מיום 22.2.18, ממנה עולה כי על עבירת תיווך בקוקאין במשקל 47 גרם היה נקבע מתחם של 18 עד 36 חודשי מאסר; ראו גם </w:t>
      </w:r>
      <w:hyperlink r:id="rId35" w:history="1">
        <w:r w:rsidR="003558A3" w:rsidRPr="003558A3">
          <w:rPr>
            <w:rFonts w:ascii="David" w:hAnsi="David" w:cs="David"/>
            <w:color w:val="0000FF"/>
            <w:sz w:val="26"/>
            <w:szCs w:val="26"/>
            <w:u w:val="single"/>
            <w:rtl/>
          </w:rPr>
          <w:t>ת"פ (שלום פ"ת) 41678-09-20</w:t>
        </w:r>
      </w:hyperlink>
      <w:r>
        <w:rPr>
          <w:rFonts w:ascii="David" w:hAnsi="David" w:cs="David"/>
          <w:sz w:val="26"/>
          <w:szCs w:val="26"/>
          <w:rtl/>
        </w:rPr>
        <w:t xml:space="preserve"> </w:t>
      </w:r>
      <w:r>
        <w:rPr>
          <w:rFonts w:ascii="David" w:hAnsi="David" w:cs="David"/>
          <w:b/>
          <w:bCs/>
          <w:sz w:val="26"/>
          <w:szCs w:val="26"/>
          <w:rtl/>
        </w:rPr>
        <w:t>מדינת ישראל נ' גואברה</w:t>
      </w:r>
      <w:r>
        <w:rPr>
          <w:rFonts w:ascii="David" w:hAnsi="David" w:cs="David"/>
          <w:sz w:val="26"/>
          <w:szCs w:val="26"/>
          <w:rtl/>
        </w:rPr>
        <w:t xml:space="preserve">, מיום 7.6.21, שם נגזרו עונשי מאסר הנעים בין 19 ל- 32 חודשי מאסר בפועל על נאשמים שהורשעו במסגרת הסדרי טיעון בתיווך במספר עסקאות בקוקאין בסכום כולל של 21,400 ₪. </w:t>
      </w:r>
    </w:p>
    <w:p w14:paraId="7C8B89ED" w14:textId="77777777" w:rsidR="00E57ED2" w:rsidRDefault="00E57ED2" w:rsidP="00E57ED2">
      <w:pPr>
        <w:pStyle w:val="a9"/>
        <w:spacing w:after="0" w:line="360" w:lineRule="auto"/>
        <w:jc w:val="both"/>
        <w:rPr>
          <w:rFonts w:ascii="David" w:hAnsi="David" w:cs="David"/>
          <w:sz w:val="26"/>
          <w:szCs w:val="26"/>
          <w:rtl/>
        </w:rPr>
      </w:pPr>
    </w:p>
    <w:p w14:paraId="1037463B" w14:textId="77777777" w:rsidR="00E57ED2" w:rsidRDefault="00E57ED2" w:rsidP="00E57ED2">
      <w:pPr>
        <w:pStyle w:val="a9"/>
        <w:spacing w:after="0" w:line="360" w:lineRule="auto"/>
        <w:jc w:val="both"/>
        <w:rPr>
          <w:rFonts w:ascii="David" w:hAnsi="David" w:cs="David"/>
          <w:sz w:val="26"/>
          <w:szCs w:val="26"/>
          <w:rtl/>
        </w:rPr>
      </w:pPr>
      <w:r>
        <w:rPr>
          <w:rFonts w:ascii="David" w:hAnsi="David" w:cs="David"/>
          <w:sz w:val="26"/>
          <w:szCs w:val="26"/>
          <w:rtl/>
        </w:rPr>
        <w:t xml:space="preserve">בצד השני של קשת הענישה ניתן למצוא מקרים בהם עבירות הנוגעות לתיווך לסחר בסם הסתכמו בענישה של של"צ בלבד (ראו לדוגמה </w:t>
      </w:r>
      <w:hyperlink r:id="rId36" w:history="1">
        <w:r w:rsidR="003558A3" w:rsidRPr="003558A3">
          <w:rPr>
            <w:rFonts w:ascii="David" w:hAnsi="David" w:cs="David"/>
            <w:color w:val="0000FF"/>
            <w:sz w:val="26"/>
            <w:szCs w:val="26"/>
            <w:u w:val="single"/>
            <w:rtl/>
          </w:rPr>
          <w:t>ת"פ (י-ם) 66437-07-20</w:t>
        </w:r>
      </w:hyperlink>
      <w:r>
        <w:rPr>
          <w:rFonts w:ascii="David" w:hAnsi="David" w:cs="David"/>
          <w:sz w:val="26"/>
          <w:szCs w:val="26"/>
          <w:rtl/>
        </w:rPr>
        <w:t xml:space="preserve">, </w:t>
      </w:r>
      <w:r>
        <w:rPr>
          <w:rFonts w:ascii="David" w:hAnsi="David" w:cs="David"/>
          <w:b/>
          <w:bCs/>
          <w:sz w:val="26"/>
          <w:szCs w:val="26"/>
          <w:rtl/>
        </w:rPr>
        <w:t>מדינת ישראל נ' ברזילאי</w:t>
      </w:r>
      <w:r>
        <w:rPr>
          <w:rFonts w:ascii="David" w:hAnsi="David" w:cs="David"/>
          <w:sz w:val="26"/>
          <w:szCs w:val="26"/>
          <w:rtl/>
        </w:rPr>
        <w:t xml:space="preserve">, מיום 18.4.21; </w:t>
      </w:r>
      <w:hyperlink r:id="rId37" w:history="1">
        <w:r w:rsidR="003558A3" w:rsidRPr="003558A3">
          <w:rPr>
            <w:rFonts w:ascii="David" w:hAnsi="David" w:cs="David"/>
            <w:color w:val="0000FF"/>
            <w:sz w:val="26"/>
            <w:szCs w:val="26"/>
            <w:u w:val="single"/>
            <w:rtl/>
          </w:rPr>
          <w:t>ת"פ (ת"א) 34312-02-18</w:t>
        </w:r>
      </w:hyperlink>
      <w:r>
        <w:rPr>
          <w:rFonts w:ascii="David" w:hAnsi="David" w:cs="David"/>
          <w:sz w:val="26"/>
          <w:szCs w:val="26"/>
          <w:rtl/>
        </w:rPr>
        <w:t xml:space="preserve"> </w:t>
      </w:r>
      <w:r>
        <w:rPr>
          <w:rFonts w:ascii="David" w:hAnsi="David" w:cs="David"/>
          <w:b/>
          <w:bCs/>
          <w:sz w:val="26"/>
          <w:szCs w:val="26"/>
          <w:rtl/>
        </w:rPr>
        <w:t>מדינת ישראל נ' זיסמן</w:t>
      </w:r>
      <w:r>
        <w:rPr>
          <w:rFonts w:ascii="David" w:hAnsi="David" w:cs="David"/>
          <w:sz w:val="26"/>
          <w:szCs w:val="26"/>
          <w:rtl/>
        </w:rPr>
        <w:t xml:space="preserve">, מיום 15.7.20). מאליו מובן כי בגזרי-דין אחרונים אלה ניתן משקל רב לשיקולי שיקום. </w:t>
      </w:r>
    </w:p>
    <w:p w14:paraId="338E0619" w14:textId="77777777" w:rsidR="00E57ED2" w:rsidRDefault="00E57ED2" w:rsidP="00E57ED2">
      <w:pPr>
        <w:pStyle w:val="a9"/>
        <w:spacing w:after="0" w:line="360" w:lineRule="auto"/>
        <w:jc w:val="both"/>
        <w:rPr>
          <w:rFonts w:ascii="David" w:hAnsi="David" w:cs="David"/>
          <w:sz w:val="26"/>
          <w:szCs w:val="26"/>
        </w:rPr>
      </w:pPr>
    </w:p>
    <w:p w14:paraId="6A8CBD8E" w14:textId="77777777" w:rsidR="00E57ED2" w:rsidRDefault="00E57ED2" w:rsidP="00E57ED2">
      <w:pPr>
        <w:pStyle w:val="a9"/>
        <w:spacing w:after="0" w:line="360" w:lineRule="auto"/>
        <w:jc w:val="both"/>
        <w:rPr>
          <w:rFonts w:ascii="David" w:hAnsi="David" w:cs="David"/>
          <w:sz w:val="26"/>
          <w:szCs w:val="26"/>
          <w:rtl/>
        </w:rPr>
      </w:pPr>
      <w:r>
        <w:rPr>
          <w:rFonts w:ascii="David" w:hAnsi="David" w:cs="David"/>
          <w:sz w:val="26"/>
          <w:szCs w:val="26"/>
          <w:rtl/>
        </w:rPr>
        <w:t xml:space="preserve">לא למותר לציין כי אף במסגרת עבירות סמים, שחומרתן ידועה, יש שנפסקו עונשי מאסר בעבודות שירות: </w:t>
      </w:r>
      <w:r>
        <w:rPr>
          <w:rFonts w:ascii="David" w:hAnsi="David" w:cs="David" w:hint="cs"/>
          <w:sz w:val="26"/>
          <w:szCs w:val="26"/>
          <w:rtl/>
        </w:rPr>
        <w:t xml:space="preserve">כך, </w:t>
      </w:r>
      <w:r>
        <w:rPr>
          <w:rFonts w:ascii="David" w:hAnsi="David" w:cs="David"/>
          <w:sz w:val="26"/>
          <w:szCs w:val="26"/>
          <w:rtl/>
        </w:rPr>
        <w:t>ב</w:t>
      </w:r>
      <w:hyperlink r:id="rId38" w:history="1">
        <w:r w:rsidR="003558A3" w:rsidRPr="003558A3">
          <w:rPr>
            <w:rFonts w:ascii="David" w:hAnsi="David" w:cs="David"/>
            <w:color w:val="0000FF"/>
            <w:sz w:val="26"/>
            <w:szCs w:val="26"/>
            <w:u w:val="single"/>
            <w:rtl/>
          </w:rPr>
          <w:t>ת"פ (מרכז) 11608-07-16</w:t>
        </w:r>
      </w:hyperlink>
      <w:r>
        <w:rPr>
          <w:rFonts w:ascii="David" w:hAnsi="David" w:cs="David"/>
          <w:sz w:val="26"/>
          <w:szCs w:val="26"/>
          <w:rtl/>
        </w:rPr>
        <w:t xml:space="preserve"> </w:t>
      </w:r>
      <w:r>
        <w:rPr>
          <w:rFonts w:ascii="David" w:hAnsi="David" w:cs="David"/>
          <w:b/>
          <w:bCs/>
          <w:sz w:val="26"/>
          <w:szCs w:val="26"/>
          <w:rtl/>
        </w:rPr>
        <w:t>מדינת ישראל נ' היימפלד</w:t>
      </w:r>
      <w:r>
        <w:rPr>
          <w:rFonts w:ascii="David" w:hAnsi="David" w:cs="David"/>
          <w:sz w:val="26"/>
          <w:szCs w:val="26"/>
          <w:rtl/>
        </w:rPr>
        <w:t xml:space="preserve">, מיום 6.1.19, נגזר עונש מאסר של שישה חודשים בעבודות שירות על מי שייבא ארצה מזוודות עם תוכן לא ידוע מספר פעמים ונעצר לאחר שייבא ארצה מזוודה ובה כמות גדולה של </w:t>
      </w:r>
      <w:r>
        <w:rPr>
          <w:rFonts w:ascii="David" w:hAnsi="David" w:cs="David"/>
        </w:rPr>
        <w:t>MDMA</w:t>
      </w:r>
      <w:r>
        <w:rPr>
          <w:rFonts w:ascii="David" w:hAnsi="David" w:cs="David"/>
          <w:sz w:val="26"/>
          <w:szCs w:val="26"/>
          <w:rtl/>
        </w:rPr>
        <w:t>. ב</w:t>
      </w:r>
      <w:hyperlink r:id="rId39" w:history="1">
        <w:r w:rsidR="003558A3" w:rsidRPr="003558A3">
          <w:rPr>
            <w:rFonts w:ascii="David" w:hAnsi="David" w:cs="David"/>
            <w:color w:val="0000FF"/>
            <w:sz w:val="26"/>
            <w:szCs w:val="26"/>
            <w:u w:val="single"/>
            <w:rtl/>
          </w:rPr>
          <w:t>ת"פ (ת"א) 58591-08-18</w:t>
        </w:r>
      </w:hyperlink>
      <w:r>
        <w:rPr>
          <w:rFonts w:ascii="David" w:hAnsi="David" w:cs="David"/>
          <w:sz w:val="26"/>
          <w:szCs w:val="26"/>
          <w:rtl/>
        </w:rPr>
        <w:t xml:space="preserve"> </w:t>
      </w:r>
      <w:r>
        <w:rPr>
          <w:rFonts w:ascii="David" w:hAnsi="David" w:cs="David"/>
          <w:b/>
          <w:bCs/>
          <w:sz w:val="26"/>
          <w:szCs w:val="26"/>
          <w:rtl/>
        </w:rPr>
        <w:t>מדינת ישראל נ' גרייף</w:t>
      </w:r>
      <w:r>
        <w:rPr>
          <w:rFonts w:ascii="David" w:hAnsi="David" w:cs="David"/>
          <w:sz w:val="26"/>
          <w:szCs w:val="26"/>
          <w:rtl/>
        </w:rPr>
        <w:t>, מיום 10.8.20, הושת על מי שהורשע בעבירות סמים משמעותיות עונש מאסר של תשעה חודשים בעבודות שירות, והערעור על גזר-הדין נדחה (</w:t>
      </w:r>
      <w:hyperlink r:id="rId40" w:history="1">
        <w:r w:rsidR="003558A3" w:rsidRPr="003558A3">
          <w:rPr>
            <w:rFonts w:ascii="David" w:hAnsi="David" w:cs="David"/>
            <w:color w:val="0000FF"/>
            <w:sz w:val="26"/>
            <w:szCs w:val="26"/>
            <w:u w:val="single"/>
            <w:rtl/>
          </w:rPr>
          <w:t>ע"פ 6734/20</w:t>
        </w:r>
      </w:hyperlink>
      <w:r>
        <w:rPr>
          <w:rFonts w:ascii="David" w:hAnsi="David" w:cs="David"/>
          <w:sz w:val="26"/>
          <w:szCs w:val="26"/>
          <w:rtl/>
        </w:rPr>
        <w:t xml:space="preserve"> </w:t>
      </w:r>
      <w:r>
        <w:rPr>
          <w:rFonts w:ascii="David" w:hAnsi="David" w:cs="David"/>
          <w:b/>
          <w:bCs/>
          <w:sz w:val="26"/>
          <w:szCs w:val="26"/>
          <w:rtl/>
        </w:rPr>
        <w:t>גרייף נ' מדינת ישראל</w:t>
      </w:r>
      <w:r>
        <w:rPr>
          <w:rFonts w:ascii="David" w:hAnsi="David" w:cs="David"/>
          <w:sz w:val="26"/>
          <w:szCs w:val="26"/>
          <w:rtl/>
        </w:rPr>
        <w:t>, מיום 5.11.20) ב</w:t>
      </w:r>
      <w:hyperlink r:id="rId41" w:history="1">
        <w:r w:rsidR="003558A3" w:rsidRPr="003558A3">
          <w:rPr>
            <w:rFonts w:ascii="David" w:hAnsi="David" w:cs="David"/>
            <w:color w:val="0000FF"/>
            <w:sz w:val="26"/>
            <w:szCs w:val="26"/>
            <w:u w:val="single"/>
            <w:rtl/>
          </w:rPr>
          <w:t>ת"פ (חי') 61065-07-18</w:t>
        </w:r>
      </w:hyperlink>
      <w:r>
        <w:rPr>
          <w:rFonts w:ascii="David" w:hAnsi="David" w:cs="David"/>
          <w:sz w:val="26"/>
          <w:szCs w:val="26"/>
          <w:rtl/>
        </w:rPr>
        <w:t xml:space="preserve"> </w:t>
      </w:r>
      <w:r>
        <w:rPr>
          <w:rFonts w:ascii="David" w:hAnsi="David" w:cs="David"/>
          <w:b/>
          <w:bCs/>
          <w:sz w:val="26"/>
          <w:szCs w:val="26"/>
          <w:rtl/>
        </w:rPr>
        <w:t>מדינת ישראל נ' אבו חליס</w:t>
      </w:r>
      <w:r>
        <w:rPr>
          <w:rFonts w:ascii="David" w:hAnsi="David" w:cs="David"/>
          <w:sz w:val="26"/>
          <w:szCs w:val="26"/>
          <w:rtl/>
        </w:rPr>
        <w:t>, מיום 18.3.21, הושת מאסר לתקופה של תשעה חודשים בעבודות שירות בגין עבירות סמים; וראו האסמכתאות הרבות להשתת עונש מאסר בעבודות שירות גם במסגרת ביצוע עבירות סם, ב</w:t>
      </w:r>
      <w:hyperlink r:id="rId42" w:history="1">
        <w:r w:rsidR="003558A3" w:rsidRPr="003558A3">
          <w:rPr>
            <w:rFonts w:ascii="David" w:hAnsi="David" w:cs="David"/>
            <w:color w:val="0000FF"/>
            <w:sz w:val="26"/>
            <w:szCs w:val="26"/>
            <w:u w:val="single"/>
            <w:rtl/>
          </w:rPr>
          <w:t>ת"פ (ת"א) 15457-09-18</w:t>
        </w:r>
      </w:hyperlink>
      <w:r>
        <w:rPr>
          <w:rFonts w:ascii="David" w:hAnsi="David" w:cs="David"/>
          <w:sz w:val="26"/>
          <w:szCs w:val="26"/>
          <w:rtl/>
        </w:rPr>
        <w:t xml:space="preserve"> </w:t>
      </w:r>
      <w:r>
        <w:rPr>
          <w:rFonts w:ascii="David" w:hAnsi="David" w:cs="David"/>
          <w:b/>
          <w:bCs/>
          <w:sz w:val="26"/>
          <w:szCs w:val="26"/>
          <w:rtl/>
        </w:rPr>
        <w:t>מדינת ישראל נ' קונובלוב</w:t>
      </w:r>
      <w:r>
        <w:rPr>
          <w:rFonts w:ascii="David" w:hAnsi="David" w:cs="David"/>
          <w:sz w:val="26"/>
          <w:szCs w:val="26"/>
          <w:rtl/>
        </w:rPr>
        <w:t xml:space="preserve">, מיום 10.8.20. </w:t>
      </w:r>
    </w:p>
    <w:p w14:paraId="3450CD93" w14:textId="77777777" w:rsidR="00E57ED2" w:rsidRDefault="00E57ED2" w:rsidP="00E57ED2">
      <w:pPr>
        <w:pStyle w:val="a9"/>
        <w:spacing w:after="0" w:line="360" w:lineRule="auto"/>
        <w:rPr>
          <w:rFonts w:ascii="David" w:hAnsi="David" w:cs="David"/>
          <w:sz w:val="26"/>
          <w:szCs w:val="26"/>
        </w:rPr>
      </w:pPr>
    </w:p>
    <w:p w14:paraId="1AEB43D7" w14:textId="77777777" w:rsidR="00E57ED2" w:rsidRDefault="00E57ED2" w:rsidP="00E57ED2">
      <w:pPr>
        <w:pStyle w:val="a9"/>
        <w:numPr>
          <w:ilvl w:val="0"/>
          <w:numId w:val="1"/>
        </w:numPr>
        <w:spacing w:after="0" w:line="360" w:lineRule="auto"/>
        <w:ind w:hanging="636"/>
        <w:jc w:val="both"/>
        <w:rPr>
          <w:rFonts w:ascii="David" w:hAnsi="David" w:cs="David"/>
          <w:sz w:val="26"/>
          <w:szCs w:val="26"/>
          <w:rtl/>
        </w:rPr>
      </w:pPr>
      <w:r>
        <w:rPr>
          <w:rFonts w:ascii="David" w:hAnsi="David" w:cs="David"/>
          <w:sz w:val="26"/>
          <w:szCs w:val="26"/>
          <w:rtl/>
        </w:rPr>
        <w:t xml:space="preserve">במקרה דנא מדובר בעסקת תיווך בכמות גדולה של סם מסוכן מסוג אקסטזי, שנמכרה תמורת סכום משמעותי ובנסיבות המעידות לכאורה על נגישות לסמים מסוכנים בכמות לא קטנה. יחד עם זאת מדובר באירוע בודד; ומעובדות כתב האישום עולה לכאורה שהיוזמה לביצוע העבירה היתה של הסוכן, שהשקיע מאמצים לא מבוטלים לצורך הבאת הנאשם להשלמת ביצוע המעשה. </w:t>
      </w:r>
    </w:p>
    <w:p w14:paraId="4E9654DD" w14:textId="77777777" w:rsidR="00E57ED2" w:rsidRDefault="00E57ED2" w:rsidP="00E57ED2">
      <w:pPr>
        <w:pStyle w:val="a9"/>
        <w:spacing w:after="0" w:line="360" w:lineRule="auto"/>
        <w:jc w:val="both"/>
        <w:rPr>
          <w:rFonts w:ascii="David" w:hAnsi="David" w:cs="David"/>
          <w:sz w:val="26"/>
          <w:szCs w:val="26"/>
        </w:rPr>
      </w:pPr>
    </w:p>
    <w:p w14:paraId="7842803E" w14:textId="77777777" w:rsidR="00E57ED2" w:rsidRDefault="00E57ED2" w:rsidP="00E57ED2">
      <w:pPr>
        <w:pStyle w:val="a9"/>
        <w:spacing w:after="0" w:line="360" w:lineRule="auto"/>
        <w:jc w:val="both"/>
        <w:rPr>
          <w:rFonts w:ascii="David" w:hAnsi="David" w:cs="David"/>
          <w:sz w:val="26"/>
          <w:szCs w:val="26"/>
          <w:rtl/>
        </w:rPr>
      </w:pPr>
      <w:r>
        <w:rPr>
          <w:rFonts w:ascii="David" w:hAnsi="David" w:cs="David"/>
          <w:sz w:val="26"/>
          <w:szCs w:val="26"/>
          <w:rtl/>
        </w:rPr>
        <w:t xml:space="preserve">בנסיבות אלה ועל רקע מדיניות הענישה הנוהגת, נראה שהמכלול כולו מביא למסקנה לפיה על מתחם הענישה לנוע בין תשעה חודשי מאסר בפועל ל-20 חודשי מאסר בפועל. </w:t>
      </w:r>
    </w:p>
    <w:p w14:paraId="2A3EC230" w14:textId="77777777" w:rsidR="00E57ED2" w:rsidRDefault="00E57ED2" w:rsidP="00E57ED2">
      <w:pPr>
        <w:pStyle w:val="a9"/>
        <w:spacing w:after="0" w:line="360" w:lineRule="auto"/>
        <w:rPr>
          <w:rFonts w:ascii="David" w:hAnsi="David" w:cs="David"/>
          <w:sz w:val="26"/>
          <w:szCs w:val="26"/>
        </w:rPr>
      </w:pPr>
    </w:p>
    <w:p w14:paraId="44AC620F" w14:textId="77777777" w:rsidR="00E57ED2" w:rsidRPr="00432FEC" w:rsidRDefault="00E57ED2" w:rsidP="00E57ED2">
      <w:pPr>
        <w:pStyle w:val="a9"/>
        <w:spacing w:after="0" w:line="360" w:lineRule="auto"/>
        <w:rPr>
          <w:rFonts w:ascii="Miriam" w:hAnsi="Miriam" w:cs="Miriam"/>
          <w:sz w:val="26"/>
          <w:szCs w:val="26"/>
          <w:rtl/>
        </w:rPr>
      </w:pPr>
      <w:r w:rsidRPr="00432FEC">
        <w:rPr>
          <w:rFonts w:ascii="Miriam" w:hAnsi="Miriam" w:cs="Miriam"/>
          <w:sz w:val="26"/>
          <w:szCs w:val="26"/>
          <w:rtl/>
        </w:rPr>
        <w:t>גזירת העונש במתחם הענישה</w:t>
      </w:r>
    </w:p>
    <w:p w14:paraId="243AC340" w14:textId="77777777" w:rsidR="00E57ED2" w:rsidRDefault="00E57ED2" w:rsidP="00E57ED2">
      <w:pPr>
        <w:pStyle w:val="a9"/>
        <w:numPr>
          <w:ilvl w:val="0"/>
          <w:numId w:val="1"/>
        </w:numPr>
        <w:spacing w:after="0" w:line="360" w:lineRule="auto"/>
        <w:ind w:hanging="636"/>
        <w:jc w:val="both"/>
        <w:rPr>
          <w:rFonts w:ascii="David" w:hAnsi="David" w:cs="David"/>
          <w:sz w:val="26"/>
          <w:szCs w:val="26"/>
          <w:rtl/>
        </w:rPr>
      </w:pPr>
      <w:r>
        <w:rPr>
          <w:rFonts w:ascii="David" w:hAnsi="David" w:cs="David"/>
          <w:sz w:val="26"/>
          <w:szCs w:val="26"/>
          <w:rtl/>
        </w:rPr>
        <w:t xml:space="preserve">לאחר שנתתי דעתי למכלול נסיבות העניין, הגעתי למסקנה לפיה יש מקום להעניק משקל ממשי לשיקול השיקום, המאפשר במקרים המתאימים אף לחרוג לקולא ממתחם הענישה. בהקשר זה נתתי דעתי לא רק להליך השיקום המוצלח והממושך שעבר הנאשם, אלא גם להשפעות הקשות של המעשה על חיי הסובבים את הנאשם. יש להזכיר בהקשר זה כי הנאשם שהה במעצר ממש תקופה של כחודשיים ימים, ולאחר מכן שהה במעצר בית תקופה ארוכה ביותר. לכל אורך התקופה לא יכול היה הנאשם לפרנס את בני משפחתו, ומכאן גם הפגיעה במשפחתו הקרובה. </w:t>
      </w:r>
    </w:p>
    <w:p w14:paraId="7D613401" w14:textId="77777777" w:rsidR="00E57ED2" w:rsidRDefault="00E57ED2" w:rsidP="00E57ED2">
      <w:pPr>
        <w:pStyle w:val="a9"/>
        <w:spacing w:after="0" w:line="360" w:lineRule="auto"/>
        <w:jc w:val="both"/>
        <w:rPr>
          <w:rFonts w:ascii="David" w:hAnsi="David" w:cs="David"/>
          <w:sz w:val="26"/>
          <w:szCs w:val="26"/>
        </w:rPr>
      </w:pPr>
    </w:p>
    <w:p w14:paraId="15150EB1" w14:textId="77777777" w:rsidR="00E57ED2" w:rsidRDefault="00E57ED2" w:rsidP="00E57ED2">
      <w:pPr>
        <w:pStyle w:val="a9"/>
        <w:spacing w:after="0" w:line="360" w:lineRule="auto"/>
        <w:jc w:val="both"/>
        <w:rPr>
          <w:rFonts w:ascii="David" w:hAnsi="David" w:cs="David"/>
          <w:sz w:val="26"/>
          <w:szCs w:val="26"/>
          <w:rtl/>
        </w:rPr>
      </w:pPr>
      <w:r>
        <w:rPr>
          <w:rFonts w:ascii="David" w:hAnsi="David" w:cs="David"/>
          <w:sz w:val="26"/>
          <w:szCs w:val="26"/>
          <w:rtl/>
        </w:rPr>
        <w:t xml:space="preserve">נראה כי לשיקולים הנוגעים לעצם השתלבות הנאשם בתהליך השיקום, ורכישת הכלים להשתלבות בחברה ותחילת השתלבותו בחיי העבודה, יש לצרף את החשש הכבד מכך שהשבתו אל בית האסורים תביא לכך שישוב ויתדרדר לחיי פשע והתמכרות. בהקשר זה יש לשוב ולהזכיר שמדובר באדם שימלאו לו 55 שנים בחודש הקרוב, ועל אף מהלך חייו הסוער עד לגיל 42, עלה בידו להקים משפחה חדשה ולנהל אורח חיים נורמטיבי במשך שנים ארוכות עד להסתבכותו החד-פעמית בפלילים. </w:t>
      </w:r>
    </w:p>
    <w:p w14:paraId="63E14762" w14:textId="77777777" w:rsidR="00E57ED2" w:rsidRDefault="00E57ED2" w:rsidP="00E57ED2">
      <w:pPr>
        <w:pStyle w:val="a9"/>
        <w:spacing w:after="0" w:line="360" w:lineRule="auto"/>
        <w:jc w:val="both"/>
        <w:rPr>
          <w:rFonts w:ascii="David" w:hAnsi="David" w:cs="David"/>
          <w:sz w:val="26"/>
          <w:szCs w:val="26"/>
          <w:rtl/>
        </w:rPr>
      </w:pPr>
    </w:p>
    <w:p w14:paraId="547C6573" w14:textId="77777777" w:rsidR="00E57ED2" w:rsidRDefault="00E57ED2" w:rsidP="00E57ED2">
      <w:pPr>
        <w:pStyle w:val="a9"/>
        <w:spacing w:after="0" w:line="360" w:lineRule="auto"/>
        <w:jc w:val="both"/>
        <w:rPr>
          <w:rFonts w:ascii="David" w:hAnsi="David" w:cs="David"/>
          <w:sz w:val="26"/>
          <w:szCs w:val="26"/>
          <w:rtl/>
        </w:rPr>
      </w:pPr>
      <w:r>
        <w:rPr>
          <w:rFonts w:ascii="David" w:hAnsi="David" w:cs="David"/>
          <w:sz w:val="26"/>
          <w:szCs w:val="26"/>
          <w:rtl/>
        </w:rPr>
        <w:t xml:space="preserve">בנסיבותיו הייחודיות של הנאשם נראה ששיקולי השיקום מטים את הכף ומביאים למסקנה לפיה יש להסתפק בגזירת עונש מאסר בעבודות שירות, כך שתהליך השיקום לא ייגדע באיבו ולא תיווצר האפשרות, חלילה, לחזרה לחיי הפשע בהם היה שקוע הנאשם בעבר. לעניין זה ניתן משקל גם לעובדה שהנאשם שהה במעצר – שלא יילקח בחשבון לעניין תקופת המאסר שירצה בעבודות שירות – ובמעצר בית. </w:t>
      </w:r>
    </w:p>
    <w:p w14:paraId="434CC75E" w14:textId="77777777" w:rsidR="00E57ED2" w:rsidRDefault="00E57ED2" w:rsidP="00E57ED2">
      <w:pPr>
        <w:pStyle w:val="a9"/>
        <w:spacing w:after="0" w:line="360" w:lineRule="auto"/>
        <w:rPr>
          <w:rFonts w:ascii="David" w:hAnsi="David" w:cs="David"/>
          <w:sz w:val="26"/>
          <w:szCs w:val="26"/>
        </w:rPr>
      </w:pPr>
    </w:p>
    <w:p w14:paraId="73892BC6" w14:textId="77777777" w:rsidR="00E57ED2" w:rsidRDefault="00E57ED2" w:rsidP="00E57ED2">
      <w:pPr>
        <w:pStyle w:val="a9"/>
        <w:numPr>
          <w:ilvl w:val="0"/>
          <w:numId w:val="1"/>
        </w:numPr>
        <w:spacing w:after="0" w:line="360" w:lineRule="auto"/>
        <w:ind w:left="651" w:hanging="636"/>
        <w:jc w:val="both"/>
        <w:rPr>
          <w:rFonts w:ascii="David" w:hAnsi="David" w:cs="David"/>
          <w:sz w:val="26"/>
          <w:szCs w:val="26"/>
          <w:rtl/>
        </w:rPr>
      </w:pPr>
      <w:r>
        <w:rPr>
          <w:rFonts w:ascii="David" w:hAnsi="David" w:cs="David"/>
          <w:sz w:val="26"/>
          <w:szCs w:val="26"/>
          <w:rtl/>
        </w:rPr>
        <w:t xml:space="preserve">אשר לקנס, יש לזכור כי עוד טרם לכניסת תיקון 113 לתוקף נקבע כי על בית המשפט להימנע ממצב בו לא תימצא התאמה "בין גובה הקנס והמאסר הנגזר במקומו לבין יכולתו הכלכלית </w:t>
      </w:r>
      <w:r>
        <w:rPr>
          <w:rFonts w:ascii="Miriam" w:hAnsi="Miriam" w:cs="Miriam"/>
          <w:sz w:val="24"/>
          <w:szCs w:val="24"/>
          <w:rtl/>
        </w:rPr>
        <w:t>האמיתית</w:t>
      </w:r>
      <w:r>
        <w:rPr>
          <w:rFonts w:ascii="David" w:hAnsi="David" w:cs="David"/>
          <w:sz w:val="26"/>
          <w:szCs w:val="26"/>
          <w:rtl/>
        </w:rPr>
        <w:t xml:space="preserve"> של הנאשם לעמוד בתשלום הקנס", ולהבחין בין מי שידו משגת לעמוד בקנס למי "שאין ידו משגת באופן </w:t>
      </w:r>
      <w:r>
        <w:rPr>
          <w:rFonts w:ascii="Miriam" w:hAnsi="Miriam" w:cs="Miriam"/>
          <w:sz w:val="24"/>
          <w:szCs w:val="24"/>
          <w:rtl/>
        </w:rPr>
        <w:t>אמיתי</w:t>
      </w:r>
      <w:r>
        <w:rPr>
          <w:rFonts w:ascii="David" w:hAnsi="David" w:cs="David"/>
          <w:sz w:val="26"/>
          <w:szCs w:val="26"/>
          <w:rtl/>
        </w:rPr>
        <w:t xml:space="preserve"> לשאת בתשלום" (</w:t>
      </w:r>
      <w:hyperlink r:id="rId43" w:history="1">
        <w:r w:rsidR="003558A3" w:rsidRPr="003558A3">
          <w:rPr>
            <w:rFonts w:ascii="David" w:hAnsi="David" w:cs="David"/>
            <w:color w:val="0000FF"/>
            <w:sz w:val="26"/>
            <w:szCs w:val="26"/>
            <w:u w:val="single"/>
            <w:rtl/>
          </w:rPr>
          <w:t>ע"פ 5023/99</w:t>
        </w:r>
      </w:hyperlink>
      <w:r>
        <w:rPr>
          <w:rFonts w:ascii="David" w:hAnsi="David" w:cs="David"/>
          <w:sz w:val="26"/>
          <w:szCs w:val="26"/>
          <w:rtl/>
        </w:rPr>
        <w:t xml:space="preserve"> </w:t>
      </w:r>
      <w:r>
        <w:rPr>
          <w:rFonts w:ascii="David" w:hAnsi="David" w:cs="David"/>
          <w:b/>
          <w:bCs/>
          <w:sz w:val="26"/>
          <w:szCs w:val="26"/>
          <w:rtl/>
        </w:rPr>
        <w:t>חכמי נ' מדינת ישראל</w:t>
      </w:r>
      <w:r>
        <w:rPr>
          <w:rFonts w:ascii="David" w:hAnsi="David" w:cs="David"/>
          <w:sz w:val="26"/>
          <w:szCs w:val="26"/>
          <w:rtl/>
        </w:rPr>
        <w:t>, פ"ד נה(3) 406, 429 (2001); ההדגשה במקור – ר.ו.). קביעה זו מצאה את דרכה ל</w:t>
      </w:r>
      <w:hyperlink r:id="rId44" w:history="1">
        <w:r w:rsidR="003558A3" w:rsidRPr="003558A3">
          <w:rPr>
            <w:rFonts w:ascii="David" w:hAnsi="David" w:cs="David"/>
            <w:color w:val="0000FF"/>
            <w:sz w:val="26"/>
            <w:szCs w:val="26"/>
            <w:u w:val="single"/>
            <w:rtl/>
          </w:rPr>
          <w:t>חוק העונשין</w:t>
        </w:r>
      </w:hyperlink>
      <w:r>
        <w:rPr>
          <w:rFonts w:ascii="David" w:hAnsi="David" w:cs="David"/>
          <w:sz w:val="26"/>
          <w:szCs w:val="26"/>
          <w:rtl/>
        </w:rPr>
        <w:t xml:space="preserve"> באמצעות תיקון 113, ועוגנה בהוראת </w:t>
      </w:r>
      <w:hyperlink r:id="rId45" w:history="1">
        <w:r w:rsidR="00D47A79" w:rsidRPr="00D47A79">
          <w:rPr>
            <w:rStyle w:val="Hyperlink"/>
            <w:rFonts w:ascii="David" w:hAnsi="David" w:cs="David"/>
            <w:sz w:val="26"/>
            <w:szCs w:val="26"/>
            <w:rtl/>
          </w:rPr>
          <w:t>סעיף 40ח</w:t>
        </w:r>
      </w:hyperlink>
      <w:r>
        <w:rPr>
          <w:rFonts w:ascii="David" w:hAnsi="David" w:cs="David"/>
          <w:sz w:val="26"/>
          <w:szCs w:val="26"/>
          <w:rtl/>
        </w:rPr>
        <w:t xml:space="preserve"> לחוק, לפיה בעת הטלת קנס כחלק מהענישה על בית המשפט להתחשב לא רק בשיקולי הענישה </w:t>
      </w:r>
      <w:hyperlink r:id="rId46" w:history="1">
        <w:r w:rsidR="00D47A79" w:rsidRPr="00D47A79">
          <w:rPr>
            <w:rStyle w:val="Hyperlink"/>
            <w:rFonts w:ascii="David" w:hAnsi="David" w:cs="David"/>
            <w:sz w:val="26"/>
            <w:szCs w:val="26"/>
            <w:rtl/>
          </w:rPr>
          <w:t>שבסעיף 40ג(א)</w:t>
        </w:r>
      </w:hyperlink>
      <w:r>
        <w:rPr>
          <w:rFonts w:ascii="David" w:hAnsi="David" w:cs="David"/>
          <w:sz w:val="26"/>
          <w:szCs w:val="26"/>
          <w:rtl/>
        </w:rPr>
        <w:t xml:space="preserve"> לחוק, אלא גם "</w:t>
      </w:r>
      <w:r>
        <w:rPr>
          <w:rFonts w:ascii="Miriam" w:hAnsi="Miriam" w:cs="Miriam"/>
          <w:sz w:val="24"/>
          <w:szCs w:val="24"/>
          <w:rtl/>
        </w:rPr>
        <w:t>במצבו הכלכלי של הנאשם, לצורך קביעת מתחם הקנס ההולם</w:t>
      </w:r>
      <w:r>
        <w:rPr>
          <w:rFonts w:ascii="David" w:hAnsi="David" w:cs="David"/>
          <w:sz w:val="26"/>
          <w:szCs w:val="26"/>
          <w:rtl/>
        </w:rPr>
        <w:t>". מאליו מובן שלא די בהעלאת טענות בעלמא בעניין זה, ועל בית המשפט להשתכנע בדבר נכונות הטענה בעניין מצבו הכלכלי הדחוק של הנאשם (</w:t>
      </w:r>
      <w:hyperlink r:id="rId47" w:history="1">
        <w:r w:rsidR="003558A3" w:rsidRPr="003558A3">
          <w:rPr>
            <w:rFonts w:ascii="David" w:hAnsi="David" w:cs="David"/>
            <w:color w:val="0000FF"/>
            <w:sz w:val="26"/>
            <w:szCs w:val="26"/>
            <w:u w:val="single"/>
            <w:rtl/>
          </w:rPr>
          <w:t>ע"פ 7159/13</w:t>
        </w:r>
      </w:hyperlink>
      <w:r>
        <w:rPr>
          <w:rFonts w:ascii="David" w:hAnsi="David" w:cs="David"/>
          <w:sz w:val="26"/>
          <w:szCs w:val="26"/>
          <w:rtl/>
        </w:rPr>
        <w:t xml:space="preserve"> </w:t>
      </w:r>
      <w:r>
        <w:rPr>
          <w:rFonts w:ascii="David" w:hAnsi="David" w:cs="David"/>
          <w:b/>
          <w:bCs/>
          <w:sz w:val="26"/>
          <w:szCs w:val="26"/>
          <w:rtl/>
        </w:rPr>
        <w:t>ברזילי נ' מדינת ישראל</w:t>
      </w:r>
      <w:r>
        <w:rPr>
          <w:rFonts w:ascii="David" w:hAnsi="David" w:cs="David"/>
          <w:sz w:val="26"/>
          <w:szCs w:val="26"/>
          <w:rtl/>
        </w:rPr>
        <w:t>, מיום 16.3.15, בפסקה 11 לפסק-הדין). בהערכת מצבו הכלכלי של הנאשם יתחשב בית המשפט "</w:t>
      </w:r>
      <w:r>
        <w:rPr>
          <w:rFonts w:ascii="Miriam" w:hAnsi="Miriam" w:cs="Miriam"/>
          <w:sz w:val="24"/>
          <w:szCs w:val="24"/>
          <w:rtl/>
        </w:rPr>
        <w:t>בשווי נכסיו, הכנסתו הממוצעת והשפעת תשלום הקנס על יכולתו לפצות את קרבן העבירה</w:t>
      </w:r>
      <w:r>
        <w:rPr>
          <w:rFonts w:ascii="David" w:hAnsi="David" w:cs="David"/>
          <w:sz w:val="26"/>
          <w:szCs w:val="26"/>
          <w:rtl/>
        </w:rPr>
        <w:t>" (</w:t>
      </w:r>
      <w:hyperlink r:id="rId48" w:history="1">
        <w:r w:rsidR="003558A3" w:rsidRPr="003558A3">
          <w:rPr>
            <w:rFonts w:ascii="David" w:hAnsi="David" w:cs="David"/>
            <w:color w:val="0000FF"/>
            <w:sz w:val="26"/>
            <w:szCs w:val="26"/>
            <w:u w:val="single"/>
            <w:rtl/>
          </w:rPr>
          <w:t>ע"פ 4919/14</w:t>
        </w:r>
      </w:hyperlink>
      <w:r>
        <w:rPr>
          <w:rFonts w:ascii="David" w:hAnsi="David" w:cs="David"/>
          <w:sz w:val="26"/>
          <w:szCs w:val="26"/>
          <w:rtl/>
        </w:rPr>
        <w:t xml:space="preserve"> </w:t>
      </w:r>
      <w:r>
        <w:rPr>
          <w:rFonts w:ascii="David" w:hAnsi="David" w:cs="David"/>
          <w:b/>
          <w:bCs/>
          <w:sz w:val="26"/>
          <w:szCs w:val="26"/>
          <w:rtl/>
        </w:rPr>
        <w:t>אזולאי נ' מדינת ישראל</w:t>
      </w:r>
      <w:r>
        <w:rPr>
          <w:rFonts w:ascii="David" w:hAnsi="David" w:cs="David"/>
          <w:sz w:val="26"/>
          <w:szCs w:val="26"/>
          <w:rtl/>
        </w:rPr>
        <w:t xml:space="preserve">, מיום 6.3.17, בפסקה 45 לפסק-הדין, להלן: הלכת </w:t>
      </w:r>
      <w:r>
        <w:rPr>
          <w:rFonts w:ascii="David" w:hAnsi="David" w:cs="David"/>
          <w:b/>
          <w:bCs/>
          <w:sz w:val="26"/>
          <w:szCs w:val="26"/>
          <w:rtl/>
        </w:rPr>
        <w:t>אזולאי</w:t>
      </w:r>
      <w:r>
        <w:rPr>
          <w:rFonts w:ascii="David" w:hAnsi="David" w:cs="David"/>
          <w:sz w:val="26"/>
          <w:szCs w:val="26"/>
          <w:rtl/>
        </w:rPr>
        <w:t xml:space="preserve">). </w:t>
      </w:r>
    </w:p>
    <w:p w14:paraId="706147D5" w14:textId="77777777" w:rsidR="00E57ED2" w:rsidRDefault="00E57ED2" w:rsidP="00E57ED2">
      <w:pPr>
        <w:spacing w:line="360" w:lineRule="auto"/>
        <w:ind w:left="651" w:hanging="567"/>
        <w:contextualSpacing/>
        <w:jc w:val="both"/>
        <w:rPr>
          <w:rFonts w:ascii="David" w:hAnsi="David"/>
          <w:sz w:val="26"/>
          <w:szCs w:val="26"/>
        </w:rPr>
      </w:pPr>
    </w:p>
    <w:p w14:paraId="5F0DAEC9" w14:textId="77777777" w:rsidR="00E57ED2" w:rsidRDefault="00E57ED2" w:rsidP="00E57ED2">
      <w:pPr>
        <w:numPr>
          <w:ilvl w:val="0"/>
          <w:numId w:val="1"/>
        </w:numPr>
        <w:spacing w:line="360" w:lineRule="auto"/>
        <w:contextualSpacing/>
        <w:jc w:val="both"/>
        <w:rPr>
          <w:rFonts w:ascii="David" w:hAnsi="David"/>
          <w:sz w:val="26"/>
          <w:szCs w:val="26"/>
          <w:rtl/>
        </w:rPr>
      </w:pPr>
      <w:r>
        <w:rPr>
          <w:rFonts w:ascii="David" w:hAnsi="David"/>
          <w:sz w:val="26"/>
          <w:szCs w:val="26"/>
          <w:rtl/>
        </w:rPr>
        <w:t>יכולתו הכלכלית של הנאשם אינה חזות הכל. על בית המשפט להתחשב בעת קביעת הקנס "</w:t>
      </w:r>
      <w:r>
        <w:rPr>
          <w:rFonts w:ascii="Miriam" w:hAnsi="Miriam" w:cs="Miriam"/>
          <w:rtl/>
        </w:rPr>
        <w:t>בשיקולים נוספים כגון הערך החברתי שנפגע מביצוע העבירה, נסיבות ביצועה ומדיניות הענישה הנהוגה... והכל כמתחייב מעקרון ההלימה</w:t>
      </w:r>
      <w:r>
        <w:rPr>
          <w:rFonts w:ascii="David" w:hAnsi="David"/>
          <w:sz w:val="26"/>
          <w:szCs w:val="26"/>
          <w:rtl/>
        </w:rPr>
        <w:t xml:space="preserve">" (הלכת </w:t>
      </w:r>
      <w:r>
        <w:rPr>
          <w:rFonts w:ascii="David" w:hAnsi="David"/>
          <w:b/>
          <w:bCs/>
          <w:sz w:val="26"/>
          <w:szCs w:val="26"/>
          <w:rtl/>
        </w:rPr>
        <w:t>אזולאי</w:t>
      </w:r>
      <w:r>
        <w:rPr>
          <w:rFonts w:ascii="David" w:hAnsi="David"/>
          <w:sz w:val="26"/>
          <w:szCs w:val="26"/>
          <w:rtl/>
        </w:rPr>
        <w:t xml:space="preserve">, בפסקה 47 לפסק-הדין; והשוו </w:t>
      </w:r>
      <w:hyperlink r:id="rId49" w:history="1">
        <w:r w:rsidR="003558A3" w:rsidRPr="003558A3">
          <w:rPr>
            <w:rFonts w:ascii="David" w:hAnsi="David"/>
            <w:color w:val="0000FF"/>
            <w:sz w:val="26"/>
            <w:szCs w:val="26"/>
            <w:u w:val="single"/>
            <w:rtl/>
          </w:rPr>
          <w:t>רע"פ 957/18</w:t>
        </w:r>
      </w:hyperlink>
      <w:r>
        <w:rPr>
          <w:rFonts w:ascii="David" w:hAnsi="David"/>
          <w:sz w:val="26"/>
          <w:szCs w:val="26"/>
          <w:rtl/>
        </w:rPr>
        <w:t xml:space="preserve"> </w:t>
      </w:r>
      <w:r>
        <w:rPr>
          <w:rFonts w:ascii="David" w:hAnsi="David"/>
          <w:b/>
          <w:bCs/>
          <w:sz w:val="26"/>
          <w:szCs w:val="26"/>
          <w:rtl/>
        </w:rPr>
        <w:t xml:space="preserve">סלטאן נ' מדינת ישראל, </w:t>
      </w:r>
      <w:r>
        <w:rPr>
          <w:rFonts w:ascii="David" w:hAnsi="David"/>
          <w:sz w:val="26"/>
          <w:szCs w:val="26"/>
          <w:rtl/>
        </w:rPr>
        <w:t>מיום 16.4.18, בפסקה 13 להחלטה). יחד עם זאת, יימנע בית המשפט מהשתת קנס בסכום שאין ידו של הנאשם משגת, מאחר שמשמעותו של הקנס במקרה זה היא כי הנאשם ירצה עונש מאסר נוסף תחתיו (</w:t>
      </w:r>
      <w:hyperlink r:id="rId50" w:history="1">
        <w:r w:rsidR="003558A3" w:rsidRPr="003558A3">
          <w:rPr>
            <w:rFonts w:ascii="David" w:hAnsi="David"/>
            <w:color w:val="0000FF"/>
            <w:sz w:val="26"/>
            <w:szCs w:val="26"/>
            <w:u w:val="single"/>
            <w:rtl/>
          </w:rPr>
          <w:t>ע"פ 1274/12</w:t>
        </w:r>
      </w:hyperlink>
      <w:r>
        <w:rPr>
          <w:rFonts w:ascii="David" w:hAnsi="David"/>
          <w:sz w:val="26"/>
          <w:szCs w:val="26"/>
          <w:rtl/>
        </w:rPr>
        <w:t xml:space="preserve"> </w:t>
      </w:r>
      <w:r>
        <w:rPr>
          <w:rFonts w:ascii="David" w:hAnsi="David"/>
          <w:b/>
          <w:bCs/>
          <w:sz w:val="26"/>
          <w:szCs w:val="26"/>
          <w:rtl/>
        </w:rPr>
        <w:t>פלוני נ' מדינת ישראל</w:t>
      </w:r>
      <w:r>
        <w:rPr>
          <w:rFonts w:ascii="David" w:hAnsi="David"/>
          <w:sz w:val="26"/>
          <w:szCs w:val="26"/>
          <w:rtl/>
        </w:rPr>
        <w:t xml:space="preserve">, מיום 4.7.13, בפסקאות 23-22 לפסק-הדין; הלכת </w:t>
      </w:r>
      <w:r>
        <w:rPr>
          <w:rFonts w:ascii="David" w:hAnsi="David"/>
          <w:b/>
          <w:bCs/>
          <w:sz w:val="26"/>
          <w:szCs w:val="26"/>
          <w:rtl/>
        </w:rPr>
        <w:t>אזולאי</w:t>
      </w:r>
      <w:r>
        <w:rPr>
          <w:rFonts w:ascii="David" w:hAnsi="David"/>
          <w:sz w:val="26"/>
          <w:szCs w:val="26"/>
          <w:rtl/>
        </w:rPr>
        <w:t>, בפסקה 46 לפסק-הדין).</w:t>
      </w:r>
    </w:p>
    <w:p w14:paraId="2AF75154" w14:textId="77777777" w:rsidR="00E57ED2" w:rsidRDefault="00E57ED2" w:rsidP="00E57ED2">
      <w:pPr>
        <w:pStyle w:val="a9"/>
        <w:spacing w:after="0" w:line="360" w:lineRule="auto"/>
        <w:ind w:left="651" w:hanging="567"/>
        <w:jc w:val="both"/>
        <w:rPr>
          <w:rFonts w:ascii="David" w:hAnsi="David" w:cs="David"/>
          <w:sz w:val="26"/>
          <w:szCs w:val="26"/>
          <w:rtl/>
        </w:rPr>
      </w:pPr>
    </w:p>
    <w:p w14:paraId="6CF7C41A" w14:textId="77777777" w:rsidR="00E57ED2" w:rsidRDefault="00E57ED2" w:rsidP="00E57ED2">
      <w:pPr>
        <w:numPr>
          <w:ilvl w:val="0"/>
          <w:numId w:val="1"/>
        </w:numPr>
        <w:spacing w:line="360" w:lineRule="auto"/>
        <w:contextualSpacing/>
        <w:jc w:val="both"/>
        <w:rPr>
          <w:rFonts w:ascii="David" w:hAnsi="David"/>
          <w:sz w:val="26"/>
          <w:szCs w:val="26"/>
        </w:rPr>
      </w:pPr>
      <w:r>
        <w:rPr>
          <w:rFonts w:ascii="David" w:hAnsi="David"/>
          <w:sz w:val="26"/>
          <w:szCs w:val="26"/>
          <w:rtl/>
        </w:rPr>
        <w:t>בית המשפט העליון עמד על הזהירות הרבה שבה על בית המשפט לנקוט בבואו להשית קנס על נאשם, ועל הצורך להתאימו ליכולתו הכלכלית של הנאשם, בין היתר בדרך של פריסתו לתשלומים. לעניין זה הובהר כי קנס לא מידתי "</w:t>
      </w:r>
      <w:r>
        <w:rPr>
          <w:rFonts w:ascii="Miriam" w:hAnsi="Miriam" w:cs="Miriam"/>
          <w:rtl/>
        </w:rPr>
        <w:t>עלול לפגוע בשיקומו של הנאשם, שהרי הקנס לא נועד להשית עונש נוסף, בדמות חדלות פרעון, עונש שאינו מוכר ב</w:t>
      </w:r>
      <w:hyperlink r:id="rId51" w:history="1">
        <w:r w:rsidR="003558A3" w:rsidRPr="003558A3">
          <w:rPr>
            <w:rFonts w:ascii="Miriam" w:hAnsi="Miriam" w:cs="Miriam"/>
            <w:color w:val="0000FF"/>
            <w:u w:val="single"/>
            <w:rtl/>
          </w:rPr>
          <w:t>חוק העונשין</w:t>
        </w:r>
      </w:hyperlink>
      <w:r>
        <w:rPr>
          <w:rFonts w:ascii="David" w:hAnsi="David"/>
          <w:sz w:val="26"/>
          <w:szCs w:val="26"/>
          <w:rtl/>
        </w:rPr>
        <w:t xml:space="preserve">" (הלכת </w:t>
      </w:r>
      <w:r>
        <w:rPr>
          <w:rFonts w:ascii="David" w:hAnsi="David"/>
          <w:b/>
          <w:bCs/>
          <w:sz w:val="26"/>
          <w:szCs w:val="26"/>
          <w:rtl/>
        </w:rPr>
        <w:t>אזולאי</w:t>
      </w:r>
      <w:r>
        <w:rPr>
          <w:rFonts w:ascii="David" w:hAnsi="David"/>
          <w:sz w:val="26"/>
          <w:szCs w:val="26"/>
          <w:rtl/>
        </w:rPr>
        <w:t>, בפסקה 72 לפסק-הדין). הטלת קנס בהעדר יכולת כלכלית אינה משיגה "</w:t>
      </w:r>
      <w:r>
        <w:rPr>
          <w:rFonts w:ascii="Miriam" w:hAnsi="Miriam" w:cs="Miriam"/>
          <w:rtl/>
        </w:rPr>
        <w:t>את הפגיעה הכלכלית ובעקבותיה את ההרתעה הכלכלית, שהיא תכליתו של הקנס</w:t>
      </w:r>
      <w:r>
        <w:rPr>
          <w:rFonts w:ascii="David" w:hAnsi="David"/>
          <w:sz w:val="26"/>
          <w:szCs w:val="26"/>
          <w:rtl/>
        </w:rPr>
        <w:t>" (</w:t>
      </w:r>
      <w:hyperlink r:id="rId52" w:history="1">
        <w:r w:rsidR="003558A3" w:rsidRPr="003558A3">
          <w:rPr>
            <w:rFonts w:ascii="David" w:hAnsi="David"/>
            <w:color w:val="0000FF"/>
            <w:sz w:val="26"/>
            <w:szCs w:val="26"/>
            <w:u w:val="single"/>
            <w:rtl/>
          </w:rPr>
          <w:t>רע"ב 1049/15</w:t>
        </w:r>
      </w:hyperlink>
      <w:r>
        <w:rPr>
          <w:rFonts w:ascii="David" w:hAnsi="David"/>
          <w:sz w:val="26"/>
          <w:szCs w:val="26"/>
          <w:rtl/>
        </w:rPr>
        <w:t xml:space="preserve"> </w:t>
      </w:r>
      <w:r>
        <w:rPr>
          <w:rFonts w:ascii="David" w:hAnsi="David"/>
          <w:b/>
          <w:bCs/>
          <w:sz w:val="26"/>
          <w:szCs w:val="26"/>
          <w:rtl/>
        </w:rPr>
        <w:t>ניזרי נ' מדינת ישראל,</w:t>
      </w:r>
      <w:r>
        <w:rPr>
          <w:rFonts w:ascii="David" w:hAnsi="David"/>
          <w:sz w:val="26"/>
          <w:szCs w:val="26"/>
          <w:rtl/>
        </w:rPr>
        <w:t xml:space="preserve"> מיום 18.6.15, בפסקה 38 לפסק-הדין; וראו </w:t>
      </w:r>
      <w:hyperlink r:id="rId53" w:history="1">
        <w:r w:rsidR="003558A3" w:rsidRPr="003558A3">
          <w:rPr>
            <w:rFonts w:ascii="David" w:hAnsi="David"/>
            <w:color w:val="0000FF"/>
            <w:sz w:val="26"/>
            <w:szCs w:val="26"/>
            <w:u w:val="single"/>
            <w:rtl/>
          </w:rPr>
          <w:t>דנ"פ 5625/16</w:t>
        </w:r>
      </w:hyperlink>
      <w:r>
        <w:rPr>
          <w:rFonts w:ascii="David" w:hAnsi="David"/>
          <w:sz w:val="26"/>
          <w:szCs w:val="26"/>
          <w:rtl/>
        </w:rPr>
        <w:t xml:space="preserve"> </w:t>
      </w:r>
      <w:r>
        <w:rPr>
          <w:rFonts w:ascii="David" w:hAnsi="David"/>
          <w:b/>
          <w:bCs/>
          <w:sz w:val="26"/>
          <w:szCs w:val="26"/>
          <w:rtl/>
        </w:rPr>
        <w:t>אסרף נ' טווק בוקובזה</w:t>
      </w:r>
      <w:r>
        <w:rPr>
          <w:rFonts w:ascii="David" w:hAnsi="David"/>
          <w:sz w:val="26"/>
          <w:szCs w:val="26"/>
          <w:rtl/>
        </w:rPr>
        <w:t xml:space="preserve">, מיום 13.9.17, בפסקה 7 לפסק-דינו של כבוד השופטת עמית). בעקבות הקביעות בהלכת </w:t>
      </w:r>
      <w:r>
        <w:rPr>
          <w:rFonts w:ascii="David" w:hAnsi="David"/>
          <w:b/>
          <w:bCs/>
          <w:sz w:val="26"/>
          <w:szCs w:val="26"/>
          <w:rtl/>
        </w:rPr>
        <w:t>אזולאי</w:t>
      </w:r>
      <w:r>
        <w:rPr>
          <w:rFonts w:ascii="David" w:hAnsi="David"/>
          <w:sz w:val="26"/>
          <w:szCs w:val="26"/>
          <w:rtl/>
        </w:rPr>
        <w:t xml:space="preserve"> ניתן להבחין בפסיקה במגמה ממתנת  בסוגית הקנסות, בפרט שעה שבית המשפט מתרשם מקושי כלכלי אפשרי של הנאשם. כך, בוטל עונש קנס בסכום מתון למדי, מתוך חשש להשפעתו על נאשם (</w:t>
      </w:r>
      <w:hyperlink r:id="rId54" w:history="1">
        <w:r w:rsidR="003558A3" w:rsidRPr="003558A3">
          <w:rPr>
            <w:rFonts w:ascii="David" w:hAnsi="David"/>
            <w:color w:val="0000FF"/>
            <w:sz w:val="26"/>
            <w:szCs w:val="26"/>
            <w:u w:val="single"/>
            <w:rtl/>
          </w:rPr>
          <w:t>ע"פ 4531/18</w:t>
        </w:r>
      </w:hyperlink>
      <w:r>
        <w:rPr>
          <w:rFonts w:ascii="David" w:hAnsi="David"/>
          <w:sz w:val="26"/>
          <w:szCs w:val="26"/>
          <w:rtl/>
        </w:rPr>
        <w:t xml:space="preserve"> </w:t>
      </w:r>
      <w:r>
        <w:rPr>
          <w:rFonts w:ascii="David" w:hAnsi="David"/>
          <w:b/>
          <w:bCs/>
          <w:sz w:val="26"/>
          <w:szCs w:val="26"/>
          <w:rtl/>
        </w:rPr>
        <w:t>פלוני נ' מדינת ישראל</w:t>
      </w:r>
      <w:r>
        <w:rPr>
          <w:rFonts w:ascii="David" w:hAnsi="David"/>
          <w:sz w:val="26"/>
          <w:szCs w:val="26"/>
          <w:rtl/>
        </w:rPr>
        <w:t xml:space="preserve">, מיום 26.7.18, בפסקה 4 לפסק-הדין); וכן בוטלו קביעות בעניין השתת תקופות מאסר חלף קנס (ראו לדוגמה </w:t>
      </w:r>
      <w:hyperlink r:id="rId55" w:history="1">
        <w:r w:rsidR="003558A3" w:rsidRPr="003558A3">
          <w:rPr>
            <w:rFonts w:ascii="David" w:hAnsi="David"/>
            <w:color w:val="0000FF"/>
            <w:sz w:val="26"/>
            <w:szCs w:val="26"/>
            <w:u w:val="single"/>
            <w:rtl/>
          </w:rPr>
          <w:t>עפ"ג (מחוזי תל-אביב) 22375-11-17</w:t>
        </w:r>
      </w:hyperlink>
      <w:r>
        <w:rPr>
          <w:rFonts w:ascii="David" w:hAnsi="David"/>
          <w:sz w:val="26"/>
          <w:szCs w:val="26"/>
          <w:rtl/>
        </w:rPr>
        <w:t xml:space="preserve"> </w:t>
      </w:r>
      <w:r>
        <w:rPr>
          <w:rFonts w:ascii="David" w:hAnsi="David"/>
          <w:b/>
          <w:bCs/>
          <w:sz w:val="26"/>
          <w:szCs w:val="26"/>
          <w:rtl/>
        </w:rPr>
        <w:t>ביליק נ' מדינת ישראל</w:t>
      </w:r>
      <w:r>
        <w:rPr>
          <w:rFonts w:ascii="David" w:hAnsi="David"/>
          <w:sz w:val="26"/>
          <w:szCs w:val="26"/>
          <w:rtl/>
        </w:rPr>
        <w:t xml:space="preserve">, מיום 19.3.18, בפסקה 21 לפסק-הדין;  </w:t>
      </w:r>
      <w:hyperlink r:id="rId56" w:history="1">
        <w:r w:rsidR="009E3601" w:rsidRPr="009E3601">
          <w:rPr>
            <w:rStyle w:val="Hyperlink"/>
            <w:rFonts w:ascii="David" w:hAnsi="David"/>
            <w:sz w:val="26"/>
            <w:szCs w:val="26"/>
            <w:rtl/>
          </w:rPr>
          <w:t xml:space="preserve">עפמ"ק (מחוזי חיפה) 5911-09-18 </w:t>
        </w:r>
      </w:hyperlink>
      <w:r>
        <w:rPr>
          <w:rFonts w:ascii="David" w:hAnsi="David"/>
          <w:sz w:val="26"/>
          <w:szCs w:val="26"/>
          <w:rtl/>
        </w:rPr>
        <w:t xml:space="preserve"> </w:t>
      </w:r>
      <w:r>
        <w:rPr>
          <w:rFonts w:ascii="David" w:hAnsi="David"/>
          <w:b/>
          <w:bCs/>
          <w:sz w:val="26"/>
          <w:szCs w:val="26"/>
          <w:rtl/>
        </w:rPr>
        <w:t>סעאידה נ' ועדה מקומית לתכנון ובניה שומרון</w:t>
      </w:r>
      <w:r>
        <w:rPr>
          <w:rFonts w:ascii="David" w:hAnsi="David"/>
          <w:sz w:val="26"/>
          <w:szCs w:val="26"/>
          <w:rtl/>
        </w:rPr>
        <w:t>, מיום 14.12.18, בפסקה 37 לפסק-הדין).</w:t>
      </w:r>
    </w:p>
    <w:p w14:paraId="782B094F" w14:textId="77777777" w:rsidR="00E57ED2" w:rsidRDefault="00E57ED2" w:rsidP="00E57ED2">
      <w:pPr>
        <w:pStyle w:val="a9"/>
        <w:spacing w:after="0" w:line="360" w:lineRule="auto"/>
        <w:jc w:val="both"/>
        <w:rPr>
          <w:rFonts w:ascii="David" w:hAnsi="David" w:cs="David"/>
          <w:sz w:val="26"/>
          <w:szCs w:val="26"/>
          <w:rtl/>
        </w:rPr>
      </w:pPr>
    </w:p>
    <w:p w14:paraId="2611233F" w14:textId="77777777" w:rsidR="00E57ED2" w:rsidRDefault="00E57ED2" w:rsidP="00E57ED2">
      <w:pPr>
        <w:pStyle w:val="a9"/>
        <w:numPr>
          <w:ilvl w:val="0"/>
          <w:numId w:val="1"/>
        </w:numPr>
        <w:spacing w:after="0" w:line="360" w:lineRule="auto"/>
        <w:ind w:hanging="636"/>
        <w:jc w:val="both"/>
        <w:rPr>
          <w:rFonts w:ascii="David" w:hAnsi="David" w:cs="David"/>
          <w:sz w:val="26"/>
          <w:szCs w:val="26"/>
        </w:rPr>
      </w:pPr>
      <w:r>
        <w:rPr>
          <w:rFonts w:ascii="David" w:hAnsi="David" w:cs="David"/>
          <w:sz w:val="26"/>
          <w:szCs w:val="26"/>
          <w:rtl/>
        </w:rPr>
        <w:t xml:space="preserve">על רקע כל אלה, הרי שלנוכח מצבו הכלכלי הקשה של הנאשם ושל משפחתו, אסתפק בהשתת קנס בסכום של 1,000 ₪ או שבעה ימי מאסר תמורתו. </w:t>
      </w:r>
    </w:p>
    <w:p w14:paraId="7A81F1FD" w14:textId="77777777" w:rsidR="00E57ED2" w:rsidRDefault="00E57ED2" w:rsidP="00E57ED2">
      <w:pPr>
        <w:pStyle w:val="a9"/>
        <w:spacing w:after="0" w:line="360" w:lineRule="auto"/>
        <w:rPr>
          <w:rFonts w:ascii="David" w:hAnsi="David" w:cs="David"/>
          <w:sz w:val="26"/>
          <w:szCs w:val="26"/>
        </w:rPr>
      </w:pPr>
    </w:p>
    <w:p w14:paraId="662D6966" w14:textId="77777777" w:rsidR="00E57ED2" w:rsidRDefault="00E57ED2" w:rsidP="00E57ED2">
      <w:pPr>
        <w:pStyle w:val="a9"/>
        <w:numPr>
          <w:ilvl w:val="0"/>
          <w:numId w:val="1"/>
        </w:numPr>
        <w:spacing w:after="0" w:line="360" w:lineRule="auto"/>
        <w:ind w:hanging="636"/>
        <w:jc w:val="both"/>
        <w:rPr>
          <w:rFonts w:ascii="David" w:hAnsi="David" w:cs="David"/>
          <w:sz w:val="26"/>
          <w:szCs w:val="26"/>
          <w:rtl/>
        </w:rPr>
      </w:pPr>
      <w:r>
        <w:rPr>
          <w:rFonts w:ascii="David" w:hAnsi="David" w:cs="David"/>
          <w:sz w:val="26"/>
          <w:szCs w:val="26"/>
          <w:rtl/>
        </w:rPr>
        <w:t xml:space="preserve">לנוכח כל האמור לעיל, ולאחר שהממונה על עבודות השירות מצא שהנאשם כשיר לביצוע עבודות שירות, אני גוזר על הנאשם את העונשים דלהלן: </w:t>
      </w:r>
    </w:p>
    <w:p w14:paraId="77315CDF" w14:textId="77777777" w:rsidR="00E57ED2" w:rsidRDefault="00E57ED2" w:rsidP="00E57ED2">
      <w:pPr>
        <w:pStyle w:val="a9"/>
        <w:spacing w:after="0" w:line="360" w:lineRule="auto"/>
        <w:jc w:val="both"/>
        <w:rPr>
          <w:rFonts w:ascii="David" w:hAnsi="David" w:cs="David"/>
          <w:sz w:val="26"/>
          <w:szCs w:val="26"/>
        </w:rPr>
      </w:pPr>
    </w:p>
    <w:p w14:paraId="3BC4C9A7" w14:textId="77777777" w:rsidR="00E57ED2" w:rsidRDefault="00E57ED2" w:rsidP="00E57ED2">
      <w:pPr>
        <w:pStyle w:val="a9"/>
        <w:numPr>
          <w:ilvl w:val="0"/>
          <w:numId w:val="2"/>
        </w:numPr>
        <w:spacing w:after="120" w:line="360" w:lineRule="auto"/>
        <w:contextualSpacing w:val="0"/>
        <w:jc w:val="both"/>
        <w:rPr>
          <w:rFonts w:ascii="David" w:hAnsi="David" w:cs="David"/>
          <w:sz w:val="26"/>
          <w:szCs w:val="26"/>
        </w:rPr>
      </w:pPr>
      <w:r>
        <w:rPr>
          <w:rFonts w:ascii="David" w:hAnsi="David" w:cs="David"/>
          <w:sz w:val="26"/>
          <w:szCs w:val="26"/>
          <w:rtl/>
        </w:rPr>
        <w:t>עונש מאסר בפועל של תשעה חודשים, ללא ניכוי בגין תקופת המעצר, בו ישא הנאשם במסגרת עבודות שירות. עבודות השירות תבוצענה בגן הבוטאני האוניברסיטאי ברח' יהודה בורלא 1 בירושלים, חמישה ימים בשבוע, בהיקף של עד שמונה שעות ביום, החל מיום 3.3.2022. על הנאשם להתייצב לתחילת הנשיאה בעונש ביום 3.3.22 בשעה 08:00 במשרדי הממונה על עבודות השירות ביחידת עבודות השירות, שלוחת דרום, בסמוך לכלא באר-שבע.</w:t>
      </w:r>
    </w:p>
    <w:p w14:paraId="0778E237" w14:textId="77777777" w:rsidR="00E57ED2" w:rsidRDefault="00E57ED2" w:rsidP="00E57ED2">
      <w:pPr>
        <w:pStyle w:val="a9"/>
        <w:spacing w:after="120" w:line="360" w:lineRule="auto"/>
        <w:ind w:left="1440"/>
        <w:contextualSpacing w:val="0"/>
        <w:jc w:val="both"/>
        <w:rPr>
          <w:rFonts w:ascii="David" w:hAnsi="David" w:cs="David"/>
          <w:sz w:val="26"/>
          <w:szCs w:val="26"/>
          <w:rtl/>
        </w:rPr>
      </w:pPr>
      <w:r>
        <w:rPr>
          <w:rFonts w:ascii="David" w:hAnsi="David" w:cs="David"/>
          <w:sz w:val="26"/>
          <w:szCs w:val="26"/>
          <w:rtl/>
        </w:rPr>
        <w:t xml:space="preserve">מובהר בזה לנאשם שעליו לבצע את עבודות השירות בהתאם לכללים ולתנאים. אם לא יעמוד בתנאי עבודות השירות ולא יבצע אותן בצורה רציפה ועל פי הדרישות, עלול הדבר להביא להפסקה מנהלית של עבודות השירות ולנשיאה של יתרת עונש המאסר במאסר בפועל. </w:t>
      </w:r>
    </w:p>
    <w:p w14:paraId="438B0397" w14:textId="77777777" w:rsidR="00E57ED2" w:rsidRDefault="00E57ED2" w:rsidP="00E57ED2">
      <w:pPr>
        <w:pStyle w:val="a9"/>
        <w:numPr>
          <w:ilvl w:val="0"/>
          <w:numId w:val="2"/>
        </w:numPr>
        <w:spacing w:after="120" w:line="360" w:lineRule="auto"/>
        <w:contextualSpacing w:val="0"/>
        <w:jc w:val="both"/>
        <w:rPr>
          <w:rFonts w:ascii="David" w:hAnsi="David" w:cs="David"/>
          <w:sz w:val="26"/>
          <w:szCs w:val="26"/>
        </w:rPr>
      </w:pPr>
      <w:r>
        <w:rPr>
          <w:rFonts w:ascii="David" w:hAnsi="David" w:cs="David"/>
          <w:sz w:val="26"/>
          <w:szCs w:val="26"/>
          <w:rtl/>
        </w:rPr>
        <w:t>מאסר על תנאי של תשעה חודשים אותו ירצה הנאשם אם יעבור עבירת סמים מסוג פשע במשך שלוש שנים מהיום.</w:t>
      </w:r>
    </w:p>
    <w:p w14:paraId="471586C1" w14:textId="77777777" w:rsidR="00E57ED2" w:rsidRDefault="00E57ED2" w:rsidP="00E57ED2">
      <w:pPr>
        <w:pStyle w:val="a9"/>
        <w:numPr>
          <w:ilvl w:val="0"/>
          <w:numId w:val="2"/>
        </w:numPr>
        <w:spacing w:after="120" w:line="360" w:lineRule="auto"/>
        <w:contextualSpacing w:val="0"/>
        <w:jc w:val="both"/>
        <w:rPr>
          <w:rFonts w:ascii="David" w:hAnsi="David" w:cs="David"/>
          <w:sz w:val="26"/>
          <w:szCs w:val="26"/>
        </w:rPr>
      </w:pPr>
      <w:r>
        <w:rPr>
          <w:rFonts w:ascii="David" w:hAnsi="David" w:cs="David"/>
          <w:sz w:val="26"/>
          <w:szCs w:val="26"/>
          <w:rtl/>
        </w:rPr>
        <w:t xml:space="preserve">קנס בסכום 1,000 ₪ או שבעה ימי מאסר תמורתו. הקנס ישולם בארבעה תשלומים שווים של 250 ₪, שהראשון בהם ישולם ביום 1.3.22 ולאחר מכן בכל 1 לחודש. </w:t>
      </w:r>
    </w:p>
    <w:p w14:paraId="1FDF7E38" w14:textId="77777777" w:rsidR="00E57ED2" w:rsidRDefault="00E57ED2" w:rsidP="00E57ED2">
      <w:pPr>
        <w:pStyle w:val="a9"/>
        <w:numPr>
          <w:ilvl w:val="0"/>
          <w:numId w:val="2"/>
        </w:numPr>
        <w:spacing w:after="0" w:line="360" w:lineRule="auto"/>
        <w:jc w:val="both"/>
        <w:rPr>
          <w:rFonts w:ascii="David" w:hAnsi="David" w:cs="David"/>
          <w:sz w:val="26"/>
          <w:szCs w:val="26"/>
          <w:rtl/>
        </w:rPr>
      </w:pPr>
      <w:r>
        <w:rPr>
          <w:rFonts w:ascii="David" w:hAnsi="David" w:cs="David"/>
          <w:sz w:val="26"/>
          <w:szCs w:val="26"/>
          <w:rtl/>
        </w:rPr>
        <w:t xml:space="preserve">הנאשם יעמוד בפיקוח של שירות המבחן למשך שנה מהיום. </w:t>
      </w:r>
    </w:p>
    <w:p w14:paraId="5BF9F798" w14:textId="77777777" w:rsidR="00E57ED2" w:rsidRDefault="00E57ED2" w:rsidP="00E57ED2">
      <w:pPr>
        <w:pStyle w:val="a9"/>
        <w:spacing w:after="0" w:line="360" w:lineRule="auto"/>
        <w:rPr>
          <w:rFonts w:ascii="David" w:hAnsi="David" w:cs="David"/>
          <w:sz w:val="26"/>
          <w:szCs w:val="26"/>
        </w:rPr>
      </w:pPr>
    </w:p>
    <w:p w14:paraId="1F9C667A" w14:textId="77777777" w:rsidR="00E57ED2" w:rsidRDefault="00E57ED2" w:rsidP="00E57ED2">
      <w:pPr>
        <w:spacing w:after="120" w:line="360" w:lineRule="auto"/>
        <w:jc w:val="both"/>
        <w:rPr>
          <w:rFonts w:ascii="David" w:hAnsi="David"/>
          <w:b/>
          <w:bCs/>
          <w:sz w:val="26"/>
          <w:szCs w:val="26"/>
          <w:rtl/>
        </w:rPr>
      </w:pPr>
      <w:r>
        <w:rPr>
          <w:rFonts w:ascii="David" w:hAnsi="David"/>
          <w:b/>
          <w:bCs/>
          <w:sz w:val="26"/>
          <w:szCs w:val="26"/>
          <w:rtl/>
        </w:rPr>
        <w:t>המזכירות תשלח העתקים מגזר הדין לשירות המבחן ולממונה על עבודות השירות.</w:t>
      </w:r>
    </w:p>
    <w:p w14:paraId="4E140B25" w14:textId="77777777" w:rsidR="00E57ED2" w:rsidRDefault="003558A3" w:rsidP="00E57ED2">
      <w:pPr>
        <w:spacing w:after="120" w:line="360" w:lineRule="auto"/>
        <w:jc w:val="both"/>
        <w:rPr>
          <w:rFonts w:ascii="David" w:hAnsi="David"/>
          <w:b/>
          <w:bCs/>
          <w:sz w:val="26"/>
          <w:szCs w:val="26"/>
          <w:rtl/>
        </w:rPr>
      </w:pPr>
      <w:r w:rsidRPr="003558A3">
        <w:rPr>
          <w:rFonts w:ascii="David" w:hAnsi="David"/>
          <w:b/>
          <w:bCs/>
          <w:color w:val="FFFFFF"/>
          <w:sz w:val="2"/>
          <w:szCs w:val="2"/>
          <w:rtl/>
        </w:rPr>
        <w:t>5129371</w:t>
      </w:r>
      <w:r w:rsidR="00E57ED2">
        <w:rPr>
          <w:rFonts w:ascii="David" w:hAnsi="David"/>
          <w:b/>
          <w:bCs/>
          <w:sz w:val="26"/>
          <w:szCs w:val="26"/>
          <w:rtl/>
        </w:rPr>
        <w:t xml:space="preserve">זכות ערעור לבית המשפט העליון בתוך 45 יום מהיום. </w:t>
      </w:r>
    </w:p>
    <w:tbl>
      <w:tblPr>
        <w:bidiVisual/>
        <w:tblW w:w="0" w:type="auto"/>
        <w:tblInd w:w="4006" w:type="dxa"/>
        <w:tblLook w:val="01E0" w:firstRow="1" w:lastRow="1" w:firstColumn="1" w:lastColumn="1" w:noHBand="0" w:noVBand="0"/>
      </w:tblPr>
      <w:tblGrid>
        <w:gridCol w:w="3142"/>
      </w:tblGrid>
      <w:tr w:rsidR="00E57ED2" w14:paraId="7AF34C13" w14:textId="77777777" w:rsidTr="00E57ED2">
        <w:tc>
          <w:tcPr>
            <w:tcW w:w="3142" w:type="dxa"/>
            <w:tcBorders>
              <w:top w:val="nil"/>
              <w:left w:val="nil"/>
              <w:bottom w:val="single" w:sz="4" w:space="0" w:color="auto"/>
              <w:right w:val="nil"/>
            </w:tcBorders>
            <w:shd w:val="clear" w:color="auto" w:fill="auto"/>
            <w:vAlign w:val="center"/>
          </w:tcPr>
          <w:p w14:paraId="71FC6673" w14:textId="77777777" w:rsidR="00E57ED2" w:rsidRPr="00E57ED2" w:rsidRDefault="003558A3" w:rsidP="003558A3">
            <w:pPr>
              <w:jc w:val="center"/>
              <w:rPr>
                <w:rFonts w:ascii="Courier New" w:hAnsi="Courier New"/>
                <w:b/>
                <w:bCs/>
              </w:rPr>
            </w:pPr>
            <w:bookmarkStart w:id="8" w:name="Nitan"/>
            <w:r w:rsidRPr="003558A3">
              <w:rPr>
                <w:rFonts w:ascii="David" w:hAnsi="David"/>
                <w:b/>
                <w:bCs/>
                <w:color w:val="FFFFFF"/>
                <w:sz w:val="2"/>
                <w:szCs w:val="2"/>
                <w:rtl/>
              </w:rPr>
              <w:t>54678313</w:t>
            </w:r>
            <w:r>
              <w:rPr>
                <w:rFonts w:ascii="David" w:hAnsi="David"/>
                <w:b/>
                <w:bCs/>
                <w:sz w:val="26"/>
                <w:szCs w:val="26"/>
                <w:rtl/>
              </w:rPr>
              <w:t xml:space="preserve">ניתן היום, י' בשבט התשפ"ב, 12 בינואר 2022, בנוכחות הצדדים. </w:t>
            </w:r>
            <w:bookmarkEnd w:id="8"/>
          </w:p>
        </w:tc>
      </w:tr>
      <w:tr w:rsidR="00E57ED2" w14:paraId="257366D6" w14:textId="77777777" w:rsidTr="00E57ED2">
        <w:tc>
          <w:tcPr>
            <w:tcW w:w="3142" w:type="dxa"/>
            <w:tcBorders>
              <w:top w:val="single" w:sz="4" w:space="0" w:color="auto"/>
              <w:left w:val="nil"/>
              <w:bottom w:val="nil"/>
              <w:right w:val="nil"/>
            </w:tcBorders>
            <w:shd w:val="clear" w:color="auto" w:fill="auto"/>
          </w:tcPr>
          <w:p w14:paraId="62BA704F" w14:textId="77777777" w:rsidR="00E57ED2" w:rsidRPr="00E57ED2" w:rsidRDefault="00E57ED2" w:rsidP="00E57ED2">
            <w:pPr>
              <w:jc w:val="center"/>
              <w:rPr>
                <w:b/>
                <w:bCs/>
                <w:noProof/>
                <w:sz w:val="30"/>
                <w:szCs w:val="26"/>
              </w:rPr>
            </w:pPr>
            <w:r w:rsidRPr="00E57ED2">
              <w:rPr>
                <w:rFonts w:hint="cs"/>
                <w:b/>
                <w:bCs/>
                <w:sz w:val="30"/>
                <w:szCs w:val="26"/>
                <w:rtl/>
              </w:rPr>
              <w:t>רם וינוגרד, שופט</w:t>
            </w:r>
          </w:p>
        </w:tc>
      </w:tr>
    </w:tbl>
    <w:p w14:paraId="573CD4F1" w14:textId="77777777" w:rsidR="00E57ED2" w:rsidRPr="00D47A79" w:rsidRDefault="00D47A79" w:rsidP="00E57ED2">
      <w:pPr>
        <w:rPr>
          <w:color w:val="FFFFFF"/>
          <w:sz w:val="2"/>
          <w:szCs w:val="2"/>
          <w:rtl/>
        </w:rPr>
      </w:pPr>
      <w:r w:rsidRPr="00D47A79">
        <w:rPr>
          <w:color w:val="FFFFFF"/>
          <w:sz w:val="2"/>
          <w:szCs w:val="2"/>
          <w:rtl/>
        </w:rPr>
        <w:t>5129371</w:t>
      </w:r>
    </w:p>
    <w:p w14:paraId="53C1FA0A" w14:textId="77777777" w:rsidR="00A73B06" w:rsidRPr="00D47A79" w:rsidRDefault="00D47A79" w:rsidP="003558A3">
      <w:pPr>
        <w:keepNext/>
        <w:rPr>
          <w:rFonts w:ascii="David" w:hAnsi="David"/>
          <w:color w:val="FFFFFF"/>
          <w:sz w:val="2"/>
          <w:szCs w:val="2"/>
          <w:rtl/>
        </w:rPr>
      </w:pPr>
      <w:r w:rsidRPr="00D47A79">
        <w:rPr>
          <w:rFonts w:ascii="David" w:hAnsi="David"/>
          <w:color w:val="FFFFFF"/>
          <w:sz w:val="2"/>
          <w:szCs w:val="2"/>
          <w:rtl/>
        </w:rPr>
        <w:t>54678313</w:t>
      </w:r>
    </w:p>
    <w:p w14:paraId="53A23F54" w14:textId="77777777" w:rsidR="003558A3" w:rsidRDefault="003558A3" w:rsidP="003558A3">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1264505C" w14:textId="77777777" w:rsidR="00D47A79" w:rsidRPr="00D47A79" w:rsidRDefault="00D47A79" w:rsidP="00D47A79">
      <w:pPr>
        <w:keepNext/>
        <w:rPr>
          <w:rFonts w:ascii="David" w:hAnsi="David"/>
          <w:color w:val="000000"/>
          <w:sz w:val="22"/>
          <w:szCs w:val="22"/>
          <w:rtl/>
        </w:rPr>
      </w:pPr>
    </w:p>
    <w:p w14:paraId="2D6BA0E8" w14:textId="77777777" w:rsidR="00D47A79" w:rsidRPr="00D47A79" w:rsidRDefault="00D47A79" w:rsidP="00D47A79">
      <w:pPr>
        <w:keepNext/>
        <w:rPr>
          <w:rFonts w:ascii="David" w:hAnsi="David"/>
          <w:color w:val="000000"/>
          <w:sz w:val="22"/>
          <w:szCs w:val="22"/>
          <w:rtl/>
        </w:rPr>
      </w:pPr>
      <w:r w:rsidRPr="00D47A79">
        <w:rPr>
          <w:rFonts w:ascii="David" w:hAnsi="David"/>
          <w:color w:val="000000"/>
          <w:sz w:val="22"/>
          <w:szCs w:val="22"/>
          <w:rtl/>
        </w:rPr>
        <w:t>רם וינוגרד 54678313-/</w:t>
      </w:r>
    </w:p>
    <w:p w14:paraId="1508A2B3" w14:textId="77777777" w:rsidR="003558A3" w:rsidRPr="003558A3" w:rsidRDefault="00D47A79" w:rsidP="00D47A79">
      <w:pPr>
        <w:rPr>
          <w:color w:val="0000FF"/>
          <w:u w:val="single"/>
        </w:rPr>
      </w:pPr>
      <w:r w:rsidRPr="00D47A79">
        <w:rPr>
          <w:color w:val="000000"/>
          <w:u w:val="single"/>
          <w:rtl/>
        </w:rPr>
        <w:t>נוסח מסמך זה כפוף לשינויי ניסוח ועריכה</w:t>
      </w:r>
    </w:p>
    <w:sectPr w:rsidR="003558A3" w:rsidRPr="003558A3" w:rsidSect="00D47A79">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9710BE" w14:textId="77777777" w:rsidR="00F24676" w:rsidRDefault="00F24676" w:rsidP="00262103">
      <w:r>
        <w:separator/>
      </w:r>
    </w:p>
  </w:endnote>
  <w:endnote w:type="continuationSeparator" w:id="0">
    <w:p w14:paraId="0DEAF3EB" w14:textId="77777777" w:rsidR="00F24676" w:rsidRDefault="00F24676" w:rsidP="00262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67C5C" w14:textId="77777777" w:rsidR="00D47A79" w:rsidRDefault="00D47A79" w:rsidP="00D47A7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32DCB22" w14:textId="77777777" w:rsidR="00E934D7" w:rsidRPr="00D47A79" w:rsidRDefault="00D47A79" w:rsidP="00D47A79">
    <w:pPr>
      <w:pStyle w:val="a5"/>
      <w:pBdr>
        <w:top w:val="single" w:sz="4" w:space="1" w:color="auto"/>
        <w:between w:val="single" w:sz="4" w:space="0" w:color="auto"/>
      </w:pBdr>
      <w:spacing w:after="60"/>
      <w:jc w:val="center"/>
      <w:rPr>
        <w:rFonts w:ascii="FrankRuehl" w:hAnsi="FrankRuehl" w:cs="FrankRuehl"/>
        <w:color w:val="000000"/>
      </w:rPr>
    </w:pPr>
    <w:r w:rsidRPr="00D47A7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67ECF" w14:textId="77777777" w:rsidR="00D47A79" w:rsidRDefault="00D47A79" w:rsidP="00D47A7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A3694">
      <w:rPr>
        <w:rFonts w:ascii="FrankRuehl" w:hAnsi="FrankRuehl" w:cs="FrankRuehl"/>
        <w:noProof/>
        <w:rtl/>
      </w:rPr>
      <w:t>1</w:t>
    </w:r>
    <w:r>
      <w:rPr>
        <w:rFonts w:ascii="FrankRuehl" w:hAnsi="FrankRuehl" w:cs="FrankRuehl"/>
        <w:rtl/>
      </w:rPr>
      <w:fldChar w:fldCharType="end"/>
    </w:r>
  </w:p>
  <w:p w14:paraId="3A1B8B57" w14:textId="77777777" w:rsidR="00E934D7" w:rsidRPr="00D47A79" w:rsidRDefault="00D47A79" w:rsidP="00D47A79">
    <w:pPr>
      <w:pStyle w:val="a5"/>
      <w:pBdr>
        <w:top w:val="single" w:sz="4" w:space="1" w:color="auto"/>
        <w:between w:val="single" w:sz="4" w:space="0" w:color="auto"/>
      </w:pBdr>
      <w:spacing w:after="60"/>
      <w:jc w:val="center"/>
      <w:rPr>
        <w:rFonts w:ascii="FrankRuehl" w:hAnsi="FrankRuehl" w:cs="FrankRuehl"/>
        <w:color w:val="000000"/>
      </w:rPr>
    </w:pPr>
    <w:r w:rsidRPr="00D47A79">
      <w:rPr>
        <w:rFonts w:ascii="FrankRuehl" w:hAnsi="FrankRuehl" w:cs="FrankRuehl"/>
        <w:color w:val="000000"/>
      </w:rPr>
      <w:pict w14:anchorId="25A5CF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4523C" w14:textId="77777777" w:rsidR="00F24676" w:rsidRDefault="00F24676" w:rsidP="00262103">
      <w:r>
        <w:separator/>
      </w:r>
    </w:p>
  </w:footnote>
  <w:footnote w:type="continuationSeparator" w:id="0">
    <w:p w14:paraId="126215F5" w14:textId="77777777" w:rsidR="00F24676" w:rsidRDefault="00F24676" w:rsidP="00262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2522D" w14:textId="77777777" w:rsidR="003558A3" w:rsidRPr="00D47A79" w:rsidRDefault="00D47A79" w:rsidP="00D47A7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19469-12-19</w:t>
    </w:r>
    <w:r>
      <w:rPr>
        <w:rFonts w:ascii="David" w:hAnsi="David"/>
        <w:color w:val="000000"/>
        <w:sz w:val="22"/>
        <w:szCs w:val="22"/>
        <w:rtl/>
      </w:rPr>
      <w:tab/>
      <w:t xml:space="preserve"> מדינת ישראל נ' עבדאללטיף מסוודא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8B803" w14:textId="77777777" w:rsidR="003558A3" w:rsidRPr="00D47A79" w:rsidRDefault="00D47A79" w:rsidP="00D47A7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19469-12-19</w:t>
    </w:r>
    <w:r>
      <w:rPr>
        <w:rFonts w:ascii="David" w:hAnsi="David"/>
        <w:color w:val="000000"/>
        <w:sz w:val="22"/>
        <w:szCs w:val="22"/>
        <w:rtl/>
      </w:rPr>
      <w:tab/>
      <w:t xml:space="preserve"> מדינת ישראל נ' עבדאללטיף מסוודא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26AA5"/>
    <w:multiLevelType w:val="hybridMultilevel"/>
    <w:tmpl w:val="C32040E8"/>
    <w:lvl w:ilvl="0" w:tplc="8692252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D11271"/>
    <w:multiLevelType w:val="hybridMultilevel"/>
    <w:tmpl w:val="8396B05E"/>
    <w:lvl w:ilvl="0" w:tplc="E2603884">
      <w:start w:val="1"/>
      <w:numFmt w:val="hebrew1"/>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5239851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78079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57ED2"/>
    <w:rsid w:val="001B5A3B"/>
    <w:rsid w:val="00215485"/>
    <w:rsid w:val="00262103"/>
    <w:rsid w:val="003558A3"/>
    <w:rsid w:val="00510927"/>
    <w:rsid w:val="00571B2F"/>
    <w:rsid w:val="00583066"/>
    <w:rsid w:val="005A0451"/>
    <w:rsid w:val="009E3601"/>
    <w:rsid w:val="00A73B06"/>
    <w:rsid w:val="00D47A79"/>
    <w:rsid w:val="00E03A66"/>
    <w:rsid w:val="00E57ED2"/>
    <w:rsid w:val="00E934D7"/>
    <w:rsid w:val="00EA2E0C"/>
    <w:rsid w:val="00F24676"/>
    <w:rsid w:val="00FA36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F2523A"/>
  <w15:chartTrackingRefBased/>
  <w15:docId w15:val="{17AF45E0-70EC-4CE0-9837-1EC4A044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57ED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57ED2"/>
    <w:pPr>
      <w:tabs>
        <w:tab w:val="center" w:pos="4153"/>
        <w:tab w:val="right" w:pos="8306"/>
      </w:tabs>
    </w:pPr>
  </w:style>
  <w:style w:type="character" w:customStyle="1" w:styleId="a4">
    <w:name w:val="כותרת עליונה תו"/>
    <w:link w:val="a3"/>
    <w:rsid w:val="00E57ED2"/>
    <w:rPr>
      <w:rFonts w:ascii="Times New Roman" w:eastAsia="Times New Roman" w:hAnsi="Times New Roman" w:cs="David"/>
      <w:sz w:val="24"/>
      <w:szCs w:val="24"/>
    </w:rPr>
  </w:style>
  <w:style w:type="paragraph" w:styleId="a5">
    <w:name w:val="footer"/>
    <w:basedOn w:val="a"/>
    <w:link w:val="a6"/>
    <w:rsid w:val="00E57ED2"/>
    <w:pPr>
      <w:tabs>
        <w:tab w:val="center" w:pos="4153"/>
        <w:tab w:val="right" w:pos="8306"/>
      </w:tabs>
    </w:pPr>
  </w:style>
  <w:style w:type="character" w:customStyle="1" w:styleId="a6">
    <w:name w:val="כותרת תחתונה תו"/>
    <w:link w:val="a5"/>
    <w:rsid w:val="00E57ED2"/>
    <w:rPr>
      <w:rFonts w:ascii="Times New Roman" w:eastAsia="Times New Roman" w:hAnsi="Times New Roman" w:cs="David"/>
      <w:sz w:val="24"/>
      <w:szCs w:val="24"/>
    </w:rPr>
  </w:style>
  <w:style w:type="table" w:styleId="a7">
    <w:name w:val="Table Grid"/>
    <w:basedOn w:val="a1"/>
    <w:rsid w:val="00E57ED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57ED2"/>
  </w:style>
  <w:style w:type="paragraph" w:styleId="a9">
    <w:name w:val="List Paragraph"/>
    <w:basedOn w:val="a"/>
    <w:qFormat/>
    <w:rsid w:val="00E57ED2"/>
    <w:pPr>
      <w:spacing w:after="160" w:line="256" w:lineRule="auto"/>
      <w:ind w:left="720"/>
      <w:contextualSpacing/>
    </w:pPr>
    <w:rPr>
      <w:rFonts w:ascii="Calibri" w:eastAsia="Calibri" w:hAnsi="Calibri" w:cs="Arial"/>
      <w:sz w:val="22"/>
      <w:szCs w:val="22"/>
    </w:rPr>
  </w:style>
  <w:style w:type="character" w:styleId="Hyperlink">
    <w:name w:val="Hyperlink"/>
    <w:rsid w:val="003558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a"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3750625" TargetMode="External"/><Relationship Id="rId39" Type="http://schemas.openxmlformats.org/officeDocument/2006/relationships/hyperlink" Target="http://www.nevo.co.il/case/24947203"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1731698" TargetMode="External"/><Relationship Id="rId42" Type="http://schemas.openxmlformats.org/officeDocument/2006/relationships/hyperlink" Target="http://www.nevo.co.il/case/24976154" TargetMode="External"/><Relationship Id="rId47" Type="http://schemas.openxmlformats.org/officeDocument/2006/relationships/hyperlink" Target="http://www.nevo.co.il/case/8457254" TargetMode="External"/><Relationship Id="rId50" Type="http://schemas.openxmlformats.org/officeDocument/2006/relationships/hyperlink" Target="http://www.nevo.co.il/case/5575808" TargetMode="External"/><Relationship Id="rId55" Type="http://schemas.openxmlformats.org/officeDocument/2006/relationships/hyperlink" Target="http://www.nevo.co.il/case/23253851" TargetMode="External"/><Relationship Id="rId63"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case/23855495"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4263089" TargetMode="External"/><Relationship Id="rId32" Type="http://schemas.openxmlformats.org/officeDocument/2006/relationships/hyperlink" Target="http://www.nevo.co.il/case/7701032" TargetMode="External"/><Relationship Id="rId37" Type="http://schemas.openxmlformats.org/officeDocument/2006/relationships/hyperlink" Target="http://www.nevo.co.il/case/23644788" TargetMode="External"/><Relationship Id="rId40" Type="http://schemas.openxmlformats.org/officeDocument/2006/relationships/hyperlink" Target="http://www.nevo.co.il/case/27030267" TargetMode="External"/><Relationship Id="rId45" Type="http://schemas.openxmlformats.org/officeDocument/2006/relationships/hyperlink" Target="http://www.nevo.co.il/law/70301/40h" TargetMode="External"/><Relationship Id="rId53" Type="http://schemas.openxmlformats.org/officeDocument/2006/relationships/hyperlink" Target="http://www.nevo.co.il/case/21477594"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70301" TargetMode="External"/><Relationship Id="rId14" Type="http://schemas.openxmlformats.org/officeDocument/2006/relationships/hyperlink" Target="http://www.nevo.co.il/law/70301/40h" TargetMode="External"/><Relationship Id="rId22" Type="http://schemas.openxmlformats.org/officeDocument/2006/relationships/hyperlink" Target="http://www.nevo.co.il/case/26571719" TargetMode="External"/><Relationship Id="rId27" Type="http://schemas.openxmlformats.org/officeDocument/2006/relationships/hyperlink" Target="http://www.nevo.co.il/case/23835451" TargetMode="External"/><Relationship Id="rId30" Type="http://schemas.openxmlformats.org/officeDocument/2006/relationships/hyperlink" Target="http://www.nevo.co.il/case/5583835" TargetMode="External"/><Relationship Id="rId35" Type="http://schemas.openxmlformats.org/officeDocument/2006/relationships/hyperlink" Target="http://www.nevo.co.il/case/27012640" TargetMode="External"/><Relationship Id="rId43" Type="http://schemas.openxmlformats.org/officeDocument/2006/relationships/hyperlink" Target="http://www.nevo.co.il/case/5981628" TargetMode="External"/><Relationship Id="rId48" Type="http://schemas.openxmlformats.org/officeDocument/2006/relationships/hyperlink" Target="http://www.nevo.co.il/case/17043259" TargetMode="External"/><Relationship Id="rId56" Type="http://schemas.openxmlformats.org/officeDocument/2006/relationships/hyperlink" Target="http://www.nevo.co.il/case/24965265" TargetMode="External"/><Relationship Id="rId8" Type="http://schemas.openxmlformats.org/officeDocument/2006/relationships/hyperlink" Target="http://www.nevo.co.il/law/4216/13"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40b"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13055135" TargetMode="External"/><Relationship Id="rId33" Type="http://schemas.openxmlformats.org/officeDocument/2006/relationships/hyperlink" Target="http://www.nevo.co.il/case/7687719" TargetMode="External"/><Relationship Id="rId38" Type="http://schemas.openxmlformats.org/officeDocument/2006/relationships/hyperlink" Target="http://www.nevo.co.il/case/21661958" TargetMode="External"/><Relationship Id="rId46" Type="http://schemas.openxmlformats.org/officeDocument/2006/relationships/hyperlink" Target="http://www.nevo.co.il/law/70301/40c.a" TargetMode="External"/><Relationship Id="rId59" Type="http://schemas.openxmlformats.org/officeDocument/2006/relationships/header" Target="header2.xml"/><Relationship Id="rId20" Type="http://schemas.openxmlformats.org/officeDocument/2006/relationships/hyperlink" Target="http://www.nevo.co.il/law/70301/40b" TargetMode="External"/><Relationship Id="rId41" Type="http://schemas.openxmlformats.org/officeDocument/2006/relationships/hyperlink" Target="http://www.nevo.co.il/case/24413864" TargetMode="External"/><Relationship Id="rId54" Type="http://schemas.openxmlformats.org/officeDocument/2006/relationships/hyperlink" Target="http://www.nevo.co.il/case/24287812"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4" TargetMode="External"/><Relationship Id="rId23" Type="http://schemas.openxmlformats.org/officeDocument/2006/relationships/hyperlink" Target="http://www.nevo.co.il/case/5573417" TargetMode="External"/><Relationship Id="rId28" Type="http://schemas.openxmlformats.org/officeDocument/2006/relationships/hyperlink" Target="http://www.nevo.co.il/case/18654248" TargetMode="External"/><Relationship Id="rId36" Type="http://schemas.openxmlformats.org/officeDocument/2006/relationships/hyperlink" Target="http://www.nevo.co.il/case/26884152" TargetMode="External"/><Relationship Id="rId49" Type="http://schemas.openxmlformats.org/officeDocument/2006/relationships/hyperlink" Target="http://www.nevo.co.il/case/23745939"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4216/19a" TargetMode="External"/><Relationship Id="rId31" Type="http://schemas.openxmlformats.org/officeDocument/2006/relationships/hyperlink" Target="http://www.nevo.co.il/case/2843260"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20028029"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3454</Words>
  <Characters>17272</Characters>
  <Application>Microsoft Office Word</Application>
  <DocSecurity>0</DocSecurity>
  <Lines>143</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20685</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3670132</vt:i4>
      </vt:variant>
      <vt:variant>
        <vt:i4>147</vt:i4>
      </vt:variant>
      <vt:variant>
        <vt:i4>0</vt:i4>
      </vt:variant>
      <vt:variant>
        <vt:i4>5</vt:i4>
      </vt:variant>
      <vt:variant>
        <vt:lpwstr>http://www.nevo.co.il/case/24965265</vt:lpwstr>
      </vt:variant>
      <vt:variant>
        <vt:lpwstr/>
      </vt:variant>
      <vt:variant>
        <vt:i4>3539066</vt:i4>
      </vt:variant>
      <vt:variant>
        <vt:i4>144</vt:i4>
      </vt:variant>
      <vt:variant>
        <vt:i4>0</vt:i4>
      </vt:variant>
      <vt:variant>
        <vt:i4>5</vt:i4>
      </vt:variant>
      <vt:variant>
        <vt:lpwstr>http://www.nevo.co.il/case/23253851</vt:lpwstr>
      </vt:variant>
      <vt:variant>
        <vt:lpwstr/>
      </vt:variant>
      <vt:variant>
        <vt:i4>3539056</vt:i4>
      </vt:variant>
      <vt:variant>
        <vt:i4>141</vt:i4>
      </vt:variant>
      <vt:variant>
        <vt:i4>0</vt:i4>
      </vt:variant>
      <vt:variant>
        <vt:i4>5</vt:i4>
      </vt:variant>
      <vt:variant>
        <vt:lpwstr>http://www.nevo.co.il/case/24287812</vt:lpwstr>
      </vt:variant>
      <vt:variant>
        <vt:lpwstr/>
      </vt:variant>
      <vt:variant>
        <vt:i4>3670135</vt:i4>
      </vt:variant>
      <vt:variant>
        <vt:i4>138</vt:i4>
      </vt:variant>
      <vt:variant>
        <vt:i4>0</vt:i4>
      </vt:variant>
      <vt:variant>
        <vt:i4>5</vt:i4>
      </vt:variant>
      <vt:variant>
        <vt:lpwstr>http://www.nevo.co.il/case/21477594</vt:lpwstr>
      </vt:variant>
      <vt:variant>
        <vt:lpwstr/>
      </vt:variant>
      <vt:variant>
        <vt:i4>3670134</vt:i4>
      </vt:variant>
      <vt:variant>
        <vt:i4>135</vt:i4>
      </vt:variant>
      <vt:variant>
        <vt:i4>0</vt:i4>
      </vt:variant>
      <vt:variant>
        <vt:i4>5</vt:i4>
      </vt:variant>
      <vt:variant>
        <vt:lpwstr>http://www.nevo.co.il/case/20028029</vt:lpwstr>
      </vt:variant>
      <vt:variant>
        <vt:lpwstr/>
      </vt:variant>
      <vt:variant>
        <vt:i4>7995492</vt:i4>
      </vt:variant>
      <vt:variant>
        <vt:i4>132</vt:i4>
      </vt:variant>
      <vt:variant>
        <vt:i4>0</vt:i4>
      </vt:variant>
      <vt:variant>
        <vt:i4>5</vt:i4>
      </vt:variant>
      <vt:variant>
        <vt:lpwstr>http://www.nevo.co.il/law/70301</vt:lpwstr>
      </vt:variant>
      <vt:variant>
        <vt:lpwstr/>
      </vt:variant>
      <vt:variant>
        <vt:i4>3276916</vt:i4>
      </vt:variant>
      <vt:variant>
        <vt:i4>129</vt:i4>
      </vt:variant>
      <vt:variant>
        <vt:i4>0</vt:i4>
      </vt:variant>
      <vt:variant>
        <vt:i4>5</vt:i4>
      </vt:variant>
      <vt:variant>
        <vt:lpwstr>http://www.nevo.co.il/case/5575808</vt:lpwstr>
      </vt:variant>
      <vt:variant>
        <vt:lpwstr/>
      </vt:variant>
      <vt:variant>
        <vt:i4>3342458</vt:i4>
      </vt:variant>
      <vt:variant>
        <vt:i4>126</vt:i4>
      </vt:variant>
      <vt:variant>
        <vt:i4>0</vt:i4>
      </vt:variant>
      <vt:variant>
        <vt:i4>5</vt:i4>
      </vt:variant>
      <vt:variant>
        <vt:lpwstr>http://www.nevo.co.il/case/23745939</vt:lpwstr>
      </vt:variant>
      <vt:variant>
        <vt:lpwstr/>
      </vt:variant>
      <vt:variant>
        <vt:i4>3604597</vt:i4>
      </vt:variant>
      <vt:variant>
        <vt:i4>123</vt:i4>
      </vt:variant>
      <vt:variant>
        <vt:i4>0</vt:i4>
      </vt:variant>
      <vt:variant>
        <vt:i4>5</vt:i4>
      </vt:variant>
      <vt:variant>
        <vt:lpwstr>http://www.nevo.co.il/case/17043259</vt:lpwstr>
      </vt:variant>
      <vt:variant>
        <vt:lpwstr/>
      </vt:variant>
      <vt:variant>
        <vt:i4>3866738</vt:i4>
      </vt:variant>
      <vt:variant>
        <vt:i4>120</vt:i4>
      </vt:variant>
      <vt:variant>
        <vt:i4>0</vt:i4>
      </vt:variant>
      <vt:variant>
        <vt:i4>5</vt:i4>
      </vt:variant>
      <vt:variant>
        <vt:lpwstr>http://www.nevo.co.il/case/8457254</vt:lpwstr>
      </vt:variant>
      <vt:variant>
        <vt:lpwstr/>
      </vt:variant>
      <vt:variant>
        <vt:i4>4915202</vt:i4>
      </vt:variant>
      <vt:variant>
        <vt:i4>117</vt:i4>
      </vt:variant>
      <vt:variant>
        <vt:i4>0</vt:i4>
      </vt:variant>
      <vt:variant>
        <vt:i4>5</vt:i4>
      </vt:variant>
      <vt:variant>
        <vt:lpwstr>http://www.nevo.co.il/law/70301/40c.a</vt:lpwstr>
      </vt:variant>
      <vt:variant>
        <vt:lpwstr/>
      </vt:variant>
      <vt:variant>
        <vt:i4>6619233</vt:i4>
      </vt:variant>
      <vt:variant>
        <vt:i4>114</vt:i4>
      </vt:variant>
      <vt:variant>
        <vt:i4>0</vt:i4>
      </vt:variant>
      <vt:variant>
        <vt:i4>5</vt:i4>
      </vt:variant>
      <vt:variant>
        <vt:lpwstr>http://www.nevo.co.il/law/70301/40h</vt:lpwstr>
      </vt:variant>
      <vt:variant>
        <vt:lpwstr/>
      </vt:variant>
      <vt:variant>
        <vt:i4>7995492</vt:i4>
      </vt:variant>
      <vt:variant>
        <vt:i4>111</vt:i4>
      </vt:variant>
      <vt:variant>
        <vt:i4>0</vt:i4>
      </vt:variant>
      <vt:variant>
        <vt:i4>5</vt:i4>
      </vt:variant>
      <vt:variant>
        <vt:lpwstr>http://www.nevo.co.il/law/70301</vt:lpwstr>
      </vt:variant>
      <vt:variant>
        <vt:lpwstr/>
      </vt:variant>
      <vt:variant>
        <vt:i4>3342462</vt:i4>
      </vt:variant>
      <vt:variant>
        <vt:i4>108</vt:i4>
      </vt:variant>
      <vt:variant>
        <vt:i4>0</vt:i4>
      </vt:variant>
      <vt:variant>
        <vt:i4>5</vt:i4>
      </vt:variant>
      <vt:variant>
        <vt:lpwstr>http://www.nevo.co.il/case/5981628</vt:lpwstr>
      </vt:variant>
      <vt:variant>
        <vt:lpwstr/>
      </vt:variant>
      <vt:variant>
        <vt:i4>3670134</vt:i4>
      </vt:variant>
      <vt:variant>
        <vt:i4>105</vt:i4>
      </vt:variant>
      <vt:variant>
        <vt:i4>0</vt:i4>
      </vt:variant>
      <vt:variant>
        <vt:i4>5</vt:i4>
      </vt:variant>
      <vt:variant>
        <vt:lpwstr>http://www.nevo.co.il/case/24976154</vt:lpwstr>
      </vt:variant>
      <vt:variant>
        <vt:lpwstr/>
      </vt:variant>
      <vt:variant>
        <vt:i4>3342457</vt:i4>
      </vt:variant>
      <vt:variant>
        <vt:i4>102</vt:i4>
      </vt:variant>
      <vt:variant>
        <vt:i4>0</vt:i4>
      </vt:variant>
      <vt:variant>
        <vt:i4>5</vt:i4>
      </vt:variant>
      <vt:variant>
        <vt:lpwstr>http://www.nevo.co.il/case/24413864</vt:lpwstr>
      </vt:variant>
      <vt:variant>
        <vt:lpwstr/>
      </vt:variant>
      <vt:variant>
        <vt:i4>3407986</vt:i4>
      </vt:variant>
      <vt:variant>
        <vt:i4>99</vt:i4>
      </vt:variant>
      <vt:variant>
        <vt:i4>0</vt:i4>
      </vt:variant>
      <vt:variant>
        <vt:i4>5</vt:i4>
      </vt:variant>
      <vt:variant>
        <vt:lpwstr>http://www.nevo.co.il/case/27030267</vt:lpwstr>
      </vt:variant>
      <vt:variant>
        <vt:lpwstr/>
      </vt:variant>
      <vt:variant>
        <vt:i4>3932278</vt:i4>
      </vt:variant>
      <vt:variant>
        <vt:i4>96</vt:i4>
      </vt:variant>
      <vt:variant>
        <vt:i4>0</vt:i4>
      </vt:variant>
      <vt:variant>
        <vt:i4>5</vt:i4>
      </vt:variant>
      <vt:variant>
        <vt:lpwstr>http://www.nevo.co.il/case/24947203</vt:lpwstr>
      </vt:variant>
      <vt:variant>
        <vt:lpwstr/>
      </vt:variant>
      <vt:variant>
        <vt:i4>3145850</vt:i4>
      </vt:variant>
      <vt:variant>
        <vt:i4>93</vt:i4>
      </vt:variant>
      <vt:variant>
        <vt:i4>0</vt:i4>
      </vt:variant>
      <vt:variant>
        <vt:i4>5</vt:i4>
      </vt:variant>
      <vt:variant>
        <vt:lpwstr>http://www.nevo.co.il/case/21661958</vt:lpwstr>
      </vt:variant>
      <vt:variant>
        <vt:lpwstr/>
      </vt:variant>
      <vt:variant>
        <vt:i4>3670132</vt:i4>
      </vt:variant>
      <vt:variant>
        <vt:i4>90</vt:i4>
      </vt:variant>
      <vt:variant>
        <vt:i4>0</vt:i4>
      </vt:variant>
      <vt:variant>
        <vt:i4>5</vt:i4>
      </vt:variant>
      <vt:variant>
        <vt:lpwstr>http://www.nevo.co.il/case/23644788</vt:lpwstr>
      </vt:variant>
      <vt:variant>
        <vt:lpwstr/>
      </vt:variant>
      <vt:variant>
        <vt:i4>3866747</vt:i4>
      </vt:variant>
      <vt:variant>
        <vt:i4>87</vt:i4>
      </vt:variant>
      <vt:variant>
        <vt:i4>0</vt:i4>
      </vt:variant>
      <vt:variant>
        <vt:i4>5</vt:i4>
      </vt:variant>
      <vt:variant>
        <vt:lpwstr>http://www.nevo.co.il/case/26884152</vt:lpwstr>
      </vt:variant>
      <vt:variant>
        <vt:lpwstr/>
      </vt:variant>
      <vt:variant>
        <vt:i4>3407988</vt:i4>
      </vt:variant>
      <vt:variant>
        <vt:i4>84</vt:i4>
      </vt:variant>
      <vt:variant>
        <vt:i4>0</vt:i4>
      </vt:variant>
      <vt:variant>
        <vt:i4>5</vt:i4>
      </vt:variant>
      <vt:variant>
        <vt:lpwstr>http://www.nevo.co.il/case/27012640</vt:lpwstr>
      </vt:variant>
      <vt:variant>
        <vt:lpwstr/>
      </vt:variant>
      <vt:variant>
        <vt:i4>3997808</vt:i4>
      </vt:variant>
      <vt:variant>
        <vt:i4>81</vt:i4>
      </vt:variant>
      <vt:variant>
        <vt:i4>0</vt:i4>
      </vt:variant>
      <vt:variant>
        <vt:i4>5</vt:i4>
      </vt:variant>
      <vt:variant>
        <vt:lpwstr>http://www.nevo.co.il/case/21731698</vt:lpwstr>
      </vt:variant>
      <vt:variant>
        <vt:lpwstr/>
      </vt:variant>
      <vt:variant>
        <vt:i4>3211380</vt:i4>
      </vt:variant>
      <vt:variant>
        <vt:i4>78</vt:i4>
      </vt:variant>
      <vt:variant>
        <vt:i4>0</vt:i4>
      </vt:variant>
      <vt:variant>
        <vt:i4>5</vt:i4>
      </vt:variant>
      <vt:variant>
        <vt:lpwstr>http://www.nevo.co.il/case/7687719</vt:lpwstr>
      </vt:variant>
      <vt:variant>
        <vt:lpwstr/>
      </vt:variant>
      <vt:variant>
        <vt:i4>3473521</vt:i4>
      </vt:variant>
      <vt:variant>
        <vt:i4>75</vt:i4>
      </vt:variant>
      <vt:variant>
        <vt:i4>0</vt:i4>
      </vt:variant>
      <vt:variant>
        <vt:i4>5</vt:i4>
      </vt:variant>
      <vt:variant>
        <vt:lpwstr>http://www.nevo.co.il/case/7701032</vt:lpwstr>
      </vt:variant>
      <vt:variant>
        <vt:lpwstr/>
      </vt:variant>
      <vt:variant>
        <vt:i4>3407993</vt:i4>
      </vt:variant>
      <vt:variant>
        <vt:i4>72</vt:i4>
      </vt:variant>
      <vt:variant>
        <vt:i4>0</vt:i4>
      </vt:variant>
      <vt:variant>
        <vt:i4>5</vt:i4>
      </vt:variant>
      <vt:variant>
        <vt:lpwstr>http://www.nevo.co.il/case/2843260</vt:lpwstr>
      </vt:variant>
      <vt:variant>
        <vt:lpwstr/>
      </vt:variant>
      <vt:variant>
        <vt:i4>3145841</vt:i4>
      </vt:variant>
      <vt:variant>
        <vt:i4>69</vt:i4>
      </vt:variant>
      <vt:variant>
        <vt:i4>0</vt:i4>
      </vt:variant>
      <vt:variant>
        <vt:i4>5</vt:i4>
      </vt:variant>
      <vt:variant>
        <vt:lpwstr>http://www.nevo.co.il/case/5583835</vt:lpwstr>
      </vt:variant>
      <vt:variant>
        <vt:lpwstr/>
      </vt:variant>
      <vt:variant>
        <vt:i4>3539062</vt:i4>
      </vt:variant>
      <vt:variant>
        <vt:i4>66</vt:i4>
      </vt:variant>
      <vt:variant>
        <vt:i4>0</vt:i4>
      </vt:variant>
      <vt:variant>
        <vt:i4>5</vt:i4>
      </vt:variant>
      <vt:variant>
        <vt:lpwstr>http://www.nevo.co.il/case/23855495</vt:lpwstr>
      </vt:variant>
      <vt:variant>
        <vt:lpwstr/>
      </vt:variant>
      <vt:variant>
        <vt:i4>3604603</vt:i4>
      </vt:variant>
      <vt:variant>
        <vt:i4>63</vt:i4>
      </vt:variant>
      <vt:variant>
        <vt:i4>0</vt:i4>
      </vt:variant>
      <vt:variant>
        <vt:i4>5</vt:i4>
      </vt:variant>
      <vt:variant>
        <vt:lpwstr>http://www.nevo.co.il/case/18654248</vt:lpwstr>
      </vt:variant>
      <vt:variant>
        <vt:lpwstr/>
      </vt:variant>
      <vt:variant>
        <vt:i4>3801200</vt:i4>
      </vt:variant>
      <vt:variant>
        <vt:i4>60</vt:i4>
      </vt:variant>
      <vt:variant>
        <vt:i4>0</vt:i4>
      </vt:variant>
      <vt:variant>
        <vt:i4>5</vt:i4>
      </vt:variant>
      <vt:variant>
        <vt:lpwstr>http://www.nevo.co.il/case/23835451</vt:lpwstr>
      </vt:variant>
      <vt:variant>
        <vt:lpwstr/>
      </vt:variant>
      <vt:variant>
        <vt:i4>3604596</vt:i4>
      </vt:variant>
      <vt:variant>
        <vt:i4>57</vt:i4>
      </vt:variant>
      <vt:variant>
        <vt:i4>0</vt:i4>
      </vt:variant>
      <vt:variant>
        <vt:i4>5</vt:i4>
      </vt:variant>
      <vt:variant>
        <vt:lpwstr>http://www.nevo.co.il/case/23750625</vt:lpwstr>
      </vt:variant>
      <vt:variant>
        <vt:lpwstr/>
      </vt:variant>
      <vt:variant>
        <vt:i4>3604595</vt:i4>
      </vt:variant>
      <vt:variant>
        <vt:i4>54</vt:i4>
      </vt:variant>
      <vt:variant>
        <vt:i4>0</vt:i4>
      </vt:variant>
      <vt:variant>
        <vt:i4>5</vt:i4>
      </vt:variant>
      <vt:variant>
        <vt:lpwstr>http://www.nevo.co.il/case/13055135</vt:lpwstr>
      </vt:variant>
      <vt:variant>
        <vt:lpwstr/>
      </vt:variant>
      <vt:variant>
        <vt:i4>3866742</vt:i4>
      </vt:variant>
      <vt:variant>
        <vt:i4>51</vt:i4>
      </vt:variant>
      <vt:variant>
        <vt:i4>0</vt:i4>
      </vt:variant>
      <vt:variant>
        <vt:i4>5</vt:i4>
      </vt:variant>
      <vt:variant>
        <vt:lpwstr>http://www.nevo.co.il/case/24263089</vt:lpwstr>
      </vt:variant>
      <vt:variant>
        <vt:lpwstr/>
      </vt:variant>
      <vt:variant>
        <vt:i4>3211379</vt:i4>
      </vt:variant>
      <vt:variant>
        <vt:i4>48</vt:i4>
      </vt:variant>
      <vt:variant>
        <vt:i4>0</vt:i4>
      </vt:variant>
      <vt:variant>
        <vt:i4>5</vt:i4>
      </vt:variant>
      <vt:variant>
        <vt:lpwstr>http://www.nevo.co.il/case/5573417</vt:lpwstr>
      </vt:variant>
      <vt:variant>
        <vt:lpwstr/>
      </vt:variant>
      <vt:variant>
        <vt:i4>3604594</vt:i4>
      </vt:variant>
      <vt:variant>
        <vt:i4>45</vt:i4>
      </vt:variant>
      <vt:variant>
        <vt:i4>0</vt:i4>
      </vt:variant>
      <vt:variant>
        <vt:i4>5</vt:i4>
      </vt:variant>
      <vt:variant>
        <vt:lpwstr>http://www.nevo.co.il/case/26571719</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http://www.nevo.co.il/law/70301/40b</vt:lpwstr>
      </vt:variant>
      <vt:variant>
        <vt:lpwstr/>
      </vt:variant>
      <vt:variant>
        <vt:i4>7995492</vt:i4>
      </vt:variant>
      <vt:variant>
        <vt:i4>36</vt:i4>
      </vt:variant>
      <vt:variant>
        <vt:i4>0</vt:i4>
      </vt:variant>
      <vt:variant>
        <vt:i4>5</vt:i4>
      </vt:variant>
      <vt:variant>
        <vt:lpwstr>http://www.nevo.co.il/law/70301</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5177418</vt:i4>
      </vt:variant>
      <vt:variant>
        <vt:i4>24</vt:i4>
      </vt:variant>
      <vt:variant>
        <vt:i4>0</vt:i4>
      </vt:variant>
      <vt:variant>
        <vt:i4>5</vt:i4>
      </vt:variant>
      <vt:variant>
        <vt:lpwstr>http://www.nevo.co.il/law/4216/14</vt:lpwstr>
      </vt:variant>
      <vt:variant>
        <vt:lpwstr/>
      </vt:variant>
      <vt:variant>
        <vt:i4>6619233</vt:i4>
      </vt:variant>
      <vt:variant>
        <vt:i4>21</vt:i4>
      </vt:variant>
      <vt:variant>
        <vt:i4>0</vt:i4>
      </vt:variant>
      <vt:variant>
        <vt:i4>5</vt:i4>
      </vt:variant>
      <vt:variant>
        <vt:lpwstr>http://www.nevo.co.il/law/70301/40h</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6619233</vt:i4>
      </vt:variant>
      <vt:variant>
        <vt:i4>15</vt:i4>
      </vt:variant>
      <vt:variant>
        <vt:i4>0</vt:i4>
      </vt:variant>
      <vt:variant>
        <vt:i4>5</vt:i4>
      </vt:variant>
      <vt:variant>
        <vt:lpwstr>http://www.nevo.co.il/law/70301/40b</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2025-04-22T21:03:00Z</dcterms:created>
  <dcterms:modified xsi:type="dcterms:W3CDTF">2025-04-22T21:03:00Z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19469</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עבדאללטיף מסוודא</vt:lpwstr>
  </property>
  <property fmtid="{D5CDD505-2E9C-101B-9397-08002B2CF9AE}" pid="10" name="LAWYER">
    <vt:lpwstr>דנה חביליו;נאיל זחאלקה </vt:lpwstr>
  </property>
  <property fmtid="{D5CDD505-2E9C-101B-9397-08002B2CF9AE}" pid="11" name="JUDGE">
    <vt:lpwstr>רם וינוגרד</vt:lpwstr>
  </property>
  <property fmtid="{D5CDD505-2E9C-101B-9397-08002B2CF9AE}" pid="12" name="CITY">
    <vt:lpwstr>י-ם</vt:lpwstr>
  </property>
  <property fmtid="{D5CDD505-2E9C-101B-9397-08002B2CF9AE}" pid="13" name="DATE">
    <vt:lpwstr>20220112</vt:lpwstr>
  </property>
  <property fmtid="{D5CDD505-2E9C-101B-9397-08002B2CF9AE}" pid="14" name="TYPE_N_DATE">
    <vt:lpwstr>39020220112</vt:lpwstr>
  </property>
  <property fmtid="{D5CDD505-2E9C-101B-9397-08002B2CF9AE}" pid="15" name="WORDNUMPAGES">
    <vt:lpwstr>11</vt:lpwstr>
  </property>
  <property fmtid="{D5CDD505-2E9C-101B-9397-08002B2CF9AE}" pid="16" name="TYPE_ABS_DATE">
    <vt:lpwstr>390020220112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26571719;5573417;24263089;13055135;23750625;23835451;18654248;23855495;5583835;2843260;7701032;7687719;21731698;27012640;26884152;23644788;21661958;24947203;27030267;24413864;24976154;5981628;8457254;17043259;23745939;5575808;20028029;21477594;24287812</vt:lpwstr>
  </property>
  <property fmtid="{D5CDD505-2E9C-101B-9397-08002B2CF9AE}" pid="36" name="CASESLISTTMP2">
    <vt:lpwstr>23253851;24965265</vt:lpwstr>
  </property>
  <property fmtid="{D5CDD505-2E9C-101B-9397-08002B2CF9AE}" pid="37" name="LAWLISTTMP1">
    <vt:lpwstr>4216/014;013;019a</vt:lpwstr>
  </property>
  <property fmtid="{D5CDD505-2E9C-101B-9397-08002B2CF9AE}" pid="38" name="LAWLISTTMP2">
    <vt:lpwstr>70301/040b;040h;040c.a</vt:lpwstr>
  </property>
</Properties>
</file>