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44C6E" w:rsidRPr="00E36B2F" w14:paraId="2A317E66" w14:textId="77777777" w:rsidTr="00C41F74">
        <w:trPr>
          <w:trHeight w:hRule="exact" w:val="418"/>
          <w:jc w:val="center"/>
        </w:trPr>
        <w:tc>
          <w:tcPr>
            <w:tcW w:w="8721" w:type="dxa"/>
            <w:gridSpan w:val="2"/>
          </w:tcPr>
          <w:p w14:paraId="612A2DF2" w14:textId="77777777" w:rsidR="00D44C6E" w:rsidRPr="00E36B2F" w:rsidRDefault="00D44C6E" w:rsidP="00907916">
            <w:pPr>
              <w:pStyle w:val="a3"/>
              <w:jc w:val="center"/>
              <w:rPr>
                <w:rFonts w:ascii="Tahoma" w:hAnsi="Tahoma" w:cs="Tahoma"/>
                <w:color w:val="000080"/>
                <w:rtl/>
              </w:rPr>
            </w:pPr>
            <w:bookmarkStart w:id="0" w:name="LastJudge"/>
            <w:r w:rsidRPr="00E36B2F">
              <w:rPr>
                <w:rFonts w:ascii="Tahoma" w:hAnsi="Tahoma" w:cs="Tahoma"/>
                <w:b/>
                <w:bCs/>
                <w:color w:val="000080"/>
                <w:rtl/>
              </w:rPr>
              <w:t>בית המשפט המחוזי בירושלים</w:t>
            </w:r>
          </w:p>
        </w:tc>
      </w:tr>
      <w:tr w:rsidR="00D44C6E" w:rsidRPr="00E36B2F" w14:paraId="6E33B8E6" w14:textId="77777777" w:rsidTr="00C41F74">
        <w:trPr>
          <w:trHeight w:val="337"/>
          <w:jc w:val="center"/>
        </w:trPr>
        <w:tc>
          <w:tcPr>
            <w:tcW w:w="5054" w:type="dxa"/>
          </w:tcPr>
          <w:p w14:paraId="47CACE98" w14:textId="77777777" w:rsidR="00D44C6E" w:rsidRPr="00E36B2F" w:rsidRDefault="00D44C6E" w:rsidP="00907916">
            <w:pPr>
              <w:rPr>
                <w:rFonts w:cs="FrankRuehl"/>
                <w:sz w:val="28"/>
                <w:szCs w:val="28"/>
                <w:rtl/>
              </w:rPr>
            </w:pPr>
            <w:r w:rsidRPr="00E36B2F">
              <w:rPr>
                <w:rFonts w:cs="FrankRuehl"/>
                <w:sz w:val="28"/>
                <w:szCs w:val="28"/>
                <w:rtl/>
              </w:rPr>
              <w:t>ת"פ</w:t>
            </w:r>
            <w:r w:rsidRPr="00E36B2F">
              <w:rPr>
                <w:rFonts w:cs="FrankRuehl" w:hint="cs"/>
                <w:sz w:val="28"/>
                <w:szCs w:val="28"/>
                <w:rtl/>
              </w:rPr>
              <w:t xml:space="preserve"> </w:t>
            </w:r>
            <w:r w:rsidRPr="00E36B2F">
              <w:rPr>
                <w:rFonts w:cs="FrankRuehl"/>
                <w:sz w:val="28"/>
                <w:szCs w:val="28"/>
                <w:rtl/>
              </w:rPr>
              <w:t>33541-02-20</w:t>
            </w:r>
            <w:r w:rsidRPr="00E36B2F">
              <w:rPr>
                <w:rFonts w:cs="FrankRuehl" w:hint="cs"/>
                <w:sz w:val="28"/>
                <w:szCs w:val="28"/>
                <w:rtl/>
              </w:rPr>
              <w:t xml:space="preserve"> </w:t>
            </w:r>
            <w:r w:rsidRPr="00E36B2F">
              <w:rPr>
                <w:rFonts w:cs="FrankRuehl"/>
                <w:sz w:val="28"/>
                <w:szCs w:val="28"/>
                <w:rtl/>
              </w:rPr>
              <w:t>מדינת ישראל נ' שרחה</w:t>
            </w:r>
          </w:p>
          <w:p w14:paraId="4A647842" w14:textId="77777777" w:rsidR="00D44C6E" w:rsidRPr="00E36B2F" w:rsidRDefault="00D44C6E" w:rsidP="00907916">
            <w:pPr>
              <w:pStyle w:val="a3"/>
              <w:rPr>
                <w:rFonts w:cs="FrankRuehl"/>
                <w:sz w:val="28"/>
                <w:szCs w:val="28"/>
                <w:rtl/>
              </w:rPr>
            </w:pPr>
          </w:p>
        </w:tc>
        <w:tc>
          <w:tcPr>
            <w:tcW w:w="3667" w:type="dxa"/>
          </w:tcPr>
          <w:p w14:paraId="0B664A0E" w14:textId="77777777" w:rsidR="00D44C6E" w:rsidRPr="00E36B2F" w:rsidRDefault="00D44C6E" w:rsidP="00907916">
            <w:pPr>
              <w:pStyle w:val="a3"/>
              <w:jc w:val="right"/>
              <w:rPr>
                <w:rFonts w:cs="FrankRuehl"/>
                <w:sz w:val="28"/>
                <w:szCs w:val="28"/>
                <w:rtl/>
              </w:rPr>
            </w:pPr>
          </w:p>
        </w:tc>
      </w:tr>
    </w:tbl>
    <w:p w14:paraId="51494A23" w14:textId="77777777" w:rsidR="00D44C6E" w:rsidRPr="00E36B2F" w:rsidRDefault="00D44C6E" w:rsidP="00D44C6E">
      <w:pPr>
        <w:pStyle w:val="a3"/>
        <w:rPr>
          <w:rtl/>
        </w:rPr>
      </w:pPr>
      <w:r w:rsidRPr="00E36B2F">
        <w:rPr>
          <w:rFonts w:hint="cs"/>
          <w:rtl/>
        </w:rPr>
        <w:t xml:space="preserve"> </w:t>
      </w:r>
    </w:p>
    <w:p w14:paraId="03AE00DA" w14:textId="77777777" w:rsidR="00D44C6E" w:rsidRPr="00E36B2F" w:rsidRDefault="00D44C6E" w:rsidP="00D44C6E">
      <w:pPr>
        <w:rPr>
          <w:rtl/>
        </w:rPr>
      </w:pPr>
    </w:p>
    <w:p w14:paraId="45636065" w14:textId="77777777" w:rsidR="00D44C6E" w:rsidRPr="00E36B2F" w:rsidRDefault="00D44C6E" w:rsidP="00D44C6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5"/>
        <w:gridCol w:w="3760"/>
      </w:tblGrid>
      <w:tr w:rsidR="00D44C6E" w:rsidRPr="00E36B2F" w14:paraId="19F8ED17" w14:textId="77777777" w:rsidTr="00D44C6E">
        <w:trPr>
          <w:trHeight w:val="295"/>
          <w:jc w:val="center"/>
        </w:trPr>
        <w:tc>
          <w:tcPr>
            <w:tcW w:w="923" w:type="dxa"/>
            <w:tcBorders>
              <w:top w:val="nil"/>
              <w:left w:val="nil"/>
              <w:bottom w:val="nil"/>
              <w:right w:val="nil"/>
            </w:tcBorders>
            <w:shd w:val="clear" w:color="auto" w:fill="auto"/>
          </w:tcPr>
          <w:p w14:paraId="1075DB2F" w14:textId="77777777" w:rsidR="00D44C6E" w:rsidRPr="00E36B2F" w:rsidRDefault="00D44C6E" w:rsidP="00D44C6E">
            <w:pPr>
              <w:jc w:val="both"/>
              <w:rPr>
                <w:rFonts w:ascii="David" w:hAnsi="David"/>
                <w:b/>
                <w:bCs/>
                <w:sz w:val="28"/>
                <w:szCs w:val="28"/>
              </w:rPr>
            </w:pPr>
            <w:r w:rsidRPr="00E36B2F">
              <w:rPr>
                <w:rFonts w:ascii="David" w:hAnsi="David" w:hint="cs"/>
                <w:b/>
                <w:bCs/>
                <w:sz w:val="28"/>
                <w:szCs w:val="28"/>
                <w:rtl/>
              </w:rPr>
              <w:t>ל</w:t>
            </w:r>
            <w:r w:rsidRPr="00E36B2F">
              <w:rPr>
                <w:rFonts w:ascii="David" w:hAnsi="David"/>
                <w:b/>
                <w:bCs/>
                <w:sz w:val="28"/>
                <w:szCs w:val="28"/>
                <w:rtl/>
              </w:rPr>
              <w:t xml:space="preserve">פני </w:t>
            </w:r>
          </w:p>
        </w:tc>
        <w:tc>
          <w:tcPr>
            <w:tcW w:w="7897" w:type="dxa"/>
            <w:gridSpan w:val="2"/>
            <w:tcBorders>
              <w:top w:val="nil"/>
              <w:left w:val="nil"/>
              <w:bottom w:val="nil"/>
              <w:right w:val="nil"/>
            </w:tcBorders>
            <w:shd w:val="clear" w:color="auto" w:fill="auto"/>
          </w:tcPr>
          <w:p w14:paraId="14666169" w14:textId="77777777" w:rsidR="00D44C6E" w:rsidRPr="00E36B2F" w:rsidRDefault="00D44C6E" w:rsidP="00907916">
            <w:pPr>
              <w:rPr>
                <w:rFonts w:ascii="David" w:hAnsi="David"/>
                <w:b/>
                <w:bCs/>
                <w:sz w:val="28"/>
                <w:szCs w:val="28"/>
                <w:rtl/>
              </w:rPr>
            </w:pPr>
            <w:r w:rsidRPr="00E36B2F">
              <w:rPr>
                <w:rFonts w:ascii="David" w:hAnsi="David"/>
                <w:b/>
                <w:bCs/>
                <w:sz w:val="28"/>
                <w:szCs w:val="28"/>
                <w:rtl/>
              </w:rPr>
              <w:t>כבוד השופט  אברהם רובין</w:t>
            </w:r>
          </w:p>
          <w:p w14:paraId="36B3A9A0" w14:textId="77777777" w:rsidR="00D44C6E" w:rsidRPr="00E36B2F" w:rsidRDefault="00D44C6E" w:rsidP="00907916">
            <w:pPr>
              <w:rPr>
                <w:rFonts w:ascii="David" w:hAnsi="David"/>
                <w:b/>
                <w:bCs/>
                <w:sz w:val="28"/>
                <w:szCs w:val="28"/>
                <w:rtl/>
              </w:rPr>
            </w:pPr>
          </w:p>
          <w:p w14:paraId="257F269C" w14:textId="77777777" w:rsidR="00D44C6E" w:rsidRPr="00E36B2F" w:rsidRDefault="00D44C6E" w:rsidP="00D44C6E">
            <w:pPr>
              <w:jc w:val="both"/>
              <w:rPr>
                <w:rFonts w:ascii="David" w:hAnsi="David"/>
                <w:b/>
                <w:bCs/>
                <w:sz w:val="28"/>
                <w:szCs w:val="28"/>
              </w:rPr>
            </w:pPr>
          </w:p>
        </w:tc>
      </w:tr>
      <w:tr w:rsidR="00D44C6E" w:rsidRPr="00E36B2F" w14:paraId="26FFED78" w14:textId="77777777" w:rsidTr="00D44C6E">
        <w:trPr>
          <w:trHeight w:val="355"/>
          <w:jc w:val="center"/>
        </w:trPr>
        <w:tc>
          <w:tcPr>
            <w:tcW w:w="923" w:type="dxa"/>
            <w:tcBorders>
              <w:top w:val="nil"/>
              <w:left w:val="nil"/>
              <w:bottom w:val="nil"/>
              <w:right w:val="nil"/>
            </w:tcBorders>
            <w:shd w:val="clear" w:color="auto" w:fill="auto"/>
          </w:tcPr>
          <w:p w14:paraId="7DAC4A97" w14:textId="77777777" w:rsidR="00D44C6E" w:rsidRPr="00E36B2F" w:rsidRDefault="00D44C6E" w:rsidP="00D44C6E">
            <w:pPr>
              <w:jc w:val="both"/>
              <w:rPr>
                <w:rFonts w:ascii="David" w:hAnsi="David"/>
                <w:b/>
                <w:bCs/>
                <w:sz w:val="28"/>
                <w:szCs w:val="28"/>
              </w:rPr>
            </w:pPr>
            <w:bookmarkStart w:id="1" w:name="FirstAppellant"/>
            <w:r w:rsidRPr="00E36B2F">
              <w:rPr>
                <w:rFonts w:ascii="David" w:hAnsi="David"/>
                <w:b/>
                <w:bCs/>
                <w:sz w:val="28"/>
                <w:szCs w:val="28"/>
                <w:rtl/>
              </w:rPr>
              <w:t>בעניין:</w:t>
            </w:r>
          </w:p>
        </w:tc>
        <w:tc>
          <w:tcPr>
            <w:tcW w:w="4126" w:type="dxa"/>
            <w:tcBorders>
              <w:top w:val="nil"/>
              <w:left w:val="nil"/>
              <w:bottom w:val="nil"/>
              <w:right w:val="nil"/>
            </w:tcBorders>
            <w:shd w:val="clear" w:color="auto" w:fill="auto"/>
          </w:tcPr>
          <w:p w14:paraId="55B68EBF" w14:textId="77777777" w:rsidR="00D44C6E" w:rsidRPr="00E36B2F" w:rsidRDefault="00D44C6E" w:rsidP="00D44C6E">
            <w:pPr>
              <w:jc w:val="center"/>
              <w:rPr>
                <w:rFonts w:ascii="David" w:hAnsi="David"/>
                <w:b/>
                <w:bCs/>
                <w:sz w:val="28"/>
                <w:szCs w:val="28"/>
              </w:rPr>
            </w:pPr>
            <w:r w:rsidRPr="00E36B2F">
              <w:rPr>
                <w:rFonts w:ascii="David" w:hAnsi="David" w:hint="cs"/>
                <w:b/>
                <w:bCs/>
                <w:sz w:val="28"/>
                <w:szCs w:val="28"/>
                <w:rtl/>
              </w:rPr>
              <w:t xml:space="preserve">  </w:t>
            </w:r>
            <w:r w:rsidRPr="00E36B2F">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578F1405" w14:textId="77777777" w:rsidR="00D44C6E" w:rsidRPr="00E36B2F" w:rsidRDefault="00D44C6E" w:rsidP="00D44C6E">
            <w:pPr>
              <w:jc w:val="both"/>
              <w:rPr>
                <w:rFonts w:ascii="David" w:hAnsi="David"/>
                <w:b/>
                <w:bCs/>
                <w:sz w:val="28"/>
                <w:szCs w:val="28"/>
              </w:rPr>
            </w:pPr>
          </w:p>
        </w:tc>
      </w:tr>
      <w:bookmarkEnd w:id="1"/>
      <w:tr w:rsidR="00D44C6E" w:rsidRPr="00E36B2F" w14:paraId="28F85FB7" w14:textId="77777777" w:rsidTr="00D44C6E">
        <w:trPr>
          <w:trHeight w:val="355"/>
          <w:jc w:val="center"/>
        </w:trPr>
        <w:tc>
          <w:tcPr>
            <w:tcW w:w="923" w:type="dxa"/>
            <w:tcBorders>
              <w:top w:val="nil"/>
              <w:left w:val="nil"/>
              <w:bottom w:val="nil"/>
              <w:right w:val="nil"/>
            </w:tcBorders>
            <w:shd w:val="clear" w:color="auto" w:fill="auto"/>
          </w:tcPr>
          <w:p w14:paraId="4345CC6A" w14:textId="77777777" w:rsidR="00D44C6E" w:rsidRPr="00E36B2F" w:rsidRDefault="00D44C6E" w:rsidP="00D44C6E">
            <w:pPr>
              <w:jc w:val="both"/>
              <w:rPr>
                <w:rFonts w:ascii="David" w:hAnsi="David"/>
                <w:b/>
                <w:bCs/>
                <w:sz w:val="28"/>
                <w:szCs w:val="28"/>
                <w:rtl/>
              </w:rPr>
            </w:pPr>
          </w:p>
        </w:tc>
        <w:tc>
          <w:tcPr>
            <w:tcW w:w="4126" w:type="dxa"/>
            <w:tcBorders>
              <w:top w:val="nil"/>
              <w:left w:val="nil"/>
              <w:bottom w:val="nil"/>
              <w:right w:val="nil"/>
            </w:tcBorders>
            <w:shd w:val="clear" w:color="auto" w:fill="auto"/>
          </w:tcPr>
          <w:p w14:paraId="67BFE4B5" w14:textId="77777777" w:rsidR="00D44C6E" w:rsidRPr="00E36B2F" w:rsidRDefault="00D44C6E" w:rsidP="00D44C6E">
            <w:pPr>
              <w:jc w:val="both"/>
              <w:rPr>
                <w:rFonts w:ascii="David" w:hAnsi="David"/>
                <w:b/>
                <w:bCs/>
                <w:sz w:val="28"/>
                <w:szCs w:val="28"/>
                <w:rtl/>
              </w:rPr>
            </w:pPr>
          </w:p>
        </w:tc>
        <w:tc>
          <w:tcPr>
            <w:tcW w:w="3771" w:type="dxa"/>
            <w:tcBorders>
              <w:top w:val="nil"/>
              <w:left w:val="nil"/>
              <w:bottom w:val="nil"/>
              <w:right w:val="nil"/>
            </w:tcBorders>
            <w:shd w:val="clear" w:color="auto" w:fill="auto"/>
          </w:tcPr>
          <w:p w14:paraId="47B5EAAA" w14:textId="77777777" w:rsidR="00D44C6E" w:rsidRPr="00E36B2F" w:rsidRDefault="00D44C6E" w:rsidP="00D44C6E">
            <w:pPr>
              <w:jc w:val="right"/>
              <w:rPr>
                <w:rFonts w:ascii="David" w:hAnsi="David"/>
                <w:b/>
                <w:bCs/>
                <w:sz w:val="28"/>
                <w:szCs w:val="28"/>
                <w:rtl/>
              </w:rPr>
            </w:pPr>
            <w:r w:rsidRPr="00E36B2F">
              <w:rPr>
                <w:rFonts w:ascii="David" w:hAnsi="David"/>
                <w:b/>
                <w:bCs/>
                <w:sz w:val="28"/>
                <w:szCs w:val="28"/>
                <w:rtl/>
              </w:rPr>
              <w:t>המאשימה</w:t>
            </w:r>
          </w:p>
        </w:tc>
      </w:tr>
      <w:tr w:rsidR="00D44C6E" w:rsidRPr="00E36B2F" w14:paraId="3E0E090A" w14:textId="77777777" w:rsidTr="00D44C6E">
        <w:trPr>
          <w:trHeight w:val="355"/>
          <w:jc w:val="center"/>
        </w:trPr>
        <w:tc>
          <w:tcPr>
            <w:tcW w:w="923" w:type="dxa"/>
            <w:tcBorders>
              <w:top w:val="nil"/>
              <w:left w:val="nil"/>
              <w:bottom w:val="nil"/>
              <w:right w:val="nil"/>
            </w:tcBorders>
            <w:shd w:val="clear" w:color="auto" w:fill="auto"/>
          </w:tcPr>
          <w:p w14:paraId="5B7CAECB" w14:textId="77777777" w:rsidR="00D44C6E" w:rsidRPr="00E36B2F" w:rsidRDefault="00D44C6E" w:rsidP="00D44C6E">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594A8E3E" w14:textId="77777777" w:rsidR="00D44C6E" w:rsidRPr="00E36B2F" w:rsidRDefault="00D44C6E" w:rsidP="00D44C6E">
            <w:pPr>
              <w:jc w:val="center"/>
              <w:rPr>
                <w:rFonts w:ascii="David" w:hAnsi="David"/>
                <w:b/>
                <w:bCs/>
                <w:sz w:val="28"/>
                <w:szCs w:val="28"/>
                <w:rtl/>
              </w:rPr>
            </w:pPr>
          </w:p>
          <w:p w14:paraId="1C3FBAF7" w14:textId="77777777" w:rsidR="00D44C6E" w:rsidRPr="00E36B2F" w:rsidRDefault="00D44C6E" w:rsidP="00907916">
            <w:pPr>
              <w:rPr>
                <w:rFonts w:ascii="David" w:hAnsi="David"/>
                <w:b/>
                <w:bCs/>
                <w:sz w:val="28"/>
                <w:szCs w:val="28"/>
                <w:rtl/>
              </w:rPr>
            </w:pPr>
            <w:r w:rsidRPr="00E36B2F">
              <w:rPr>
                <w:rFonts w:ascii="David" w:hAnsi="David" w:hint="cs"/>
                <w:b/>
                <w:bCs/>
                <w:sz w:val="28"/>
                <w:szCs w:val="28"/>
                <w:rtl/>
              </w:rPr>
              <w:t xml:space="preserve">                              </w:t>
            </w:r>
            <w:r w:rsidRPr="00E36B2F">
              <w:rPr>
                <w:rFonts w:ascii="David" w:hAnsi="David"/>
                <w:b/>
                <w:bCs/>
                <w:sz w:val="28"/>
                <w:szCs w:val="28"/>
                <w:rtl/>
              </w:rPr>
              <w:t>נגד</w:t>
            </w:r>
          </w:p>
          <w:p w14:paraId="53F4526C" w14:textId="77777777" w:rsidR="00D44C6E" w:rsidRPr="00E36B2F" w:rsidRDefault="00D44C6E" w:rsidP="00907916">
            <w:pPr>
              <w:rPr>
                <w:rFonts w:ascii="David" w:hAnsi="David"/>
                <w:b/>
                <w:bCs/>
                <w:sz w:val="28"/>
                <w:szCs w:val="28"/>
                <w:rtl/>
              </w:rPr>
            </w:pPr>
          </w:p>
          <w:p w14:paraId="5F0AD804" w14:textId="77777777" w:rsidR="00D44C6E" w:rsidRPr="00E36B2F" w:rsidRDefault="00D44C6E" w:rsidP="00D44C6E">
            <w:pPr>
              <w:jc w:val="both"/>
              <w:rPr>
                <w:rFonts w:ascii="David" w:hAnsi="David"/>
                <w:b/>
                <w:bCs/>
                <w:sz w:val="28"/>
                <w:szCs w:val="28"/>
              </w:rPr>
            </w:pPr>
          </w:p>
        </w:tc>
      </w:tr>
      <w:tr w:rsidR="00D44C6E" w:rsidRPr="00E36B2F" w14:paraId="41AA916B" w14:textId="77777777" w:rsidTr="00D44C6E">
        <w:trPr>
          <w:trHeight w:val="355"/>
          <w:jc w:val="center"/>
        </w:trPr>
        <w:tc>
          <w:tcPr>
            <w:tcW w:w="923" w:type="dxa"/>
            <w:tcBorders>
              <w:top w:val="nil"/>
              <w:left w:val="nil"/>
              <w:bottom w:val="nil"/>
              <w:right w:val="nil"/>
            </w:tcBorders>
            <w:shd w:val="clear" w:color="auto" w:fill="auto"/>
          </w:tcPr>
          <w:p w14:paraId="3B7D9A93" w14:textId="77777777" w:rsidR="00D44C6E" w:rsidRPr="00E36B2F" w:rsidRDefault="00D44C6E" w:rsidP="00907916">
            <w:pPr>
              <w:rPr>
                <w:rFonts w:ascii="David" w:hAnsi="David"/>
                <w:b/>
                <w:bCs/>
                <w:sz w:val="28"/>
                <w:szCs w:val="28"/>
                <w:rtl/>
              </w:rPr>
            </w:pPr>
          </w:p>
        </w:tc>
        <w:tc>
          <w:tcPr>
            <w:tcW w:w="4126" w:type="dxa"/>
            <w:tcBorders>
              <w:top w:val="nil"/>
              <w:left w:val="nil"/>
              <w:bottom w:val="nil"/>
              <w:right w:val="nil"/>
            </w:tcBorders>
            <w:shd w:val="clear" w:color="auto" w:fill="auto"/>
          </w:tcPr>
          <w:p w14:paraId="5C9FE05A" w14:textId="77777777" w:rsidR="00D44C6E" w:rsidRPr="00E36B2F" w:rsidRDefault="00D44C6E" w:rsidP="00907916">
            <w:pPr>
              <w:rPr>
                <w:rFonts w:ascii="David" w:hAnsi="David"/>
                <w:b/>
                <w:bCs/>
                <w:sz w:val="28"/>
                <w:szCs w:val="28"/>
                <w:rtl/>
              </w:rPr>
            </w:pPr>
            <w:r w:rsidRPr="00E36B2F">
              <w:rPr>
                <w:rFonts w:ascii="David" w:hAnsi="David" w:hint="cs"/>
                <w:b/>
                <w:bCs/>
                <w:sz w:val="28"/>
                <w:szCs w:val="28"/>
                <w:rtl/>
              </w:rPr>
              <w:t xml:space="preserve">  </w:t>
            </w:r>
            <w:r w:rsidRPr="00E36B2F">
              <w:rPr>
                <w:rFonts w:ascii="David" w:hAnsi="David"/>
                <w:b/>
                <w:bCs/>
                <w:sz w:val="28"/>
                <w:szCs w:val="28"/>
                <w:rtl/>
              </w:rPr>
              <w:t>חדיקה שרחה</w:t>
            </w:r>
            <w:r w:rsidRPr="00E36B2F">
              <w:rPr>
                <w:rFonts w:ascii="David" w:hAnsi="David" w:hint="cs"/>
                <w:b/>
                <w:bCs/>
                <w:sz w:val="28"/>
                <w:szCs w:val="28"/>
                <w:rtl/>
              </w:rPr>
              <w:t xml:space="preserve"> ת.ז </w:t>
            </w:r>
            <w:r w:rsidR="00E36B2F">
              <w:rPr>
                <w:rFonts w:ascii="David" w:hAnsi="David"/>
                <w:b/>
                <w:bCs/>
                <w:sz w:val="28"/>
                <w:szCs w:val="28"/>
              </w:rPr>
              <w:t>xxxxxxxxx</w:t>
            </w:r>
          </w:p>
        </w:tc>
        <w:tc>
          <w:tcPr>
            <w:tcW w:w="3771" w:type="dxa"/>
            <w:tcBorders>
              <w:top w:val="nil"/>
              <w:left w:val="nil"/>
              <w:bottom w:val="nil"/>
              <w:right w:val="nil"/>
            </w:tcBorders>
            <w:shd w:val="clear" w:color="auto" w:fill="auto"/>
          </w:tcPr>
          <w:p w14:paraId="7C6ECC8F" w14:textId="77777777" w:rsidR="00D44C6E" w:rsidRPr="00E36B2F" w:rsidRDefault="00D44C6E" w:rsidP="00D44C6E">
            <w:pPr>
              <w:jc w:val="right"/>
              <w:rPr>
                <w:rFonts w:ascii="David" w:hAnsi="David"/>
                <w:b/>
                <w:bCs/>
                <w:sz w:val="28"/>
                <w:szCs w:val="28"/>
              </w:rPr>
            </w:pPr>
          </w:p>
        </w:tc>
      </w:tr>
      <w:tr w:rsidR="00D44C6E" w:rsidRPr="00E36B2F" w14:paraId="5D766467" w14:textId="77777777" w:rsidTr="00D44C6E">
        <w:trPr>
          <w:trHeight w:val="355"/>
          <w:jc w:val="center"/>
        </w:trPr>
        <w:tc>
          <w:tcPr>
            <w:tcW w:w="923" w:type="dxa"/>
            <w:tcBorders>
              <w:top w:val="nil"/>
              <w:left w:val="nil"/>
              <w:bottom w:val="nil"/>
              <w:right w:val="nil"/>
            </w:tcBorders>
            <w:shd w:val="clear" w:color="auto" w:fill="auto"/>
          </w:tcPr>
          <w:p w14:paraId="47999F4C" w14:textId="77777777" w:rsidR="00D44C6E" w:rsidRPr="00E36B2F" w:rsidRDefault="00D44C6E" w:rsidP="00D44C6E">
            <w:pPr>
              <w:jc w:val="both"/>
              <w:rPr>
                <w:rFonts w:ascii="David" w:hAnsi="David"/>
                <w:b/>
                <w:bCs/>
                <w:sz w:val="28"/>
                <w:szCs w:val="28"/>
                <w:rtl/>
              </w:rPr>
            </w:pPr>
          </w:p>
        </w:tc>
        <w:tc>
          <w:tcPr>
            <w:tcW w:w="4126" w:type="dxa"/>
            <w:tcBorders>
              <w:top w:val="nil"/>
              <w:left w:val="nil"/>
              <w:bottom w:val="nil"/>
              <w:right w:val="nil"/>
            </w:tcBorders>
            <w:shd w:val="clear" w:color="auto" w:fill="auto"/>
          </w:tcPr>
          <w:p w14:paraId="6B80EFE3" w14:textId="77777777" w:rsidR="00D44C6E" w:rsidRPr="00E36B2F" w:rsidRDefault="00D44C6E" w:rsidP="00D44C6E">
            <w:pPr>
              <w:jc w:val="both"/>
              <w:rPr>
                <w:rFonts w:ascii="David" w:hAnsi="David"/>
                <w:b/>
                <w:bCs/>
                <w:sz w:val="28"/>
                <w:szCs w:val="28"/>
                <w:rtl/>
              </w:rPr>
            </w:pPr>
          </w:p>
        </w:tc>
        <w:tc>
          <w:tcPr>
            <w:tcW w:w="3771" w:type="dxa"/>
            <w:tcBorders>
              <w:top w:val="nil"/>
              <w:left w:val="nil"/>
              <w:bottom w:val="nil"/>
              <w:right w:val="nil"/>
            </w:tcBorders>
            <w:shd w:val="clear" w:color="auto" w:fill="auto"/>
          </w:tcPr>
          <w:p w14:paraId="4C7FCA08" w14:textId="77777777" w:rsidR="00D44C6E" w:rsidRPr="00E36B2F" w:rsidRDefault="00D44C6E" w:rsidP="00D44C6E">
            <w:pPr>
              <w:jc w:val="center"/>
              <w:rPr>
                <w:rFonts w:ascii="David" w:hAnsi="David"/>
                <w:b/>
                <w:bCs/>
                <w:sz w:val="28"/>
                <w:szCs w:val="28"/>
              </w:rPr>
            </w:pPr>
            <w:r w:rsidRPr="00E36B2F">
              <w:rPr>
                <w:rFonts w:ascii="David" w:hAnsi="David" w:hint="cs"/>
                <w:b/>
                <w:bCs/>
                <w:sz w:val="28"/>
                <w:szCs w:val="28"/>
                <w:rtl/>
              </w:rPr>
              <w:t xml:space="preserve">                                   </w:t>
            </w:r>
            <w:r w:rsidRPr="00E36B2F">
              <w:rPr>
                <w:rFonts w:ascii="David" w:hAnsi="David"/>
                <w:b/>
                <w:bCs/>
                <w:sz w:val="28"/>
                <w:szCs w:val="28"/>
                <w:rtl/>
              </w:rPr>
              <w:t>הנאשם</w:t>
            </w:r>
          </w:p>
        </w:tc>
      </w:tr>
    </w:tbl>
    <w:p w14:paraId="21F6B8E8" w14:textId="77777777" w:rsidR="00337A01" w:rsidRDefault="00337A01" w:rsidP="00337A01">
      <w:pPr>
        <w:rPr>
          <w:rFonts w:ascii="David" w:hAnsi="David"/>
          <w:sz w:val="28"/>
          <w:szCs w:val="28"/>
          <w:rtl/>
        </w:rPr>
      </w:pPr>
      <w:bookmarkStart w:id="2" w:name="LawTable"/>
      <w:bookmarkEnd w:id="2"/>
    </w:p>
    <w:p w14:paraId="11206EEE" w14:textId="77777777" w:rsidR="00337A01" w:rsidRPr="00337A01" w:rsidRDefault="00337A01" w:rsidP="00337A01">
      <w:pPr>
        <w:spacing w:before="120" w:after="120" w:line="240" w:lineRule="exact"/>
        <w:ind w:left="283" w:hanging="283"/>
        <w:jc w:val="both"/>
        <w:rPr>
          <w:rFonts w:ascii="FrankRuehl" w:hAnsi="FrankRuehl" w:cs="FrankRuehl"/>
          <w:rtl/>
        </w:rPr>
      </w:pPr>
    </w:p>
    <w:p w14:paraId="244C615A" w14:textId="77777777" w:rsidR="00337A01" w:rsidRPr="00337A01" w:rsidRDefault="00337A01" w:rsidP="00337A01">
      <w:pPr>
        <w:spacing w:before="120" w:after="120" w:line="240" w:lineRule="exact"/>
        <w:ind w:left="283" w:hanging="283"/>
        <w:jc w:val="both"/>
        <w:rPr>
          <w:rFonts w:ascii="FrankRuehl" w:hAnsi="FrankRuehl" w:cs="FrankRuehl"/>
          <w:rtl/>
        </w:rPr>
      </w:pPr>
    </w:p>
    <w:p w14:paraId="213F78B6" w14:textId="77777777" w:rsidR="00337A01" w:rsidRPr="00337A01" w:rsidRDefault="00337A01" w:rsidP="00337A01">
      <w:pPr>
        <w:spacing w:before="120" w:after="120" w:line="240" w:lineRule="exact"/>
        <w:ind w:left="283" w:hanging="283"/>
        <w:jc w:val="both"/>
        <w:rPr>
          <w:rFonts w:ascii="FrankRuehl" w:hAnsi="FrankRuehl" w:cs="FrankRuehl"/>
          <w:rtl/>
        </w:rPr>
      </w:pPr>
      <w:r w:rsidRPr="00337A01">
        <w:rPr>
          <w:rFonts w:ascii="FrankRuehl" w:hAnsi="FrankRuehl" w:cs="FrankRuehl"/>
          <w:rtl/>
        </w:rPr>
        <w:t xml:space="preserve">חקיקה שאוזכרה: </w:t>
      </w:r>
    </w:p>
    <w:p w14:paraId="1B06AEBE" w14:textId="77777777" w:rsidR="00337A01" w:rsidRPr="00337A01" w:rsidRDefault="00337A01" w:rsidP="00337A01">
      <w:pPr>
        <w:spacing w:before="120" w:after="120" w:line="240" w:lineRule="exact"/>
        <w:ind w:left="283" w:hanging="283"/>
        <w:jc w:val="both"/>
        <w:rPr>
          <w:rFonts w:ascii="FrankRuehl" w:hAnsi="FrankRuehl" w:cs="FrankRuehl"/>
          <w:rtl/>
        </w:rPr>
      </w:pPr>
      <w:hyperlink r:id="rId7" w:history="1">
        <w:r w:rsidRPr="00337A01">
          <w:rPr>
            <w:rFonts w:ascii="FrankRuehl" w:hAnsi="FrankRuehl" w:cs="FrankRuehl"/>
            <w:color w:val="0000FF"/>
            <w:rtl/>
          </w:rPr>
          <w:t>פקודת הסמים המסוכנים [נוסח חדש], תשל"ג-1973</w:t>
        </w:r>
      </w:hyperlink>
      <w:r w:rsidRPr="00337A01">
        <w:rPr>
          <w:rFonts w:ascii="FrankRuehl" w:hAnsi="FrankRuehl" w:cs="FrankRuehl"/>
          <w:rtl/>
        </w:rPr>
        <w:t xml:space="preserve">: סע'  </w:t>
      </w:r>
      <w:hyperlink r:id="rId8" w:history="1">
        <w:r w:rsidRPr="00337A01">
          <w:rPr>
            <w:rFonts w:ascii="FrankRuehl" w:hAnsi="FrankRuehl" w:cs="FrankRuehl"/>
            <w:color w:val="0000FF"/>
            <w:rtl/>
          </w:rPr>
          <w:t>13</w:t>
        </w:r>
      </w:hyperlink>
      <w:r w:rsidRPr="00337A01">
        <w:rPr>
          <w:rFonts w:ascii="FrankRuehl" w:hAnsi="FrankRuehl" w:cs="FrankRuehl"/>
          <w:rtl/>
        </w:rPr>
        <w:t xml:space="preserve">, </w:t>
      </w:r>
      <w:hyperlink r:id="rId9" w:history="1">
        <w:r w:rsidRPr="00337A01">
          <w:rPr>
            <w:rFonts w:ascii="FrankRuehl" w:hAnsi="FrankRuehl" w:cs="FrankRuehl"/>
            <w:color w:val="0000FF"/>
            <w:rtl/>
          </w:rPr>
          <w:t>19א</w:t>
        </w:r>
      </w:hyperlink>
    </w:p>
    <w:p w14:paraId="6A6A7395" w14:textId="77777777" w:rsidR="00337A01" w:rsidRPr="00337A01" w:rsidRDefault="00337A01" w:rsidP="00337A01">
      <w:pPr>
        <w:spacing w:before="120" w:after="120" w:line="240" w:lineRule="exact"/>
        <w:ind w:left="283" w:hanging="283"/>
        <w:jc w:val="both"/>
        <w:rPr>
          <w:rFonts w:ascii="FrankRuehl" w:hAnsi="FrankRuehl" w:cs="FrankRuehl"/>
          <w:rtl/>
        </w:rPr>
      </w:pPr>
      <w:hyperlink r:id="rId10" w:history="1">
        <w:r w:rsidRPr="00337A01">
          <w:rPr>
            <w:rFonts w:ascii="FrankRuehl" w:hAnsi="FrankRuehl" w:cs="FrankRuehl"/>
            <w:color w:val="0000FF"/>
            <w:rtl/>
          </w:rPr>
          <w:t>חוק העונשין, תשל"ז-1977</w:t>
        </w:r>
      </w:hyperlink>
      <w:r w:rsidRPr="00337A01">
        <w:rPr>
          <w:rFonts w:ascii="FrankRuehl" w:hAnsi="FrankRuehl" w:cs="FrankRuehl"/>
          <w:rtl/>
        </w:rPr>
        <w:t xml:space="preserve">: סע'  </w:t>
      </w:r>
      <w:hyperlink r:id="rId11" w:history="1">
        <w:r w:rsidRPr="00337A01">
          <w:rPr>
            <w:rFonts w:ascii="FrankRuehl" w:hAnsi="FrankRuehl" w:cs="FrankRuehl"/>
            <w:color w:val="0000FF"/>
            <w:rtl/>
          </w:rPr>
          <w:t>40ט(א)</w:t>
        </w:r>
      </w:hyperlink>
      <w:r w:rsidRPr="00337A01">
        <w:rPr>
          <w:rFonts w:ascii="FrankRuehl" w:hAnsi="FrankRuehl" w:cs="FrankRuehl"/>
          <w:rtl/>
        </w:rPr>
        <w:t xml:space="preserve">, </w:t>
      </w:r>
      <w:hyperlink r:id="rId12" w:history="1">
        <w:r w:rsidRPr="00337A01">
          <w:rPr>
            <w:rFonts w:ascii="FrankRuehl" w:hAnsi="FrankRuehl" w:cs="FrankRuehl"/>
            <w:color w:val="0000FF"/>
            <w:rtl/>
          </w:rPr>
          <w:t>287(א)</w:t>
        </w:r>
      </w:hyperlink>
      <w:r w:rsidRPr="00337A01">
        <w:rPr>
          <w:rFonts w:ascii="FrankRuehl" w:hAnsi="FrankRuehl" w:cs="FrankRuehl"/>
          <w:rtl/>
        </w:rPr>
        <w:t xml:space="preserve">, </w:t>
      </w:r>
      <w:hyperlink r:id="rId13" w:history="1">
        <w:r w:rsidRPr="00337A01">
          <w:rPr>
            <w:rFonts w:ascii="FrankRuehl" w:hAnsi="FrankRuehl" w:cs="FrankRuehl"/>
            <w:color w:val="0000FF"/>
            <w:rtl/>
          </w:rPr>
          <w:t>40 יא</w:t>
        </w:r>
      </w:hyperlink>
    </w:p>
    <w:p w14:paraId="10E0FCB0" w14:textId="77777777" w:rsidR="00337A01" w:rsidRPr="00337A01" w:rsidRDefault="00337A01" w:rsidP="00337A01">
      <w:pPr>
        <w:rPr>
          <w:rFonts w:ascii="David" w:hAnsi="David"/>
          <w:sz w:val="28"/>
          <w:szCs w:val="28"/>
          <w:rtl/>
        </w:rPr>
      </w:pPr>
      <w:bookmarkStart w:id="3" w:name="LawTable_End"/>
      <w:bookmarkEnd w:id="3"/>
    </w:p>
    <w:p w14:paraId="224AB272" w14:textId="77777777" w:rsidR="00D44C6E" w:rsidRPr="00C41F74" w:rsidRDefault="00D44C6E" w:rsidP="00C41F74">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4C6E" w:rsidRPr="000758E8" w14:paraId="7042BC2C" w14:textId="77777777" w:rsidTr="00D44C6E">
        <w:trPr>
          <w:trHeight w:val="355"/>
          <w:jc w:val="center"/>
        </w:trPr>
        <w:tc>
          <w:tcPr>
            <w:tcW w:w="8820" w:type="dxa"/>
            <w:tcBorders>
              <w:top w:val="nil"/>
              <w:left w:val="nil"/>
              <w:bottom w:val="nil"/>
              <w:right w:val="nil"/>
            </w:tcBorders>
            <w:shd w:val="clear" w:color="auto" w:fill="auto"/>
          </w:tcPr>
          <w:p w14:paraId="26AC9655" w14:textId="77777777" w:rsidR="00E36B2F" w:rsidRPr="00E36B2F" w:rsidRDefault="00E36B2F" w:rsidP="00E36B2F">
            <w:pPr>
              <w:jc w:val="center"/>
              <w:rPr>
                <w:rFonts w:ascii="David" w:hAnsi="David"/>
                <w:b/>
                <w:bCs/>
                <w:sz w:val="28"/>
                <w:szCs w:val="28"/>
                <w:u w:val="single"/>
                <w:rtl/>
              </w:rPr>
            </w:pPr>
            <w:bookmarkStart w:id="4" w:name="PsakDin" w:colFirst="0" w:colLast="0"/>
            <w:bookmarkEnd w:id="0"/>
            <w:r w:rsidRPr="00E36B2F">
              <w:rPr>
                <w:rFonts w:ascii="David" w:hAnsi="David"/>
                <w:b/>
                <w:bCs/>
                <w:sz w:val="28"/>
                <w:szCs w:val="28"/>
                <w:u w:val="single"/>
                <w:rtl/>
              </w:rPr>
              <w:t>גזר דין</w:t>
            </w:r>
          </w:p>
          <w:p w14:paraId="46100954" w14:textId="77777777" w:rsidR="00D44C6E" w:rsidRPr="00E36B2F" w:rsidRDefault="00D44C6E" w:rsidP="00E36B2F">
            <w:pPr>
              <w:jc w:val="center"/>
              <w:rPr>
                <w:rFonts w:ascii="David" w:hAnsi="David"/>
                <w:b/>
                <w:bCs/>
                <w:sz w:val="28"/>
                <w:szCs w:val="28"/>
                <w:u w:val="single"/>
                <w:rtl/>
              </w:rPr>
            </w:pPr>
          </w:p>
        </w:tc>
      </w:tr>
      <w:bookmarkEnd w:id="4"/>
    </w:tbl>
    <w:p w14:paraId="4B39C9F6" w14:textId="77777777" w:rsidR="00D44C6E" w:rsidRDefault="00D44C6E" w:rsidP="00D44C6E">
      <w:pPr>
        <w:rPr>
          <w:rFonts w:ascii="Arial" w:hAnsi="Arial"/>
          <w:rtl/>
        </w:rPr>
      </w:pPr>
    </w:p>
    <w:p w14:paraId="0305C474" w14:textId="77777777" w:rsidR="00D44C6E" w:rsidRPr="00D77912" w:rsidRDefault="00D44C6E" w:rsidP="00D44C6E">
      <w:pPr>
        <w:spacing w:line="360" w:lineRule="auto"/>
        <w:ind w:left="680"/>
        <w:rPr>
          <w:rFonts w:ascii="Arial" w:hAnsi="Arial"/>
          <w:b/>
          <w:bCs/>
          <w:u w:val="single"/>
          <w:rtl/>
        </w:rPr>
      </w:pPr>
      <w:r>
        <w:rPr>
          <w:rFonts w:ascii="Arial" w:hAnsi="Arial"/>
          <w:rtl/>
        </w:rPr>
        <w:tab/>
      </w:r>
      <w:r w:rsidRPr="00D77912">
        <w:rPr>
          <w:rFonts w:ascii="Arial" w:hAnsi="Arial" w:hint="cs"/>
          <w:b/>
          <w:bCs/>
          <w:u w:val="single"/>
          <w:rtl/>
        </w:rPr>
        <w:t>הכרעת הדין</w:t>
      </w:r>
    </w:p>
    <w:p w14:paraId="0F4E40B4" w14:textId="77777777" w:rsidR="00D44C6E" w:rsidRPr="0049666A" w:rsidRDefault="00D44C6E" w:rsidP="00D44C6E">
      <w:pPr>
        <w:pStyle w:val="a9"/>
        <w:numPr>
          <w:ilvl w:val="0"/>
          <w:numId w:val="1"/>
        </w:numPr>
        <w:spacing w:line="360" w:lineRule="auto"/>
        <w:jc w:val="both"/>
        <w:rPr>
          <w:rFonts w:ascii="Arial" w:hAnsi="Arial"/>
        </w:rPr>
      </w:pPr>
      <w:bookmarkStart w:id="5" w:name="ABSTRACT_START"/>
      <w:bookmarkEnd w:id="5"/>
      <w:r w:rsidRPr="0049666A">
        <w:rPr>
          <w:rFonts w:ascii="Arial" w:hAnsi="Arial" w:hint="cs"/>
          <w:rtl/>
        </w:rPr>
        <w:t xml:space="preserve">בהכרעת הדין מיום 14.7.20, </w:t>
      </w:r>
      <w:r>
        <w:rPr>
          <w:rFonts w:ascii="Arial" w:hAnsi="Arial" w:hint="cs"/>
          <w:rtl/>
        </w:rPr>
        <w:t xml:space="preserve">הורשע הנאשם </w:t>
      </w:r>
      <w:r w:rsidRPr="0049666A">
        <w:rPr>
          <w:rFonts w:ascii="Arial" w:hAnsi="Arial" w:hint="cs"/>
          <w:rtl/>
        </w:rPr>
        <w:t xml:space="preserve">על יסוד הודאתו במסגרת הסדר טיעון פתוח, בביצוע שלוש עבירות של סחר בסמים מסוכנים </w:t>
      </w:r>
      <w:r w:rsidRPr="0049666A">
        <w:rPr>
          <w:rFonts w:ascii="Arial" w:hAnsi="Arial"/>
          <w:rtl/>
        </w:rPr>
        <w:t>–</w:t>
      </w:r>
      <w:r w:rsidRPr="0049666A">
        <w:rPr>
          <w:rFonts w:ascii="Arial" w:hAnsi="Arial" w:hint="cs"/>
          <w:rtl/>
        </w:rPr>
        <w:t xml:space="preserve"> </w:t>
      </w:r>
      <w:r>
        <w:rPr>
          <w:rFonts w:ascii="Arial" w:hAnsi="Arial" w:hint="cs"/>
          <w:rtl/>
        </w:rPr>
        <w:t xml:space="preserve">עבירות </w:t>
      </w:r>
      <w:r w:rsidRPr="0049666A">
        <w:rPr>
          <w:rFonts w:ascii="Arial" w:hAnsi="Arial" w:hint="cs"/>
          <w:rtl/>
        </w:rPr>
        <w:t xml:space="preserve">לפי </w:t>
      </w:r>
      <w:hyperlink r:id="rId14" w:history="1">
        <w:r w:rsidR="00C41F74" w:rsidRPr="00C41F74">
          <w:rPr>
            <w:rStyle w:val="Hyperlink"/>
            <w:rFonts w:ascii="Arial" w:hAnsi="Arial" w:hint="eastAsia"/>
            <w:rtl/>
          </w:rPr>
          <w:t>סעיפים</w:t>
        </w:r>
        <w:r w:rsidR="00C41F74" w:rsidRPr="00C41F74">
          <w:rPr>
            <w:rStyle w:val="Hyperlink"/>
            <w:rFonts w:ascii="Arial" w:hAnsi="Arial"/>
            <w:rtl/>
          </w:rPr>
          <w:t xml:space="preserve"> 13</w:t>
        </w:r>
      </w:hyperlink>
      <w:r w:rsidRPr="0049666A">
        <w:rPr>
          <w:rFonts w:ascii="Arial" w:hAnsi="Arial" w:hint="cs"/>
          <w:rtl/>
        </w:rPr>
        <w:t xml:space="preserve"> ו- </w:t>
      </w:r>
      <w:hyperlink r:id="rId15" w:history="1">
        <w:r w:rsidR="00C41F74" w:rsidRPr="00C41F74">
          <w:rPr>
            <w:rStyle w:val="Hyperlink"/>
            <w:rFonts w:ascii="Arial" w:hAnsi="Arial"/>
            <w:rtl/>
          </w:rPr>
          <w:t>19א</w:t>
        </w:r>
      </w:hyperlink>
      <w:r w:rsidRPr="0049666A">
        <w:rPr>
          <w:rFonts w:ascii="Arial" w:hAnsi="Arial" w:hint="cs"/>
          <w:rtl/>
        </w:rPr>
        <w:t xml:space="preserve"> ל</w:t>
      </w:r>
      <w:hyperlink r:id="rId16" w:history="1">
        <w:r w:rsidR="00E36B2F" w:rsidRPr="00E36B2F">
          <w:rPr>
            <w:rFonts w:ascii="Arial" w:hAnsi="Arial"/>
            <w:color w:val="0000FF"/>
            <w:u w:val="single"/>
            <w:rtl/>
          </w:rPr>
          <w:t>פקודת הסמים המסוכנים</w:t>
        </w:r>
      </w:hyperlink>
      <w:r w:rsidRPr="0049666A">
        <w:rPr>
          <w:rFonts w:ascii="Arial" w:hAnsi="Arial" w:hint="cs"/>
          <w:rtl/>
        </w:rPr>
        <w:t xml:space="preserve"> [נוסח חדש], התשל"ג-1973 (להלן: </w:t>
      </w:r>
      <w:r w:rsidRPr="0049666A">
        <w:rPr>
          <w:rFonts w:ascii="Arial" w:hAnsi="Arial" w:hint="cs"/>
          <w:b/>
          <w:bCs/>
          <w:rtl/>
        </w:rPr>
        <w:t>"הפקודה"</w:t>
      </w:r>
      <w:r w:rsidRPr="0049666A">
        <w:rPr>
          <w:rFonts w:ascii="Arial" w:hAnsi="Arial" w:hint="cs"/>
          <w:rtl/>
        </w:rPr>
        <w:t xml:space="preserve">), וכן בביצוע עבירה של הפרת הוראה חוקית </w:t>
      </w:r>
      <w:r w:rsidRPr="0049666A">
        <w:rPr>
          <w:rFonts w:ascii="Arial" w:hAnsi="Arial"/>
          <w:rtl/>
        </w:rPr>
        <w:t>–</w:t>
      </w:r>
      <w:r>
        <w:rPr>
          <w:rFonts w:ascii="Arial" w:hAnsi="Arial" w:hint="cs"/>
          <w:rtl/>
        </w:rPr>
        <w:t xml:space="preserve"> עבירה</w:t>
      </w:r>
      <w:r w:rsidRPr="0049666A">
        <w:rPr>
          <w:rFonts w:ascii="Arial" w:hAnsi="Arial" w:hint="cs"/>
          <w:rtl/>
        </w:rPr>
        <w:t xml:space="preserve"> לפי </w:t>
      </w:r>
      <w:hyperlink r:id="rId17" w:history="1">
        <w:r w:rsidR="00C41F74" w:rsidRPr="00C41F74">
          <w:rPr>
            <w:rStyle w:val="Hyperlink"/>
            <w:rFonts w:ascii="Arial" w:hAnsi="Arial" w:hint="eastAsia"/>
            <w:rtl/>
          </w:rPr>
          <w:t>סעיף</w:t>
        </w:r>
        <w:r w:rsidR="00C41F74" w:rsidRPr="00C41F74">
          <w:rPr>
            <w:rStyle w:val="Hyperlink"/>
            <w:rFonts w:ascii="Arial" w:hAnsi="Arial"/>
            <w:rtl/>
          </w:rPr>
          <w:t xml:space="preserve"> 287(א)</w:t>
        </w:r>
      </w:hyperlink>
      <w:r w:rsidRPr="0049666A">
        <w:rPr>
          <w:rFonts w:ascii="Arial" w:hAnsi="Arial" w:hint="cs"/>
          <w:rtl/>
        </w:rPr>
        <w:t xml:space="preserve"> ל</w:t>
      </w:r>
      <w:hyperlink r:id="rId18" w:history="1">
        <w:r w:rsidR="00E36B2F" w:rsidRPr="00E36B2F">
          <w:rPr>
            <w:rFonts w:ascii="Arial" w:hAnsi="Arial"/>
            <w:color w:val="0000FF"/>
            <w:u w:val="single"/>
            <w:rtl/>
          </w:rPr>
          <w:t>חוק העונשין</w:t>
        </w:r>
      </w:hyperlink>
      <w:r w:rsidRPr="0049666A">
        <w:rPr>
          <w:rFonts w:ascii="Arial" w:hAnsi="Arial" w:hint="cs"/>
          <w:rtl/>
        </w:rPr>
        <w:t xml:space="preserve">, התשל"ז-1977 </w:t>
      </w:r>
      <w:bookmarkStart w:id="6" w:name="ABSTRACT_END"/>
      <w:bookmarkEnd w:id="6"/>
      <w:r w:rsidRPr="0049666A">
        <w:rPr>
          <w:rFonts w:ascii="Arial" w:hAnsi="Arial" w:hint="cs"/>
          <w:rtl/>
        </w:rPr>
        <w:t xml:space="preserve">(להלן: </w:t>
      </w:r>
      <w:r w:rsidRPr="0049666A">
        <w:rPr>
          <w:rFonts w:ascii="Arial" w:hAnsi="Arial" w:hint="cs"/>
          <w:b/>
          <w:bCs/>
          <w:rtl/>
        </w:rPr>
        <w:t>"חוק העונשין"</w:t>
      </w:r>
      <w:r w:rsidRPr="0049666A">
        <w:rPr>
          <w:rFonts w:ascii="Arial" w:hAnsi="Arial" w:hint="cs"/>
          <w:rtl/>
        </w:rPr>
        <w:t xml:space="preserve">). </w:t>
      </w:r>
    </w:p>
    <w:p w14:paraId="4814F376" w14:textId="77777777" w:rsidR="00D44C6E" w:rsidRDefault="00D44C6E" w:rsidP="00D44C6E">
      <w:pPr>
        <w:pStyle w:val="a9"/>
        <w:spacing w:line="360" w:lineRule="auto"/>
        <w:ind w:left="714"/>
        <w:contextualSpacing w:val="0"/>
        <w:jc w:val="both"/>
        <w:rPr>
          <w:rFonts w:ascii="Arial" w:hAnsi="Arial"/>
          <w:rtl/>
        </w:rPr>
      </w:pPr>
    </w:p>
    <w:p w14:paraId="66CCDDF1" w14:textId="77777777" w:rsidR="00D44C6E" w:rsidRPr="00492C36" w:rsidRDefault="00D44C6E" w:rsidP="00D44C6E">
      <w:pPr>
        <w:pStyle w:val="a9"/>
        <w:spacing w:line="360" w:lineRule="auto"/>
        <w:ind w:left="714"/>
        <w:contextualSpacing w:val="0"/>
        <w:jc w:val="both"/>
        <w:rPr>
          <w:rFonts w:ascii="Arial" w:hAnsi="Arial"/>
          <w:b/>
          <w:bCs/>
          <w:u w:val="single"/>
        </w:rPr>
      </w:pPr>
      <w:r w:rsidRPr="00492C36">
        <w:rPr>
          <w:rFonts w:ascii="Arial" w:hAnsi="Arial" w:hint="cs"/>
          <w:b/>
          <w:bCs/>
          <w:u w:val="single"/>
          <w:rtl/>
        </w:rPr>
        <w:t>כתב האישום המתוקן</w:t>
      </w:r>
    </w:p>
    <w:p w14:paraId="5C6B4BDA" w14:textId="77777777" w:rsidR="00D44C6E" w:rsidRDefault="00D44C6E" w:rsidP="00D44C6E">
      <w:pPr>
        <w:pStyle w:val="a9"/>
        <w:numPr>
          <w:ilvl w:val="0"/>
          <w:numId w:val="1"/>
        </w:numPr>
        <w:spacing w:line="360" w:lineRule="auto"/>
        <w:jc w:val="both"/>
        <w:rPr>
          <w:rFonts w:ascii="Arial" w:hAnsi="Arial"/>
        </w:rPr>
      </w:pPr>
      <w:r>
        <w:rPr>
          <w:rFonts w:ascii="Arial" w:hAnsi="Arial" w:hint="cs"/>
          <w:rtl/>
        </w:rPr>
        <w:t>כתב האישום המתוקן שעל בסיסו הורשע  הנאשם, מחזיק שלושה אישומים.</w:t>
      </w:r>
    </w:p>
    <w:p w14:paraId="1B49DA37" w14:textId="77777777" w:rsidR="00D44C6E" w:rsidRDefault="00D44C6E" w:rsidP="00D44C6E">
      <w:pPr>
        <w:pStyle w:val="a9"/>
        <w:spacing w:line="360" w:lineRule="auto"/>
        <w:jc w:val="both"/>
        <w:rPr>
          <w:rFonts w:ascii="Arial" w:hAnsi="Arial"/>
          <w:rtl/>
        </w:rPr>
      </w:pPr>
      <w:r>
        <w:rPr>
          <w:rFonts w:ascii="Arial" w:hAnsi="Arial" w:hint="cs"/>
          <w:rtl/>
        </w:rPr>
        <w:t xml:space="preserve">על פי המתואר בחלק הכללי של כתב האישום המתוקן, במסגרת פעילות משטרת ישראל במאבקה נגד הפצת סמים מסוכנים, כלי נשק וסחר ברכב וחלקי רכב גנובים, הופעל על ידה </w:t>
      </w:r>
      <w:r>
        <w:rPr>
          <w:rFonts w:ascii="Arial" w:hAnsi="Arial" w:hint="cs"/>
          <w:rtl/>
        </w:rPr>
        <w:lastRenderedPageBreak/>
        <w:t xml:space="preserve">סוכן שכינויו נ.פ. 066-19 (להלן: </w:t>
      </w:r>
      <w:r w:rsidRPr="002B75C3">
        <w:rPr>
          <w:rFonts w:ascii="Arial" w:hAnsi="Arial" w:hint="cs"/>
          <w:b/>
          <w:bCs/>
          <w:rtl/>
        </w:rPr>
        <w:t>"הסוכן"</w:t>
      </w:r>
      <w:r>
        <w:rPr>
          <w:rFonts w:ascii="Arial" w:hAnsi="Arial" w:hint="cs"/>
          <w:rtl/>
        </w:rPr>
        <w:t>). בין הסוכן לנאשם קיימת היכרות רבת שנים. בין היתר שהו השניים יחדיו במעצר במשך מספר חודשים עובר למועדים הרלוונטיים לאישום. במועדים הרלוונטיים לכתב האישום, רכש הסוכן מהנאשם סמים מסוכנים תמורת סכומי כסף שונים, בעסקאות שתואמו מראש ובוצעו עם הנאשם, הכול כפי שיפורט להלן. עוד נכתב בחלק הכללי של כתב האישום, כי ביום 3.11.19 שוחרר הנאשם ממעצר במסגרת החלטה שניתנה ב</w:t>
      </w:r>
      <w:hyperlink r:id="rId19" w:history="1">
        <w:r w:rsidR="00E36B2F" w:rsidRPr="00E36B2F">
          <w:rPr>
            <w:rFonts w:ascii="Arial" w:hAnsi="Arial"/>
            <w:color w:val="0000FF"/>
            <w:u w:val="single"/>
            <w:rtl/>
          </w:rPr>
          <w:t>מ"ת 35594-09-19</w:t>
        </w:r>
      </w:hyperlink>
      <w:r>
        <w:rPr>
          <w:rFonts w:ascii="Arial" w:hAnsi="Arial" w:hint="cs"/>
          <w:rtl/>
        </w:rPr>
        <w:t xml:space="preserve"> (בית משפט השלום בירושלים), על ידי כבוד השופט הבכיר יהושע צימרמן, ונקבע כי הוא ישהה במעצר בית מלא בבית אחיו ברחוב עין לוזי 157 בסילואן (להלן: </w:t>
      </w:r>
      <w:r w:rsidRPr="00B519C8">
        <w:rPr>
          <w:rFonts w:ascii="Arial" w:hAnsi="Arial" w:hint="cs"/>
          <w:b/>
          <w:bCs/>
          <w:rtl/>
        </w:rPr>
        <w:t>"מקום מעצר הבית"</w:t>
      </w:r>
      <w:r>
        <w:rPr>
          <w:rFonts w:ascii="Arial" w:hAnsi="Arial" w:hint="cs"/>
          <w:rtl/>
        </w:rPr>
        <w:t>). בנוסף, תנאי השחרור כללו פיקוח אנושי וערבויות כלכליות. תנאי שחרור אלה עמדו בתוקפם עד ליום 12.12.19, כך שהעבירה נושא האישום השני בוצעה בשעה שהנאשם הפר את מעצר הבית.</w:t>
      </w:r>
    </w:p>
    <w:p w14:paraId="7B4538A8" w14:textId="77777777" w:rsidR="00D44C6E" w:rsidRDefault="00D44C6E" w:rsidP="00D44C6E">
      <w:pPr>
        <w:pStyle w:val="a9"/>
        <w:spacing w:line="360" w:lineRule="auto"/>
        <w:jc w:val="both"/>
        <w:rPr>
          <w:rFonts w:ascii="Arial" w:hAnsi="Arial"/>
          <w:rtl/>
        </w:rPr>
      </w:pPr>
      <w:r>
        <w:rPr>
          <w:rFonts w:ascii="Arial" w:hAnsi="Arial" w:hint="cs"/>
          <w:rtl/>
        </w:rPr>
        <w:t xml:space="preserve">על פי האישום הראשון, ביום  27.11.19 נפגש הסוכן עם הנאשם במקום מעצר הבית. במהלך הביקור הציע הנאשם לסוכן לרכוש ממנו סם מסוכן מסוג קוקאין איכותי בתמורה ל-400 ₪ לגרם, או קוקאין איכותי פחות בתמורה ל-380 ₪ לגרם. ביום 30.11.19 שוחחו הנאשם והסוכן בטלפון, הנאשם שוב שאל את הסוכן אם הוא מעוניין לרכוש קוקאין, והסוכן השיב לו שידבר אתו אם יצטרך. מספר דקות לאחר מכן שלח הנאשם לסוכן הודעה בה הוא חזר פעם נוספת על הצעתו למכור לסוכן קוקאין תמורת 400 ₪ לגרם קוקאין איכותי. ביום 1.12.19, בשעות הצהריים בסמוך לשעה 13:40, שוחחו הנאשם והסוכן בטלפון והסוכן ביקש לרכוש מהנאשם 10 גרם קוקאין. הנאשם שאל את הסוכן האם הוא רוצה את זה בגוש או מחולק למנות והסוכן השיב שהוא רוצה את זה בגוש. בהמשך שוחחו הסוכן והנאשם על כך שהאחרון ישלח לסוכן שליחים שלו באופנוע שיגיעו לפגוש את הסוכן בשועפאט, שם ימסרו השליחים לסוכן את הקוקאין. בהמשך לאמור התקיימו מספר שיחות תיאום בין הנאשם לסוכן ובסופו של דבר, בהתאם לסיכום בין הנאשם לסוכן, בשעה 15:00 או בסמוך לכך הגיע לנקודת המפגש אדם שזהותו אינה ידועה למאשימה (להלן: </w:t>
      </w:r>
      <w:r w:rsidRPr="00BE01B8">
        <w:rPr>
          <w:rFonts w:ascii="Arial" w:hAnsi="Arial" w:hint="cs"/>
          <w:b/>
          <w:bCs/>
          <w:rtl/>
        </w:rPr>
        <w:t>"האחר"</w:t>
      </w:r>
      <w:r>
        <w:rPr>
          <w:rFonts w:ascii="Arial" w:hAnsi="Arial" w:hint="cs"/>
          <w:rtl/>
        </w:rPr>
        <w:t>), רכוב על גבי אופנוע בו נוהג איסמעיל גולאני. האחר נכנס לרכבו של הסוכן ומסר לו שקית שקופה עטופה נייר טואלט, ובה קוקאין. הסוכן אמר לאחר שזה לא נראה לו חומר איכותי. האחר ירד מרכבו של הסוכן ולקח אתו את הקוקאין. מיד בסמוך לכך התקשר הסוכן לנאשם והתלונן על טיב החומר שהנאשם שלח לו. הנאשם הבטיח לסוכן שמדובר בחומר טוב באחריותו. בתגובה ביקש הסוכן מהנאשם שידאג לכך שהאחר יחזור אליו לרכב כדי להשלים את עסקת המכירה של הקוקאין. או אז חזר האחר לרכבו של הסוכן ומסר לו 9.5282 גרם קוקאין. הסוכן העביר לאחר, על פי הסיכום עם הנאשם, סכום של 4,000 ₪ במזומן תמורת הקוקאין, והאחר ירד מרכבו של הסוכן ועזב את המקום. לאחר מכן התקשר הנאשם לסוכן ואמר לו שבאחריותו מדובר בחומר טוב.</w:t>
      </w:r>
    </w:p>
    <w:p w14:paraId="299B8C94" w14:textId="77777777" w:rsidR="00D44C6E" w:rsidRDefault="00D44C6E" w:rsidP="00D44C6E">
      <w:pPr>
        <w:pStyle w:val="a9"/>
        <w:spacing w:line="360" w:lineRule="auto"/>
        <w:jc w:val="both"/>
        <w:rPr>
          <w:rFonts w:ascii="Arial" w:hAnsi="Arial"/>
          <w:rtl/>
        </w:rPr>
      </w:pPr>
      <w:r>
        <w:rPr>
          <w:rFonts w:ascii="Arial" w:hAnsi="Arial" w:hint="cs"/>
          <w:rtl/>
        </w:rPr>
        <w:t xml:space="preserve">לפי האישום השני, בתאריך 8.12.19, בסמוך לחצות הלילה, שלח הסוכן לנאשם הודעה קולית ביישומון  וואטסאפ וביקש לקנות ממנו 30 גרם קוקאין. הנאשם והסוכן החליפו ביניהם מספר הודעות ובשלב מסוים אמר הנאשם לסוכן שהוא יכול למכור לו קוקאין דומה </w:t>
      </w:r>
      <w:r>
        <w:rPr>
          <w:rFonts w:ascii="Arial" w:hAnsi="Arial" w:hint="cs"/>
          <w:rtl/>
        </w:rPr>
        <w:lastRenderedPageBreak/>
        <w:t xml:space="preserve">למה שמכר לו בפעם שעברה, כמתואר באישום הראשון, בתמורה ל-380 ש"ח לגרם. בהמשך היום הודיע הנאשם לסוכן כי יוכל למכור לו 26 גרם בלבד כיוון שאין לו 30 גרם, והשניים קבעו להיפגש בנקודת המפגש. בשעה שאינה ידועה למאשימה במדויק, יצא הנאשם את מקום מעצר הבית ובסמוך לשעה 16:00 הגיע לנקודת המפגש ונכנס לרכבו של הסוכן. הנאשם מסר לסוכן גוש קוקאין עטוף בשקית במשקל של 25.19 גרם. הסוכן פתח את השקית בנוכחותו של הנאשם ושקל את גוש הקוקאין. הסוכן מסר לנאשם 9,500 ₪ במזומן בתמורה ל-25.19 גרם קוקאין. </w:t>
      </w:r>
    </w:p>
    <w:p w14:paraId="4F6CD3DE" w14:textId="77777777" w:rsidR="00D44C6E" w:rsidRDefault="00D44C6E" w:rsidP="00D44C6E">
      <w:pPr>
        <w:pStyle w:val="a9"/>
        <w:spacing w:line="360" w:lineRule="auto"/>
        <w:jc w:val="both"/>
        <w:rPr>
          <w:rFonts w:ascii="Arial" w:hAnsi="Arial"/>
          <w:rtl/>
        </w:rPr>
      </w:pPr>
      <w:r>
        <w:rPr>
          <w:rFonts w:ascii="Arial" w:hAnsi="Arial" w:hint="cs"/>
          <w:rtl/>
        </w:rPr>
        <w:t xml:space="preserve">לפי האישום השלישי, ביום 24.12.19 התקשר הסוכן לנאשם וביקש לרכוש ממנו קוקאין. השניים סיכמו לשוחח ביום המחרת בשעה 12:00. ביום 25.12.19 שוחח הסוכן עם הנאשם וביקש לרכוש ממנו 15 גרם קוקאין. השניים קבעו להיפגש וכשהם נפגשו נכנס הנאשם לרכבו של הסוכן ומסר לו שקית שקופה אשר בתוכה קוקאין במשקל של 14.73 גרם. בתמורה ולאחר שהסוכן שקל את הסם הוא שילם לנאשם סך של 5,700 ₪ במזומן.  </w:t>
      </w:r>
    </w:p>
    <w:p w14:paraId="1D08DE24" w14:textId="77777777" w:rsidR="00D44C6E" w:rsidRPr="00085339" w:rsidRDefault="00D44C6E" w:rsidP="00D44C6E">
      <w:pPr>
        <w:pStyle w:val="a9"/>
        <w:spacing w:line="360" w:lineRule="auto"/>
        <w:jc w:val="both"/>
        <w:rPr>
          <w:rFonts w:ascii="Arial" w:hAnsi="Arial"/>
          <w:b/>
          <w:bCs/>
          <w:u w:val="single"/>
          <w:rtl/>
        </w:rPr>
      </w:pPr>
    </w:p>
    <w:p w14:paraId="783ED388" w14:textId="77777777" w:rsidR="00D44C6E" w:rsidRPr="00085339" w:rsidRDefault="00D44C6E" w:rsidP="00D44C6E">
      <w:pPr>
        <w:pStyle w:val="a9"/>
        <w:spacing w:line="360" w:lineRule="auto"/>
        <w:jc w:val="both"/>
        <w:rPr>
          <w:rFonts w:ascii="Arial" w:hAnsi="Arial"/>
          <w:b/>
          <w:bCs/>
          <w:u w:val="single"/>
          <w:rtl/>
        </w:rPr>
      </w:pPr>
      <w:r w:rsidRPr="00085339">
        <w:rPr>
          <w:rFonts w:ascii="Arial" w:hAnsi="Arial" w:hint="cs"/>
          <w:b/>
          <w:bCs/>
          <w:u w:val="single"/>
          <w:rtl/>
        </w:rPr>
        <w:t>תסקיר שירות המבחן</w:t>
      </w:r>
    </w:p>
    <w:p w14:paraId="1D45FB0D" w14:textId="77777777" w:rsidR="00D44C6E" w:rsidRDefault="00D44C6E" w:rsidP="00D44C6E">
      <w:pPr>
        <w:pStyle w:val="a9"/>
        <w:numPr>
          <w:ilvl w:val="0"/>
          <w:numId w:val="1"/>
        </w:numPr>
        <w:spacing w:line="360" w:lineRule="auto"/>
        <w:jc w:val="both"/>
        <w:rPr>
          <w:rFonts w:ascii="Arial" w:hAnsi="Arial"/>
        </w:rPr>
      </w:pPr>
      <w:r w:rsidRPr="003E4F67">
        <w:rPr>
          <w:rFonts w:ascii="Arial" w:hAnsi="Arial" w:hint="cs"/>
          <w:rtl/>
        </w:rPr>
        <w:t xml:space="preserve">בעניינו של הנאשם הוגש תסקיר שירות מבחן מיום 22.10.20. להלן יובאו עיקרי התסקיר. הנאשם בן 26 שנים. הנאשם הפסיק את לימודיו </w:t>
      </w:r>
      <w:r>
        <w:rPr>
          <w:rFonts w:ascii="Arial" w:hAnsi="Arial" w:hint="cs"/>
          <w:rtl/>
        </w:rPr>
        <w:t>לאחר 8 שנות לימוד</w:t>
      </w:r>
      <w:r w:rsidRPr="003E4F67">
        <w:rPr>
          <w:rFonts w:ascii="Arial" w:hAnsi="Arial" w:hint="cs"/>
          <w:rtl/>
        </w:rPr>
        <w:t xml:space="preserve"> כדי לסייע בכלכלת משפחתו. בגיל 18 עזב הנאשם את בית הוריו ועבר להתגורר באילת, שם הוא עבד במשך כ-6 שנים.  לאחר מכן עבד הנאשם בעבודות מזדמנות בתחום החשמל. </w:t>
      </w:r>
    </w:p>
    <w:p w14:paraId="20BCD1E7" w14:textId="77777777" w:rsidR="00D44C6E" w:rsidRPr="003E4F67" w:rsidRDefault="00D44C6E" w:rsidP="00D44C6E">
      <w:pPr>
        <w:pStyle w:val="a9"/>
        <w:spacing w:line="360" w:lineRule="auto"/>
        <w:jc w:val="both"/>
        <w:rPr>
          <w:rFonts w:ascii="Arial" w:hAnsi="Arial"/>
          <w:rtl/>
        </w:rPr>
      </w:pPr>
      <w:r>
        <w:rPr>
          <w:rFonts w:ascii="Arial" w:hAnsi="Arial" w:hint="cs"/>
          <w:rtl/>
        </w:rPr>
        <w:t>הנאשם מכור לסמים. במהלך שהותו באילת החל הנאשם לצרוך סמים מסוג קנביס ובמהלך תקופות ארוכות הוא צרך סמים מסוג קנביס על בסיס יום יומי. כאשר חזר הנאשם לבית הוריו הוא המשיך להשתמש בסמים מסוגים שונים. על רקע</w:t>
      </w:r>
      <w:r w:rsidRPr="003E4F67">
        <w:rPr>
          <w:rFonts w:ascii="Arial" w:hAnsi="Arial" w:hint="cs"/>
          <w:rtl/>
        </w:rPr>
        <w:t xml:space="preserve"> </w:t>
      </w:r>
      <w:r>
        <w:rPr>
          <w:rFonts w:ascii="Arial" w:hAnsi="Arial" w:hint="cs"/>
          <w:rtl/>
        </w:rPr>
        <w:t>השימוש</w:t>
      </w:r>
      <w:r w:rsidRPr="003E4F67">
        <w:rPr>
          <w:rFonts w:ascii="Arial" w:hAnsi="Arial" w:hint="cs"/>
          <w:rtl/>
        </w:rPr>
        <w:t xml:space="preserve"> בסמים, </w:t>
      </w:r>
      <w:r>
        <w:rPr>
          <w:rFonts w:ascii="Arial" w:hAnsi="Arial" w:hint="cs"/>
          <w:rtl/>
        </w:rPr>
        <w:t>יחסי הנאשם</w:t>
      </w:r>
      <w:r w:rsidRPr="003E4F67">
        <w:rPr>
          <w:rFonts w:ascii="Arial" w:hAnsi="Arial" w:hint="cs"/>
          <w:rtl/>
        </w:rPr>
        <w:t xml:space="preserve"> עם בני משפחתו מורכבים. הנאשם מסר כי אמו עודדה אותו להשתקם, אולם הוא לא הקשיב לה. </w:t>
      </w:r>
    </w:p>
    <w:p w14:paraId="06CD5CE5" w14:textId="77777777" w:rsidR="00D44C6E" w:rsidRPr="00AA4CE1" w:rsidRDefault="00D44C6E" w:rsidP="00D44C6E">
      <w:pPr>
        <w:pStyle w:val="a9"/>
        <w:spacing w:line="360" w:lineRule="auto"/>
        <w:jc w:val="both"/>
        <w:rPr>
          <w:rFonts w:ascii="Arial" w:hAnsi="Arial"/>
          <w:rtl/>
        </w:rPr>
      </w:pPr>
      <w:r>
        <w:rPr>
          <w:rFonts w:ascii="Arial" w:hAnsi="Arial" w:hint="cs"/>
          <w:rtl/>
        </w:rPr>
        <w:t xml:space="preserve">לנאשם הרשעה אחת קודמת מיום 12.12.19, בעבירה של סחר בסם מסוכן מסוג הרואין ובמספר עבירות של אספקת סם מסוג </w:t>
      </w:r>
      <w:r>
        <w:rPr>
          <w:rFonts w:ascii="Arial" w:hAnsi="Arial" w:hint="cs"/>
        </w:rPr>
        <w:t>MDMA</w:t>
      </w:r>
      <w:r>
        <w:rPr>
          <w:rFonts w:ascii="Arial" w:hAnsi="Arial" w:hint="cs"/>
          <w:rtl/>
        </w:rPr>
        <w:t xml:space="preserve">  ללא תמורה (</w:t>
      </w:r>
      <w:hyperlink r:id="rId20" w:history="1">
        <w:r w:rsidR="00E36B2F" w:rsidRPr="00E36B2F">
          <w:rPr>
            <w:rFonts w:ascii="Arial" w:hAnsi="Arial"/>
            <w:color w:val="0000FF"/>
            <w:u w:val="single"/>
            <w:rtl/>
          </w:rPr>
          <w:t>ת"פ (שלום י-ם) 35578-09-19</w:t>
        </w:r>
      </w:hyperlink>
      <w:r>
        <w:rPr>
          <w:rFonts w:ascii="Arial" w:hAnsi="Arial" w:hint="cs"/>
          <w:rtl/>
        </w:rPr>
        <w:t xml:space="preserve">) (להלן- </w:t>
      </w:r>
      <w:r w:rsidRPr="00996D5F">
        <w:rPr>
          <w:rFonts w:ascii="Arial" w:hAnsi="Arial" w:hint="cs"/>
          <w:b/>
          <w:bCs/>
          <w:rtl/>
        </w:rPr>
        <w:t>"התיק המקביל"</w:t>
      </w:r>
      <w:r>
        <w:rPr>
          <w:rFonts w:ascii="Arial" w:hAnsi="Arial" w:hint="cs"/>
          <w:rtl/>
        </w:rPr>
        <w:t xml:space="preserve">). </w:t>
      </w:r>
      <w:r w:rsidRPr="00AA4CE1">
        <w:rPr>
          <w:rFonts w:ascii="Arial" w:hAnsi="Arial" w:hint="cs"/>
          <w:rtl/>
        </w:rPr>
        <w:t xml:space="preserve">בגין </w:t>
      </w:r>
      <w:r>
        <w:rPr>
          <w:rFonts w:ascii="Arial" w:hAnsi="Arial" w:hint="cs"/>
          <w:rtl/>
        </w:rPr>
        <w:t xml:space="preserve">הרשעה זו נגזר על הנאשם עונש  של </w:t>
      </w:r>
      <w:r w:rsidRPr="00AA4CE1">
        <w:rPr>
          <w:rFonts w:ascii="Arial" w:hAnsi="Arial" w:hint="cs"/>
          <w:rtl/>
        </w:rPr>
        <w:t xml:space="preserve"> 7 </w:t>
      </w:r>
      <w:r>
        <w:rPr>
          <w:rFonts w:ascii="Arial" w:hAnsi="Arial" w:hint="cs"/>
          <w:rtl/>
        </w:rPr>
        <w:t xml:space="preserve">וחצי </w:t>
      </w:r>
      <w:r w:rsidRPr="00AA4CE1">
        <w:rPr>
          <w:rFonts w:ascii="Arial" w:hAnsi="Arial" w:hint="cs"/>
          <w:rtl/>
        </w:rPr>
        <w:t xml:space="preserve">חודשי מאסר בפועל. </w:t>
      </w:r>
      <w:r>
        <w:rPr>
          <w:rFonts w:ascii="Arial" w:hAnsi="Arial" w:hint="cs"/>
          <w:rtl/>
        </w:rPr>
        <w:t xml:space="preserve">הנאשם ריצה עונש זה במקביל למעצרו בהליך הנוכחי. </w:t>
      </w:r>
    </w:p>
    <w:p w14:paraId="0F7165BB" w14:textId="77777777" w:rsidR="00D44C6E" w:rsidRDefault="00D44C6E" w:rsidP="00D44C6E">
      <w:pPr>
        <w:pStyle w:val="a9"/>
        <w:spacing w:line="360" w:lineRule="auto"/>
        <w:jc w:val="both"/>
        <w:rPr>
          <w:rFonts w:ascii="Arial" w:hAnsi="Arial"/>
          <w:rtl/>
        </w:rPr>
      </w:pPr>
      <w:r>
        <w:rPr>
          <w:rFonts w:ascii="Arial" w:hAnsi="Arial" w:hint="cs"/>
          <w:rtl/>
        </w:rPr>
        <w:t>שירות המבחן מציין בתסקיר כי לאורך השנים התקשה הנאשם לגייס כוחות לצורך יצירת יציבות במישורי חייו השונים. עם זאת, שירות המבחן התרשם כי הנאשם מאס בשימוש בסמים, וכי כיום הוא מכיר בבעיית ההתמכרות שממנה הוא סובל. לדברי שירות המבחן הנאשם מגלה מוטיבציה להשתלב בהליך של גמילה מסמים. להערכת שירות המבחן טיפול מעמיק ומקיף במסגרת כוללנית סגורה של קהילה טיפולית  עשוי לחולל שינוי בדפוסי ההתנהגות של הנאשם, ולאפשר לו להתמודד רגשית עם בעיית התמכרותו לסמים והשלכותיה לטווח הארוך.</w:t>
      </w:r>
    </w:p>
    <w:p w14:paraId="0C5874AE" w14:textId="77777777" w:rsidR="00D44C6E" w:rsidRDefault="00D44C6E" w:rsidP="00D44C6E">
      <w:pPr>
        <w:pStyle w:val="a9"/>
        <w:spacing w:line="360" w:lineRule="auto"/>
        <w:jc w:val="both"/>
        <w:rPr>
          <w:rFonts w:ascii="Arial" w:hAnsi="Arial"/>
          <w:b/>
          <w:bCs/>
          <w:u w:val="single"/>
          <w:rtl/>
        </w:rPr>
      </w:pPr>
      <w:r>
        <w:rPr>
          <w:rFonts w:ascii="Arial" w:hAnsi="Arial" w:hint="cs"/>
          <w:rtl/>
        </w:rPr>
        <w:t>את התסקיר מסכם שירות המבחן בהמלצה לא חד משמעית, לפיה ככל שבית המשפט יראה לנכון לנקוט בגישה שיקומית בעניין הנאשם, אזי מומלץ לדחות את המשך הדיון לתקופה של חודשיים, במהלכה תיבחן אפשרות התאמתו של הנאשם לטיפול גמילה בקהילה טיפולית מחוץ לכותלי בית הסוהר, וככל שבית המשפט לא ימצא לנכון נקוט בדרך שיקומית אזי מומלץ להטיל על הנאשם עונש של מאסר בפועל, תוך הסבת תשומת לב השב"ס לצורך בבחינת שילובו של הנאשם בטיפול שיקומי בכלא.</w:t>
      </w:r>
    </w:p>
    <w:p w14:paraId="3880DE19" w14:textId="77777777" w:rsidR="00D44C6E" w:rsidRDefault="00D44C6E" w:rsidP="00D44C6E">
      <w:pPr>
        <w:pStyle w:val="a9"/>
        <w:spacing w:line="360" w:lineRule="auto"/>
        <w:jc w:val="both"/>
        <w:rPr>
          <w:rFonts w:ascii="Arial" w:hAnsi="Arial"/>
          <w:b/>
          <w:bCs/>
          <w:u w:val="single"/>
          <w:rtl/>
        </w:rPr>
      </w:pPr>
    </w:p>
    <w:p w14:paraId="42D54956" w14:textId="77777777" w:rsidR="00D44C6E" w:rsidRDefault="00D44C6E" w:rsidP="00D44C6E">
      <w:pPr>
        <w:pStyle w:val="a9"/>
        <w:spacing w:line="360" w:lineRule="auto"/>
        <w:jc w:val="both"/>
        <w:rPr>
          <w:rFonts w:ascii="Arial" w:hAnsi="Arial"/>
          <w:b/>
          <w:bCs/>
          <w:u w:val="single"/>
          <w:rtl/>
        </w:rPr>
      </w:pPr>
    </w:p>
    <w:p w14:paraId="0B6B436F" w14:textId="77777777" w:rsidR="00D44C6E" w:rsidRDefault="00D44C6E" w:rsidP="00D44C6E">
      <w:pPr>
        <w:pStyle w:val="a9"/>
        <w:spacing w:line="360" w:lineRule="auto"/>
        <w:jc w:val="both"/>
        <w:rPr>
          <w:rFonts w:ascii="Arial" w:hAnsi="Arial"/>
          <w:b/>
          <w:bCs/>
          <w:u w:val="single"/>
          <w:rtl/>
        </w:rPr>
      </w:pPr>
    </w:p>
    <w:p w14:paraId="2D06AEF9" w14:textId="77777777" w:rsidR="00D44C6E" w:rsidRDefault="00D44C6E" w:rsidP="00D44C6E">
      <w:pPr>
        <w:pStyle w:val="a9"/>
        <w:spacing w:line="360" w:lineRule="auto"/>
        <w:jc w:val="both"/>
        <w:rPr>
          <w:rFonts w:ascii="Arial" w:hAnsi="Arial"/>
          <w:rtl/>
        </w:rPr>
      </w:pPr>
      <w:r w:rsidRPr="00085339">
        <w:rPr>
          <w:rFonts w:ascii="Arial" w:hAnsi="Arial" w:hint="cs"/>
          <w:b/>
          <w:bCs/>
          <w:u w:val="single"/>
          <w:rtl/>
        </w:rPr>
        <w:t>טיעוני המאשימה לעונש</w:t>
      </w:r>
    </w:p>
    <w:p w14:paraId="74736264" w14:textId="77777777" w:rsidR="00D44C6E" w:rsidRDefault="00D44C6E" w:rsidP="00D44C6E">
      <w:pPr>
        <w:pStyle w:val="a9"/>
        <w:spacing w:line="360" w:lineRule="auto"/>
        <w:jc w:val="both"/>
        <w:rPr>
          <w:rFonts w:ascii="Arial" w:hAnsi="Arial"/>
          <w:rtl/>
        </w:rPr>
      </w:pPr>
      <w:r>
        <w:rPr>
          <w:rFonts w:ascii="Arial" w:hAnsi="Arial" w:hint="cs"/>
          <w:rtl/>
        </w:rPr>
        <w:t>ב"כ המאשימה עמד בטיעוניו על הפגיעה הקשה של עבירות הסמים בערכים המוגנים של שלום הציבור ובריאותו.</w:t>
      </w:r>
    </w:p>
    <w:p w14:paraId="099291AA" w14:textId="77777777" w:rsidR="00D44C6E" w:rsidRDefault="00D44C6E" w:rsidP="00D44C6E">
      <w:pPr>
        <w:pStyle w:val="a9"/>
        <w:spacing w:line="360" w:lineRule="auto"/>
        <w:jc w:val="both"/>
        <w:rPr>
          <w:rFonts w:ascii="Arial" w:hAnsi="Arial"/>
          <w:rtl/>
        </w:rPr>
      </w:pPr>
      <w:r>
        <w:rPr>
          <w:rFonts w:ascii="Arial" w:hAnsi="Arial" w:hint="cs"/>
          <w:rtl/>
        </w:rPr>
        <w:t>לעניין הנסיבות הקשורות בביצוע העבירות הדגיש ב"כ המאשימה בטיעוניו, כי את שתי העבירות הראשונות בהן הורשע הנאשם הוא ביצע בעת שהוא היה נתון במעצר בית. העבירה נושא כתב האישום הראשון בוצעה אמנם בעת שהנאשם נשאר בביתו, אולם העבירה נושא כתב האישום השני בוצעה תוך הפרה של מעצר הבית. כן הדגיש ב"כ המאשימה כי העבירה השלישית בוצעה בשעה שהנאשם המתין לתחילת ריצוי ענש המאסר שנגזר עליו בתיק המקביל. עוד עמד ב"כ המאשימה על כך שמדובר בשלוש עבירות סחר בסם מסוג קוקאין בכמויות גדולות יחסית.</w:t>
      </w:r>
    </w:p>
    <w:p w14:paraId="56EAD9A2" w14:textId="77777777" w:rsidR="00D44C6E" w:rsidRDefault="00D44C6E" w:rsidP="00D44C6E">
      <w:pPr>
        <w:pStyle w:val="a9"/>
        <w:spacing w:line="360" w:lineRule="auto"/>
        <w:jc w:val="both"/>
        <w:rPr>
          <w:rFonts w:ascii="Arial" w:hAnsi="Arial"/>
          <w:rtl/>
        </w:rPr>
      </w:pPr>
      <w:r>
        <w:rPr>
          <w:rFonts w:ascii="Arial" w:hAnsi="Arial" w:hint="cs"/>
          <w:rtl/>
        </w:rPr>
        <w:t xml:space="preserve">לעניין הענישה הנוהגת הפנה ב"כ המאשימה לפסקי דין בגדרם נגזרו תקופות מאסר ארוכות על מי שהורשעו בעבירות של סחר בסמים. </w:t>
      </w:r>
    </w:p>
    <w:p w14:paraId="0AAC0282" w14:textId="77777777" w:rsidR="00D44C6E" w:rsidRDefault="00D44C6E" w:rsidP="00D44C6E">
      <w:pPr>
        <w:pStyle w:val="a9"/>
        <w:spacing w:line="360" w:lineRule="auto"/>
        <w:jc w:val="both"/>
        <w:rPr>
          <w:rFonts w:ascii="Arial" w:hAnsi="Arial"/>
          <w:rtl/>
        </w:rPr>
      </w:pPr>
      <w:r>
        <w:rPr>
          <w:rFonts w:ascii="Arial" w:hAnsi="Arial" w:hint="cs"/>
          <w:rtl/>
        </w:rPr>
        <w:t>ב"כ המאשימה טען כי את מתחם העונש ההולם יש להעמיד בעניינו של הנאשם על 3 עד 5 שנות מאסר בפועל.</w:t>
      </w:r>
    </w:p>
    <w:p w14:paraId="03E8E2DD" w14:textId="77777777" w:rsidR="00D44C6E" w:rsidRDefault="00D44C6E" w:rsidP="00D44C6E">
      <w:pPr>
        <w:pStyle w:val="a9"/>
        <w:spacing w:line="360" w:lineRule="auto"/>
        <w:jc w:val="both"/>
        <w:rPr>
          <w:rFonts w:ascii="Arial" w:hAnsi="Arial"/>
          <w:rtl/>
        </w:rPr>
      </w:pPr>
      <w:r>
        <w:rPr>
          <w:rFonts w:ascii="Arial" w:hAnsi="Arial" w:hint="cs"/>
          <w:rtl/>
        </w:rPr>
        <w:t xml:space="preserve">לעניין הנסיבות שאינן קשורות בביצוע העבירה, הפנה ב"כ המאשימה להרשעתו של הנאשם במסגרת התיק המקביל (ראו </w:t>
      </w:r>
      <w:r>
        <w:rPr>
          <w:rFonts w:ascii="Arial" w:hAnsi="Arial"/>
          <w:rtl/>
        </w:rPr>
        <w:t>–</w:t>
      </w:r>
      <w:r>
        <w:rPr>
          <w:rFonts w:ascii="Arial" w:hAnsi="Arial" w:hint="cs"/>
          <w:rtl/>
        </w:rPr>
        <w:t xml:space="preserve"> תע/1 ו- תע/2). עם זאת ב"כ המאשימה ציין גם את העובדה  שהנאשם הודה במיוחס לו, ובכך חסך מזמנם של המאשימה ושל בית המשפט. ב"כ המאשימה הסכים כי לא ניתן להפעיל את המאסר המותנה שנגזר על הנאשם בתיק המקביל, אך הבהיר כי ראוי לחלט את ההתחייבות בסך 2,000 ₪ שהוטלה על הנאשם באותו תיק. בסיכומם של דברים טען ב"כ המאשימה, כי בנסיבות העניין יש למקם את העונש המתאים של הנאשם במחצית המתחם. ב"כ המאשימה טען כי אין לנכות מתקופת המאסר את ימי המעצר שחפפו לעונש המאסר שנגזר על הנאשם בתיק המקביל. כן עתר ב"כ המאשימה לפסילת רישיון הנהיגה של הנאשם. ב"כ המאשימה ציין כי לנאשם אין רכוש ולפיכך אין רלוונטיות לבקשת החילוט שנלוותה לכתב האישום. </w:t>
      </w:r>
    </w:p>
    <w:p w14:paraId="1853DD27" w14:textId="77777777" w:rsidR="00D44C6E" w:rsidRPr="00B07617" w:rsidRDefault="00D44C6E" w:rsidP="00D44C6E">
      <w:pPr>
        <w:pStyle w:val="a9"/>
        <w:spacing w:line="360" w:lineRule="auto"/>
        <w:jc w:val="both"/>
        <w:rPr>
          <w:rFonts w:ascii="Arial" w:hAnsi="Arial"/>
          <w:rtl/>
        </w:rPr>
      </w:pPr>
    </w:p>
    <w:p w14:paraId="6457E2BA" w14:textId="77777777" w:rsidR="00D44C6E" w:rsidRPr="00085339" w:rsidRDefault="00D44C6E" w:rsidP="00D44C6E">
      <w:pPr>
        <w:pStyle w:val="a9"/>
        <w:spacing w:line="360" w:lineRule="auto"/>
        <w:jc w:val="both"/>
        <w:rPr>
          <w:rFonts w:ascii="Arial" w:hAnsi="Arial"/>
          <w:b/>
          <w:bCs/>
          <w:u w:val="single"/>
          <w:rtl/>
        </w:rPr>
      </w:pPr>
      <w:r w:rsidRPr="00085339">
        <w:rPr>
          <w:rFonts w:ascii="Arial" w:hAnsi="Arial" w:hint="cs"/>
          <w:b/>
          <w:bCs/>
          <w:u w:val="single"/>
          <w:rtl/>
        </w:rPr>
        <w:t xml:space="preserve">טיעוני הנאשם לעונש </w:t>
      </w:r>
    </w:p>
    <w:p w14:paraId="1AA1F74D" w14:textId="77777777" w:rsidR="00D44C6E" w:rsidRPr="002D4F1A" w:rsidRDefault="00D44C6E" w:rsidP="00D44C6E">
      <w:pPr>
        <w:pStyle w:val="a9"/>
        <w:numPr>
          <w:ilvl w:val="0"/>
          <w:numId w:val="1"/>
        </w:numPr>
        <w:spacing w:line="360" w:lineRule="auto"/>
        <w:jc w:val="both"/>
        <w:rPr>
          <w:rFonts w:ascii="Arial" w:hAnsi="Arial"/>
          <w:rtl/>
        </w:rPr>
      </w:pPr>
      <w:r w:rsidRPr="002D4F1A">
        <w:rPr>
          <w:rFonts w:ascii="Arial" w:hAnsi="Arial" w:hint="cs"/>
          <w:rtl/>
        </w:rPr>
        <w:t>ב"כ הנאשם ביקש כי בית המשפט יאמץ את המלצתו של שירות המבחן בדבר נקיטת הליך טיפולי בעניינו של הנאשם. לטענת ב"כ הנאשם נושא שילובו של הנאשם בקהילה טיפולית התעכב בגלל מגפת הקורונה, וכי יש לתת לנאשם הזדמנות להיגמל מהתמכרותו לסמים, לאחר שבעבר לא נתנה לו הזדמנות כזו.</w:t>
      </w:r>
      <w:r>
        <w:rPr>
          <w:rFonts w:ascii="Arial" w:hAnsi="Arial" w:hint="cs"/>
          <w:rtl/>
        </w:rPr>
        <w:t xml:space="preserve"> </w:t>
      </w:r>
      <w:r w:rsidRPr="002D4F1A">
        <w:rPr>
          <w:rFonts w:ascii="Arial" w:hAnsi="Arial" w:hint="cs"/>
          <w:rtl/>
        </w:rPr>
        <w:t>ב"כ הנאשם טען כי עברו הפלילי של הנאשם איננו מ</w:t>
      </w:r>
      <w:r>
        <w:rPr>
          <w:rFonts w:ascii="Arial" w:hAnsi="Arial" w:hint="cs"/>
          <w:rtl/>
        </w:rPr>
        <w:t>כביד</w:t>
      </w:r>
      <w:r w:rsidRPr="002D4F1A">
        <w:rPr>
          <w:rFonts w:ascii="Arial" w:hAnsi="Arial" w:hint="cs"/>
          <w:rtl/>
        </w:rPr>
        <w:t xml:space="preserve"> במיוחד כיוון שמדובר בעבירת סחר אחת ובאספקת שלושה כדורי </w:t>
      </w:r>
      <w:r w:rsidRPr="002D4F1A">
        <w:rPr>
          <w:rFonts w:ascii="Arial" w:hAnsi="Arial" w:hint="cs"/>
        </w:rPr>
        <w:t>MDMA</w:t>
      </w:r>
      <w:r w:rsidRPr="002D4F1A">
        <w:rPr>
          <w:rFonts w:ascii="Arial" w:hAnsi="Arial" w:hint="cs"/>
          <w:rtl/>
        </w:rPr>
        <w:t>. ב"כ הנאשם טען כי מי שיזם את העבירות הוא הסוכן המשטרתי. ב"כ הנאשם טען כי את עבירות הסחר ביצע הנאשם כדי לממן את התמכרותו שלו לסמים.</w:t>
      </w:r>
      <w:r>
        <w:rPr>
          <w:rFonts w:ascii="Arial" w:hAnsi="Arial" w:hint="cs"/>
          <w:rtl/>
        </w:rPr>
        <w:t xml:space="preserve"> </w:t>
      </w:r>
      <w:r w:rsidRPr="002D4F1A">
        <w:rPr>
          <w:rFonts w:ascii="Arial" w:hAnsi="Arial" w:hint="cs"/>
          <w:rtl/>
        </w:rPr>
        <w:t xml:space="preserve">ב"כ הנאשם </w:t>
      </w:r>
      <w:r>
        <w:rPr>
          <w:rFonts w:ascii="Arial" w:hAnsi="Arial" w:hint="cs"/>
          <w:rtl/>
        </w:rPr>
        <w:t xml:space="preserve">הוסיף וטען, </w:t>
      </w:r>
      <w:r w:rsidRPr="002D4F1A">
        <w:rPr>
          <w:rFonts w:ascii="Arial" w:hAnsi="Arial" w:hint="cs"/>
          <w:rtl/>
        </w:rPr>
        <w:t xml:space="preserve"> כי הפרת מעצר הבית </w:t>
      </w:r>
      <w:r>
        <w:rPr>
          <w:rFonts w:ascii="Arial" w:hAnsi="Arial" w:hint="cs"/>
          <w:rtl/>
        </w:rPr>
        <w:t>במסגרת ביצוע ה</w:t>
      </w:r>
      <w:r w:rsidRPr="002D4F1A">
        <w:rPr>
          <w:rFonts w:ascii="Arial" w:hAnsi="Arial" w:hint="cs"/>
          <w:rtl/>
        </w:rPr>
        <w:t>עבירה נושא האישום השני היא במידה רבה הפרה טכנית כיוון שהנאשם</w:t>
      </w:r>
      <w:r>
        <w:rPr>
          <w:rFonts w:ascii="Arial" w:hAnsi="Arial" w:hint="cs"/>
          <w:rtl/>
        </w:rPr>
        <w:t xml:space="preserve"> ממילא</w:t>
      </w:r>
      <w:r w:rsidRPr="002D4F1A">
        <w:rPr>
          <w:rFonts w:ascii="Arial" w:hAnsi="Arial" w:hint="cs"/>
          <w:rtl/>
        </w:rPr>
        <w:t xml:space="preserve"> יצא באותו יום מביתו לצורך דיון בבית המשפט.</w:t>
      </w:r>
    </w:p>
    <w:p w14:paraId="529916DE" w14:textId="77777777" w:rsidR="00D44C6E" w:rsidRDefault="00D44C6E" w:rsidP="00D44C6E">
      <w:pPr>
        <w:pStyle w:val="a9"/>
        <w:spacing w:line="360" w:lineRule="auto"/>
        <w:jc w:val="both"/>
        <w:rPr>
          <w:rFonts w:ascii="Arial" w:hAnsi="Arial"/>
          <w:rtl/>
        </w:rPr>
      </w:pPr>
      <w:r>
        <w:rPr>
          <w:rFonts w:ascii="Arial" w:hAnsi="Arial" w:hint="cs"/>
          <w:rtl/>
        </w:rPr>
        <w:t>ב"כ הנאשם ביקש, והמאשימה לא חלקה על כך, כי ייקבע מתחם ענישה אחד לשלושת האישומים.</w:t>
      </w:r>
    </w:p>
    <w:p w14:paraId="560F30F1" w14:textId="77777777" w:rsidR="00D44C6E" w:rsidRDefault="00D44C6E" w:rsidP="00D44C6E">
      <w:pPr>
        <w:pStyle w:val="a9"/>
        <w:spacing w:line="360" w:lineRule="auto"/>
        <w:jc w:val="both"/>
        <w:rPr>
          <w:rFonts w:ascii="Arial" w:hAnsi="Arial"/>
          <w:rtl/>
        </w:rPr>
      </w:pPr>
      <w:r>
        <w:rPr>
          <w:rFonts w:ascii="Arial" w:hAnsi="Arial" w:hint="cs"/>
          <w:rtl/>
        </w:rPr>
        <w:t>לעניין הענישה הנוהגת הציג ב"כ הנאשם גזרי דין בגדרם נגזרו על מי שהורשעו בעבירות של סחר בסמים עונשים של 16 ו- 18 חודשי מאסר. לטענת ב"כ הנאשם גזרי הדין האמורים עסקו בעבירות שנסיבותיהן חמורות מהנסיבות שמתקיימות בעניינו של הנאשם שלפניי, ועל כן הוא טען כי בעניינו של הנאשם יש להעמיד את מתחם העונש ההולם על 15 עד 40 חודשי מאסר, ולמקם את העונש המתאים בתחתית המתחם.</w:t>
      </w:r>
    </w:p>
    <w:p w14:paraId="1FD575C7" w14:textId="77777777" w:rsidR="00D44C6E" w:rsidRDefault="00D44C6E" w:rsidP="00D44C6E">
      <w:pPr>
        <w:pStyle w:val="a9"/>
        <w:spacing w:line="360" w:lineRule="auto"/>
        <w:jc w:val="both"/>
        <w:rPr>
          <w:rFonts w:ascii="Arial" w:hAnsi="Arial"/>
          <w:rtl/>
        </w:rPr>
      </w:pPr>
      <w:r>
        <w:rPr>
          <w:rFonts w:ascii="Arial" w:hAnsi="Arial" w:hint="cs"/>
          <w:rtl/>
        </w:rPr>
        <w:t xml:space="preserve">ב"כ הנאשם טען כי מהעונש שייגזר על הנאשם יש לקזז את מלוא ימי מעצרו של הנאשם, כיוון שבגלל מעצרו הוא לא זכה לקיצור עונשו בשליש ולהקלה מינהלית בעונש. </w:t>
      </w:r>
    </w:p>
    <w:p w14:paraId="5B14202B" w14:textId="77777777" w:rsidR="00D44C6E" w:rsidRPr="001405B7" w:rsidRDefault="00D44C6E" w:rsidP="00D44C6E">
      <w:pPr>
        <w:pStyle w:val="a9"/>
        <w:spacing w:line="360" w:lineRule="auto"/>
        <w:jc w:val="both"/>
        <w:rPr>
          <w:rFonts w:ascii="Arial" w:hAnsi="Arial"/>
          <w:rtl/>
        </w:rPr>
      </w:pPr>
    </w:p>
    <w:p w14:paraId="2E22F966" w14:textId="77777777" w:rsidR="00D44C6E" w:rsidRPr="00085339" w:rsidRDefault="00D44C6E" w:rsidP="00D44C6E">
      <w:pPr>
        <w:pStyle w:val="a9"/>
        <w:spacing w:line="360" w:lineRule="auto"/>
        <w:jc w:val="both"/>
        <w:rPr>
          <w:rFonts w:ascii="Arial" w:hAnsi="Arial"/>
          <w:b/>
          <w:bCs/>
          <w:u w:val="single"/>
          <w:rtl/>
        </w:rPr>
      </w:pPr>
      <w:r w:rsidRPr="00085339">
        <w:rPr>
          <w:rFonts w:ascii="Arial" w:hAnsi="Arial" w:hint="cs"/>
          <w:b/>
          <w:bCs/>
          <w:u w:val="single"/>
          <w:rtl/>
        </w:rPr>
        <w:t xml:space="preserve">דברי הנאשם </w:t>
      </w:r>
    </w:p>
    <w:p w14:paraId="0EC6877D" w14:textId="77777777" w:rsidR="00D44C6E" w:rsidRDefault="00D44C6E" w:rsidP="00D44C6E">
      <w:pPr>
        <w:pStyle w:val="a9"/>
        <w:numPr>
          <w:ilvl w:val="0"/>
          <w:numId w:val="1"/>
        </w:numPr>
        <w:spacing w:line="360" w:lineRule="auto"/>
        <w:jc w:val="both"/>
        <w:rPr>
          <w:rFonts w:ascii="Arial" w:hAnsi="Arial"/>
        </w:rPr>
      </w:pPr>
      <w:r w:rsidRPr="00860205">
        <w:rPr>
          <w:rFonts w:ascii="Arial" w:hAnsi="Arial" w:hint="cs"/>
          <w:rtl/>
        </w:rPr>
        <w:t>במהלך הטיעונים לעונש ו</w:t>
      </w:r>
      <w:r>
        <w:rPr>
          <w:rFonts w:ascii="Arial" w:hAnsi="Arial" w:hint="cs"/>
          <w:rtl/>
        </w:rPr>
        <w:t xml:space="preserve">גם </w:t>
      </w:r>
      <w:r w:rsidRPr="00860205">
        <w:rPr>
          <w:rFonts w:ascii="Arial" w:hAnsi="Arial" w:hint="cs"/>
          <w:rtl/>
        </w:rPr>
        <w:t xml:space="preserve">בסיומם השמיע הנאשם את דבריו. </w:t>
      </w:r>
      <w:r>
        <w:rPr>
          <w:rFonts w:ascii="Arial" w:hAnsi="Arial" w:hint="cs"/>
          <w:rtl/>
        </w:rPr>
        <w:t xml:space="preserve">הנאשם ביקש כי בית המשפט יאמץ את המלצת שירות המבחן וידחה את מתן העונש לצורך בדיקת התאמתו להליך של גמילה בקהילה סגורה. הנאשם אמר: </w:t>
      </w:r>
      <w:r w:rsidRPr="00860205">
        <w:rPr>
          <w:rFonts w:ascii="Arial" w:hAnsi="Arial" w:hint="cs"/>
          <w:b/>
          <w:bCs/>
          <w:rtl/>
        </w:rPr>
        <w:t>"אני רוצה להיות בן אדם ולחזור לחיים הטבעיים שלי..."</w:t>
      </w:r>
      <w:r>
        <w:rPr>
          <w:rFonts w:ascii="Arial" w:hAnsi="Arial" w:hint="cs"/>
          <w:rtl/>
        </w:rPr>
        <w:t xml:space="preserve"> (עמ' 12 ש' 16). הנאשם ביקש כי בית המשפט ייתן לו הזדמנות להיגמל מהתמכרותו לסם, ולדבריו אם תינתן לו הזדמנות כזו הרי שהוא יוכיח לבית המשפט כי ביכולתו להיגמל.</w:t>
      </w:r>
    </w:p>
    <w:p w14:paraId="71487A2F" w14:textId="77777777" w:rsidR="00D44C6E" w:rsidRPr="00860205" w:rsidRDefault="00D44C6E" w:rsidP="00D44C6E">
      <w:pPr>
        <w:pStyle w:val="a9"/>
        <w:spacing w:line="360" w:lineRule="auto"/>
        <w:jc w:val="both"/>
        <w:rPr>
          <w:rFonts w:ascii="Arial" w:hAnsi="Arial"/>
          <w:rtl/>
        </w:rPr>
      </w:pPr>
    </w:p>
    <w:p w14:paraId="04844AA0" w14:textId="77777777" w:rsidR="00D44C6E" w:rsidRPr="00085339" w:rsidRDefault="00D44C6E" w:rsidP="00D44C6E">
      <w:pPr>
        <w:pStyle w:val="a9"/>
        <w:spacing w:line="360" w:lineRule="auto"/>
        <w:jc w:val="both"/>
        <w:rPr>
          <w:rFonts w:ascii="Arial" w:hAnsi="Arial"/>
          <w:b/>
          <w:bCs/>
          <w:u w:val="single"/>
          <w:rtl/>
        </w:rPr>
      </w:pPr>
      <w:r w:rsidRPr="00085339">
        <w:rPr>
          <w:rFonts w:ascii="Arial" w:hAnsi="Arial" w:hint="cs"/>
          <w:b/>
          <w:bCs/>
          <w:u w:val="single"/>
          <w:rtl/>
        </w:rPr>
        <w:t xml:space="preserve">דיון והכרעה </w:t>
      </w:r>
    </w:p>
    <w:p w14:paraId="622F7ED1" w14:textId="77777777" w:rsidR="00D44C6E" w:rsidRPr="00085339" w:rsidRDefault="00D44C6E" w:rsidP="00D44C6E">
      <w:pPr>
        <w:pStyle w:val="a9"/>
        <w:spacing w:line="360" w:lineRule="auto"/>
        <w:jc w:val="both"/>
        <w:rPr>
          <w:rFonts w:ascii="Arial" w:hAnsi="Arial"/>
          <w:b/>
          <w:bCs/>
          <w:u w:val="single"/>
          <w:rtl/>
        </w:rPr>
      </w:pPr>
    </w:p>
    <w:p w14:paraId="5320F596" w14:textId="77777777" w:rsidR="00D44C6E" w:rsidRPr="00085339" w:rsidRDefault="00D44C6E" w:rsidP="00D44C6E">
      <w:pPr>
        <w:pStyle w:val="a9"/>
        <w:spacing w:line="360" w:lineRule="auto"/>
        <w:jc w:val="both"/>
        <w:rPr>
          <w:rFonts w:ascii="Arial" w:hAnsi="Arial"/>
          <w:b/>
          <w:bCs/>
          <w:u w:val="single"/>
          <w:rtl/>
        </w:rPr>
      </w:pPr>
      <w:r w:rsidRPr="00085339">
        <w:rPr>
          <w:rFonts w:ascii="Arial" w:hAnsi="Arial" w:hint="cs"/>
          <w:b/>
          <w:bCs/>
          <w:u w:val="single"/>
          <w:rtl/>
        </w:rPr>
        <w:t>מתחם הוענש ההולם</w:t>
      </w:r>
      <w:r>
        <w:rPr>
          <w:rFonts w:ascii="Arial" w:hAnsi="Arial" w:hint="cs"/>
          <w:b/>
          <w:bCs/>
          <w:u w:val="single"/>
          <w:rtl/>
        </w:rPr>
        <w:t xml:space="preserve"> </w:t>
      </w:r>
      <w:r>
        <w:rPr>
          <w:rFonts w:ascii="Arial" w:hAnsi="Arial"/>
          <w:b/>
          <w:bCs/>
          <w:u w:val="single"/>
          <w:rtl/>
        </w:rPr>
        <w:t>–</w:t>
      </w:r>
      <w:r>
        <w:rPr>
          <w:rFonts w:ascii="Arial" w:hAnsi="Arial" w:hint="cs"/>
          <w:b/>
          <w:bCs/>
          <w:u w:val="single"/>
          <w:rtl/>
        </w:rPr>
        <w:t xml:space="preserve"> הערכים המוגנים ומידת הפגיעה בהם</w:t>
      </w:r>
    </w:p>
    <w:p w14:paraId="327A5748" w14:textId="77777777" w:rsidR="00D44C6E" w:rsidRDefault="00D44C6E" w:rsidP="00D44C6E">
      <w:pPr>
        <w:pStyle w:val="a9"/>
        <w:numPr>
          <w:ilvl w:val="0"/>
          <w:numId w:val="1"/>
        </w:numPr>
        <w:spacing w:line="360" w:lineRule="auto"/>
        <w:jc w:val="both"/>
        <w:rPr>
          <w:rFonts w:ascii="Arial" w:hAnsi="Arial"/>
        </w:rPr>
      </w:pPr>
      <w:r w:rsidRPr="00D9731F">
        <w:rPr>
          <w:rFonts w:ascii="Arial" w:hAnsi="Arial"/>
          <w:rtl/>
        </w:rPr>
        <w:t>ביצוע עבירות סמים</w:t>
      </w:r>
      <w:r w:rsidRPr="00D9731F">
        <w:rPr>
          <w:rFonts w:ascii="Arial" w:hAnsi="Arial" w:hint="cs"/>
          <w:rtl/>
        </w:rPr>
        <w:t>, ובמיוחד עבירות של סחר בסמים,</w:t>
      </w:r>
      <w:r w:rsidRPr="00D9731F">
        <w:rPr>
          <w:rFonts w:ascii="Arial" w:hAnsi="Arial"/>
          <w:rtl/>
        </w:rPr>
        <w:t xml:space="preserve"> פוגע בער</w:t>
      </w:r>
      <w:r w:rsidRPr="00D9731F">
        <w:rPr>
          <w:rFonts w:ascii="Arial" w:hAnsi="Arial" w:hint="cs"/>
          <w:rtl/>
        </w:rPr>
        <w:t>ך המוגן שעניינו בריאות הציבור. ביצוע עבירות סמים גם פוגע ב</w:t>
      </w:r>
      <w:r>
        <w:rPr>
          <w:rFonts w:ascii="Arial" w:hAnsi="Arial" w:hint="cs"/>
          <w:rtl/>
        </w:rPr>
        <w:t>ערך המוגן שעניינו ה</w:t>
      </w:r>
      <w:r w:rsidRPr="00D9731F">
        <w:rPr>
          <w:rFonts w:ascii="Arial" w:hAnsi="Arial" w:hint="cs"/>
          <w:rtl/>
        </w:rPr>
        <w:t xml:space="preserve">סדר הציבורי, שכן </w:t>
      </w:r>
      <w:r>
        <w:rPr>
          <w:rFonts w:ascii="Arial" w:hAnsi="Arial" w:hint="cs"/>
          <w:rtl/>
        </w:rPr>
        <w:t>כפי ש</w:t>
      </w:r>
      <w:r w:rsidRPr="00D9731F">
        <w:rPr>
          <w:rFonts w:ascii="Arial" w:hAnsi="Arial" w:hint="cs"/>
          <w:rtl/>
        </w:rPr>
        <w:t>נפסק לא פעם</w:t>
      </w:r>
      <w:r>
        <w:rPr>
          <w:rFonts w:ascii="Arial" w:hAnsi="Arial" w:hint="cs"/>
          <w:rtl/>
        </w:rPr>
        <w:t xml:space="preserve">, </w:t>
      </w:r>
      <w:r w:rsidRPr="00D9731F">
        <w:rPr>
          <w:rFonts w:ascii="Arial" w:hAnsi="Arial" w:hint="cs"/>
          <w:rtl/>
        </w:rPr>
        <w:t>עבירות סמים גוררות אחריהן ביצוע של עבירות רבות אחרות, מהן עבירות המבוצעות כדי לממן את רכישת הסמים, מהן עבירות הקשורות בתעשיית הסמים והפצתם.</w:t>
      </w:r>
      <w:r w:rsidRPr="00D9731F">
        <w:rPr>
          <w:rFonts w:ascii="Arial" w:hAnsi="Arial"/>
          <w:rtl/>
        </w:rPr>
        <w:t xml:space="preserve"> </w:t>
      </w:r>
      <w:r>
        <w:rPr>
          <w:rFonts w:ascii="Arial" w:hAnsi="Arial" w:hint="cs"/>
          <w:rtl/>
        </w:rPr>
        <w:t>עמד על כך בית המשפט העליון ב</w:t>
      </w:r>
      <w:hyperlink r:id="rId21" w:history="1">
        <w:r w:rsidR="00E36B2F" w:rsidRPr="00E36B2F">
          <w:rPr>
            <w:rFonts w:ascii="Arial" w:hAnsi="Arial"/>
            <w:color w:val="0000FF"/>
            <w:u w:val="single"/>
            <w:rtl/>
          </w:rPr>
          <w:t>ע"פ 972/11</w:t>
        </w:r>
      </w:hyperlink>
      <w:r>
        <w:rPr>
          <w:rFonts w:ascii="Arial" w:hAnsi="Arial" w:hint="cs"/>
          <w:rtl/>
        </w:rPr>
        <w:t xml:space="preserve"> </w:t>
      </w:r>
      <w:r w:rsidRPr="00C759AB">
        <w:rPr>
          <w:rFonts w:ascii="Arial" w:hAnsi="Arial" w:hint="cs"/>
          <w:b/>
          <w:bCs/>
          <w:rtl/>
        </w:rPr>
        <w:t>מדינת ישראל</w:t>
      </w:r>
      <w:r>
        <w:rPr>
          <w:rFonts w:ascii="Arial" w:hAnsi="Arial" w:hint="cs"/>
          <w:rtl/>
        </w:rPr>
        <w:t xml:space="preserve"> נ' </w:t>
      </w:r>
      <w:r w:rsidRPr="00C759AB">
        <w:rPr>
          <w:rFonts w:ascii="Arial" w:hAnsi="Arial" w:hint="cs"/>
          <w:b/>
          <w:bCs/>
          <w:rtl/>
        </w:rPr>
        <w:t>יניב יונה</w:t>
      </w:r>
      <w:r>
        <w:rPr>
          <w:rFonts w:ascii="Arial" w:hAnsi="Arial" w:hint="cs"/>
          <w:rtl/>
        </w:rPr>
        <w:t xml:space="preserve"> (4.7.12):</w:t>
      </w:r>
    </w:p>
    <w:p w14:paraId="1A732C31" w14:textId="77777777" w:rsidR="00D44C6E" w:rsidRDefault="00D44C6E" w:rsidP="00D44C6E">
      <w:pPr>
        <w:pStyle w:val="a9"/>
        <w:spacing w:line="360" w:lineRule="auto"/>
        <w:jc w:val="both"/>
        <w:rPr>
          <w:rFonts w:ascii="Arial" w:hAnsi="Arial"/>
          <w:rtl/>
        </w:rPr>
      </w:pPr>
    </w:p>
    <w:p w14:paraId="4F730EC5" w14:textId="77777777" w:rsidR="00D44C6E" w:rsidRPr="00E96D47" w:rsidRDefault="00D44C6E" w:rsidP="00D44C6E">
      <w:pPr>
        <w:pStyle w:val="a9"/>
        <w:spacing w:line="360" w:lineRule="auto"/>
        <w:ind w:left="1417" w:right="851"/>
        <w:jc w:val="both"/>
        <w:rPr>
          <w:rFonts w:ascii="Arial" w:hAnsi="Arial"/>
          <w:b/>
          <w:bCs/>
          <w:rtl/>
        </w:rPr>
      </w:pPr>
      <w:r>
        <w:rPr>
          <w:rFonts w:ascii="Arial" w:hAnsi="Arial" w:hint="cs"/>
          <w:b/>
          <w:bCs/>
          <w:rtl/>
        </w:rPr>
        <w:t>"</w:t>
      </w:r>
      <w:r w:rsidRPr="00E96D47">
        <w:rPr>
          <w:rFonts w:ascii="Arial" w:hAnsi="Arial"/>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E96D47">
        <w:rPr>
          <w:rFonts w:ascii="Arial" w:hAnsi="Arial"/>
          <w:b/>
          <w:bCs/>
          <w:rtl/>
        </w:rPr>
        <w:tab/>
      </w:r>
    </w:p>
    <w:p w14:paraId="0C0A7389" w14:textId="77777777" w:rsidR="00D44C6E" w:rsidRDefault="00D44C6E" w:rsidP="00D44C6E">
      <w:pPr>
        <w:pStyle w:val="a9"/>
        <w:spacing w:line="360" w:lineRule="auto"/>
        <w:ind w:left="1417" w:right="851"/>
        <w:jc w:val="both"/>
        <w:rPr>
          <w:rFonts w:ascii="Arial" w:hAnsi="Arial"/>
          <w:b/>
          <w:bCs/>
          <w:rtl/>
        </w:rPr>
      </w:pPr>
      <w:r w:rsidRPr="00E96D47">
        <w:rPr>
          <w:rFonts w:ascii="Arial" w:hAnsi="Arial"/>
          <w:b/>
          <w:bCs/>
          <w:rtl/>
        </w:rPr>
        <w:tab/>
        <w:t>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w:t>
      </w:r>
    </w:p>
    <w:p w14:paraId="07FF0BB1" w14:textId="77777777" w:rsidR="00D44C6E" w:rsidRDefault="00D44C6E" w:rsidP="00D44C6E">
      <w:pPr>
        <w:pStyle w:val="a9"/>
        <w:spacing w:line="360" w:lineRule="auto"/>
        <w:ind w:left="1417" w:right="851"/>
        <w:jc w:val="both"/>
        <w:rPr>
          <w:rFonts w:ascii="Arial" w:hAnsi="Arial"/>
          <w:b/>
          <w:bCs/>
          <w:rtl/>
        </w:rPr>
      </w:pPr>
      <w:r>
        <w:rPr>
          <w:rFonts w:ascii="Arial" w:hAnsi="Arial" w:hint="cs"/>
          <w:b/>
          <w:bCs/>
          <w:rtl/>
        </w:rPr>
        <w:t>.....</w:t>
      </w:r>
      <w:r w:rsidRPr="00E96D47">
        <w:rPr>
          <w:rFonts w:ascii="Arial" w:hAnsi="Arial"/>
          <w:b/>
          <w:bCs/>
          <w:rtl/>
        </w:rPr>
        <w:t xml:space="preserve"> </w:t>
      </w:r>
    </w:p>
    <w:p w14:paraId="5E702C43" w14:textId="77777777" w:rsidR="00D44C6E" w:rsidRPr="00E96D47" w:rsidRDefault="00D44C6E" w:rsidP="00D44C6E">
      <w:pPr>
        <w:pStyle w:val="a9"/>
        <w:spacing w:line="360" w:lineRule="auto"/>
        <w:ind w:left="1417" w:right="851"/>
        <w:jc w:val="both"/>
        <w:rPr>
          <w:rFonts w:ascii="Arial" w:hAnsi="Arial"/>
          <w:b/>
          <w:bCs/>
          <w:rtl/>
        </w:rPr>
      </w:pPr>
      <w:r w:rsidRPr="00E96D47">
        <w:rPr>
          <w:rFonts w:ascii="Arial" w:hAnsi="Arial"/>
          <w:b/>
          <w:bCs/>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w:t>
      </w:r>
      <w:r>
        <w:rPr>
          <w:rFonts w:ascii="Arial" w:hAnsi="Arial" w:hint="cs"/>
          <w:b/>
          <w:bCs/>
          <w:rtl/>
        </w:rPr>
        <w:t>י</w:t>
      </w:r>
      <w:r w:rsidRPr="00E96D47">
        <w:rPr>
          <w:rFonts w:ascii="Arial" w:hAnsi="Arial"/>
          <w:b/>
          <w:bCs/>
          <w:rtl/>
        </w:rPr>
        <w:t>טיבי שלו.</w:t>
      </w:r>
    </w:p>
    <w:p w14:paraId="105EF191" w14:textId="77777777" w:rsidR="00D44C6E" w:rsidRDefault="00D44C6E" w:rsidP="00D44C6E">
      <w:pPr>
        <w:spacing w:line="360" w:lineRule="auto"/>
        <w:jc w:val="both"/>
        <w:rPr>
          <w:rFonts w:ascii="Arial" w:hAnsi="Arial"/>
          <w:rtl/>
        </w:rPr>
      </w:pPr>
    </w:p>
    <w:p w14:paraId="2565F862" w14:textId="77777777" w:rsidR="00D44C6E" w:rsidRDefault="00D44C6E" w:rsidP="00D44C6E">
      <w:pPr>
        <w:pStyle w:val="a9"/>
        <w:spacing w:line="360" w:lineRule="auto"/>
        <w:jc w:val="both"/>
        <w:rPr>
          <w:rFonts w:ascii="Arial" w:hAnsi="Arial"/>
          <w:rtl/>
        </w:rPr>
      </w:pPr>
      <w:r>
        <w:rPr>
          <w:rFonts w:ascii="Arial" w:hAnsi="Arial" w:hint="cs"/>
          <w:rtl/>
        </w:rPr>
        <w:t>בענייננו הפגיעה בערך המוגן חמורה. מדובר בשלושה מקרים של סחר, ומדובר בסחר בקוקאין בכמויות לא זניחות.</w:t>
      </w:r>
    </w:p>
    <w:p w14:paraId="53F67DA0" w14:textId="77777777" w:rsidR="00D44C6E" w:rsidRDefault="00D44C6E" w:rsidP="00D44C6E">
      <w:pPr>
        <w:pStyle w:val="a9"/>
        <w:spacing w:line="360" w:lineRule="auto"/>
        <w:jc w:val="both"/>
        <w:rPr>
          <w:rFonts w:ascii="Arial" w:hAnsi="Arial"/>
          <w:rtl/>
        </w:rPr>
      </w:pPr>
      <w:r>
        <w:rPr>
          <w:rFonts w:ascii="Arial" w:hAnsi="Arial" w:hint="cs"/>
          <w:rtl/>
        </w:rPr>
        <w:t>הנאשם הורשע גם בעבירה של הפרת הוראה חוקית. הערך המוגן על ידי עבירה זו הוא השמירה על סדרי השלטון והמשפט. הפגיעה שפגע הנאשם בערך זה חמורה למדי, כיוון שהנאשם הפר את מעצר הבית לא בשל צורך לגיטימי דחוף כלשהו, אלא כדי לבצע עבירה חמורה של סחר בסם.</w:t>
      </w:r>
    </w:p>
    <w:p w14:paraId="323E3B8B" w14:textId="77777777" w:rsidR="00D44C6E" w:rsidRDefault="00D44C6E" w:rsidP="00D44C6E">
      <w:pPr>
        <w:spacing w:line="360" w:lineRule="auto"/>
        <w:jc w:val="both"/>
        <w:rPr>
          <w:rFonts w:ascii="Arial" w:hAnsi="Arial"/>
          <w:rtl/>
        </w:rPr>
      </w:pPr>
    </w:p>
    <w:p w14:paraId="187F03DD" w14:textId="77777777" w:rsidR="00D44C6E" w:rsidRDefault="00D44C6E" w:rsidP="00D44C6E">
      <w:pPr>
        <w:spacing w:line="360" w:lineRule="auto"/>
        <w:jc w:val="both"/>
        <w:rPr>
          <w:rFonts w:ascii="Arial" w:hAnsi="Arial"/>
          <w:b/>
          <w:bCs/>
          <w:u w:val="single"/>
          <w:rtl/>
        </w:rPr>
      </w:pPr>
      <w:r>
        <w:rPr>
          <w:rFonts w:ascii="Arial" w:hAnsi="Arial"/>
          <w:rtl/>
        </w:rPr>
        <w:tab/>
      </w:r>
      <w:r w:rsidRPr="00C759AB">
        <w:rPr>
          <w:rFonts w:ascii="Arial" w:hAnsi="Arial" w:hint="cs"/>
          <w:b/>
          <w:bCs/>
          <w:u w:val="single"/>
          <w:rtl/>
        </w:rPr>
        <w:t xml:space="preserve">מתחם העונש ההולם </w:t>
      </w:r>
      <w:r w:rsidRPr="00C759AB">
        <w:rPr>
          <w:rFonts w:ascii="Arial" w:hAnsi="Arial"/>
          <w:b/>
          <w:bCs/>
          <w:u w:val="single"/>
          <w:rtl/>
        </w:rPr>
        <w:t>–</w:t>
      </w:r>
      <w:r w:rsidRPr="00C759AB">
        <w:rPr>
          <w:rFonts w:ascii="Arial" w:hAnsi="Arial" w:hint="cs"/>
          <w:b/>
          <w:bCs/>
          <w:u w:val="single"/>
          <w:rtl/>
        </w:rPr>
        <w:t xml:space="preserve"> </w:t>
      </w:r>
      <w:r>
        <w:rPr>
          <w:rFonts w:ascii="Arial" w:hAnsi="Arial" w:hint="cs"/>
          <w:b/>
          <w:bCs/>
          <w:u w:val="single"/>
          <w:rtl/>
        </w:rPr>
        <w:t xml:space="preserve">מדיניות </w:t>
      </w:r>
      <w:r w:rsidRPr="00C759AB">
        <w:rPr>
          <w:rFonts w:ascii="Arial" w:hAnsi="Arial" w:hint="cs"/>
          <w:b/>
          <w:bCs/>
          <w:u w:val="single"/>
          <w:rtl/>
        </w:rPr>
        <w:t>הענישה הנ</w:t>
      </w:r>
      <w:r>
        <w:rPr>
          <w:rFonts w:ascii="Arial" w:hAnsi="Arial" w:hint="cs"/>
          <w:b/>
          <w:bCs/>
          <w:u w:val="single"/>
          <w:rtl/>
        </w:rPr>
        <w:t>הוגה</w:t>
      </w:r>
    </w:p>
    <w:p w14:paraId="5BC3E9E2" w14:textId="77777777" w:rsidR="00D44C6E" w:rsidRDefault="00D44C6E" w:rsidP="00D44C6E">
      <w:pPr>
        <w:pStyle w:val="a9"/>
        <w:numPr>
          <w:ilvl w:val="0"/>
          <w:numId w:val="1"/>
        </w:numPr>
        <w:spacing w:line="360" w:lineRule="auto"/>
        <w:jc w:val="both"/>
        <w:rPr>
          <w:rFonts w:ascii="Arial" w:hAnsi="Arial"/>
        </w:rPr>
      </w:pPr>
      <w:r>
        <w:rPr>
          <w:rFonts w:ascii="Arial" w:hAnsi="Arial" w:hint="cs"/>
          <w:rtl/>
        </w:rPr>
        <w:t>בפסיקה הודגש  לא פעם ולא פעמיים, כי לעת גזירת עונשם של מי שהורשעו בעבירות של סחר בסמים יש לתת משקל ניכר לעקרון הגמול (</w:t>
      </w:r>
      <w:hyperlink r:id="rId22" w:history="1">
        <w:r w:rsidR="00E36B2F" w:rsidRPr="00E36B2F">
          <w:rPr>
            <w:rFonts w:ascii="Arial" w:hAnsi="Arial"/>
            <w:color w:val="0000FF"/>
            <w:u w:val="single"/>
            <w:rtl/>
          </w:rPr>
          <w:t>ע"פ 6747/11</w:t>
        </w:r>
      </w:hyperlink>
      <w:r>
        <w:rPr>
          <w:rFonts w:ascii="Arial" w:hAnsi="Arial" w:hint="cs"/>
          <w:rtl/>
        </w:rPr>
        <w:t xml:space="preserve"> </w:t>
      </w:r>
      <w:r w:rsidRPr="00666E71">
        <w:rPr>
          <w:rFonts w:ascii="Arial" w:hAnsi="Arial" w:hint="cs"/>
          <w:b/>
          <w:bCs/>
          <w:rtl/>
        </w:rPr>
        <w:t>מדינת ישראל</w:t>
      </w:r>
      <w:r>
        <w:rPr>
          <w:rFonts w:ascii="Arial" w:hAnsi="Arial" w:hint="cs"/>
          <w:rtl/>
        </w:rPr>
        <w:t xml:space="preserve"> נ' </w:t>
      </w:r>
      <w:r w:rsidRPr="00666E71">
        <w:rPr>
          <w:rFonts w:ascii="Arial" w:hAnsi="Arial" w:hint="cs"/>
          <w:b/>
          <w:bCs/>
          <w:rtl/>
        </w:rPr>
        <w:t>אבו רקיק</w:t>
      </w:r>
      <w:r>
        <w:rPr>
          <w:rFonts w:ascii="Arial" w:hAnsi="Arial" w:hint="cs"/>
          <w:rtl/>
        </w:rPr>
        <w:t xml:space="preserve"> (3.1.13)), וכי ככלל נסיבותיו האישיות של הנאשם ייסוגו בפני האינטרס הציבורי שבהחמרת הענישה בגין עבירות מסוג זה (</w:t>
      </w:r>
      <w:hyperlink r:id="rId23" w:history="1">
        <w:r w:rsidR="00E36B2F" w:rsidRPr="00E36B2F">
          <w:rPr>
            <w:rFonts w:ascii="Arial" w:hAnsi="Arial"/>
            <w:color w:val="0000FF"/>
            <w:u w:val="single"/>
            <w:rtl/>
          </w:rPr>
          <w:t>ע"פ 8988/16</w:t>
        </w:r>
      </w:hyperlink>
      <w:r>
        <w:rPr>
          <w:rFonts w:ascii="Arial" w:hAnsi="Arial" w:hint="cs"/>
          <w:rtl/>
        </w:rPr>
        <w:t xml:space="preserve"> </w:t>
      </w:r>
      <w:r w:rsidRPr="00AE52D3">
        <w:rPr>
          <w:rFonts w:ascii="Arial" w:hAnsi="Arial" w:hint="cs"/>
          <w:b/>
          <w:bCs/>
          <w:rtl/>
        </w:rPr>
        <w:t>בן סימון</w:t>
      </w:r>
      <w:r>
        <w:rPr>
          <w:rFonts w:ascii="Arial" w:hAnsi="Arial" w:hint="cs"/>
          <w:rtl/>
        </w:rPr>
        <w:t xml:space="preserve"> נ' </w:t>
      </w:r>
      <w:r w:rsidRPr="00AE52D3">
        <w:rPr>
          <w:rFonts w:ascii="Arial" w:hAnsi="Arial" w:hint="cs"/>
          <w:b/>
          <w:bCs/>
          <w:rtl/>
        </w:rPr>
        <w:t>מדינת ישראל</w:t>
      </w:r>
      <w:r>
        <w:rPr>
          <w:rFonts w:ascii="Arial" w:hAnsi="Arial" w:hint="cs"/>
          <w:rtl/>
        </w:rPr>
        <w:t xml:space="preserve"> (8.3.17); </w:t>
      </w:r>
      <w:hyperlink r:id="rId24" w:history="1">
        <w:r w:rsidR="00E36B2F" w:rsidRPr="00E36B2F">
          <w:rPr>
            <w:rFonts w:ascii="Arial" w:hAnsi="Arial"/>
            <w:color w:val="0000FF"/>
            <w:u w:val="single"/>
            <w:rtl/>
          </w:rPr>
          <w:t>ע"פ 8048/19</w:t>
        </w:r>
      </w:hyperlink>
      <w:r>
        <w:rPr>
          <w:rFonts w:ascii="Arial" w:hAnsi="Arial" w:hint="cs"/>
          <w:rtl/>
        </w:rPr>
        <w:t xml:space="preserve"> </w:t>
      </w:r>
      <w:r w:rsidRPr="00AE52D3">
        <w:rPr>
          <w:rFonts w:ascii="Arial" w:hAnsi="Arial" w:hint="cs"/>
          <w:b/>
          <w:bCs/>
          <w:rtl/>
        </w:rPr>
        <w:t>פיצ'חדזה</w:t>
      </w:r>
      <w:r>
        <w:rPr>
          <w:rFonts w:ascii="Arial" w:hAnsi="Arial" w:hint="cs"/>
          <w:rtl/>
        </w:rPr>
        <w:t xml:space="preserve"> נ' </w:t>
      </w:r>
      <w:r w:rsidRPr="00AE52D3">
        <w:rPr>
          <w:rFonts w:ascii="Arial" w:hAnsi="Arial" w:hint="cs"/>
          <w:b/>
          <w:bCs/>
          <w:rtl/>
        </w:rPr>
        <w:t>מדינת ישראל</w:t>
      </w:r>
      <w:r>
        <w:rPr>
          <w:rFonts w:ascii="Arial" w:hAnsi="Arial" w:hint="cs"/>
          <w:rtl/>
        </w:rPr>
        <w:t xml:space="preserve"> (4.6.20) (להלן </w:t>
      </w:r>
      <w:r>
        <w:rPr>
          <w:rFonts w:ascii="Arial" w:hAnsi="Arial"/>
          <w:rtl/>
        </w:rPr>
        <w:t>–</w:t>
      </w:r>
      <w:r>
        <w:rPr>
          <w:rFonts w:ascii="Arial" w:hAnsi="Arial" w:hint="cs"/>
          <w:rtl/>
        </w:rPr>
        <w:t xml:space="preserve"> </w:t>
      </w:r>
      <w:r w:rsidRPr="003778B7">
        <w:rPr>
          <w:rFonts w:ascii="Arial" w:hAnsi="Arial" w:hint="cs"/>
          <w:b/>
          <w:bCs/>
          <w:rtl/>
        </w:rPr>
        <w:t>"עניין פיצ'חדזה"</w:t>
      </w:r>
      <w:r>
        <w:rPr>
          <w:rFonts w:ascii="Arial" w:hAnsi="Arial" w:hint="cs"/>
          <w:rtl/>
        </w:rPr>
        <w:t>).</w:t>
      </w:r>
    </w:p>
    <w:p w14:paraId="05F07093" w14:textId="77777777" w:rsidR="00D44C6E" w:rsidRDefault="00D44C6E" w:rsidP="00D44C6E">
      <w:pPr>
        <w:pStyle w:val="a9"/>
        <w:spacing w:line="360" w:lineRule="auto"/>
        <w:jc w:val="both"/>
        <w:rPr>
          <w:rFonts w:ascii="Arial" w:hAnsi="Arial"/>
          <w:rtl/>
        </w:rPr>
      </w:pPr>
      <w:r>
        <w:rPr>
          <w:rFonts w:ascii="Arial" w:hAnsi="Arial" w:hint="cs"/>
          <w:rtl/>
        </w:rPr>
        <w:t>בטיעוניו הפנה ב"כ המאשימה ל</w:t>
      </w:r>
      <w:hyperlink r:id="rId25" w:history="1">
        <w:r w:rsidR="00E36B2F" w:rsidRPr="00E36B2F">
          <w:rPr>
            <w:rFonts w:ascii="Arial" w:hAnsi="Arial"/>
            <w:color w:val="0000FF"/>
            <w:u w:val="single"/>
            <w:rtl/>
          </w:rPr>
          <w:t>ע"פ 1478/19</w:t>
        </w:r>
      </w:hyperlink>
      <w:r>
        <w:rPr>
          <w:rFonts w:ascii="Arial" w:hAnsi="Arial" w:hint="cs"/>
          <w:rtl/>
        </w:rPr>
        <w:t xml:space="preserve"> </w:t>
      </w:r>
      <w:r w:rsidRPr="003778B7">
        <w:rPr>
          <w:rFonts w:ascii="Arial" w:hAnsi="Arial" w:hint="cs"/>
          <w:b/>
          <w:bCs/>
          <w:rtl/>
        </w:rPr>
        <w:t>סעדי</w:t>
      </w:r>
      <w:r>
        <w:rPr>
          <w:rFonts w:ascii="Arial" w:hAnsi="Arial" w:hint="cs"/>
          <w:rtl/>
        </w:rPr>
        <w:t xml:space="preserve"> נ' </w:t>
      </w:r>
      <w:r w:rsidRPr="003778B7">
        <w:rPr>
          <w:rFonts w:ascii="Arial" w:hAnsi="Arial" w:hint="cs"/>
          <w:b/>
          <w:bCs/>
          <w:rtl/>
        </w:rPr>
        <w:t>מדינת ישראל</w:t>
      </w:r>
      <w:r>
        <w:rPr>
          <w:rFonts w:ascii="Arial" w:hAnsi="Arial" w:hint="cs"/>
          <w:rtl/>
        </w:rPr>
        <w:t xml:space="preserve"> (17.11.19), שם הורשע המערער, לאחר ניהול משפטו עד תום, בעבירה של סחר בסם מסוג קוקאין במשקל של 58 גרם, ונגזר עליו עונש של 54 חודשי מאסר בפועל. בית המשפט העליון קיבל את הערעור על חומרת העונש, ומשיקולים של אחידות הענישה הנוגעים לעונש שנגזר על שותפו של המערער, העמיד את עונשו של המערער על 40 חודשי מאסר לריצוי בפועל.</w:t>
      </w:r>
    </w:p>
    <w:p w14:paraId="741B7956" w14:textId="77777777" w:rsidR="00D44C6E" w:rsidRDefault="00D44C6E" w:rsidP="00D44C6E">
      <w:pPr>
        <w:pStyle w:val="a9"/>
        <w:spacing w:line="360" w:lineRule="auto"/>
        <w:jc w:val="both"/>
        <w:rPr>
          <w:rFonts w:ascii="Arial" w:hAnsi="Arial"/>
          <w:rtl/>
        </w:rPr>
      </w:pPr>
      <w:r>
        <w:rPr>
          <w:rFonts w:ascii="Arial" w:hAnsi="Arial" w:hint="cs"/>
          <w:rtl/>
        </w:rPr>
        <w:t>כן הפנה ב"כ המאשימה ל</w:t>
      </w:r>
      <w:hyperlink r:id="rId26" w:history="1">
        <w:r w:rsidR="00E36B2F" w:rsidRPr="00E36B2F">
          <w:rPr>
            <w:rFonts w:ascii="Arial" w:hAnsi="Arial"/>
            <w:color w:val="0000FF"/>
            <w:u w:val="single"/>
            <w:rtl/>
          </w:rPr>
          <w:t>רע"פ 126/15</w:t>
        </w:r>
      </w:hyperlink>
      <w:r>
        <w:rPr>
          <w:rFonts w:ascii="Arial" w:hAnsi="Arial" w:hint="cs"/>
          <w:rtl/>
        </w:rPr>
        <w:t xml:space="preserve"> </w:t>
      </w:r>
      <w:r w:rsidRPr="00F6623E">
        <w:rPr>
          <w:rFonts w:ascii="Arial" w:hAnsi="Arial" w:hint="cs"/>
          <w:b/>
          <w:bCs/>
          <w:rtl/>
        </w:rPr>
        <w:t xml:space="preserve">חביף </w:t>
      </w:r>
      <w:r>
        <w:rPr>
          <w:rFonts w:ascii="Arial" w:hAnsi="Arial" w:hint="cs"/>
          <w:rtl/>
        </w:rPr>
        <w:t xml:space="preserve">נ' </w:t>
      </w:r>
      <w:r w:rsidRPr="00F6623E">
        <w:rPr>
          <w:rFonts w:ascii="Arial" w:hAnsi="Arial" w:hint="cs"/>
          <w:b/>
          <w:bCs/>
          <w:rtl/>
        </w:rPr>
        <w:t>מדינת ישראל</w:t>
      </w:r>
      <w:r>
        <w:rPr>
          <w:rFonts w:ascii="Arial" w:hAnsi="Arial" w:hint="cs"/>
          <w:rtl/>
        </w:rPr>
        <w:t xml:space="preserve"> (13.1.15), שם נדון עניינו של נאשם אשר הורשע על יסוד הודאתו במסגרת הסדר טיעון פתוח, בביצוע שלוש עבירות של סחר בסם מסוכן מסוג קוקאין בכמויות של 0.39 גרם עד 2.5 גרם, ונגזר עליו עונש של 16 חודשי מאסר בפועל. בית המשפט העליון דחה את בקשת הרשות לערער שהגיש הנאשם, זאת חרף התקדמותו של הנאשם בהליך השיקומי שעבר.</w:t>
      </w:r>
    </w:p>
    <w:p w14:paraId="5D0AD273" w14:textId="77777777" w:rsidR="00D44C6E" w:rsidRDefault="00D44C6E" w:rsidP="00D44C6E">
      <w:pPr>
        <w:pStyle w:val="a9"/>
        <w:spacing w:line="360" w:lineRule="auto"/>
        <w:jc w:val="both"/>
        <w:rPr>
          <w:rFonts w:ascii="Arial" w:hAnsi="Arial"/>
          <w:rtl/>
        </w:rPr>
      </w:pPr>
      <w:r>
        <w:rPr>
          <w:rFonts w:ascii="Arial" w:hAnsi="Arial" w:hint="cs"/>
          <w:rtl/>
        </w:rPr>
        <w:t xml:space="preserve">ב"כ הנאשם הפנה בטיעוניו לפסק הדין בעניין </w:t>
      </w:r>
      <w:r w:rsidRPr="0096006F">
        <w:rPr>
          <w:rFonts w:ascii="Arial" w:hAnsi="Arial" w:hint="cs"/>
          <w:b/>
          <w:bCs/>
          <w:rtl/>
        </w:rPr>
        <w:t>פיצ'חדזה</w:t>
      </w:r>
      <w:r>
        <w:rPr>
          <w:rFonts w:ascii="Arial" w:hAnsi="Arial" w:hint="cs"/>
          <w:rtl/>
        </w:rPr>
        <w:t xml:space="preserve"> הנ"ל, שם נדון עניינו של מערער אשר הורשע בבית המשפט המחוזי, על יסוד הודאתו במסגרת הסדר טיעון פתוח, בהחזקת משקל אלקטרוני ו- 55 גרם של סם מסוג קוקאין שהיה מחולק ל- 38 מנות, ונגזר עליו עונש של 18 חודשי מאסר בפועל. בית המשפט העליון דחה את הערעור על חומרת העונש, זאת למרות הליך שיקומי משמעותי שעבר הנאשם ולמרות עמדת שירות המבחן לפיה הסיכוי שהמערער ישתלב בטיפול שיקומי בכלא, אשר יהיה בו כדי לשמר  את הרצף הטיפולי, איננו גבוה.</w:t>
      </w:r>
    </w:p>
    <w:p w14:paraId="03386983" w14:textId="77777777" w:rsidR="00D44C6E" w:rsidRDefault="00D44C6E" w:rsidP="00D44C6E">
      <w:pPr>
        <w:pStyle w:val="a9"/>
        <w:spacing w:line="360" w:lineRule="auto"/>
        <w:jc w:val="both"/>
        <w:rPr>
          <w:rFonts w:ascii="Arial" w:hAnsi="Arial"/>
          <w:rtl/>
        </w:rPr>
      </w:pPr>
      <w:r>
        <w:rPr>
          <w:rFonts w:ascii="Arial" w:hAnsi="Arial" w:hint="cs"/>
          <w:rtl/>
        </w:rPr>
        <w:t>כמו כן, הפנה ב"כ הנאשם ל</w:t>
      </w:r>
      <w:hyperlink r:id="rId27" w:history="1">
        <w:r w:rsidR="00E36B2F" w:rsidRPr="00E36B2F">
          <w:rPr>
            <w:rFonts w:ascii="Arial" w:hAnsi="Arial"/>
            <w:color w:val="0000FF"/>
            <w:u w:val="single"/>
            <w:rtl/>
          </w:rPr>
          <w:t>ת"פ (שלום י-ם) 50898-10-18</w:t>
        </w:r>
      </w:hyperlink>
      <w:r>
        <w:rPr>
          <w:rFonts w:ascii="Arial" w:hAnsi="Arial" w:hint="cs"/>
          <w:rtl/>
        </w:rPr>
        <w:t xml:space="preserve"> </w:t>
      </w:r>
      <w:r w:rsidRPr="00003144">
        <w:rPr>
          <w:rFonts w:ascii="Arial" w:hAnsi="Arial" w:hint="cs"/>
          <w:b/>
          <w:bCs/>
          <w:rtl/>
        </w:rPr>
        <w:t>מדינת ישראל</w:t>
      </w:r>
      <w:r>
        <w:rPr>
          <w:rFonts w:ascii="Arial" w:hAnsi="Arial" w:hint="cs"/>
          <w:rtl/>
        </w:rPr>
        <w:t xml:space="preserve"> נ' </w:t>
      </w:r>
      <w:r w:rsidRPr="00003144">
        <w:rPr>
          <w:rFonts w:ascii="Arial" w:hAnsi="Arial" w:hint="cs"/>
          <w:b/>
          <w:bCs/>
          <w:rtl/>
        </w:rPr>
        <w:t>חדר ואח'</w:t>
      </w:r>
      <w:r>
        <w:rPr>
          <w:rFonts w:ascii="Arial" w:hAnsi="Arial" w:hint="cs"/>
          <w:rtl/>
        </w:rPr>
        <w:t xml:space="preserve"> (20.5.19), שם הורשע הנאשם 2 על יסוד הודאתו במסגרת הסדר טיעון פתוח בביצוע שתי עבירות של סחר בסם מסוג קוקאין ובעבירה אחת של סיוע בסחר, במשקל של 1.2 גרם עד 12 גרם. על הנאשם נגזר באותו עניין עונש של 16 חודשי מאסר בפועל, זאת חרף עברו הפלילי בעבירות רכוש, אלימות וסיכון חיי אדם בנתיב תחבורה.</w:t>
      </w:r>
    </w:p>
    <w:p w14:paraId="26347100" w14:textId="77777777" w:rsidR="00D44C6E" w:rsidRPr="00BE01B8" w:rsidRDefault="00D44C6E" w:rsidP="00D44C6E">
      <w:pPr>
        <w:pStyle w:val="a9"/>
        <w:spacing w:line="360" w:lineRule="auto"/>
        <w:jc w:val="both"/>
        <w:rPr>
          <w:rFonts w:ascii="Arial" w:hAnsi="Arial"/>
          <w:rtl/>
        </w:rPr>
      </w:pPr>
      <w:r>
        <w:rPr>
          <w:rFonts w:ascii="Arial" w:hAnsi="Arial" w:hint="cs"/>
          <w:rtl/>
        </w:rPr>
        <w:t xml:space="preserve">יצוין כי שני גזרי הדין שאליהם הפנה ב"כ הנאשם עוסקים במקרים שנסיבותיהם פחות חמורות מענינו של הנאשם שלפני. כך, בעניין </w:t>
      </w:r>
      <w:r w:rsidRPr="00921562">
        <w:rPr>
          <w:rFonts w:ascii="Arial" w:hAnsi="Arial" w:hint="cs"/>
          <w:b/>
          <w:bCs/>
          <w:rtl/>
        </w:rPr>
        <w:t>פיצ'חדזה</w:t>
      </w:r>
      <w:r>
        <w:rPr>
          <w:rFonts w:ascii="Arial" w:hAnsi="Arial" w:hint="cs"/>
          <w:rtl/>
        </w:rPr>
        <w:t xml:space="preserve"> היה מדובר בעבירה אחת של אחזקת סם, ובעניין </w:t>
      </w:r>
      <w:r w:rsidRPr="004E2D0D">
        <w:rPr>
          <w:rFonts w:ascii="Arial" w:hAnsi="Arial" w:hint="cs"/>
          <w:b/>
          <w:bCs/>
          <w:rtl/>
        </w:rPr>
        <w:t>חדר</w:t>
      </w:r>
      <w:r>
        <w:rPr>
          <w:rFonts w:ascii="Arial" w:hAnsi="Arial" w:hint="cs"/>
          <w:rtl/>
        </w:rPr>
        <w:t xml:space="preserve"> היה מדובר בכמויות סם קטנות מאלו שבהן סחר הנאשם.</w:t>
      </w:r>
    </w:p>
    <w:p w14:paraId="44DFDF80" w14:textId="77777777" w:rsidR="00D44C6E" w:rsidRDefault="00D44C6E" w:rsidP="00D44C6E">
      <w:pPr>
        <w:rPr>
          <w:rtl/>
        </w:rPr>
      </w:pPr>
    </w:p>
    <w:p w14:paraId="5B8DFB74" w14:textId="77777777" w:rsidR="00D44C6E" w:rsidRPr="004E2D0D" w:rsidRDefault="00D44C6E" w:rsidP="00D44C6E">
      <w:pPr>
        <w:rPr>
          <w:b/>
          <w:bCs/>
          <w:u w:val="single"/>
          <w:rtl/>
        </w:rPr>
      </w:pPr>
      <w:r>
        <w:rPr>
          <w:rtl/>
        </w:rPr>
        <w:tab/>
      </w:r>
      <w:r w:rsidRPr="004E2D0D">
        <w:rPr>
          <w:rFonts w:hint="cs"/>
          <w:b/>
          <w:bCs/>
          <w:u w:val="single"/>
          <w:rtl/>
        </w:rPr>
        <w:t xml:space="preserve">מתחם העונש ההולם </w:t>
      </w:r>
      <w:r w:rsidRPr="004E2D0D">
        <w:rPr>
          <w:b/>
          <w:bCs/>
          <w:u w:val="single"/>
          <w:rtl/>
        </w:rPr>
        <w:t>–</w:t>
      </w:r>
      <w:r w:rsidRPr="004E2D0D">
        <w:rPr>
          <w:rFonts w:hint="cs"/>
          <w:b/>
          <w:bCs/>
          <w:u w:val="single"/>
          <w:rtl/>
        </w:rPr>
        <w:t xml:space="preserve"> הנסיבות הקשורות בביצוע העבירה</w:t>
      </w:r>
    </w:p>
    <w:p w14:paraId="70F475B1" w14:textId="77777777" w:rsidR="00D44C6E" w:rsidRDefault="00D44C6E" w:rsidP="00D44C6E">
      <w:pPr>
        <w:pStyle w:val="a9"/>
        <w:numPr>
          <w:ilvl w:val="0"/>
          <w:numId w:val="1"/>
        </w:numPr>
        <w:spacing w:line="360" w:lineRule="auto"/>
        <w:jc w:val="both"/>
        <w:rPr>
          <w:rFonts w:ascii="Arial" w:hAnsi="Arial"/>
        </w:rPr>
      </w:pPr>
      <w:r>
        <w:rPr>
          <w:rFonts w:ascii="Arial" w:hAnsi="Arial" w:hint="cs"/>
          <w:rtl/>
        </w:rPr>
        <w:t>בראשית הדברים נציין, כי יש להביא בחשבון לחומרה את ריבוי עבירות הסחר בהן הורשע הנאשם, ואת העובדה שנלוותה אליהן הרשעה בעבירה של הפרת הוראה חוקית. עם זאת סבורני כי אין מקום לקבוע מתחם נפרד לכל עבירה, זאת לנוכח סמיכות הזמנים בהם בוצעו העבירות ולנוכח העובדה שהצדדים לכל עבירות הסחר זהים.</w:t>
      </w:r>
    </w:p>
    <w:p w14:paraId="6D53FE5C" w14:textId="77777777" w:rsidR="00D44C6E" w:rsidRDefault="00D44C6E" w:rsidP="00D44C6E">
      <w:pPr>
        <w:pStyle w:val="a9"/>
        <w:spacing w:line="360" w:lineRule="auto"/>
        <w:jc w:val="both"/>
        <w:rPr>
          <w:rFonts w:ascii="Arial" w:hAnsi="Arial"/>
          <w:rtl/>
        </w:rPr>
      </w:pPr>
      <w:r>
        <w:rPr>
          <w:rFonts w:ascii="Arial" w:hAnsi="Arial" w:hint="cs"/>
          <w:rtl/>
        </w:rPr>
        <w:t xml:space="preserve">עבירות הסחר בהן הורשע הנאשם היו פרי תכנון מוקדם, שלאחריו נערכו תיאומים טכניים בין הנאשם לבין הסוכן על מנת להוציא את העבירות אל הפועל. </w:t>
      </w:r>
    </w:p>
    <w:p w14:paraId="4A520163" w14:textId="77777777" w:rsidR="00D44C6E" w:rsidRDefault="00D44C6E" w:rsidP="00D44C6E">
      <w:pPr>
        <w:pStyle w:val="a9"/>
        <w:spacing w:line="360" w:lineRule="auto"/>
        <w:jc w:val="both"/>
        <w:rPr>
          <w:rFonts w:ascii="Arial" w:hAnsi="Arial"/>
        </w:rPr>
      </w:pPr>
      <w:r>
        <w:rPr>
          <w:rFonts w:ascii="Arial" w:hAnsi="Arial" w:hint="cs"/>
          <w:rtl/>
        </w:rPr>
        <w:t xml:space="preserve">חומרה מיוחדת גלומה באישום השני, שם לצורך ביצוע עבירת הסחר הפר הנאשם את תנאי השחרור שנקבעו לו במסגרת הליך אחר. </w:t>
      </w:r>
    </w:p>
    <w:p w14:paraId="470C1772" w14:textId="77777777" w:rsidR="00D44C6E" w:rsidRDefault="00D44C6E" w:rsidP="00D44C6E">
      <w:pPr>
        <w:pStyle w:val="a9"/>
        <w:spacing w:line="360" w:lineRule="auto"/>
        <w:jc w:val="both"/>
        <w:rPr>
          <w:rFonts w:ascii="Arial" w:hAnsi="Arial"/>
          <w:rtl/>
        </w:rPr>
      </w:pPr>
      <w:r>
        <w:rPr>
          <w:rFonts w:ascii="Arial" w:hAnsi="Arial" w:hint="cs"/>
          <w:rtl/>
        </w:rPr>
        <w:t>חלקו של הנאשם בביצוע העבירות מלא ובלעדי. אין לתת משקל משמעותי לטענת הנאשם לפיה הסוכן הוא שיזם את ביצוע העבירות, שכן על פי האמור באישום הראשון העסקאות באו לעולם לאחר שהנאשם הציע לסוכן לרכוש ממנו סם.</w:t>
      </w:r>
    </w:p>
    <w:p w14:paraId="35EC3A25" w14:textId="77777777" w:rsidR="00D44C6E" w:rsidRDefault="00D44C6E" w:rsidP="00D44C6E">
      <w:pPr>
        <w:pStyle w:val="a9"/>
        <w:spacing w:line="360" w:lineRule="auto"/>
        <w:jc w:val="both"/>
        <w:rPr>
          <w:rFonts w:ascii="Arial" w:hAnsi="Arial"/>
          <w:rtl/>
        </w:rPr>
      </w:pPr>
      <w:r>
        <w:rPr>
          <w:rFonts w:ascii="Arial" w:hAnsi="Arial" w:hint="cs"/>
          <w:rtl/>
        </w:rPr>
        <w:t xml:space="preserve">הנזק שעלול היה להיגרם כתוצאה מביצוע העבירות הוא חמור. מדובר בסחר בסם מסוג קוקאין, שאיננו נחשב כסם "קל". הכמויות בהן סחר הנאשם אף הן אינן מזעריות. </w:t>
      </w:r>
    </w:p>
    <w:p w14:paraId="427F6D17" w14:textId="77777777" w:rsidR="00D44C6E" w:rsidRDefault="00D44C6E" w:rsidP="00D44C6E">
      <w:pPr>
        <w:pStyle w:val="a9"/>
        <w:spacing w:line="360" w:lineRule="auto"/>
        <w:jc w:val="both"/>
        <w:rPr>
          <w:rFonts w:ascii="Arial" w:hAnsi="Arial"/>
          <w:rtl/>
        </w:rPr>
      </w:pPr>
      <w:r>
        <w:rPr>
          <w:rFonts w:ascii="Arial" w:hAnsi="Arial" w:hint="cs"/>
          <w:rtl/>
        </w:rPr>
        <w:t>ניתן להניח, כטענת הנאשם, כי לא בצע כסף גרידא הניע אותו לבצע את העבירות, אלא התמכרותו לסמים. אכן יש חומרה יתירה במקרים בהם אדם שאיננו מכור לסמים סוחר בהם למטרות בצע כסף בלבד, ואולם לנוכח פגיעתן הרעה של עבירות הסמים אין לתת משקל משמעותי לקולה לעובדה שהסוחר בסם מכור לו בעצמו. בסופו של דבר הנזק שנגרם כתוצאה מהסחר בסמים הוא אותו נזק בין אם סוחר בהם אדם שמכור לסמים ובין אם סוחר בהם אדם שאיננו מכור. עם זאת בקביעת המתחם יינתן משקל מסוים לקולה לעובדה שהנאשם לא ביצע את העבירות ממניע בלעדי של בצע כסף.</w:t>
      </w:r>
    </w:p>
    <w:p w14:paraId="2D88E86B" w14:textId="77777777" w:rsidR="00D44C6E" w:rsidRDefault="00D44C6E" w:rsidP="00D44C6E">
      <w:pPr>
        <w:pStyle w:val="a9"/>
        <w:spacing w:line="360" w:lineRule="auto"/>
        <w:jc w:val="both"/>
        <w:rPr>
          <w:rFonts w:ascii="Arial" w:hAnsi="Arial"/>
          <w:rtl/>
        </w:rPr>
      </w:pPr>
      <w:r>
        <w:rPr>
          <w:rFonts w:ascii="Arial" w:hAnsi="Arial" w:hint="cs"/>
          <w:rtl/>
        </w:rPr>
        <w:t xml:space="preserve">הנאשם היה בן 25 בעת ביצוע העבירות (זאת בניגוד לאמור בכותרת כתב האישום המתוקן. וראו לעניין זה - כתב האישום המקורי, ההודעה על הסדר הטיעון ותסקיר שירות המבחן). לנוכח גילו של הנאשם ולנוכח מהות העבירות אין ספק שהוא יכול היה להבין את  משמעות מעשיו ואת הפסול שדבק בהם. יתר הנסיבות המנויות </w:t>
      </w:r>
      <w:hyperlink r:id="rId28" w:history="1">
        <w:r w:rsidR="00C41F74" w:rsidRPr="00C41F74">
          <w:rPr>
            <w:rStyle w:val="Hyperlink"/>
            <w:rFonts w:ascii="Arial" w:hAnsi="Arial" w:hint="eastAsia"/>
            <w:rtl/>
          </w:rPr>
          <w:t>בסעיף</w:t>
        </w:r>
        <w:r w:rsidR="00C41F74" w:rsidRPr="00C41F74">
          <w:rPr>
            <w:rStyle w:val="Hyperlink"/>
            <w:rFonts w:ascii="Arial" w:hAnsi="Arial"/>
            <w:rtl/>
          </w:rPr>
          <w:t xml:space="preserve"> 40ט(א)</w:t>
        </w:r>
      </w:hyperlink>
      <w:r>
        <w:rPr>
          <w:rFonts w:ascii="Arial" w:hAnsi="Arial" w:hint="cs"/>
          <w:rtl/>
        </w:rPr>
        <w:t xml:space="preserve"> ל</w:t>
      </w:r>
      <w:hyperlink r:id="rId29" w:history="1">
        <w:r w:rsidR="00E36B2F" w:rsidRPr="00E36B2F">
          <w:rPr>
            <w:rFonts w:ascii="Arial" w:hAnsi="Arial"/>
            <w:color w:val="0000FF"/>
            <w:u w:val="single"/>
            <w:rtl/>
          </w:rPr>
          <w:t>חוק העונשין</w:t>
        </w:r>
      </w:hyperlink>
      <w:r>
        <w:rPr>
          <w:rFonts w:ascii="Arial" w:hAnsi="Arial" w:hint="cs"/>
          <w:rtl/>
        </w:rPr>
        <w:t xml:space="preserve"> אינן רלוונטיות לענייננו.</w:t>
      </w:r>
    </w:p>
    <w:p w14:paraId="78491B46" w14:textId="77777777" w:rsidR="00D44C6E" w:rsidRDefault="00D44C6E" w:rsidP="00D44C6E">
      <w:pPr>
        <w:pStyle w:val="a9"/>
        <w:spacing w:line="360" w:lineRule="auto"/>
        <w:jc w:val="both"/>
        <w:rPr>
          <w:rFonts w:ascii="Arial" w:hAnsi="Arial"/>
          <w:rtl/>
        </w:rPr>
      </w:pPr>
    </w:p>
    <w:p w14:paraId="27A8346F" w14:textId="77777777" w:rsidR="00D44C6E" w:rsidRDefault="00D44C6E" w:rsidP="00D44C6E">
      <w:pPr>
        <w:pStyle w:val="a9"/>
        <w:spacing w:line="360" w:lineRule="auto"/>
        <w:jc w:val="both"/>
        <w:rPr>
          <w:rFonts w:ascii="Arial" w:hAnsi="Arial"/>
          <w:rtl/>
        </w:rPr>
      </w:pPr>
      <w:r w:rsidRPr="00A54B90">
        <w:rPr>
          <w:rFonts w:ascii="Arial" w:hAnsi="Arial" w:hint="cs"/>
          <w:b/>
          <w:bCs/>
          <w:u w:val="single"/>
          <w:rtl/>
        </w:rPr>
        <w:t>מתחם העונש ההולם</w:t>
      </w:r>
    </w:p>
    <w:p w14:paraId="7AF03E4B" w14:textId="77777777" w:rsidR="00D44C6E" w:rsidRDefault="00D44C6E" w:rsidP="00D44C6E">
      <w:pPr>
        <w:pStyle w:val="a9"/>
        <w:numPr>
          <w:ilvl w:val="0"/>
          <w:numId w:val="1"/>
        </w:numPr>
        <w:spacing w:line="360" w:lineRule="auto"/>
        <w:jc w:val="both"/>
        <w:rPr>
          <w:rFonts w:ascii="Arial" w:hAnsi="Arial"/>
        </w:rPr>
      </w:pPr>
      <w:r>
        <w:rPr>
          <w:rFonts w:ascii="Arial" w:hAnsi="Arial" w:hint="cs"/>
          <w:rtl/>
        </w:rPr>
        <w:t>לנוכח כל האמור לעיל, ולנוכח העובדה שאין מחלוקת בין הצדדים על כך שיש לקבוע מתחם אחד לשלושת האישומים, אני קובע כי מתחם העונש ההולם נע בין 24 חודשי מאסר בפועל לבין 48 חודשי מאסר בפועל בצירוף ענישה נלווית.</w:t>
      </w:r>
    </w:p>
    <w:p w14:paraId="6D92B762" w14:textId="77777777" w:rsidR="00D44C6E" w:rsidRDefault="00D44C6E" w:rsidP="00D44C6E">
      <w:pPr>
        <w:pStyle w:val="a9"/>
        <w:spacing w:line="360" w:lineRule="auto"/>
        <w:jc w:val="both"/>
        <w:rPr>
          <w:rFonts w:ascii="Arial" w:hAnsi="Arial"/>
          <w:rtl/>
        </w:rPr>
      </w:pPr>
    </w:p>
    <w:p w14:paraId="3092196C" w14:textId="77777777" w:rsidR="00D44C6E" w:rsidRPr="00E022C9" w:rsidRDefault="00D44C6E" w:rsidP="00D44C6E">
      <w:pPr>
        <w:pStyle w:val="a9"/>
        <w:spacing w:line="360" w:lineRule="auto"/>
        <w:jc w:val="both"/>
        <w:rPr>
          <w:rFonts w:ascii="Arial" w:hAnsi="Arial"/>
          <w:b/>
          <w:bCs/>
          <w:u w:val="single"/>
        </w:rPr>
      </w:pPr>
      <w:r w:rsidRPr="00E022C9">
        <w:rPr>
          <w:rFonts w:ascii="Arial" w:hAnsi="Arial" w:hint="cs"/>
          <w:b/>
          <w:bCs/>
          <w:u w:val="single"/>
          <w:rtl/>
        </w:rPr>
        <w:t>העונש המתאים</w:t>
      </w:r>
    </w:p>
    <w:p w14:paraId="6FE61095" w14:textId="77777777" w:rsidR="00D44C6E" w:rsidRDefault="00D44C6E" w:rsidP="00D44C6E">
      <w:pPr>
        <w:pStyle w:val="a9"/>
        <w:numPr>
          <w:ilvl w:val="0"/>
          <w:numId w:val="1"/>
        </w:numPr>
        <w:spacing w:line="360" w:lineRule="auto"/>
        <w:jc w:val="both"/>
        <w:rPr>
          <w:rFonts w:ascii="Arial" w:hAnsi="Arial"/>
        </w:rPr>
      </w:pPr>
      <w:r w:rsidRPr="002E6891">
        <w:rPr>
          <w:rFonts w:ascii="Arial" w:hAnsi="Arial" w:hint="cs"/>
          <w:rtl/>
        </w:rPr>
        <w:t xml:space="preserve">לעת גזירת העונש המתאים מצווה בית המשפט להביא בחשבון את הנסיבות שאין קשורות בביצוע העבירה (סעיף </w:t>
      </w:r>
      <w:hyperlink r:id="rId30" w:history="1">
        <w:r w:rsidR="00C41F74" w:rsidRPr="00C41F74">
          <w:rPr>
            <w:rStyle w:val="Hyperlink"/>
            <w:rFonts w:ascii="Arial" w:hAnsi="Arial"/>
            <w:rtl/>
          </w:rPr>
          <w:t>40 יא</w:t>
        </w:r>
      </w:hyperlink>
      <w:r w:rsidRPr="002E6891">
        <w:rPr>
          <w:rFonts w:ascii="Arial" w:hAnsi="Arial" w:hint="cs"/>
          <w:rtl/>
        </w:rPr>
        <w:t xml:space="preserve"> ל</w:t>
      </w:r>
      <w:hyperlink r:id="rId31" w:history="1">
        <w:r w:rsidR="00E36B2F" w:rsidRPr="00E36B2F">
          <w:rPr>
            <w:rFonts w:ascii="Arial" w:hAnsi="Arial"/>
            <w:color w:val="0000FF"/>
            <w:u w:val="single"/>
            <w:rtl/>
          </w:rPr>
          <w:t>חוק העונשין</w:t>
        </w:r>
      </w:hyperlink>
      <w:r w:rsidRPr="002E6891">
        <w:rPr>
          <w:rFonts w:ascii="Arial" w:hAnsi="Arial" w:hint="cs"/>
          <w:rtl/>
        </w:rPr>
        <w:t xml:space="preserve">). </w:t>
      </w:r>
    </w:p>
    <w:p w14:paraId="681727DA" w14:textId="77777777" w:rsidR="00D44C6E" w:rsidRPr="002E6891" w:rsidRDefault="00D44C6E" w:rsidP="00D44C6E">
      <w:pPr>
        <w:pStyle w:val="a9"/>
        <w:spacing w:line="360" w:lineRule="auto"/>
        <w:jc w:val="both"/>
        <w:rPr>
          <w:rFonts w:ascii="Arial" w:hAnsi="Arial"/>
          <w:rtl/>
        </w:rPr>
      </w:pPr>
      <w:r>
        <w:rPr>
          <w:rFonts w:ascii="Arial" w:hAnsi="Arial" w:hint="cs"/>
          <w:rtl/>
        </w:rPr>
        <w:t>בעניינו של הנאשם שלפניי</w:t>
      </w:r>
      <w:r w:rsidRPr="002E6891">
        <w:rPr>
          <w:rFonts w:ascii="Arial" w:hAnsi="Arial" w:hint="cs"/>
          <w:rtl/>
        </w:rPr>
        <w:t xml:space="preserve"> שקלתי </w:t>
      </w:r>
      <w:r>
        <w:rPr>
          <w:rFonts w:ascii="Arial" w:hAnsi="Arial" w:hint="cs"/>
          <w:rtl/>
        </w:rPr>
        <w:t>בראשית הדברים</w:t>
      </w:r>
      <w:r w:rsidRPr="002E6891">
        <w:rPr>
          <w:rFonts w:ascii="Arial" w:hAnsi="Arial" w:hint="cs"/>
          <w:rtl/>
        </w:rPr>
        <w:t xml:space="preserve"> את בקשת הנאשם, ואת המלצתו הלא חד משמעית של שירות המבחן, בדבר שילובו של הנאשם בהליך טיפולי מחוץ לכלא, ובדבר הצורך בדחיית מתן גזר הדין לשם כך. </w:t>
      </w:r>
      <w:r>
        <w:rPr>
          <w:rFonts w:ascii="Arial" w:hAnsi="Arial" w:hint="cs"/>
          <w:rtl/>
        </w:rPr>
        <w:t>אין בידי</w:t>
      </w:r>
      <w:r w:rsidRPr="002E6891">
        <w:rPr>
          <w:rFonts w:ascii="Arial" w:hAnsi="Arial" w:hint="cs"/>
          <w:rtl/>
        </w:rPr>
        <w:t xml:space="preserve"> להיעתר לבקשה זו. חומרת</w:t>
      </w:r>
      <w:r>
        <w:rPr>
          <w:rFonts w:ascii="Arial" w:hAnsi="Arial" w:hint="cs"/>
          <w:rtl/>
        </w:rPr>
        <w:t>ן</w:t>
      </w:r>
      <w:r w:rsidRPr="002E6891">
        <w:rPr>
          <w:rFonts w:ascii="Arial" w:hAnsi="Arial" w:hint="cs"/>
          <w:rtl/>
        </w:rPr>
        <w:t xml:space="preserve"> של העבירות בהן הורשע הנאשם משמעותית. כתב האישום נגד הנאשם הוגש לפני כשמונה וחצי חודשים. במהלך התקופה עד מתן גזר הדין לא שולב הנאשם במסגרת טיפולית כלשהי. אף אם הדבר נ</w:t>
      </w:r>
      <w:r>
        <w:rPr>
          <w:rFonts w:ascii="Arial" w:hAnsi="Arial" w:hint="cs"/>
          <w:rtl/>
        </w:rPr>
        <w:t>ו</w:t>
      </w:r>
      <w:r w:rsidRPr="002E6891">
        <w:rPr>
          <w:rFonts w:ascii="Arial" w:hAnsi="Arial" w:hint="cs"/>
          <w:rtl/>
        </w:rPr>
        <w:t xml:space="preserve">בע, כטענת הנאשם, מנסיבות שהזמן גרמן - קורונה, סגרים ושאר מרעין בישין - הרי שלא ניתן לקבוע כי שליחתו של הנאשם לכלא, כפי שמתחייב בדרך כלל בעבירות של סחר בסמים, תקטע הליך טיפולי משמעותי שבו הוא החל. </w:t>
      </w:r>
    </w:p>
    <w:p w14:paraId="5B60BC9F" w14:textId="77777777" w:rsidR="00D44C6E" w:rsidRDefault="00D44C6E" w:rsidP="00D44C6E">
      <w:pPr>
        <w:pStyle w:val="a9"/>
        <w:spacing w:line="360" w:lineRule="auto"/>
        <w:jc w:val="both"/>
        <w:rPr>
          <w:rFonts w:ascii="Arial" w:hAnsi="Arial"/>
          <w:rtl/>
        </w:rPr>
      </w:pPr>
      <w:r>
        <w:rPr>
          <w:rFonts w:ascii="Arial" w:hAnsi="Arial" w:hint="cs"/>
          <w:rtl/>
        </w:rPr>
        <w:t>בהמשך לאמור לעיל, לא שוכנעתי כי שליחת הנאשם לכלא תגרום לו או למשפחתו נזק העולה על הנזק שצפוי להיגרם בדרך כלל עקב שליחתו של אדם למאסר.</w:t>
      </w:r>
    </w:p>
    <w:p w14:paraId="29310537" w14:textId="77777777" w:rsidR="00D44C6E" w:rsidRDefault="00D44C6E" w:rsidP="00D44C6E">
      <w:pPr>
        <w:pStyle w:val="a9"/>
        <w:spacing w:line="360" w:lineRule="auto"/>
        <w:jc w:val="both"/>
        <w:rPr>
          <w:rFonts w:ascii="Arial" w:hAnsi="Arial"/>
          <w:rtl/>
        </w:rPr>
      </w:pPr>
      <w:r>
        <w:rPr>
          <w:rFonts w:ascii="Arial" w:hAnsi="Arial" w:hint="cs"/>
          <w:rtl/>
        </w:rPr>
        <w:t>הנאשם הודה במיוחס לו, ובכך הוא חסך מזמנה של המאשימה ומזמנו של בית המשפט. הודאתו של הנאשם לוותה, כאמור בתסקיר שירות המבחן, גם בחרטה מצדו של הנאשם על מעשיו.</w:t>
      </w:r>
    </w:p>
    <w:p w14:paraId="58A1E692" w14:textId="77777777" w:rsidR="00D44C6E" w:rsidRDefault="00D44C6E" w:rsidP="00D44C6E">
      <w:pPr>
        <w:pStyle w:val="a9"/>
        <w:spacing w:line="360" w:lineRule="auto"/>
        <w:jc w:val="both"/>
        <w:rPr>
          <w:rFonts w:ascii="Arial" w:hAnsi="Arial"/>
          <w:rtl/>
        </w:rPr>
      </w:pPr>
      <w:r>
        <w:rPr>
          <w:rFonts w:ascii="Arial" w:hAnsi="Arial" w:hint="cs"/>
          <w:rtl/>
        </w:rPr>
        <w:t>בגזירת העונש המתאים יש לתת משקל לקולה לשאיפתו הכנה של הנאשם להיגמל מהתמכרותו לסמים. אמנם הנאשם טרם החל בהליך טיפולי, ברם בגזירת העונש יש לתת ביטוי לחשיבות שיש במתן תמריץ ועידוד לנאשם לעלות על הדרך המובילה לשיקום.</w:t>
      </w:r>
    </w:p>
    <w:p w14:paraId="561755D7" w14:textId="77777777" w:rsidR="00D44C6E" w:rsidRDefault="00D44C6E" w:rsidP="00D44C6E">
      <w:pPr>
        <w:pStyle w:val="a9"/>
        <w:spacing w:line="360" w:lineRule="auto"/>
        <w:jc w:val="both"/>
        <w:rPr>
          <w:rFonts w:ascii="Arial" w:hAnsi="Arial"/>
          <w:rtl/>
        </w:rPr>
      </w:pPr>
      <w:r>
        <w:rPr>
          <w:rFonts w:ascii="Arial" w:hAnsi="Arial" w:hint="cs"/>
          <w:rtl/>
        </w:rPr>
        <w:t xml:space="preserve">כאמור, עברו הפלילי של הנאשם מהווה שיקול לחומרה, שכן מדובר בעבר פלילי רלוונטי הכולל הרשעה בעבירות סמים. בהקשר אחרון זה אציין, כי לא מקובלת עלי הטענה לפיה יש לנכות מעונש המאסר שייגזר על הנאשם את מלוא ימי מעצרו. אכן, כך נהוג לעשות בדרך כלל, ברם ניכוי ימי המעצר במקרהו של הנאשם שלפניי, זאת חרף העובדה שבמהלך מעצרו הוא ריצה עונש של 7 וחצי חודשי מאסר אשר נגזרו עליו במסגרת התיק המקביל הנ"ל, יביא לתוצאה מעוותת לפיה הלכה למעשה העונש שייגזר על הנאשם בתיק שלפניי יחפוף במלואו את העונש שנגזר עליו בתיק המקביל. לכך אין כל הצדקה. טענת הנאשם לפיה אלמלא הוא היה עצור הוא היה מרצה רק חלק קטן מעונש המאסר שנגזר עליו בתיק המקביל כיוון שהיה זוכה לשחרור מוקדם, איננה משכנעת. ראשית, אין וודאות שהנאשם היה זוכה לשחרור מוקדם מסיבה כזו או אחרת. ושנית, אין לנאשם אלא להלין על עצמו שביצע את העבירות שלפניי ובכך הכשיל את האפשרות של שחרורו המוקדם. </w:t>
      </w:r>
    </w:p>
    <w:p w14:paraId="5844FB09" w14:textId="77777777" w:rsidR="00D44C6E" w:rsidRDefault="00D44C6E" w:rsidP="00D44C6E">
      <w:pPr>
        <w:pStyle w:val="a9"/>
        <w:spacing w:line="360" w:lineRule="auto"/>
        <w:jc w:val="both"/>
        <w:rPr>
          <w:rFonts w:ascii="Arial" w:hAnsi="Arial"/>
        </w:rPr>
      </w:pPr>
      <w:r>
        <w:rPr>
          <w:rFonts w:ascii="Arial" w:hAnsi="Arial" w:hint="cs"/>
          <w:rtl/>
        </w:rPr>
        <w:t xml:space="preserve">לנוכח כל האמור אני סבור כי יש למקם את עונשו של הנאשם בשליש התחתון של מתחם העונש ההולם. </w:t>
      </w:r>
    </w:p>
    <w:p w14:paraId="695F719E" w14:textId="77777777" w:rsidR="00D44C6E" w:rsidRDefault="00D44C6E" w:rsidP="00D44C6E">
      <w:pPr>
        <w:pStyle w:val="a9"/>
        <w:spacing w:line="360" w:lineRule="auto"/>
        <w:jc w:val="both"/>
        <w:rPr>
          <w:rFonts w:ascii="Arial" w:hAnsi="Arial"/>
        </w:rPr>
      </w:pPr>
    </w:p>
    <w:p w14:paraId="0D96A314" w14:textId="77777777" w:rsidR="00D44C6E" w:rsidRDefault="00D44C6E" w:rsidP="00D44C6E">
      <w:pPr>
        <w:pStyle w:val="a9"/>
        <w:numPr>
          <w:ilvl w:val="0"/>
          <w:numId w:val="1"/>
        </w:numPr>
        <w:spacing w:line="360" w:lineRule="auto"/>
        <w:jc w:val="both"/>
        <w:rPr>
          <w:rFonts w:ascii="Arial" w:hAnsi="Arial"/>
        </w:rPr>
      </w:pPr>
      <w:r>
        <w:rPr>
          <w:rFonts w:ascii="Arial" w:hAnsi="Arial" w:hint="cs"/>
          <w:rtl/>
        </w:rPr>
        <w:t xml:space="preserve">אשר על כן אני גוזר על הנאשם את העונשים שלהלן: </w:t>
      </w:r>
    </w:p>
    <w:p w14:paraId="66FAE039" w14:textId="77777777" w:rsidR="00D44C6E" w:rsidRDefault="00D44C6E" w:rsidP="00D44C6E">
      <w:pPr>
        <w:pStyle w:val="a9"/>
        <w:spacing w:line="360" w:lineRule="auto"/>
        <w:jc w:val="both"/>
        <w:rPr>
          <w:rFonts w:ascii="Arial" w:hAnsi="Arial"/>
        </w:rPr>
      </w:pPr>
    </w:p>
    <w:p w14:paraId="4178E01F" w14:textId="77777777" w:rsidR="00D44C6E" w:rsidRDefault="00D44C6E" w:rsidP="00D44C6E">
      <w:pPr>
        <w:pStyle w:val="a9"/>
        <w:spacing w:line="360" w:lineRule="auto"/>
        <w:ind w:left="1440" w:hanging="720"/>
        <w:jc w:val="both"/>
        <w:rPr>
          <w:rFonts w:ascii="Arial" w:hAnsi="Arial"/>
          <w:rtl/>
        </w:rPr>
      </w:pPr>
      <w:r>
        <w:rPr>
          <w:rFonts w:ascii="Arial" w:hAnsi="Arial" w:hint="cs"/>
          <w:rtl/>
        </w:rPr>
        <w:t>א.</w:t>
      </w:r>
      <w:r>
        <w:rPr>
          <w:rFonts w:ascii="Arial" w:hAnsi="Arial" w:hint="cs"/>
          <w:rtl/>
        </w:rPr>
        <w:tab/>
        <w:t>25  חודשי מאסר בפועל. מתקופת המאסר אין לנכות את כל ימי המעצר, אלא רק את תקופת המעצר מיום 17.6.20 ואילך.</w:t>
      </w:r>
    </w:p>
    <w:p w14:paraId="553AD0F0" w14:textId="77777777" w:rsidR="00D44C6E" w:rsidRDefault="00D44C6E" w:rsidP="00D44C6E">
      <w:pPr>
        <w:pStyle w:val="a9"/>
        <w:spacing w:line="360" w:lineRule="auto"/>
        <w:ind w:left="1440" w:hanging="720"/>
        <w:jc w:val="both"/>
        <w:rPr>
          <w:rFonts w:ascii="Arial" w:hAnsi="Arial"/>
          <w:rtl/>
        </w:rPr>
      </w:pPr>
      <w:r>
        <w:rPr>
          <w:rFonts w:ascii="Arial" w:hAnsi="Arial" w:hint="cs"/>
          <w:rtl/>
        </w:rPr>
        <w:t>ב.</w:t>
      </w:r>
      <w:r>
        <w:rPr>
          <w:rFonts w:ascii="Arial" w:hAnsi="Arial"/>
          <w:rtl/>
        </w:rPr>
        <w:tab/>
      </w:r>
      <w:r>
        <w:rPr>
          <w:rFonts w:ascii="Arial" w:hAnsi="Arial" w:hint="cs"/>
          <w:rtl/>
        </w:rPr>
        <w:t>6 חודשי מאסר על תנאי אותם ירצה הנאשם בפועל אם בתוך שלוש שנים מיום שחרורו מהכלא הוא יבצע עבירת סמים, למעט עבירה של החזקת סמים לשימוש עצמי או החזקת כלים לשימוש עצמי.</w:t>
      </w:r>
    </w:p>
    <w:p w14:paraId="4C6E728F" w14:textId="77777777" w:rsidR="00D44C6E" w:rsidRDefault="00D44C6E" w:rsidP="00D44C6E">
      <w:pPr>
        <w:pStyle w:val="a9"/>
        <w:spacing w:line="360" w:lineRule="auto"/>
        <w:ind w:left="1440" w:hanging="720"/>
        <w:jc w:val="both"/>
        <w:rPr>
          <w:rFonts w:ascii="Arial" w:hAnsi="Arial"/>
          <w:rtl/>
        </w:rPr>
      </w:pPr>
      <w:r>
        <w:rPr>
          <w:rFonts w:ascii="Arial" w:hAnsi="Arial" w:hint="cs"/>
          <w:rtl/>
        </w:rPr>
        <w:t>ג.</w:t>
      </w:r>
      <w:r>
        <w:rPr>
          <w:rFonts w:ascii="Arial" w:hAnsi="Arial"/>
          <w:rtl/>
        </w:rPr>
        <w:tab/>
      </w:r>
      <w:r>
        <w:rPr>
          <w:rFonts w:ascii="Arial" w:hAnsi="Arial" w:hint="cs"/>
          <w:rtl/>
        </w:rPr>
        <w:t>פסילה מלהחזיק רישיון נהיגה למשך שנה מיום שחרורו של הנאשם מהכלא.</w:t>
      </w:r>
    </w:p>
    <w:p w14:paraId="442DBCF4" w14:textId="77777777" w:rsidR="00D44C6E" w:rsidRDefault="00D44C6E" w:rsidP="00D44C6E">
      <w:pPr>
        <w:pStyle w:val="a9"/>
        <w:spacing w:line="360" w:lineRule="auto"/>
        <w:ind w:left="1440" w:hanging="720"/>
        <w:jc w:val="both"/>
        <w:rPr>
          <w:rFonts w:ascii="Arial" w:hAnsi="Arial"/>
          <w:rtl/>
        </w:rPr>
      </w:pPr>
      <w:r>
        <w:rPr>
          <w:rFonts w:ascii="Arial" w:hAnsi="Arial" w:hint="cs"/>
          <w:rtl/>
        </w:rPr>
        <w:t>ד.</w:t>
      </w:r>
      <w:r>
        <w:rPr>
          <w:rFonts w:ascii="Arial" w:hAnsi="Arial" w:hint="cs"/>
          <w:rtl/>
        </w:rPr>
        <w:tab/>
        <w:t>אני מורה על חילוט ההתחייבות בסך 2,000 ₪ שנתן הנאשם במסגרת התיק המקביל.</w:t>
      </w:r>
    </w:p>
    <w:p w14:paraId="29B6B0C9" w14:textId="77777777" w:rsidR="00D44C6E" w:rsidRDefault="00D44C6E" w:rsidP="00D44C6E">
      <w:pPr>
        <w:pStyle w:val="a9"/>
        <w:spacing w:line="360" w:lineRule="auto"/>
        <w:ind w:left="1440" w:hanging="720"/>
        <w:jc w:val="both"/>
        <w:rPr>
          <w:rFonts w:ascii="Arial" w:hAnsi="Arial"/>
          <w:rtl/>
        </w:rPr>
      </w:pPr>
    </w:p>
    <w:p w14:paraId="60A8E82F" w14:textId="77777777" w:rsidR="00D44C6E" w:rsidRDefault="00D44C6E" w:rsidP="00D44C6E">
      <w:pPr>
        <w:pStyle w:val="a9"/>
        <w:spacing w:line="360" w:lineRule="auto"/>
        <w:jc w:val="both"/>
        <w:rPr>
          <w:rFonts w:ascii="Arial" w:hAnsi="Arial"/>
          <w:rtl/>
        </w:rPr>
      </w:pPr>
      <w:r>
        <w:rPr>
          <w:rFonts w:ascii="Arial" w:hAnsi="Arial" w:hint="cs"/>
          <w:rtl/>
        </w:rPr>
        <w:t>תשומת לב שב"ס מופנית לבקשתו של הנאשם להשתלב בטיפול גמילה בכלא, ולהמלצת שירות המבחן לפיה ראוי לבחון את שילובו של הנאשם בהליך שיקומי כאמור.</w:t>
      </w:r>
    </w:p>
    <w:p w14:paraId="4AE032C2" w14:textId="77777777" w:rsidR="00D44C6E" w:rsidRDefault="00D44C6E" w:rsidP="00D44C6E">
      <w:pPr>
        <w:pStyle w:val="a9"/>
        <w:spacing w:line="360" w:lineRule="auto"/>
        <w:ind w:left="1440" w:hanging="720"/>
        <w:jc w:val="both"/>
        <w:rPr>
          <w:rFonts w:ascii="Arial" w:hAnsi="Arial"/>
          <w:rtl/>
        </w:rPr>
      </w:pPr>
    </w:p>
    <w:p w14:paraId="16081498" w14:textId="77777777" w:rsidR="00D44C6E" w:rsidRPr="007D4B1C" w:rsidRDefault="00D44C6E" w:rsidP="00D44C6E">
      <w:pPr>
        <w:pStyle w:val="a9"/>
        <w:spacing w:line="360" w:lineRule="auto"/>
        <w:ind w:left="1440" w:hanging="720"/>
        <w:jc w:val="both"/>
        <w:rPr>
          <w:rFonts w:ascii="Arial" w:hAnsi="Arial"/>
          <w:b/>
          <w:bCs/>
          <w:rtl/>
        </w:rPr>
      </w:pPr>
      <w:r w:rsidRPr="007D4B1C">
        <w:rPr>
          <w:rFonts w:ascii="Arial" w:hAnsi="Arial" w:hint="cs"/>
          <w:b/>
          <w:bCs/>
          <w:rtl/>
        </w:rPr>
        <w:t>הסמים נושא כתב האישום יושמדו.</w:t>
      </w:r>
    </w:p>
    <w:p w14:paraId="4F0AD612" w14:textId="77777777" w:rsidR="00D44C6E" w:rsidRPr="007D4B1C" w:rsidRDefault="00D44C6E" w:rsidP="00D44C6E">
      <w:pPr>
        <w:pStyle w:val="a9"/>
        <w:spacing w:line="360" w:lineRule="auto"/>
        <w:ind w:left="1440" w:hanging="720"/>
        <w:jc w:val="both"/>
        <w:rPr>
          <w:rFonts w:ascii="Arial" w:hAnsi="Arial"/>
          <w:b/>
          <w:bCs/>
          <w:rtl/>
        </w:rPr>
      </w:pPr>
      <w:r w:rsidRPr="007D4B1C">
        <w:rPr>
          <w:rFonts w:ascii="Arial" w:hAnsi="Arial" w:hint="cs"/>
          <w:b/>
          <w:bCs/>
          <w:rtl/>
        </w:rPr>
        <w:t>הודע לנאשם על זכותו לערער לבית המשפט העליון בתוך 45 יום מהיום.</w:t>
      </w:r>
    </w:p>
    <w:p w14:paraId="6DC35BFC" w14:textId="77777777" w:rsidR="00D44C6E" w:rsidRPr="00B05847" w:rsidRDefault="00D44C6E" w:rsidP="00D44C6E">
      <w:pPr>
        <w:rPr>
          <w:rtl/>
        </w:rPr>
      </w:pPr>
    </w:p>
    <w:p w14:paraId="7AACBE84" w14:textId="77777777" w:rsidR="00D44C6E" w:rsidRPr="00E36B2F" w:rsidRDefault="00E36B2F" w:rsidP="00D44C6E">
      <w:pPr>
        <w:rPr>
          <w:color w:val="FFFFFF"/>
          <w:sz w:val="2"/>
          <w:szCs w:val="2"/>
          <w:rtl/>
        </w:rPr>
      </w:pPr>
      <w:r w:rsidRPr="00E36B2F">
        <w:rPr>
          <w:color w:val="FFFFFF"/>
          <w:sz w:val="2"/>
          <w:szCs w:val="2"/>
          <w:rtl/>
        </w:rPr>
        <w:t>5129371</w:t>
      </w:r>
    </w:p>
    <w:p w14:paraId="5015C46A" w14:textId="77777777" w:rsidR="00D44C6E" w:rsidRDefault="00E36B2F" w:rsidP="00D44C6E">
      <w:pPr>
        <w:rPr>
          <w:rFonts w:cs="FrankRuehl"/>
          <w:sz w:val="28"/>
          <w:szCs w:val="28"/>
          <w:rtl/>
        </w:rPr>
      </w:pPr>
      <w:bookmarkStart w:id="7" w:name="Nitan"/>
      <w:r w:rsidRPr="00E36B2F">
        <w:rPr>
          <w:rFonts w:ascii="Arial" w:hAnsi="Arial"/>
          <w:color w:val="FFFFFF"/>
          <w:sz w:val="2"/>
          <w:szCs w:val="2"/>
          <w:rtl/>
        </w:rPr>
        <w:t>54678313</w:t>
      </w:r>
      <w:r>
        <w:rPr>
          <w:rFonts w:ascii="Arial" w:hAnsi="Arial"/>
          <w:rtl/>
        </w:rPr>
        <w:t xml:space="preserve">ניתן היום,  כ"ד חשוון תשפ"א, 11 נובמבר 2020, בנוכחות הצדדים. </w:t>
      </w:r>
      <w:bookmarkEnd w:id="7"/>
    </w:p>
    <w:p w14:paraId="6E1CF717" w14:textId="77777777" w:rsidR="00D44C6E" w:rsidRDefault="00D44C6E" w:rsidP="00E36B2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400C5D" w14:textId="77777777" w:rsidR="00D44C6E" w:rsidRDefault="00D44C6E" w:rsidP="00D44C6E">
      <w:pPr>
        <w:jc w:val="center"/>
        <w:rPr>
          <w:rFonts w:ascii="Arial" w:hAnsi="Arial" w:cs="FrankRuehl"/>
          <w:sz w:val="28"/>
          <w:szCs w:val="28"/>
          <w:rtl/>
        </w:rPr>
      </w:pPr>
    </w:p>
    <w:p w14:paraId="7C2731E9" w14:textId="77777777" w:rsidR="00D44C6E" w:rsidRDefault="00D44C6E" w:rsidP="00D44C6E">
      <w:pPr>
        <w:rPr>
          <w:rFonts w:cs="FrankRuehl"/>
          <w:sz w:val="28"/>
          <w:szCs w:val="28"/>
          <w:rtl/>
        </w:rPr>
      </w:pPr>
    </w:p>
    <w:p w14:paraId="06B2A797" w14:textId="77777777" w:rsidR="00D44C6E" w:rsidRDefault="00D44C6E" w:rsidP="00D44C6E">
      <w:pPr>
        <w:pStyle w:val="a3"/>
        <w:jc w:val="center"/>
        <w:rPr>
          <w:rtl/>
        </w:rPr>
      </w:pPr>
    </w:p>
    <w:p w14:paraId="0ED40DB9" w14:textId="77777777" w:rsidR="00C63F51" w:rsidRPr="00E36B2F" w:rsidRDefault="00C63F51" w:rsidP="00E36B2F">
      <w:pPr>
        <w:keepNext/>
        <w:rPr>
          <w:rFonts w:ascii="David" w:hAnsi="David"/>
          <w:color w:val="000000"/>
          <w:sz w:val="22"/>
          <w:szCs w:val="22"/>
          <w:rtl/>
        </w:rPr>
      </w:pPr>
    </w:p>
    <w:p w14:paraId="781F18B8" w14:textId="77777777" w:rsidR="00E36B2F" w:rsidRPr="00E36B2F" w:rsidRDefault="00E36B2F" w:rsidP="00E36B2F">
      <w:pPr>
        <w:keepNext/>
        <w:rPr>
          <w:rFonts w:ascii="David" w:hAnsi="David"/>
          <w:color w:val="000000"/>
          <w:sz w:val="22"/>
          <w:szCs w:val="22"/>
          <w:rtl/>
        </w:rPr>
      </w:pPr>
      <w:r w:rsidRPr="00E36B2F">
        <w:rPr>
          <w:rFonts w:ascii="David" w:hAnsi="David"/>
          <w:color w:val="000000"/>
          <w:sz w:val="22"/>
          <w:szCs w:val="22"/>
          <w:rtl/>
        </w:rPr>
        <w:t>אברהם רובין 54678313</w:t>
      </w:r>
    </w:p>
    <w:p w14:paraId="5C04329E" w14:textId="77777777" w:rsidR="00E36B2F" w:rsidRDefault="00E36B2F" w:rsidP="00E36B2F">
      <w:pPr>
        <w:rPr>
          <w:rFonts w:hint="cs"/>
        </w:rPr>
      </w:pPr>
      <w:r w:rsidRPr="00E36B2F">
        <w:rPr>
          <w:color w:val="000000"/>
          <w:rtl/>
        </w:rPr>
        <w:t>נוסח מסמך זה כפוף לשינויי ניסוח ועריכה</w:t>
      </w:r>
      <w:r w:rsidR="00546EBD">
        <w:rPr>
          <w:rFonts w:hint="cs"/>
          <w:rtl/>
        </w:rPr>
        <w:t xml:space="preserve"> </w:t>
      </w:r>
    </w:p>
    <w:p w14:paraId="2816C745" w14:textId="77777777" w:rsidR="00E36B2F" w:rsidRDefault="00E36B2F" w:rsidP="00E36B2F">
      <w:pPr>
        <w:rPr>
          <w:rtl/>
        </w:rPr>
      </w:pPr>
    </w:p>
    <w:p w14:paraId="0CE75CD0" w14:textId="77777777" w:rsidR="00E36B2F" w:rsidRDefault="00E36B2F" w:rsidP="00E36B2F">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22E05AA0" w14:textId="77777777" w:rsidR="00E36B2F" w:rsidRPr="00E36B2F" w:rsidRDefault="00E36B2F" w:rsidP="00E36B2F">
      <w:pPr>
        <w:jc w:val="center"/>
        <w:rPr>
          <w:color w:val="0000FF"/>
          <w:u w:val="single"/>
        </w:rPr>
      </w:pPr>
    </w:p>
    <w:sectPr w:rsidR="00E36B2F" w:rsidRPr="00E36B2F" w:rsidSect="00E36B2F">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09C59" w14:textId="77777777" w:rsidR="0086225E" w:rsidRDefault="0086225E" w:rsidP="00803D7C">
      <w:r>
        <w:separator/>
      </w:r>
    </w:p>
  </w:endnote>
  <w:endnote w:type="continuationSeparator" w:id="0">
    <w:p w14:paraId="345F1BAA" w14:textId="77777777" w:rsidR="0086225E" w:rsidRDefault="0086225E" w:rsidP="0080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4968F" w14:textId="77777777" w:rsidR="00E36B2F" w:rsidRDefault="00E36B2F" w:rsidP="00E36B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10C988" w14:textId="77777777" w:rsidR="00907916" w:rsidRPr="00E36B2F" w:rsidRDefault="00E36B2F" w:rsidP="00E36B2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CA902" w14:textId="77777777" w:rsidR="00E36B2F" w:rsidRDefault="00E36B2F" w:rsidP="00E36B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12E8">
      <w:rPr>
        <w:rFonts w:ascii="FrankRuehl" w:hAnsi="FrankRuehl" w:cs="FrankRuehl"/>
        <w:noProof/>
        <w:rtl/>
      </w:rPr>
      <w:t>1</w:t>
    </w:r>
    <w:r>
      <w:rPr>
        <w:rFonts w:ascii="FrankRuehl" w:hAnsi="FrankRuehl" w:cs="FrankRuehl"/>
        <w:rtl/>
      </w:rPr>
      <w:fldChar w:fldCharType="end"/>
    </w:r>
  </w:p>
  <w:p w14:paraId="116C92B0" w14:textId="77777777" w:rsidR="00907916" w:rsidRPr="00E36B2F" w:rsidRDefault="00E36B2F" w:rsidP="00E36B2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82A00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1E2FC" w14:textId="77777777" w:rsidR="0086225E" w:rsidRDefault="0086225E" w:rsidP="00803D7C">
      <w:r>
        <w:separator/>
      </w:r>
    </w:p>
  </w:footnote>
  <w:footnote w:type="continuationSeparator" w:id="0">
    <w:p w14:paraId="1091949E" w14:textId="77777777" w:rsidR="0086225E" w:rsidRDefault="0086225E" w:rsidP="00803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4E138" w14:textId="77777777" w:rsidR="00E36B2F" w:rsidRPr="00E36B2F" w:rsidRDefault="00E36B2F" w:rsidP="00E36B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33541-02-20</w:t>
    </w:r>
    <w:r>
      <w:rPr>
        <w:rFonts w:ascii="David" w:hAnsi="David"/>
        <w:color w:val="000000"/>
        <w:sz w:val="22"/>
        <w:szCs w:val="22"/>
        <w:rtl/>
      </w:rPr>
      <w:tab/>
      <w:t xml:space="preserve"> מדינת ישראל נ' חדיקה שרחה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CA1EF" w14:textId="77777777" w:rsidR="00E36B2F" w:rsidRPr="00E36B2F" w:rsidRDefault="00E36B2F" w:rsidP="00E36B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33541-02-20</w:t>
    </w:r>
    <w:r>
      <w:rPr>
        <w:rFonts w:ascii="David" w:hAnsi="David"/>
        <w:color w:val="000000"/>
        <w:sz w:val="22"/>
        <w:szCs w:val="22"/>
        <w:rtl/>
      </w:rPr>
      <w:tab/>
      <w:t xml:space="preserve"> מדינת ישראל נ' חדיקה שרחה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A71D4"/>
    <w:multiLevelType w:val="hybridMultilevel"/>
    <w:tmpl w:val="D0DC2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04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4C6E"/>
    <w:rsid w:val="000A458E"/>
    <w:rsid w:val="001604A9"/>
    <w:rsid w:val="00337A01"/>
    <w:rsid w:val="003A33AF"/>
    <w:rsid w:val="004F0945"/>
    <w:rsid w:val="00546EBD"/>
    <w:rsid w:val="00803D7C"/>
    <w:rsid w:val="0086225E"/>
    <w:rsid w:val="00907916"/>
    <w:rsid w:val="00C41F74"/>
    <w:rsid w:val="00C63F51"/>
    <w:rsid w:val="00CB277C"/>
    <w:rsid w:val="00D31E08"/>
    <w:rsid w:val="00D44C6E"/>
    <w:rsid w:val="00DB12E8"/>
    <w:rsid w:val="00DD21BA"/>
    <w:rsid w:val="00E36B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D87A5B"/>
  <w15:chartTrackingRefBased/>
  <w15:docId w15:val="{B1D721AE-548C-41F2-A297-97C81AB9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4C6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4C6E"/>
    <w:pPr>
      <w:tabs>
        <w:tab w:val="center" w:pos="4153"/>
        <w:tab w:val="right" w:pos="8306"/>
      </w:tabs>
    </w:pPr>
  </w:style>
  <w:style w:type="character" w:customStyle="1" w:styleId="a4">
    <w:name w:val="כותרת עליונה תו"/>
    <w:link w:val="a3"/>
    <w:rsid w:val="00D44C6E"/>
    <w:rPr>
      <w:rFonts w:ascii="Times New Roman" w:eastAsia="Times New Roman" w:hAnsi="Times New Roman" w:cs="David"/>
      <w:sz w:val="24"/>
      <w:szCs w:val="24"/>
    </w:rPr>
  </w:style>
  <w:style w:type="paragraph" w:styleId="a5">
    <w:name w:val="footer"/>
    <w:basedOn w:val="a"/>
    <w:link w:val="a6"/>
    <w:rsid w:val="00D44C6E"/>
    <w:pPr>
      <w:tabs>
        <w:tab w:val="center" w:pos="4153"/>
        <w:tab w:val="right" w:pos="8306"/>
      </w:tabs>
    </w:pPr>
  </w:style>
  <w:style w:type="character" w:customStyle="1" w:styleId="a6">
    <w:name w:val="כותרת תחתונה תו"/>
    <w:link w:val="a5"/>
    <w:rsid w:val="00D44C6E"/>
    <w:rPr>
      <w:rFonts w:ascii="Times New Roman" w:eastAsia="Times New Roman" w:hAnsi="Times New Roman" w:cs="David"/>
      <w:sz w:val="24"/>
      <w:szCs w:val="24"/>
    </w:rPr>
  </w:style>
  <w:style w:type="table" w:styleId="a7">
    <w:name w:val="Table Grid"/>
    <w:basedOn w:val="a1"/>
    <w:rsid w:val="00D44C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4C6E"/>
  </w:style>
  <w:style w:type="paragraph" w:styleId="a9">
    <w:name w:val="List Paragraph"/>
    <w:basedOn w:val="a"/>
    <w:qFormat/>
    <w:rsid w:val="00D44C6E"/>
    <w:pPr>
      <w:ind w:left="720"/>
      <w:contextualSpacing/>
    </w:pPr>
  </w:style>
  <w:style w:type="character" w:styleId="Hyperlink">
    <w:name w:val="Hyperlink"/>
    <w:rsid w:val="00E36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8793360" TargetMode="External"/><Relationship Id="rId21" Type="http://schemas.openxmlformats.org/officeDocument/2006/relationships/hyperlink" Target="http://www.nevo.co.il/case/5738608"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287.a"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case/2548980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6039693"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a" TargetMode="External"/><Relationship Id="rId24" Type="http://schemas.openxmlformats.org/officeDocument/2006/relationships/hyperlink" Target="http://www.nevo.co.il/case/26246488"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law/70301/40i.a"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6039694"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585052" TargetMode="External"/><Relationship Id="rId27" Type="http://schemas.openxmlformats.org/officeDocument/2006/relationships/hyperlink" Target="http://www.nevo.co.il/case/25073654" TargetMode="External"/><Relationship Id="rId30" Type="http://schemas.openxmlformats.org/officeDocument/2006/relationships/hyperlink" Target="http://www.nevo.co.il/law/70301/40ja"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3232</Words>
  <Characters>16165</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19359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4915208</vt:i4>
      </vt:variant>
      <vt:variant>
        <vt:i4>63</vt:i4>
      </vt:variant>
      <vt:variant>
        <vt:i4>0</vt:i4>
      </vt:variant>
      <vt:variant>
        <vt:i4>5</vt:i4>
      </vt:variant>
      <vt:variant>
        <vt:lpwstr>http://www.nevo.co.il/law/70301/40i.a</vt:lpwstr>
      </vt:variant>
      <vt:variant>
        <vt:lpwstr/>
      </vt:variant>
      <vt:variant>
        <vt:i4>3407984</vt:i4>
      </vt:variant>
      <vt:variant>
        <vt:i4>60</vt:i4>
      </vt:variant>
      <vt:variant>
        <vt:i4>0</vt:i4>
      </vt:variant>
      <vt:variant>
        <vt:i4>5</vt:i4>
      </vt:variant>
      <vt:variant>
        <vt:lpwstr>http://www.nevo.co.il/case/25073654</vt:lpwstr>
      </vt:variant>
      <vt:variant>
        <vt:lpwstr/>
      </vt:variant>
      <vt:variant>
        <vt:i4>3342454</vt:i4>
      </vt:variant>
      <vt:variant>
        <vt:i4>57</vt:i4>
      </vt:variant>
      <vt:variant>
        <vt:i4>0</vt:i4>
      </vt:variant>
      <vt:variant>
        <vt:i4>5</vt:i4>
      </vt:variant>
      <vt:variant>
        <vt:lpwstr>http://www.nevo.co.il/case/18793360</vt:lpwstr>
      </vt:variant>
      <vt:variant>
        <vt:lpwstr/>
      </vt:variant>
      <vt:variant>
        <vt:i4>4128881</vt:i4>
      </vt:variant>
      <vt:variant>
        <vt:i4>54</vt:i4>
      </vt:variant>
      <vt:variant>
        <vt:i4>0</vt:i4>
      </vt:variant>
      <vt:variant>
        <vt:i4>5</vt:i4>
      </vt:variant>
      <vt:variant>
        <vt:lpwstr>http://www.nevo.co.il/case/25489806</vt:lpwstr>
      </vt:variant>
      <vt:variant>
        <vt:lpwstr/>
      </vt:variant>
      <vt:variant>
        <vt:i4>4063346</vt:i4>
      </vt:variant>
      <vt:variant>
        <vt:i4>51</vt:i4>
      </vt:variant>
      <vt:variant>
        <vt:i4>0</vt:i4>
      </vt:variant>
      <vt:variant>
        <vt:i4>5</vt:i4>
      </vt:variant>
      <vt:variant>
        <vt:lpwstr>http://www.nevo.co.il/case/26246488</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4128881</vt:i4>
      </vt:variant>
      <vt:variant>
        <vt:i4>45</vt:i4>
      </vt:variant>
      <vt:variant>
        <vt:i4>0</vt:i4>
      </vt:variant>
      <vt:variant>
        <vt:i4>5</vt:i4>
      </vt:variant>
      <vt:variant>
        <vt:lpwstr>http://www.nevo.co.il/case/5585052</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3276919</vt:i4>
      </vt:variant>
      <vt:variant>
        <vt:i4>39</vt:i4>
      </vt:variant>
      <vt:variant>
        <vt:i4>0</vt:i4>
      </vt:variant>
      <vt:variant>
        <vt:i4>5</vt:i4>
      </vt:variant>
      <vt:variant>
        <vt:lpwstr>http://www.nevo.co.il/case/26039693</vt:lpwstr>
      </vt:variant>
      <vt:variant>
        <vt:lpwstr/>
      </vt:variant>
      <vt:variant>
        <vt:i4>3276919</vt:i4>
      </vt:variant>
      <vt:variant>
        <vt:i4>36</vt:i4>
      </vt:variant>
      <vt:variant>
        <vt:i4>0</vt:i4>
      </vt:variant>
      <vt:variant>
        <vt:i4>5</vt:i4>
      </vt:variant>
      <vt:variant>
        <vt:lpwstr>http://www.nevo.co.il/case/26039694</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33541</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חדיקה שרחה</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20201111</vt:lpwstr>
  </property>
  <property fmtid="{D5CDD505-2E9C-101B-9397-08002B2CF9AE}" pid="13" name="TYPE_N_DATE">
    <vt:lpwstr>39020201111</vt:lpwstr>
  </property>
  <property fmtid="{D5CDD505-2E9C-101B-9397-08002B2CF9AE}" pid="14" name="WORDNUMPAGES">
    <vt:lpwstr>10</vt:lpwstr>
  </property>
  <property fmtid="{D5CDD505-2E9C-101B-9397-08002B2CF9AE}" pid="15" name="TYPE_ABS_DATE">
    <vt:lpwstr>390020201111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26039694;26039693;5738608;5585052;21644133;26246488;25489806;18793360;25073654</vt:lpwstr>
  </property>
  <property fmtid="{D5CDD505-2E9C-101B-9397-08002B2CF9AE}" pid="36" name="LAWLISTTMP1">
    <vt:lpwstr>4216/013;019a</vt:lpwstr>
  </property>
  <property fmtid="{D5CDD505-2E9C-101B-9397-08002B2CF9AE}" pid="37" name="LAWLISTTMP2">
    <vt:lpwstr>70301/287.a;040i.a;40ja</vt:lpwstr>
  </property>
</Properties>
</file>