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2832"/>
        <w:gridCol w:w="2976"/>
        <w:gridCol w:w="2697"/>
      </w:tblGrid>
      <w:tr w:rsidR="000E4E84" w:rsidRPr="009A7009" w14:paraId="60294378" w14:textId="77777777" w:rsidTr="00874DB1">
        <w:trPr>
          <w:trHeight w:val="418"/>
          <w:jc w:val="center"/>
        </w:trPr>
        <w:tc>
          <w:tcPr>
            <w:tcW w:w="8505" w:type="dxa"/>
            <w:gridSpan w:val="3"/>
          </w:tcPr>
          <w:p w14:paraId="3329A846" w14:textId="77777777" w:rsidR="000E4E84" w:rsidRPr="009A7009" w:rsidRDefault="000E4E84" w:rsidP="00874DB1">
            <w:pPr>
              <w:tabs>
                <w:tab w:val="center" w:pos="4153"/>
                <w:tab w:val="right" w:pos="8306"/>
              </w:tabs>
              <w:spacing w:line="360" w:lineRule="auto"/>
              <w:ind w:left="567" w:hanging="567"/>
              <w:jc w:val="center"/>
              <w:rPr>
                <w:rFonts w:ascii="Tahoma" w:hAnsi="Tahoma" w:cs="Tahoma"/>
                <w:color w:val="0F0246"/>
                <w:sz w:val="18"/>
                <w:szCs w:val="18"/>
                <w:rtl/>
              </w:rPr>
            </w:pPr>
            <w:bookmarkStart w:id="0" w:name="LastJudge"/>
            <w:r w:rsidRPr="009A7009">
              <w:rPr>
                <w:rFonts w:ascii="Tahoma" w:hAnsi="Tahoma" w:cs="Tahoma"/>
                <w:color w:val="0F0246"/>
                <w:sz w:val="18"/>
                <w:szCs w:val="18"/>
                <w:rtl/>
              </w:rPr>
              <w:t>בית המשפט המחוזי בחיפה</w:t>
            </w:r>
          </w:p>
        </w:tc>
      </w:tr>
      <w:tr w:rsidR="000E4E84" w:rsidRPr="009A7009" w14:paraId="37525692" w14:textId="77777777" w:rsidTr="00874DB1">
        <w:trPr>
          <w:trHeight w:val="699"/>
          <w:jc w:val="center"/>
        </w:trPr>
        <w:tc>
          <w:tcPr>
            <w:tcW w:w="2832" w:type="dxa"/>
            <w:tcBorders>
              <w:top w:val="nil"/>
              <w:left w:val="nil"/>
              <w:bottom w:val="single" w:sz="4" w:space="0" w:color="auto"/>
              <w:right w:val="nil"/>
            </w:tcBorders>
          </w:tcPr>
          <w:p w14:paraId="2A0E3BB8" w14:textId="77777777" w:rsidR="000E4E84" w:rsidRPr="009A7009" w:rsidRDefault="000E4E84" w:rsidP="00874DB1">
            <w:pPr>
              <w:rPr>
                <w:rFonts w:ascii="David" w:eastAsia="Calibri" w:hAnsi="David"/>
                <w:b/>
                <w:bCs/>
                <w:rtl/>
              </w:rPr>
            </w:pPr>
            <w:r w:rsidRPr="009A7009">
              <w:rPr>
                <w:rFonts w:ascii="David" w:eastAsia="Calibri" w:hAnsi="David"/>
                <w:b/>
                <w:bCs/>
                <w:rtl/>
              </w:rPr>
              <w:t>ת"פ 36724-02-20</w:t>
            </w:r>
          </w:p>
          <w:p w14:paraId="7F15D59C" w14:textId="77777777" w:rsidR="000E4E84" w:rsidRPr="009A7009" w:rsidRDefault="000E4E84" w:rsidP="00874DB1">
            <w:pPr>
              <w:rPr>
                <w:rFonts w:ascii="David" w:eastAsia="Calibri" w:hAnsi="David"/>
                <w:b/>
                <w:bCs/>
                <w:rtl/>
              </w:rPr>
            </w:pPr>
            <w:r w:rsidRPr="009A7009">
              <w:rPr>
                <w:rFonts w:ascii="David" w:eastAsia="Calibri" w:hAnsi="David"/>
                <w:b/>
                <w:bCs/>
                <w:rtl/>
              </w:rPr>
              <w:t>מדינת ישראל נ' גיא אבוטבול</w:t>
            </w:r>
          </w:p>
        </w:tc>
        <w:tc>
          <w:tcPr>
            <w:tcW w:w="2976" w:type="dxa"/>
          </w:tcPr>
          <w:p w14:paraId="03B0C4BA" w14:textId="77777777" w:rsidR="000E4E84" w:rsidRPr="009A7009" w:rsidRDefault="000E4E84" w:rsidP="00874DB1">
            <w:pPr>
              <w:tabs>
                <w:tab w:val="center" w:pos="4153"/>
                <w:tab w:val="right" w:pos="8306"/>
              </w:tabs>
              <w:ind w:left="567" w:hanging="567"/>
              <w:jc w:val="center"/>
              <w:rPr>
                <w:rFonts w:ascii="David" w:hAnsi="David"/>
                <w:b/>
                <w:bCs/>
                <w:color w:val="000054"/>
                <w:rtl/>
              </w:rPr>
            </w:pPr>
          </w:p>
        </w:tc>
        <w:tc>
          <w:tcPr>
            <w:tcW w:w="2697" w:type="dxa"/>
            <w:tcBorders>
              <w:top w:val="nil"/>
              <w:left w:val="nil"/>
              <w:bottom w:val="single" w:sz="4" w:space="0" w:color="auto"/>
              <w:right w:val="nil"/>
            </w:tcBorders>
          </w:tcPr>
          <w:p w14:paraId="2F77BB35" w14:textId="77777777" w:rsidR="000E4E84" w:rsidRPr="009A7009" w:rsidRDefault="000E4E84" w:rsidP="00874DB1">
            <w:pPr>
              <w:tabs>
                <w:tab w:val="center" w:pos="4153"/>
                <w:tab w:val="right" w:pos="8306"/>
              </w:tabs>
              <w:ind w:left="567" w:hanging="567"/>
              <w:jc w:val="center"/>
              <w:rPr>
                <w:rFonts w:ascii="David" w:hAnsi="David"/>
                <w:b/>
                <w:bCs/>
                <w:rtl/>
              </w:rPr>
            </w:pPr>
          </w:p>
          <w:p w14:paraId="1F55BD78" w14:textId="77777777" w:rsidR="000E4E84" w:rsidRPr="009A7009" w:rsidRDefault="000E4E84" w:rsidP="00874DB1">
            <w:pPr>
              <w:tabs>
                <w:tab w:val="center" w:pos="4153"/>
                <w:tab w:val="right" w:pos="8306"/>
              </w:tabs>
              <w:ind w:left="567" w:hanging="567"/>
              <w:jc w:val="center"/>
              <w:rPr>
                <w:rFonts w:ascii="David" w:hAnsi="David"/>
                <w:b/>
                <w:bCs/>
                <w:rtl/>
              </w:rPr>
            </w:pPr>
            <w:r w:rsidRPr="009A7009">
              <w:rPr>
                <w:rFonts w:ascii="David" w:hAnsi="David"/>
                <w:b/>
                <w:bCs/>
                <w:rtl/>
              </w:rPr>
              <w:t>22.4.2021</w:t>
            </w:r>
          </w:p>
        </w:tc>
      </w:tr>
    </w:tbl>
    <w:p w14:paraId="6CCFFECC" w14:textId="77777777" w:rsidR="000E4E84" w:rsidRPr="009A7009" w:rsidRDefault="000E4E84" w:rsidP="000E4E84">
      <w:pPr>
        <w:rPr>
          <w:rFonts w:ascii="David" w:eastAsia="Calibri" w:hAnsi="David"/>
          <w:rtl/>
        </w:rPr>
      </w:pPr>
    </w:p>
    <w:p w14:paraId="026EB733" w14:textId="77777777" w:rsidR="000E4E84" w:rsidRPr="009A7009" w:rsidRDefault="000E4E84" w:rsidP="000E4E84">
      <w:pPr>
        <w:tabs>
          <w:tab w:val="left" w:pos="3708"/>
        </w:tabs>
        <w:spacing w:after="160" w:line="256" w:lineRule="auto"/>
        <w:rPr>
          <w:rtl/>
        </w:rPr>
      </w:pPr>
      <w:r w:rsidRPr="009A7009">
        <w:rPr>
          <w:rFonts w:ascii="Calibri" w:eastAsia="Calibri" w:hAnsi="Calibri" w:cs="Arial"/>
          <w:sz w:val="22"/>
          <w:szCs w:val="22"/>
          <w:rtl/>
        </w:rPr>
        <w:tab/>
      </w:r>
    </w:p>
    <w:p w14:paraId="6C76BFF8" w14:textId="77777777" w:rsidR="000E4E84" w:rsidRPr="009A7009" w:rsidRDefault="000E4E84" w:rsidP="000E4E84">
      <w:pPr>
        <w:spacing w:after="160" w:line="256" w:lineRule="auto"/>
        <w:ind w:left="567" w:hanging="567"/>
        <w:jc w:val="both"/>
        <w:rPr>
          <w:rFonts w:ascii="David" w:eastAsia="Calibri" w:hAnsi="David"/>
          <w:rtl/>
        </w:rPr>
      </w:pPr>
    </w:p>
    <w:p w14:paraId="22AF7FE3" w14:textId="77777777" w:rsidR="000E4E84" w:rsidRPr="009A7009" w:rsidRDefault="000E4E84" w:rsidP="000E4E84">
      <w:pPr>
        <w:spacing w:after="160" w:line="256" w:lineRule="auto"/>
        <w:ind w:left="567" w:hanging="567"/>
        <w:jc w:val="both"/>
        <w:rPr>
          <w:rFonts w:ascii="David" w:eastAsia="Calibri" w:hAnsi="David"/>
          <w:rtl/>
        </w:rPr>
      </w:pPr>
    </w:p>
    <w:tbl>
      <w:tblPr>
        <w:bidiVisual/>
        <w:tblW w:w="8647" w:type="dxa"/>
        <w:tblLayout w:type="fixed"/>
        <w:tblCellMar>
          <w:left w:w="107" w:type="dxa"/>
          <w:right w:w="107" w:type="dxa"/>
        </w:tblCellMar>
        <w:tblLook w:val="04A0" w:firstRow="1" w:lastRow="0" w:firstColumn="1" w:lastColumn="0" w:noHBand="0" w:noVBand="1"/>
      </w:tblPr>
      <w:tblGrid>
        <w:gridCol w:w="1418"/>
        <w:gridCol w:w="3451"/>
        <w:gridCol w:w="1417"/>
        <w:gridCol w:w="2361"/>
      </w:tblGrid>
      <w:tr w:rsidR="000E4E84" w:rsidRPr="009A7009" w14:paraId="0DFDB01E" w14:textId="77777777" w:rsidTr="00874DB1">
        <w:trPr>
          <w:trHeight w:val="495"/>
        </w:trPr>
        <w:tc>
          <w:tcPr>
            <w:tcW w:w="6286" w:type="dxa"/>
            <w:gridSpan w:val="3"/>
          </w:tcPr>
          <w:p w14:paraId="41C9FC82" w14:textId="77777777" w:rsidR="000E4E84" w:rsidRPr="009A7009" w:rsidRDefault="000E4E84" w:rsidP="00874DB1">
            <w:pPr>
              <w:suppressLineNumbers/>
              <w:overflowPunct w:val="0"/>
              <w:autoSpaceDE w:val="0"/>
              <w:autoSpaceDN w:val="0"/>
              <w:adjustRightInd w:val="0"/>
              <w:spacing w:line="360" w:lineRule="auto"/>
              <w:rPr>
                <w:b/>
                <w:bCs/>
                <w:sz w:val="22"/>
                <w:rtl/>
                <w:lang w:eastAsia="he-IL"/>
              </w:rPr>
            </w:pPr>
            <w:r w:rsidRPr="009A7009">
              <w:rPr>
                <w:b/>
                <w:bCs/>
                <w:sz w:val="22"/>
                <w:rtl/>
                <w:lang w:eastAsia="he-IL"/>
              </w:rPr>
              <w:t>לפני השופט יצחק כהן</w:t>
            </w:r>
          </w:p>
        </w:tc>
        <w:tc>
          <w:tcPr>
            <w:tcW w:w="2361" w:type="dxa"/>
          </w:tcPr>
          <w:p w14:paraId="7CE8E748" w14:textId="77777777" w:rsidR="000E4E84" w:rsidRPr="009A7009" w:rsidRDefault="000E4E84" w:rsidP="00874DB1">
            <w:pPr>
              <w:suppressLineNumbers/>
              <w:overflowPunct w:val="0"/>
              <w:autoSpaceDE w:val="0"/>
              <w:autoSpaceDN w:val="0"/>
              <w:adjustRightInd w:val="0"/>
              <w:spacing w:line="256" w:lineRule="auto"/>
              <w:rPr>
                <w:b/>
                <w:bCs/>
                <w:sz w:val="22"/>
                <w:szCs w:val="26"/>
                <w:rtl/>
                <w:lang w:eastAsia="he-IL"/>
              </w:rPr>
            </w:pPr>
          </w:p>
        </w:tc>
      </w:tr>
      <w:tr w:rsidR="000E4E84" w:rsidRPr="009A7009" w14:paraId="4D3ECF2E" w14:textId="77777777" w:rsidTr="00874DB1">
        <w:trPr>
          <w:trHeight w:val="495"/>
        </w:trPr>
        <w:tc>
          <w:tcPr>
            <w:tcW w:w="1418" w:type="dxa"/>
          </w:tcPr>
          <w:p w14:paraId="585A2538" w14:textId="77777777" w:rsidR="000E4E84" w:rsidRPr="009A7009" w:rsidRDefault="000E4E84" w:rsidP="00874DB1">
            <w:pPr>
              <w:suppressLineNumbers/>
              <w:overflowPunct w:val="0"/>
              <w:autoSpaceDE w:val="0"/>
              <w:autoSpaceDN w:val="0"/>
              <w:adjustRightInd w:val="0"/>
              <w:spacing w:line="256" w:lineRule="auto"/>
              <w:rPr>
                <w:b/>
                <w:bCs/>
                <w:sz w:val="22"/>
                <w:rtl/>
                <w:lang w:eastAsia="he-IL"/>
              </w:rPr>
            </w:pPr>
          </w:p>
        </w:tc>
        <w:tc>
          <w:tcPr>
            <w:tcW w:w="4868" w:type="dxa"/>
            <w:gridSpan w:val="2"/>
          </w:tcPr>
          <w:p w14:paraId="1552C9A3" w14:textId="77777777" w:rsidR="000E4E84" w:rsidRPr="009A7009" w:rsidRDefault="000E4E84" w:rsidP="00874DB1">
            <w:pPr>
              <w:suppressLineNumbers/>
              <w:overflowPunct w:val="0"/>
              <w:autoSpaceDE w:val="0"/>
              <w:autoSpaceDN w:val="0"/>
              <w:adjustRightInd w:val="0"/>
              <w:spacing w:line="360" w:lineRule="auto"/>
              <w:rPr>
                <w:b/>
                <w:bCs/>
                <w:sz w:val="22"/>
                <w:rtl/>
                <w:lang w:eastAsia="he-IL"/>
              </w:rPr>
            </w:pPr>
          </w:p>
        </w:tc>
        <w:tc>
          <w:tcPr>
            <w:tcW w:w="2361" w:type="dxa"/>
          </w:tcPr>
          <w:p w14:paraId="240E2219" w14:textId="77777777" w:rsidR="000E4E84" w:rsidRPr="009A7009" w:rsidRDefault="000E4E84" w:rsidP="00874DB1">
            <w:pPr>
              <w:suppressLineNumbers/>
              <w:overflowPunct w:val="0"/>
              <w:autoSpaceDE w:val="0"/>
              <w:autoSpaceDN w:val="0"/>
              <w:adjustRightInd w:val="0"/>
              <w:spacing w:line="256" w:lineRule="auto"/>
              <w:rPr>
                <w:b/>
                <w:bCs/>
                <w:sz w:val="22"/>
                <w:szCs w:val="26"/>
                <w:rtl/>
                <w:lang w:eastAsia="he-IL"/>
              </w:rPr>
            </w:pPr>
          </w:p>
        </w:tc>
      </w:tr>
      <w:tr w:rsidR="000E4E84" w:rsidRPr="009A7009" w14:paraId="1E444A5C" w14:textId="77777777" w:rsidTr="00874DB1">
        <w:trPr>
          <w:trHeight w:val="285"/>
        </w:trPr>
        <w:tc>
          <w:tcPr>
            <w:tcW w:w="1418" w:type="dxa"/>
          </w:tcPr>
          <w:p w14:paraId="7D9EF717" w14:textId="77777777" w:rsidR="000E4E84" w:rsidRPr="009A7009" w:rsidRDefault="000E4E84" w:rsidP="00874DB1">
            <w:pPr>
              <w:suppressLineNumbers/>
              <w:overflowPunct w:val="0"/>
              <w:autoSpaceDE w:val="0"/>
              <w:autoSpaceDN w:val="0"/>
              <w:adjustRightInd w:val="0"/>
              <w:spacing w:line="256" w:lineRule="auto"/>
              <w:rPr>
                <w:b/>
                <w:bCs/>
                <w:sz w:val="22"/>
                <w:rtl/>
                <w:lang w:eastAsia="he-IL"/>
              </w:rPr>
            </w:pPr>
          </w:p>
        </w:tc>
        <w:tc>
          <w:tcPr>
            <w:tcW w:w="4868" w:type="dxa"/>
            <w:gridSpan w:val="2"/>
          </w:tcPr>
          <w:p w14:paraId="567A3653" w14:textId="77777777" w:rsidR="000E4E84" w:rsidRPr="009A7009" w:rsidRDefault="000E4E84" w:rsidP="00874DB1">
            <w:pPr>
              <w:suppressLineNumbers/>
              <w:overflowPunct w:val="0"/>
              <w:autoSpaceDE w:val="0"/>
              <w:autoSpaceDN w:val="0"/>
              <w:adjustRightInd w:val="0"/>
              <w:spacing w:line="360" w:lineRule="auto"/>
              <w:rPr>
                <w:b/>
                <w:bCs/>
                <w:sz w:val="22"/>
                <w:rtl/>
                <w:lang w:eastAsia="he-IL"/>
              </w:rPr>
            </w:pPr>
            <w:r w:rsidRPr="009A7009">
              <w:rPr>
                <w:b/>
                <w:bCs/>
                <w:sz w:val="22"/>
                <w:rtl/>
                <w:lang w:eastAsia="he-IL"/>
              </w:rPr>
              <w:t>מדינת ישראל</w:t>
            </w:r>
          </w:p>
        </w:tc>
        <w:tc>
          <w:tcPr>
            <w:tcW w:w="2361" w:type="dxa"/>
          </w:tcPr>
          <w:p w14:paraId="2982E97E" w14:textId="77777777" w:rsidR="000E4E84" w:rsidRPr="009A7009" w:rsidRDefault="000E4E84" w:rsidP="00874DB1">
            <w:pPr>
              <w:suppressLineNumbers/>
              <w:overflowPunct w:val="0"/>
              <w:autoSpaceDE w:val="0"/>
              <w:autoSpaceDN w:val="0"/>
              <w:adjustRightInd w:val="0"/>
              <w:spacing w:line="256" w:lineRule="auto"/>
              <w:rPr>
                <w:b/>
                <w:bCs/>
                <w:sz w:val="22"/>
                <w:szCs w:val="26"/>
                <w:rtl/>
                <w:lang w:eastAsia="he-IL"/>
              </w:rPr>
            </w:pPr>
          </w:p>
        </w:tc>
      </w:tr>
      <w:tr w:rsidR="000E4E84" w:rsidRPr="009A7009" w14:paraId="428C7D48" w14:textId="77777777" w:rsidTr="00874DB1">
        <w:tc>
          <w:tcPr>
            <w:tcW w:w="1418" w:type="dxa"/>
          </w:tcPr>
          <w:p w14:paraId="3CE57F1E" w14:textId="77777777" w:rsidR="000E4E84" w:rsidRPr="009A7009" w:rsidRDefault="000E4E84" w:rsidP="00874DB1">
            <w:pPr>
              <w:suppressLineNumbers/>
              <w:overflowPunct w:val="0"/>
              <w:autoSpaceDE w:val="0"/>
              <w:autoSpaceDN w:val="0"/>
              <w:adjustRightInd w:val="0"/>
              <w:spacing w:line="256" w:lineRule="auto"/>
              <w:rPr>
                <w:b/>
                <w:bCs/>
                <w:sz w:val="22"/>
                <w:rtl/>
                <w:lang w:eastAsia="he-IL"/>
              </w:rPr>
            </w:pPr>
            <w:bookmarkStart w:id="1" w:name="FirstAppellant" w:colFirst="0" w:colLast="0"/>
            <w:bookmarkStart w:id="2" w:name="FirstLawyer"/>
          </w:p>
        </w:tc>
        <w:tc>
          <w:tcPr>
            <w:tcW w:w="4868" w:type="dxa"/>
            <w:gridSpan w:val="2"/>
          </w:tcPr>
          <w:p w14:paraId="4B4A779E" w14:textId="77777777" w:rsidR="000E4E84" w:rsidRPr="009A7009" w:rsidRDefault="000E4E84" w:rsidP="00874DB1">
            <w:pPr>
              <w:suppressLineNumbers/>
              <w:overflowPunct w:val="0"/>
              <w:autoSpaceDE w:val="0"/>
              <w:autoSpaceDN w:val="0"/>
              <w:adjustRightInd w:val="0"/>
              <w:spacing w:line="256" w:lineRule="auto"/>
              <w:rPr>
                <w:sz w:val="22"/>
                <w:szCs w:val="22"/>
                <w:rtl/>
                <w:lang w:eastAsia="he-IL"/>
              </w:rPr>
            </w:pPr>
            <w:r w:rsidRPr="009A7009">
              <w:rPr>
                <w:sz w:val="22"/>
                <w:szCs w:val="22"/>
                <w:rtl/>
                <w:lang w:eastAsia="he-IL"/>
              </w:rPr>
              <w:t>ע"י ב"כ עוה"ד נג'וא סלימאן וסיוון קוסטר</w:t>
            </w:r>
          </w:p>
        </w:tc>
        <w:tc>
          <w:tcPr>
            <w:tcW w:w="2361" w:type="dxa"/>
          </w:tcPr>
          <w:p w14:paraId="02DBBA73" w14:textId="77777777" w:rsidR="000E4E84" w:rsidRPr="009A7009" w:rsidRDefault="000E4E84" w:rsidP="00874DB1">
            <w:pPr>
              <w:suppressLineNumbers/>
              <w:overflowPunct w:val="0"/>
              <w:autoSpaceDE w:val="0"/>
              <w:autoSpaceDN w:val="0"/>
              <w:adjustRightInd w:val="0"/>
              <w:spacing w:line="256" w:lineRule="auto"/>
              <w:rPr>
                <w:b/>
                <w:bCs/>
                <w:sz w:val="22"/>
                <w:szCs w:val="26"/>
                <w:rtl/>
                <w:lang w:eastAsia="he-IL"/>
              </w:rPr>
            </w:pPr>
            <w:r w:rsidRPr="009A7009">
              <w:rPr>
                <w:b/>
                <w:bCs/>
                <w:sz w:val="22"/>
                <w:szCs w:val="22"/>
                <w:rtl/>
                <w:lang w:eastAsia="he-IL"/>
              </w:rPr>
              <w:t>המערער</w:t>
            </w:r>
          </w:p>
        </w:tc>
      </w:tr>
      <w:bookmarkEnd w:id="2"/>
      <w:tr w:rsidR="000E4E84" w:rsidRPr="009A7009" w14:paraId="3CCF61A4" w14:textId="77777777" w:rsidTr="00874DB1">
        <w:trPr>
          <w:trHeight w:val="123"/>
        </w:trPr>
        <w:tc>
          <w:tcPr>
            <w:tcW w:w="1418" w:type="dxa"/>
          </w:tcPr>
          <w:p w14:paraId="22AF1325" w14:textId="77777777" w:rsidR="000E4E84" w:rsidRPr="009A7009" w:rsidRDefault="000E4E84" w:rsidP="00874DB1">
            <w:pPr>
              <w:suppressLineNumbers/>
              <w:overflowPunct w:val="0"/>
              <w:autoSpaceDE w:val="0"/>
              <w:autoSpaceDN w:val="0"/>
              <w:adjustRightInd w:val="0"/>
              <w:spacing w:before="600" w:line="256" w:lineRule="auto"/>
              <w:jc w:val="center"/>
              <w:rPr>
                <w:b/>
                <w:bCs/>
                <w:sz w:val="22"/>
                <w:rtl/>
                <w:lang w:eastAsia="he-IL"/>
              </w:rPr>
            </w:pPr>
          </w:p>
        </w:tc>
        <w:tc>
          <w:tcPr>
            <w:tcW w:w="4868" w:type="dxa"/>
            <w:gridSpan w:val="2"/>
            <w:vAlign w:val="center"/>
          </w:tcPr>
          <w:p w14:paraId="317E30B5" w14:textId="77777777" w:rsidR="000E4E84" w:rsidRPr="009A7009" w:rsidRDefault="000E4E84" w:rsidP="00874DB1">
            <w:pPr>
              <w:suppressLineNumbers/>
              <w:overflowPunct w:val="0"/>
              <w:autoSpaceDE w:val="0"/>
              <w:autoSpaceDN w:val="0"/>
              <w:adjustRightInd w:val="0"/>
              <w:spacing w:line="256" w:lineRule="auto"/>
              <w:jc w:val="center"/>
              <w:rPr>
                <w:b/>
                <w:bCs/>
                <w:sz w:val="22"/>
                <w:rtl/>
                <w:lang w:eastAsia="he-IL"/>
              </w:rPr>
            </w:pPr>
            <w:r w:rsidRPr="009A7009">
              <w:rPr>
                <w:b/>
                <w:bCs/>
                <w:sz w:val="22"/>
                <w:rtl/>
                <w:lang w:eastAsia="he-IL"/>
              </w:rPr>
              <w:t>נגד</w:t>
            </w:r>
          </w:p>
        </w:tc>
        <w:tc>
          <w:tcPr>
            <w:tcW w:w="2361" w:type="dxa"/>
          </w:tcPr>
          <w:p w14:paraId="511F676B" w14:textId="77777777" w:rsidR="000E4E84" w:rsidRPr="009A7009" w:rsidRDefault="000E4E84" w:rsidP="00874DB1">
            <w:pPr>
              <w:suppressLineNumbers/>
              <w:overflowPunct w:val="0"/>
              <w:autoSpaceDE w:val="0"/>
              <w:autoSpaceDN w:val="0"/>
              <w:adjustRightInd w:val="0"/>
              <w:spacing w:line="256" w:lineRule="auto"/>
              <w:rPr>
                <w:b/>
                <w:bCs/>
                <w:sz w:val="22"/>
                <w:rtl/>
                <w:lang w:eastAsia="he-IL"/>
              </w:rPr>
            </w:pPr>
          </w:p>
        </w:tc>
      </w:tr>
      <w:bookmarkEnd w:id="1"/>
      <w:tr w:rsidR="000E4E84" w:rsidRPr="009A7009" w14:paraId="32B9A24F" w14:textId="77777777" w:rsidTr="00874DB1">
        <w:trPr>
          <w:trHeight w:val="565"/>
        </w:trPr>
        <w:tc>
          <w:tcPr>
            <w:tcW w:w="1418" w:type="dxa"/>
          </w:tcPr>
          <w:p w14:paraId="7AE1AE63" w14:textId="77777777" w:rsidR="000E4E84" w:rsidRPr="009A7009" w:rsidRDefault="000E4E84" w:rsidP="00874DB1">
            <w:pPr>
              <w:suppressLineNumbers/>
              <w:overflowPunct w:val="0"/>
              <w:autoSpaceDE w:val="0"/>
              <w:autoSpaceDN w:val="0"/>
              <w:adjustRightInd w:val="0"/>
              <w:spacing w:line="256" w:lineRule="auto"/>
              <w:rPr>
                <w:b/>
                <w:bCs/>
                <w:sz w:val="22"/>
                <w:rtl/>
                <w:lang w:eastAsia="he-IL"/>
              </w:rPr>
            </w:pPr>
          </w:p>
        </w:tc>
        <w:tc>
          <w:tcPr>
            <w:tcW w:w="4868" w:type="dxa"/>
            <w:gridSpan w:val="2"/>
          </w:tcPr>
          <w:p w14:paraId="3EEBF5B0" w14:textId="77777777" w:rsidR="000E4E84" w:rsidRPr="009A7009" w:rsidRDefault="000E4E84" w:rsidP="00874DB1">
            <w:pPr>
              <w:suppressLineNumbers/>
              <w:overflowPunct w:val="0"/>
              <w:autoSpaceDE w:val="0"/>
              <w:autoSpaceDN w:val="0"/>
              <w:adjustRightInd w:val="0"/>
              <w:spacing w:line="360" w:lineRule="auto"/>
              <w:rPr>
                <w:sz w:val="22"/>
                <w:szCs w:val="22"/>
                <w:rtl/>
                <w:lang w:eastAsia="he-IL"/>
              </w:rPr>
            </w:pPr>
            <w:r w:rsidRPr="009A7009">
              <w:rPr>
                <w:b/>
                <w:bCs/>
                <w:sz w:val="22"/>
                <w:rtl/>
                <w:lang w:eastAsia="he-IL"/>
              </w:rPr>
              <w:t>גיא  (בן שמעון) אבוטבול לגאלי</w:t>
            </w:r>
          </w:p>
        </w:tc>
        <w:tc>
          <w:tcPr>
            <w:tcW w:w="2361" w:type="dxa"/>
          </w:tcPr>
          <w:p w14:paraId="7D3D462A" w14:textId="77777777" w:rsidR="000E4E84" w:rsidRPr="009A7009" w:rsidRDefault="000E4E84" w:rsidP="00874DB1">
            <w:pPr>
              <w:suppressLineNumbers/>
              <w:overflowPunct w:val="0"/>
              <w:autoSpaceDE w:val="0"/>
              <w:autoSpaceDN w:val="0"/>
              <w:adjustRightInd w:val="0"/>
              <w:spacing w:line="256" w:lineRule="auto"/>
              <w:rPr>
                <w:b/>
                <w:bCs/>
                <w:sz w:val="22"/>
                <w:szCs w:val="26"/>
                <w:rtl/>
                <w:lang w:eastAsia="he-IL"/>
              </w:rPr>
            </w:pPr>
          </w:p>
        </w:tc>
      </w:tr>
      <w:tr w:rsidR="000E4E84" w:rsidRPr="009A7009" w14:paraId="65863BE5" w14:textId="77777777" w:rsidTr="00874DB1">
        <w:tc>
          <w:tcPr>
            <w:tcW w:w="1418" w:type="dxa"/>
          </w:tcPr>
          <w:p w14:paraId="16947DA7" w14:textId="77777777" w:rsidR="000E4E84" w:rsidRPr="009A7009" w:rsidRDefault="000E4E84" w:rsidP="00874DB1">
            <w:pPr>
              <w:suppressLineNumbers/>
              <w:overflowPunct w:val="0"/>
              <w:autoSpaceDE w:val="0"/>
              <w:autoSpaceDN w:val="0"/>
              <w:adjustRightInd w:val="0"/>
              <w:spacing w:line="256" w:lineRule="auto"/>
              <w:rPr>
                <w:b/>
                <w:bCs/>
                <w:sz w:val="22"/>
                <w:rtl/>
                <w:lang w:eastAsia="he-IL"/>
              </w:rPr>
            </w:pPr>
          </w:p>
        </w:tc>
        <w:tc>
          <w:tcPr>
            <w:tcW w:w="3451" w:type="dxa"/>
          </w:tcPr>
          <w:p w14:paraId="59A5380C" w14:textId="77777777" w:rsidR="000E4E84" w:rsidRPr="009A7009" w:rsidRDefault="000E4E84" w:rsidP="00874DB1">
            <w:pPr>
              <w:suppressLineNumbers/>
              <w:overflowPunct w:val="0"/>
              <w:autoSpaceDE w:val="0"/>
              <w:autoSpaceDN w:val="0"/>
              <w:adjustRightInd w:val="0"/>
              <w:spacing w:line="256" w:lineRule="auto"/>
              <w:rPr>
                <w:b/>
                <w:bCs/>
                <w:sz w:val="22"/>
                <w:szCs w:val="22"/>
                <w:rtl/>
                <w:lang w:eastAsia="he-IL"/>
              </w:rPr>
            </w:pPr>
            <w:r w:rsidRPr="009A7009">
              <w:rPr>
                <w:sz w:val="22"/>
                <w:szCs w:val="22"/>
                <w:rtl/>
                <w:lang w:eastAsia="he-IL"/>
              </w:rPr>
              <w:t>ע"י ב"כ עו"ד שי לוי</w:t>
            </w:r>
          </w:p>
        </w:tc>
        <w:tc>
          <w:tcPr>
            <w:tcW w:w="1417" w:type="dxa"/>
          </w:tcPr>
          <w:p w14:paraId="32641008" w14:textId="77777777" w:rsidR="000E4E84" w:rsidRPr="009A7009" w:rsidRDefault="000E4E84" w:rsidP="00874DB1">
            <w:pPr>
              <w:suppressLineNumbers/>
              <w:overflowPunct w:val="0"/>
              <w:autoSpaceDE w:val="0"/>
              <w:autoSpaceDN w:val="0"/>
              <w:adjustRightInd w:val="0"/>
              <w:spacing w:line="256" w:lineRule="auto"/>
              <w:rPr>
                <w:sz w:val="22"/>
                <w:szCs w:val="22"/>
                <w:rtl/>
                <w:lang w:eastAsia="he-IL"/>
              </w:rPr>
            </w:pPr>
            <w:r w:rsidRPr="009A7009">
              <w:rPr>
                <w:sz w:val="22"/>
                <w:szCs w:val="22"/>
                <w:rtl/>
                <w:lang w:eastAsia="he-IL"/>
              </w:rPr>
              <w:t xml:space="preserve"> </w:t>
            </w:r>
          </w:p>
        </w:tc>
        <w:tc>
          <w:tcPr>
            <w:tcW w:w="2361" w:type="dxa"/>
          </w:tcPr>
          <w:p w14:paraId="43C7DD6B" w14:textId="77777777" w:rsidR="000E4E84" w:rsidRPr="009A7009" w:rsidRDefault="000E4E84" w:rsidP="00874DB1">
            <w:pPr>
              <w:suppressLineNumbers/>
              <w:overflowPunct w:val="0"/>
              <w:autoSpaceDE w:val="0"/>
              <w:autoSpaceDN w:val="0"/>
              <w:adjustRightInd w:val="0"/>
              <w:spacing w:line="256" w:lineRule="auto"/>
              <w:rPr>
                <w:b/>
                <w:bCs/>
                <w:sz w:val="22"/>
                <w:szCs w:val="26"/>
                <w:rtl/>
                <w:lang w:eastAsia="he-IL"/>
              </w:rPr>
            </w:pPr>
            <w:r w:rsidRPr="009A7009">
              <w:rPr>
                <w:b/>
                <w:bCs/>
                <w:sz w:val="22"/>
                <w:szCs w:val="22"/>
                <w:rtl/>
                <w:lang w:eastAsia="he-IL"/>
              </w:rPr>
              <w:t>הנאשם</w:t>
            </w:r>
          </w:p>
        </w:tc>
      </w:tr>
    </w:tbl>
    <w:p w14:paraId="69B49ADA" w14:textId="77777777" w:rsidR="00E84F7C" w:rsidRDefault="00E84F7C" w:rsidP="009A7009">
      <w:pPr>
        <w:spacing w:after="160" w:line="360" w:lineRule="auto"/>
        <w:ind w:left="567" w:hanging="567"/>
        <w:jc w:val="center"/>
        <w:rPr>
          <w:rFonts w:ascii="David" w:eastAsia="Calibri" w:hAnsi="David"/>
          <w:sz w:val="28"/>
          <w:szCs w:val="28"/>
          <w:rtl/>
        </w:rPr>
      </w:pPr>
    </w:p>
    <w:p w14:paraId="50A59528" w14:textId="77777777" w:rsidR="00E84F7C" w:rsidRPr="00E84F7C" w:rsidRDefault="00E84F7C" w:rsidP="00E84F7C">
      <w:pPr>
        <w:spacing w:after="120" w:line="240" w:lineRule="exact"/>
        <w:ind w:left="283" w:hanging="283"/>
        <w:jc w:val="both"/>
        <w:rPr>
          <w:rFonts w:ascii="FrankRuehl" w:eastAsia="Calibri" w:hAnsi="FrankRuehl" w:cs="FrankRuehl"/>
          <w:rtl/>
        </w:rPr>
      </w:pPr>
    </w:p>
    <w:p w14:paraId="7B57F1F3" w14:textId="77777777" w:rsidR="009E1429" w:rsidRDefault="009E1429" w:rsidP="009E1429">
      <w:pPr>
        <w:spacing w:after="160" w:line="360" w:lineRule="auto"/>
        <w:ind w:left="567" w:hanging="567"/>
        <w:jc w:val="center"/>
        <w:rPr>
          <w:rFonts w:ascii="David" w:eastAsia="Calibri" w:hAnsi="David"/>
          <w:sz w:val="28"/>
          <w:szCs w:val="28"/>
          <w:rtl/>
        </w:rPr>
      </w:pPr>
      <w:bookmarkStart w:id="3" w:name="LawTable"/>
      <w:bookmarkEnd w:id="3"/>
    </w:p>
    <w:p w14:paraId="77E9EFFC" w14:textId="77777777" w:rsidR="009E1429" w:rsidRPr="009E1429" w:rsidRDefault="009E1429" w:rsidP="009E1429">
      <w:pPr>
        <w:spacing w:before="120" w:after="120" w:line="240" w:lineRule="exact"/>
        <w:ind w:left="283" w:hanging="283"/>
        <w:jc w:val="both"/>
        <w:rPr>
          <w:rFonts w:ascii="FrankRuehl" w:eastAsia="Calibri" w:hAnsi="FrankRuehl" w:cs="FrankRuehl"/>
          <w:rtl/>
        </w:rPr>
      </w:pPr>
    </w:p>
    <w:p w14:paraId="64A8885C" w14:textId="77777777" w:rsidR="009E1429" w:rsidRPr="009E1429" w:rsidRDefault="009E1429" w:rsidP="009E1429">
      <w:pPr>
        <w:spacing w:before="120" w:after="120" w:line="240" w:lineRule="exact"/>
        <w:ind w:left="283" w:hanging="283"/>
        <w:jc w:val="both"/>
        <w:rPr>
          <w:rFonts w:ascii="FrankRuehl" w:eastAsia="Calibri" w:hAnsi="FrankRuehl" w:cs="FrankRuehl"/>
          <w:rtl/>
        </w:rPr>
      </w:pPr>
    </w:p>
    <w:p w14:paraId="30842E54" w14:textId="77777777" w:rsidR="009E1429" w:rsidRPr="009E1429" w:rsidRDefault="009E1429" w:rsidP="009E1429">
      <w:pPr>
        <w:spacing w:before="120" w:after="120" w:line="240" w:lineRule="exact"/>
        <w:ind w:left="283" w:hanging="283"/>
        <w:jc w:val="both"/>
        <w:rPr>
          <w:rFonts w:ascii="FrankRuehl" w:eastAsia="Calibri" w:hAnsi="FrankRuehl" w:cs="FrankRuehl"/>
          <w:rtl/>
        </w:rPr>
      </w:pPr>
      <w:r w:rsidRPr="009E1429">
        <w:rPr>
          <w:rFonts w:ascii="FrankRuehl" w:eastAsia="Calibri" w:hAnsi="FrankRuehl" w:cs="FrankRuehl"/>
          <w:rtl/>
        </w:rPr>
        <w:t xml:space="preserve">חקיקה שאוזכרה: </w:t>
      </w:r>
    </w:p>
    <w:p w14:paraId="59F21E7C" w14:textId="77777777" w:rsidR="009E1429" w:rsidRPr="009E1429" w:rsidRDefault="009E1429" w:rsidP="009E1429">
      <w:pPr>
        <w:spacing w:before="120" w:after="120" w:line="240" w:lineRule="exact"/>
        <w:ind w:left="283" w:hanging="283"/>
        <w:jc w:val="both"/>
        <w:rPr>
          <w:rFonts w:ascii="FrankRuehl" w:eastAsia="Calibri" w:hAnsi="FrankRuehl" w:cs="FrankRuehl"/>
          <w:rtl/>
        </w:rPr>
      </w:pPr>
      <w:hyperlink r:id="rId6" w:history="1">
        <w:r w:rsidRPr="009E1429">
          <w:rPr>
            <w:rFonts w:ascii="FrankRuehl" w:eastAsia="Calibri" w:hAnsi="FrankRuehl" w:cs="FrankRuehl"/>
            <w:color w:val="0000FF"/>
            <w:rtl/>
          </w:rPr>
          <w:t>פקודת הסמים המסוכנים [נוסח חדש], תשל"ג-1973</w:t>
        </w:r>
      </w:hyperlink>
      <w:r w:rsidRPr="009E1429">
        <w:rPr>
          <w:rFonts w:ascii="FrankRuehl" w:eastAsia="Calibri" w:hAnsi="FrankRuehl" w:cs="FrankRuehl"/>
          <w:rtl/>
        </w:rPr>
        <w:t xml:space="preserve">: סע'  </w:t>
      </w:r>
      <w:hyperlink r:id="rId7" w:history="1">
        <w:r w:rsidRPr="009E1429">
          <w:rPr>
            <w:rFonts w:ascii="FrankRuehl" w:eastAsia="Calibri" w:hAnsi="FrankRuehl" w:cs="FrankRuehl"/>
            <w:color w:val="0000FF"/>
            <w:rtl/>
          </w:rPr>
          <w:t>6</w:t>
        </w:r>
      </w:hyperlink>
      <w:r w:rsidRPr="009E1429">
        <w:rPr>
          <w:rFonts w:ascii="FrankRuehl" w:eastAsia="Calibri" w:hAnsi="FrankRuehl" w:cs="FrankRuehl"/>
          <w:rtl/>
        </w:rPr>
        <w:t xml:space="preserve">, </w:t>
      </w:r>
      <w:hyperlink r:id="rId8" w:history="1">
        <w:r w:rsidRPr="009E1429">
          <w:rPr>
            <w:rFonts w:ascii="FrankRuehl" w:eastAsia="Calibri" w:hAnsi="FrankRuehl" w:cs="FrankRuehl"/>
            <w:color w:val="0000FF"/>
            <w:rtl/>
          </w:rPr>
          <w:t>36א(ב)</w:t>
        </w:r>
      </w:hyperlink>
    </w:p>
    <w:p w14:paraId="3888704F" w14:textId="77777777" w:rsidR="009E1429" w:rsidRPr="009E1429" w:rsidRDefault="009E1429" w:rsidP="009E1429">
      <w:pPr>
        <w:spacing w:before="120" w:after="120" w:line="240" w:lineRule="exact"/>
        <w:ind w:left="283" w:hanging="283"/>
        <w:jc w:val="both"/>
        <w:rPr>
          <w:rFonts w:ascii="FrankRuehl" w:eastAsia="Calibri" w:hAnsi="FrankRuehl" w:cs="FrankRuehl"/>
          <w:rtl/>
        </w:rPr>
      </w:pPr>
      <w:hyperlink r:id="rId9" w:history="1">
        <w:r w:rsidRPr="009E1429">
          <w:rPr>
            <w:rFonts w:ascii="FrankRuehl" w:eastAsia="Calibri" w:hAnsi="FrankRuehl" w:cs="FrankRuehl"/>
            <w:color w:val="0000FF"/>
            <w:rtl/>
          </w:rPr>
          <w:t>חוק העונשין, תשל"ז-1977</w:t>
        </w:r>
      </w:hyperlink>
      <w:r w:rsidRPr="009E1429">
        <w:rPr>
          <w:rFonts w:ascii="FrankRuehl" w:eastAsia="Calibri" w:hAnsi="FrankRuehl" w:cs="FrankRuehl"/>
          <w:rtl/>
        </w:rPr>
        <w:t xml:space="preserve">: סע'  </w:t>
      </w:r>
      <w:hyperlink r:id="rId10" w:history="1">
        <w:r w:rsidRPr="009E1429">
          <w:rPr>
            <w:rFonts w:ascii="FrankRuehl" w:eastAsia="Calibri" w:hAnsi="FrankRuehl" w:cs="FrankRuehl"/>
            <w:color w:val="0000FF"/>
            <w:rtl/>
          </w:rPr>
          <w:t>40ד(א)</w:t>
        </w:r>
      </w:hyperlink>
      <w:r w:rsidRPr="009E1429">
        <w:rPr>
          <w:rFonts w:ascii="FrankRuehl" w:eastAsia="Calibri" w:hAnsi="FrankRuehl" w:cs="FrankRuehl"/>
          <w:rtl/>
        </w:rPr>
        <w:t xml:space="preserve">, </w:t>
      </w:r>
      <w:hyperlink r:id="rId11" w:history="1">
        <w:r w:rsidRPr="009E1429">
          <w:rPr>
            <w:rFonts w:ascii="FrankRuehl" w:eastAsia="Calibri" w:hAnsi="FrankRuehl" w:cs="FrankRuehl"/>
            <w:color w:val="0000FF"/>
            <w:rtl/>
          </w:rPr>
          <w:t>40ט'</w:t>
        </w:r>
      </w:hyperlink>
      <w:r w:rsidRPr="009E1429">
        <w:rPr>
          <w:rFonts w:ascii="FrankRuehl" w:eastAsia="Calibri" w:hAnsi="FrankRuehl" w:cs="FrankRuehl"/>
          <w:rtl/>
        </w:rPr>
        <w:t xml:space="preserve">, </w:t>
      </w:r>
      <w:hyperlink r:id="rId12" w:history="1">
        <w:r w:rsidRPr="009E1429">
          <w:rPr>
            <w:rFonts w:ascii="FrankRuehl" w:eastAsia="Calibri" w:hAnsi="FrankRuehl" w:cs="FrankRuehl"/>
            <w:color w:val="0000FF"/>
            <w:rtl/>
          </w:rPr>
          <w:t>400</w:t>
        </w:r>
      </w:hyperlink>
    </w:p>
    <w:p w14:paraId="65496ACD" w14:textId="77777777" w:rsidR="009E1429" w:rsidRPr="009E1429" w:rsidRDefault="009E1429" w:rsidP="009E1429">
      <w:pPr>
        <w:spacing w:after="160" w:line="360" w:lineRule="auto"/>
        <w:ind w:left="567" w:hanging="567"/>
        <w:jc w:val="center"/>
        <w:rPr>
          <w:rFonts w:ascii="David" w:eastAsia="Calibri" w:hAnsi="David"/>
          <w:sz w:val="28"/>
          <w:szCs w:val="28"/>
          <w:rtl/>
        </w:rPr>
      </w:pPr>
      <w:bookmarkStart w:id="4" w:name="LawTable_End"/>
      <w:bookmarkEnd w:id="4"/>
    </w:p>
    <w:p w14:paraId="4C932E16" w14:textId="77777777" w:rsidR="009A7009" w:rsidRPr="009A7009" w:rsidRDefault="009A7009" w:rsidP="000E4E84">
      <w:pPr>
        <w:spacing w:after="160" w:line="360" w:lineRule="auto"/>
        <w:ind w:left="567" w:hanging="567"/>
        <w:jc w:val="center"/>
        <w:rPr>
          <w:rFonts w:ascii="David" w:eastAsia="Calibri" w:hAnsi="David"/>
          <w:b/>
          <w:bCs/>
          <w:sz w:val="28"/>
          <w:szCs w:val="28"/>
          <w:rtl/>
        </w:rPr>
      </w:pPr>
    </w:p>
    <w:p w14:paraId="455BE63F" w14:textId="77777777" w:rsidR="009A7009" w:rsidRPr="009A7009" w:rsidRDefault="009A7009" w:rsidP="009A7009">
      <w:pPr>
        <w:spacing w:after="160" w:line="360" w:lineRule="auto"/>
        <w:ind w:left="567" w:hanging="567"/>
        <w:jc w:val="center"/>
        <w:rPr>
          <w:rFonts w:ascii="David" w:eastAsia="Calibri" w:hAnsi="David"/>
          <w:b/>
          <w:bCs/>
          <w:sz w:val="28"/>
          <w:szCs w:val="28"/>
          <w:rtl/>
        </w:rPr>
      </w:pPr>
      <w:bookmarkStart w:id="5" w:name="PsakDin"/>
      <w:bookmarkEnd w:id="0"/>
      <w:r w:rsidRPr="009A7009">
        <w:rPr>
          <w:rFonts w:ascii="David" w:eastAsia="Calibri" w:hAnsi="David"/>
          <w:b/>
          <w:bCs/>
          <w:sz w:val="28"/>
          <w:szCs w:val="28"/>
          <w:rtl/>
        </w:rPr>
        <w:t>גזר דין</w:t>
      </w:r>
    </w:p>
    <w:p w14:paraId="719CDA12" w14:textId="77777777" w:rsidR="000E4E84" w:rsidRPr="00A12B0E" w:rsidRDefault="000E4E84" w:rsidP="000E4E84">
      <w:pPr>
        <w:spacing w:after="160" w:line="360" w:lineRule="auto"/>
        <w:ind w:left="567" w:hanging="567"/>
        <w:jc w:val="center"/>
        <w:rPr>
          <w:rFonts w:ascii="David" w:eastAsia="Calibri" w:hAnsi="David"/>
          <w:b/>
          <w:bCs/>
          <w:sz w:val="28"/>
          <w:szCs w:val="28"/>
        </w:rPr>
      </w:pPr>
      <w:bookmarkStart w:id="6" w:name="ABSTRACT_START"/>
      <w:bookmarkEnd w:id="5"/>
      <w:bookmarkEnd w:id="6"/>
    </w:p>
    <w:p w14:paraId="2966E6EA" w14:textId="77777777" w:rsidR="000E4E84" w:rsidRPr="00C70837" w:rsidRDefault="000E4E84" w:rsidP="000E4E84">
      <w:pPr>
        <w:spacing w:line="360" w:lineRule="auto"/>
        <w:ind w:left="567" w:hanging="567"/>
        <w:jc w:val="both"/>
        <w:rPr>
          <w:rFonts w:ascii="David" w:eastAsia="Calibri" w:hAnsi="David"/>
          <w:rtl/>
        </w:rPr>
      </w:pPr>
      <w:r w:rsidRPr="00C70837">
        <w:rPr>
          <w:rFonts w:ascii="David" w:eastAsia="Calibri" w:hAnsi="David"/>
          <w:rtl/>
        </w:rPr>
        <w:t>1.</w:t>
      </w:r>
      <w:r w:rsidRPr="00C70837">
        <w:rPr>
          <w:rFonts w:ascii="David" w:eastAsia="Calibri" w:hAnsi="David"/>
          <w:rtl/>
        </w:rPr>
        <w:tab/>
        <w:t>בעקבות הסדר טיעון שנעשה בין הצדדים, הוגש לבית המשפט כתב אישום מתוקן, והנאשם הודה בעובדות המפורטות בו, והורשע על פי הודאתו, ועתה אני בא לגזור את דינו.</w:t>
      </w:r>
    </w:p>
    <w:p w14:paraId="6BB57AF1" w14:textId="77777777" w:rsidR="000E4E84" w:rsidRDefault="000E4E84" w:rsidP="000E4E84">
      <w:pPr>
        <w:spacing w:line="360" w:lineRule="auto"/>
        <w:ind w:left="567" w:hanging="567"/>
        <w:jc w:val="both"/>
        <w:rPr>
          <w:rFonts w:ascii="David" w:eastAsia="Calibri" w:hAnsi="David"/>
          <w:rtl/>
        </w:rPr>
      </w:pPr>
    </w:p>
    <w:p w14:paraId="2C3A6AE2" w14:textId="77777777" w:rsidR="000E4E84" w:rsidRPr="00C70837" w:rsidRDefault="000E4E84" w:rsidP="000E4E84">
      <w:pPr>
        <w:spacing w:line="360" w:lineRule="auto"/>
        <w:ind w:left="567" w:hanging="567"/>
        <w:jc w:val="both"/>
        <w:rPr>
          <w:rFonts w:ascii="David" w:eastAsia="Calibri" w:hAnsi="David"/>
          <w:rtl/>
        </w:rPr>
      </w:pPr>
      <w:bookmarkStart w:id="7" w:name="ABSTRACT_END"/>
      <w:bookmarkEnd w:id="7"/>
    </w:p>
    <w:p w14:paraId="58233957" w14:textId="77777777" w:rsidR="000E4E84" w:rsidRDefault="000E4E84" w:rsidP="000E4E84">
      <w:pPr>
        <w:spacing w:line="360" w:lineRule="auto"/>
        <w:ind w:left="283" w:hanging="567"/>
        <w:jc w:val="both"/>
        <w:rPr>
          <w:rFonts w:ascii="David" w:eastAsia="Calibri" w:hAnsi="David"/>
          <w:b/>
          <w:bCs/>
          <w:rtl/>
        </w:rPr>
      </w:pPr>
      <w:r w:rsidRPr="00C70837">
        <w:rPr>
          <w:rFonts w:ascii="David" w:eastAsia="Calibri" w:hAnsi="David"/>
          <w:b/>
          <w:bCs/>
          <w:rtl/>
        </w:rPr>
        <w:t>א. כתב האישום המתוקן</w:t>
      </w:r>
    </w:p>
    <w:p w14:paraId="5A5BA542" w14:textId="77777777" w:rsidR="000E4E84" w:rsidRPr="00C70837" w:rsidRDefault="000E4E84" w:rsidP="000E4E84">
      <w:pPr>
        <w:spacing w:line="360" w:lineRule="auto"/>
        <w:ind w:left="567" w:hanging="567"/>
        <w:jc w:val="both"/>
        <w:rPr>
          <w:rFonts w:ascii="David" w:eastAsia="Calibri" w:hAnsi="David"/>
          <w:b/>
          <w:bCs/>
          <w:rtl/>
        </w:rPr>
      </w:pPr>
    </w:p>
    <w:p w14:paraId="08DFA8FA" w14:textId="77777777" w:rsidR="000E4E84" w:rsidRPr="00C70837" w:rsidRDefault="000E4E84" w:rsidP="000E4E84">
      <w:pPr>
        <w:spacing w:line="360" w:lineRule="auto"/>
        <w:ind w:left="567" w:hanging="567"/>
        <w:jc w:val="both"/>
        <w:rPr>
          <w:rFonts w:ascii="David" w:eastAsia="Calibri" w:hAnsi="David"/>
          <w:rtl/>
        </w:rPr>
      </w:pPr>
      <w:r w:rsidRPr="00C70837">
        <w:rPr>
          <w:rFonts w:ascii="David" w:eastAsia="Calibri" w:hAnsi="David"/>
          <w:rtl/>
        </w:rPr>
        <w:lastRenderedPageBreak/>
        <w:t>2.</w:t>
      </w:r>
      <w:r w:rsidRPr="00C70837">
        <w:rPr>
          <w:rFonts w:ascii="David" w:eastAsia="Calibri" w:hAnsi="David"/>
          <w:rtl/>
        </w:rPr>
        <w:tab/>
        <w:t>בכתב האישום המתוקן שהוגש נגד הנאשם, נטען כי בתאריך 3.12.2017 שכר הנאשם בית צמוד קרקע בישוב קיסריה, והחזיק בבית מתאריך 10.12.2017 ועד לתאריך 3.2.2020 (המועד בו הנאשם נעצר), וזאת תמורת דמי שכירות בסכום של כ- 12,000 ₪ לחודש.</w:t>
      </w:r>
    </w:p>
    <w:p w14:paraId="076223B0" w14:textId="77777777" w:rsidR="000E4E84" w:rsidRDefault="000E4E84" w:rsidP="000E4E84">
      <w:pPr>
        <w:spacing w:line="360" w:lineRule="auto"/>
        <w:ind w:left="567" w:hanging="567"/>
        <w:jc w:val="both"/>
        <w:rPr>
          <w:rFonts w:ascii="David" w:eastAsia="Calibri" w:hAnsi="David"/>
          <w:rtl/>
        </w:rPr>
      </w:pPr>
    </w:p>
    <w:p w14:paraId="5AFFD880" w14:textId="77777777" w:rsidR="000E4E84" w:rsidRPr="00C70837" w:rsidRDefault="000E4E84" w:rsidP="000E4E84">
      <w:pPr>
        <w:spacing w:line="360" w:lineRule="auto"/>
        <w:ind w:left="567" w:hanging="567"/>
        <w:jc w:val="both"/>
        <w:rPr>
          <w:rFonts w:ascii="David" w:eastAsia="Calibri" w:hAnsi="David"/>
          <w:rtl/>
        </w:rPr>
      </w:pPr>
    </w:p>
    <w:p w14:paraId="24217DDE" w14:textId="77777777" w:rsidR="000E4E84" w:rsidRPr="00C70837" w:rsidRDefault="000E4E84" w:rsidP="000E4E84">
      <w:pPr>
        <w:spacing w:line="360" w:lineRule="auto"/>
        <w:ind w:left="567" w:hanging="567"/>
        <w:jc w:val="both"/>
        <w:rPr>
          <w:rFonts w:ascii="David" w:eastAsia="Calibri" w:hAnsi="David"/>
          <w:rtl/>
        </w:rPr>
      </w:pPr>
      <w:r w:rsidRPr="00C70837">
        <w:rPr>
          <w:rFonts w:ascii="David" w:eastAsia="Calibri" w:hAnsi="David"/>
          <w:rtl/>
        </w:rPr>
        <w:t>3.</w:t>
      </w:r>
      <w:r w:rsidRPr="00C70837">
        <w:rPr>
          <w:rFonts w:ascii="David" w:eastAsia="Calibri" w:hAnsi="David"/>
          <w:rtl/>
        </w:rPr>
        <w:tab/>
        <w:t xml:space="preserve">במהלך התקופה בה הנאשם החזיק בבית, הנאשם ואדם אחר, שזהותו אינה ידועה למאשימה, גידלו בבית סם מסוכן מסוג קנבוס, ללא רישיון כחוק, ושלא לצריכתם העצמית. לצורך גידול הקנבוס, הנאשם והאחר ציידו את הבית ב- 6 מזגני אוויר, 4 מפוחים בינוניים, 4 מסנני אוויר, 65 שנאים, 73 מנורות, מאוורר גדול ומשקל. בתאריך 3.2.2020 בעת שנעשה חיפוש בבית, נמצאו בו 612 שתילי קנבוס, במשקל כולל של כ- 90 ק"ג נטו. </w:t>
      </w:r>
    </w:p>
    <w:p w14:paraId="33E67F8C" w14:textId="77777777" w:rsidR="000E4E84" w:rsidRDefault="000E4E84" w:rsidP="000E4E84">
      <w:pPr>
        <w:spacing w:line="360" w:lineRule="auto"/>
        <w:ind w:left="567" w:hanging="567"/>
        <w:jc w:val="both"/>
        <w:rPr>
          <w:rFonts w:ascii="David" w:eastAsia="Calibri" w:hAnsi="David"/>
          <w:rtl/>
        </w:rPr>
      </w:pPr>
    </w:p>
    <w:p w14:paraId="2CB7E5CB" w14:textId="77777777" w:rsidR="000E4E84" w:rsidRPr="00C70837" w:rsidRDefault="000E4E84" w:rsidP="000E4E84">
      <w:pPr>
        <w:spacing w:line="360" w:lineRule="auto"/>
        <w:ind w:left="567" w:hanging="567"/>
        <w:jc w:val="both"/>
        <w:rPr>
          <w:rFonts w:ascii="David" w:eastAsia="Calibri" w:hAnsi="David"/>
          <w:rtl/>
        </w:rPr>
      </w:pPr>
    </w:p>
    <w:p w14:paraId="25F75E9C" w14:textId="77777777" w:rsidR="000E4E84" w:rsidRPr="00C70837" w:rsidRDefault="000E4E84" w:rsidP="000E4E84">
      <w:pPr>
        <w:spacing w:line="360" w:lineRule="auto"/>
        <w:ind w:left="567" w:hanging="567"/>
        <w:jc w:val="both"/>
        <w:rPr>
          <w:rFonts w:ascii="David" w:eastAsia="Calibri" w:hAnsi="David"/>
          <w:rtl/>
        </w:rPr>
      </w:pPr>
      <w:r w:rsidRPr="00C70837">
        <w:rPr>
          <w:rFonts w:ascii="David" w:eastAsia="Calibri" w:hAnsi="David"/>
          <w:rtl/>
        </w:rPr>
        <w:t>4.</w:t>
      </w:r>
      <w:r w:rsidRPr="00C70837">
        <w:rPr>
          <w:rFonts w:ascii="David" w:eastAsia="Calibri" w:hAnsi="David"/>
          <w:rtl/>
        </w:rPr>
        <w:tab/>
        <w:t>עוד נמצא, כי הבית שנשכר חובר לרשם החשמל בחיבור ישיר, אגב עקיפת החיבור התקני, וזאת באופן "פיראטי". נטען כי הנאשם נטל וצרך חשמל, שלא היה זכאי לו, בסכום כולל של כ- 213,000 ₪.</w:t>
      </w:r>
    </w:p>
    <w:p w14:paraId="1DF5538D" w14:textId="77777777" w:rsidR="000E4E84" w:rsidRPr="00C70837" w:rsidRDefault="000E4E84" w:rsidP="000E4E84">
      <w:pPr>
        <w:spacing w:line="360" w:lineRule="auto"/>
        <w:ind w:left="567" w:hanging="567"/>
        <w:jc w:val="both"/>
        <w:rPr>
          <w:rFonts w:ascii="David" w:eastAsia="Calibri" w:hAnsi="David"/>
          <w:rtl/>
        </w:rPr>
      </w:pPr>
    </w:p>
    <w:p w14:paraId="679309A2" w14:textId="77777777" w:rsidR="000E4E84" w:rsidRDefault="000E4E84" w:rsidP="000E4E84">
      <w:pPr>
        <w:spacing w:line="360" w:lineRule="auto"/>
        <w:ind w:left="567" w:hanging="567"/>
        <w:jc w:val="both"/>
        <w:rPr>
          <w:rFonts w:ascii="David" w:eastAsia="Calibri" w:hAnsi="David"/>
          <w:rtl/>
        </w:rPr>
      </w:pPr>
      <w:r w:rsidRPr="00C70837">
        <w:rPr>
          <w:rFonts w:ascii="David" w:eastAsia="Calibri" w:hAnsi="David"/>
          <w:rtl/>
        </w:rPr>
        <w:t>5.</w:t>
      </w:r>
      <w:r w:rsidRPr="00C70837">
        <w:rPr>
          <w:rFonts w:ascii="David" w:eastAsia="Calibri" w:hAnsi="David"/>
          <w:rtl/>
        </w:rPr>
        <w:tab/>
        <w:t>על רקע העובדות המתוארות בכתב האישום, בהן הנאשם הודה, הורשע הנאשם בביצוע העבירות הבאות:</w:t>
      </w:r>
    </w:p>
    <w:p w14:paraId="0EE57BA6" w14:textId="77777777" w:rsidR="000E4E84" w:rsidRPr="00C70837" w:rsidRDefault="000E4E84" w:rsidP="000E4E84">
      <w:pPr>
        <w:spacing w:line="360" w:lineRule="auto"/>
        <w:ind w:left="567" w:hanging="567"/>
        <w:jc w:val="both"/>
        <w:rPr>
          <w:rFonts w:ascii="David" w:eastAsia="Calibri" w:hAnsi="David"/>
          <w:rtl/>
        </w:rPr>
      </w:pPr>
    </w:p>
    <w:p w14:paraId="14C54315" w14:textId="77777777" w:rsidR="000E4E84" w:rsidRDefault="000E4E84" w:rsidP="000E4E84">
      <w:pPr>
        <w:spacing w:line="360" w:lineRule="auto"/>
        <w:ind w:left="1134" w:hanging="567"/>
        <w:jc w:val="both"/>
        <w:rPr>
          <w:rFonts w:ascii="David" w:eastAsia="Calibri" w:hAnsi="David"/>
          <w:rtl/>
        </w:rPr>
      </w:pPr>
      <w:r w:rsidRPr="00C70837">
        <w:rPr>
          <w:rFonts w:ascii="David" w:eastAsia="Calibri" w:hAnsi="David"/>
          <w:rtl/>
        </w:rPr>
        <w:t>(א)</w:t>
      </w:r>
      <w:r w:rsidRPr="00C70837">
        <w:rPr>
          <w:rFonts w:ascii="David" w:eastAsia="Calibri" w:hAnsi="David"/>
          <w:rtl/>
        </w:rPr>
        <w:tab/>
        <w:t xml:space="preserve">ייצור, </w:t>
      </w:r>
      <w:r>
        <w:rPr>
          <w:rFonts w:ascii="David" w:eastAsia="Calibri" w:hAnsi="David" w:hint="cs"/>
          <w:rtl/>
        </w:rPr>
        <w:t>ה</w:t>
      </w:r>
      <w:r w:rsidRPr="00C70837">
        <w:rPr>
          <w:rFonts w:ascii="David" w:eastAsia="Calibri" w:hAnsi="David"/>
          <w:rtl/>
        </w:rPr>
        <w:t xml:space="preserve">כנה והפקה של סמים מסוכנים, עבירה לפי </w:t>
      </w:r>
      <w:hyperlink r:id="rId13" w:history="1">
        <w:r w:rsidR="00E84F7C" w:rsidRPr="00E84F7C">
          <w:rPr>
            <w:rStyle w:val="Hyperlink"/>
            <w:rFonts w:ascii="David" w:eastAsia="Calibri" w:hAnsi="David"/>
            <w:rtl/>
          </w:rPr>
          <w:t>סעיף 6</w:t>
        </w:r>
      </w:hyperlink>
      <w:r w:rsidRPr="00C70837">
        <w:rPr>
          <w:rFonts w:ascii="David" w:eastAsia="Calibri" w:hAnsi="David"/>
          <w:rtl/>
        </w:rPr>
        <w:t xml:space="preserve"> ל</w:t>
      </w:r>
      <w:hyperlink r:id="rId14" w:history="1">
        <w:r w:rsidR="009A7009" w:rsidRPr="009A7009">
          <w:rPr>
            <w:rFonts w:ascii="David" w:eastAsia="Calibri" w:hAnsi="David"/>
            <w:color w:val="0000FF"/>
            <w:u w:val="single"/>
            <w:rtl/>
          </w:rPr>
          <w:t>פקודת הסמים המסוכנים</w:t>
        </w:r>
      </w:hyperlink>
      <w:r w:rsidRPr="00C70837">
        <w:rPr>
          <w:rFonts w:ascii="David" w:eastAsia="Calibri" w:hAnsi="David"/>
          <w:rtl/>
        </w:rPr>
        <w:t xml:space="preserve"> [נוסח חדש], התשל"ג – 1973.</w:t>
      </w:r>
    </w:p>
    <w:p w14:paraId="6EAB43CF" w14:textId="77777777" w:rsidR="000E4E84" w:rsidRPr="00C70837" w:rsidRDefault="000E4E84" w:rsidP="000E4E84">
      <w:pPr>
        <w:spacing w:line="360" w:lineRule="auto"/>
        <w:ind w:left="1134" w:hanging="567"/>
        <w:jc w:val="both"/>
        <w:rPr>
          <w:rFonts w:ascii="David" w:eastAsia="Calibri" w:hAnsi="David"/>
          <w:rtl/>
        </w:rPr>
      </w:pPr>
    </w:p>
    <w:p w14:paraId="3B554B78" w14:textId="77777777" w:rsidR="000E4E84" w:rsidRPr="00C70837" w:rsidRDefault="000E4E84" w:rsidP="000E4E84">
      <w:pPr>
        <w:spacing w:line="360" w:lineRule="auto"/>
        <w:ind w:left="1134" w:hanging="567"/>
        <w:jc w:val="both"/>
        <w:rPr>
          <w:rFonts w:ascii="David" w:eastAsia="Calibri" w:hAnsi="David"/>
          <w:rtl/>
        </w:rPr>
      </w:pPr>
      <w:r w:rsidRPr="00C70837">
        <w:rPr>
          <w:rFonts w:ascii="David" w:eastAsia="Calibri" w:hAnsi="David"/>
          <w:rtl/>
        </w:rPr>
        <w:t>(ב)</w:t>
      </w:r>
      <w:r w:rsidRPr="00C70837">
        <w:rPr>
          <w:rFonts w:ascii="David" w:eastAsia="Calibri" w:hAnsi="David"/>
          <w:rtl/>
        </w:rPr>
        <w:tab/>
        <w:t xml:space="preserve">נטילת חשמל בגניבה, עבירה לפי </w:t>
      </w:r>
      <w:hyperlink r:id="rId15" w:history="1">
        <w:r w:rsidR="00E84F7C" w:rsidRPr="00E84F7C">
          <w:rPr>
            <w:rStyle w:val="Hyperlink"/>
            <w:rFonts w:ascii="David" w:eastAsia="Calibri" w:hAnsi="David"/>
            <w:rtl/>
          </w:rPr>
          <w:t>סעיף 400</w:t>
        </w:r>
      </w:hyperlink>
      <w:r w:rsidRPr="00C70837">
        <w:rPr>
          <w:rFonts w:ascii="David" w:eastAsia="Calibri" w:hAnsi="David"/>
          <w:rtl/>
        </w:rPr>
        <w:t xml:space="preserve"> ל</w:t>
      </w:r>
      <w:hyperlink r:id="rId16" w:history="1">
        <w:r w:rsidR="009A7009" w:rsidRPr="009A7009">
          <w:rPr>
            <w:rFonts w:ascii="David" w:eastAsia="Calibri" w:hAnsi="David"/>
            <w:color w:val="0000FF"/>
            <w:u w:val="single"/>
            <w:rtl/>
          </w:rPr>
          <w:t>חוק העונשין</w:t>
        </w:r>
      </w:hyperlink>
      <w:r w:rsidRPr="00C70837">
        <w:rPr>
          <w:rFonts w:ascii="David" w:eastAsia="Calibri" w:hAnsi="David"/>
          <w:rtl/>
        </w:rPr>
        <w:t>, תשל"ז – 1977.</w:t>
      </w:r>
    </w:p>
    <w:p w14:paraId="523D0A64" w14:textId="77777777" w:rsidR="000E4E84" w:rsidRDefault="000E4E84" w:rsidP="000E4E84">
      <w:pPr>
        <w:spacing w:line="360" w:lineRule="auto"/>
        <w:ind w:left="567" w:hanging="567"/>
        <w:jc w:val="both"/>
        <w:rPr>
          <w:rFonts w:ascii="David" w:eastAsia="Calibri" w:hAnsi="David"/>
          <w:rtl/>
        </w:rPr>
      </w:pPr>
    </w:p>
    <w:p w14:paraId="0AC48954" w14:textId="77777777" w:rsidR="000E4E84" w:rsidRPr="00C70837" w:rsidRDefault="000E4E84" w:rsidP="000E4E84">
      <w:pPr>
        <w:spacing w:line="360" w:lineRule="auto"/>
        <w:ind w:left="567" w:hanging="567"/>
        <w:jc w:val="both"/>
        <w:rPr>
          <w:rFonts w:ascii="David" w:eastAsia="Calibri" w:hAnsi="David"/>
          <w:rtl/>
        </w:rPr>
      </w:pPr>
    </w:p>
    <w:p w14:paraId="30D51DAE" w14:textId="77777777" w:rsidR="000E4E84" w:rsidRDefault="000E4E84" w:rsidP="000E4E84">
      <w:pPr>
        <w:spacing w:line="360" w:lineRule="auto"/>
        <w:ind w:left="283" w:hanging="567"/>
        <w:jc w:val="both"/>
        <w:rPr>
          <w:rFonts w:ascii="David" w:eastAsia="Calibri" w:hAnsi="David"/>
          <w:b/>
          <w:bCs/>
          <w:rtl/>
        </w:rPr>
      </w:pPr>
      <w:r w:rsidRPr="00C70837">
        <w:rPr>
          <w:rFonts w:ascii="David" w:eastAsia="Calibri" w:hAnsi="David"/>
          <w:b/>
          <w:bCs/>
          <w:rtl/>
        </w:rPr>
        <w:t>ב. עבר פלילי</w:t>
      </w:r>
    </w:p>
    <w:p w14:paraId="7AE05E98" w14:textId="77777777" w:rsidR="000E4E84" w:rsidRPr="00C70837" w:rsidRDefault="000E4E84" w:rsidP="000E4E84">
      <w:pPr>
        <w:spacing w:line="360" w:lineRule="auto"/>
        <w:ind w:left="567" w:hanging="567"/>
        <w:jc w:val="both"/>
        <w:rPr>
          <w:rFonts w:ascii="David" w:eastAsia="Calibri" w:hAnsi="David"/>
          <w:b/>
          <w:bCs/>
          <w:rtl/>
        </w:rPr>
      </w:pPr>
    </w:p>
    <w:p w14:paraId="0C99EAE1" w14:textId="77777777" w:rsidR="000E4E84" w:rsidRPr="00C70837" w:rsidRDefault="000E4E84" w:rsidP="000E4E84">
      <w:pPr>
        <w:spacing w:line="360" w:lineRule="auto"/>
        <w:ind w:left="567" w:hanging="567"/>
        <w:jc w:val="both"/>
        <w:rPr>
          <w:rFonts w:ascii="David" w:eastAsia="Calibri" w:hAnsi="David"/>
          <w:rtl/>
        </w:rPr>
      </w:pPr>
      <w:r w:rsidRPr="00C70837">
        <w:rPr>
          <w:rFonts w:ascii="David" w:eastAsia="Calibri" w:hAnsi="David"/>
          <w:rtl/>
        </w:rPr>
        <w:t>6.</w:t>
      </w:r>
      <w:r w:rsidRPr="00C70837">
        <w:rPr>
          <w:rFonts w:ascii="David" w:eastAsia="Calibri" w:hAnsi="David"/>
          <w:rtl/>
        </w:rPr>
        <w:tab/>
        <w:t>לחובת הנאשם שלוש הרשעות קודמות במספר עבירות. ההרשעה האחת, מתאריך 23.4.2018, בעבירות שעניינן פגיעה בפרטיות, הטרדה באמצעות מתקן בזק, איומים, ניסיון לקבל דבר במרמה, ושיבוש מהלכי משפט. ההרשע</w:t>
      </w:r>
      <w:r>
        <w:rPr>
          <w:rFonts w:ascii="David" w:eastAsia="Calibri" w:hAnsi="David"/>
          <w:rtl/>
        </w:rPr>
        <w:t>ה השניה, מתאריך</w:t>
      </w:r>
      <w:r>
        <w:rPr>
          <w:rFonts w:ascii="David" w:eastAsia="Calibri" w:hAnsi="David" w:hint="cs"/>
          <w:rtl/>
        </w:rPr>
        <w:t xml:space="preserve"> </w:t>
      </w:r>
      <w:r>
        <w:rPr>
          <w:rFonts w:ascii="David" w:eastAsia="Calibri" w:hAnsi="David"/>
          <w:rtl/>
        </w:rPr>
        <w:t>7.11.201</w:t>
      </w:r>
      <w:r>
        <w:rPr>
          <w:rFonts w:ascii="David" w:eastAsia="Calibri" w:hAnsi="David" w:hint="cs"/>
          <w:rtl/>
        </w:rPr>
        <w:t xml:space="preserve">8, </w:t>
      </w:r>
      <w:r w:rsidRPr="00C70837">
        <w:rPr>
          <w:rFonts w:ascii="David" w:eastAsia="Calibri" w:hAnsi="David"/>
          <w:rtl/>
        </w:rPr>
        <w:t>בעבירות של תקיפה "סתם" ואיומים. ההרשעה השלישית, מתאריך 27.6.2019, בעבירה של החזקת שטר כסף מזוייף.</w:t>
      </w:r>
    </w:p>
    <w:p w14:paraId="07D45E62" w14:textId="77777777" w:rsidR="000E4E84" w:rsidRDefault="000E4E84" w:rsidP="000E4E84">
      <w:pPr>
        <w:spacing w:line="360" w:lineRule="auto"/>
        <w:ind w:left="567" w:hanging="567"/>
        <w:jc w:val="both"/>
        <w:rPr>
          <w:rFonts w:ascii="David" w:eastAsia="Calibri" w:hAnsi="David"/>
          <w:rtl/>
        </w:rPr>
      </w:pPr>
    </w:p>
    <w:p w14:paraId="79358241" w14:textId="77777777" w:rsidR="000E4E84" w:rsidRPr="00C70837" w:rsidRDefault="000E4E84" w:rsidP="000E4E84">
      <w:pPr>
        <w:spacing w:line="360" w:lineRule="auto"/>
        <w:ind w:left="567" w:hanging="567"/>
        <w:jc w:val="both"/>
        <w:rPr>
          <w:rFonts w:ascii="David" w:eastAsia="Calibri" w:hAnsi="David"/>
          <w:rtl/>
        </w:rPr>
      </w:pPr>
    </w:p>
    <w:p w14:paraId="14D301B6" w14:textId="77777777" w:rsidR="000E4E84" w:rsidRDefault="000E4E84" w:rsidP="000E4E84">
      <w:pPr>
        <w:spacing w:line="360" w:lineRule="auto"/>
        <w:ind w:left="283" w:hanging="567"/>
        <w:jc w:val="both"/>
        <w:rPr>
          <w:rFonts w:ascii="David" w:eastAsia="Calibri" w:hAnsi="David"/>
          <w:b/>
          <w:bCs/>
          <w:rtl/>
        </w:rPr>
      </w:pPr>
      <w:r w:rsidRPr="00C70837">
        <w:rPr>
          <w:rFonts w:ascii="David" w:eastAsia="Calibri" w:hAnsi="David"/>
          <w:b/>
          <w:bCs/>
          <w:rtl/>
        </w:rPr>
        <w:t>ג. תסקיר המבחן</w:t>
      </w:r>
    </w:p>
    <w:p w14:paraId="7DF54D99" w14:textId="77777777" w:rsidR="000E4E84" w:rsidRPr="00C70837" w:rsidRDefault="000E4E84" w:rsidP="000E4E84">
      <w:pPr>
        <w:spacing w:line="360" w:lineRule="auto"/>
        <w:ind w:left="567" w:hanging="567"/>
        <w:jc w:val="both"/>
        <w:rPr>
          <w:rFonts w:ascii="David" w:eastAsia="Calibri" w:hAnsi="David"/>
          <w:b/>
          <w:bCs/>
          <w:rtl/>
        </w:rPr>
      </w:pPr>
    </w:p>
    <w:p w14:paraId="46AEE669" w14:textId="77777777" w:rsidR="000E4E84" w:rsidRPr="00C70837" w:rsidRDefault="000E4E84" w:rsidP="000E4E84">
      <w:pPr>
        <w:spacing w:line="360" w:lineRule="auto"/>
        <w:ind w:left="567" w:hanging="567"/>
        <w:jc w:val="both"/>
        <w:rPr>
          <w:rFonts w:ascii="David" w:eastAsia="Calibri" w:hAnsi="David"/>
          <w:rtl/>
        </w:rPr>
      </w:pPr>
      <w:r w:rsidRPr="00C70837">
        <w:rPr>
          <w:rFonts w:ascii="David" w:eastAsia="Calibri" w:hAnsi="David"/>
          <w:rtl/>
        </w:rPr>
        <w:t>7.</w:t>
      </w:r>
      <w:r w:rsidRPr="00C70837">
        <w:rPr>
          <w:rFonts w:ascii="David" w:eastAsia="Calibri" w:hAnsi="David"/>
          <w:rtl/>
        </w:rPr>
        <w:tab/>
        <w:t xml:space="preserve">קודם שבאתי לשמוע ראיות הצדדים והטיעון לעונש, הורתי להכין תסקיר מבחן בעניינו של הנאשם. בתסקיר שהוגש סקרה קצינת המבחן את נסיבותיו האישיות של הנאשם. מתסקיר המבחן עולה, שהנאשם התמכר להימורים ונקלע לחובות כבדים, לרבות חובות בגין הלוואות </w:t>
      </w:r>
      <w:r w:rsidRPr="00C70837">
        <w:rPr>
          <w:rFonts w:ascii="David" w:eastAsia="Calibri" w:hAnsi="David"/>
          <w:rtl/>
        </w:rPr>
        <w:lastRenderedPageBreak/>
        <w:t>שנטל בשוק האפור. לפני קצינת המבחן טען הנאשם, כי חש איום מצד גורמי השוק האפור להם היה חייב כסף, ועל כן בתמורה להתחייבותם שלא לפגוע במשפחתו שכר עבורם, ובמימונם, את הבית בקיסריה, לשם גידול שתילי הקנבוס.</w:t>
      </w:r>
    </w:p>
    <w:p w14:paraId="3ECA1F7D" w14:textId="77777777" w:rsidR="000E4E84" w:rsidRDefault="000E4E84" w:rsidP="000E4E84">
      <w:pPr>
        <w:spacing w:line="360" w:lineRule="auto"/>
        <w:ind w:left="567" w:hanging="567"/>
        <w:jc w:val="both"/>
        <w:rPr>
          <w:rFonts w:ascii="David" w:eastAsia="Calibri" w:hAnsi="David"/>
          <w:rtl/>
        </w:rPr>
      </w:pPr>
    </w:p>
    <w:p w14:paraId="6B26D3FA" w14:textId="77777777" w:rsidR="000E4E84" w:rsidRPr="00C70837" w:rsidRDefault="000E4E84" w:rsidP="000E4E84">
      <w:pPr>
        <w:spacing w:line="360" w:lineRule="auto"/>
        <w:ind w:left="567" w:hanging="567"/>
        <w:jc w:val="both"/>
        <w:rPr>
          <w:rFonts w:ascii="David" w:eastAsia="Calibri" w:hAnsi="David"/>
          <w:rtl/>
        </w:rPr>
      </w:pPr>
    </w:p>
    <w:p w14:paraId="4B9F084B" w14:textId="77777777" w:rsidR="000E4E84" w:rsidRPr="00C70837" w:rsidRDefault="000E4E84" w:rsidP="000E4E84">
      <w:pPr>
        <w:spacing w:line="360" w:lineRule="auto"/>
        <w:ind w:left="567" w:hanging="567"/>
        <w:jc w:val="both"/>
        <w:rPr>
          <w:rFonts w:ascii="David" w:eastAsia="Calibri" w:hAnsi="David"/>
          <w:rtl/>
        </w:rPr>
      </w:pPr>
      <w:r w:rsidRPr="00C70837">
        <w:rPr>
          <w:rFonts w:ascii="David" w:eastAsia="Calibri" w:hAnsi="David"/>
          <w:rtl/>
        </w:rPr>
        <w:t>8.</w:t>
      </w:r>
      <w:r w:rsidRPr="00C70837">
        <w:rPr>
          <w:rFonts w:ascii="David" w:eastAsia="Calibri" w:hAnsi="David"/>
          <w:rtl/>
        </w:rPr>
        <w:tab/>
        <w:t>קצינת המבחן הוסיפה, כי הנאשם רשום ברשימת המתנה לקליטה במרכז יום לטיפול בנפגעי התמכרויות, ועל כן ביקשה לדחות את מועד שמיעת הטיעונים לעונש לחודש ספטמבר 2021, בקשה שנדחתה על ידי בהחלטה מתאריך 5.4.2021, שניתנה לאחר שמיעת טענות באי כוח הצדדים. מכל מקום, לדעת קצינת המבחן, ללא הליך טיפולי ממושך, מעמיק ואינטנסיבי, קיים סיכון להישנות התנהגות פורצת גבולות, בדרגה בינונית עד גבוהה.</w:t>
      </w:r>
    </w:p>
    <w:p w14:paraId="2F0E036F" w14:textId="77777777" w:rsidR="000E4E84" w:rsidRPr="00C70837" w:rsidRDefault="000E4E84" w:rsidP="000E4E84">
      <w:pPr>
        <w:spacing w:line="360" w:lineRule="auto"/>
        <w:ind w:left="567" w:hanging="567"/>
        <w:jc w:val="both"/>
        <w:rPr>
          <w:rFonts w:ascii="David" w:eastAsia="Calibri" w:hAnsi="David"/>
          <w:rtl/>
        </w:rPr>
      </w:pPr>
    </w:p>
    <w:p w14:paraId="47A6792A" w14:textId="77777777" w:rsidR="000E4E84" w:rsidRDefault="000E4E84" w:rsidP="000E4E84">
      <w:pPr>
        <w:spacing w:line="360" w:lineRule="auto"/>
        <w:ind w:left="283" w:hanging="567"/>
        <w:jc w:val="both"/>
        <w:rPr>
          <w:rFonts w:ascii="David" w:eastAsia="Calibri" w:hAnsi="David"/>
          <w:b/>
          <w:bCs/>
          <w:rtl/>
        </w:rPr>
      </w:pPr>
      <w:r w:rsidRPr="00C70837">
        <w:rPr>
          <w:rFonts w:ascii="David" w:eastAsia="Calibri" w:hAnsi="David"/>
          <w:b/>
          <w:bCs/>
          <w:rtl/>
        </w:rPr>
        <w:t>ד. תמצית טענות באי כוח הצדדים לעניין העונש</w:t>
      </w:r>
    </w:p>
    <w:p w14:paraId="588310CE" w14:textId="77777777" w:rsidR="000E4E84" w:rsidRPr="00C70837" w:rsidRDefault="000E4E84" w:rsidP="000E4E84">
      <w:pPr>
        <w:spacing w:line="360" w:lineRule="auto"/>
        <w:ind w:left="567" w:hanging="567"/>
        <w:jc w:val="both"/>
        <w:rPr>
          <w:rFonts w:ascii="David" w:eastAsia="Calibri" w:hAnsi="David"/>
          <w:b/>
          <w:bCs/>
          <w:rtl/>
        </w:rPr>
      </w:pPr>
    </w:p>
    <w:p w14:paraId="372892CB" w14:textId="77777777" w:rsidR="000E4E84" w:rsidRDefault="000E4E84" w:rsidP="000E4E84">
      <w:pPr>
        <w:spacing w:line="360" w:lineRule="auto"/>
        <w:ind w:left="567" w:hanging="567"/>
        <w:jc w:val="both"/>
        <w:rPr>
          <w:rFonts w:ascii="David" w:eastAsia="Calibri" w:hAnsi="David"/>
          <w:rtl/>
        </w:rPr>
      </w:pPr>
      <w:r w:rsidRPr="00C70837">
        <w:rPr>
          <w:rFonts w:ascii="David" w:eastAsia="Calibri" w:hAnsi="David"/>
          <w:rtl/>
        </w:rPr>
        <w:t>9.</w:t>
      </w:r>
      <w:r w:rsidRPr="00C70837">
        <w:rPr>
          <w:rFonts w:ascii="David" w:eastAsia="Calibri" w:hAnsi="David"/>
          <w:rtl/>
        </w:rPr>
        <w:tab/>
        <w:t>באות כוח המאשימה הגישו טיעון כתוב, לצד טענותיהן בעל פה. באות כוח המאשימה טענו לחומרת העבירות שבוצעו על ידי הנאשם, וצטטו הפסיקה המורה כי יש להחמיר בעניינם של אלה העוסקים בגידול סמים מסוכנים. באות כוח המאשימה ציינו, כי מדובר בתקופה ארוכה בה הנאשם גידל סמים מסוכנים (כשנתיים וחודשיים). כמו כן ציינו באות כוח המאשימה את כמות השתילים שנתפסו ומשקלם, ולדעתן מתחם העונש ההולם נע בין 30 חודשי מאסר בפועל ועד 54 חודשי מאסר בפועל, לצד ענישה נלווית.</w:t>
      </w:r>
    </w:p>
    <w:p w14:paraId="2A943510" w14:textId="77777777" w:rsidR="000E4E84" w:rsidRPr="00C70837" w:rsidRDefault="000E4E84" w:rsidP="000E4E84">
      <w:pPr>
        <w:spacing w:line="360" w:lineRule="auto"/>
        <w:ind w:left="567" w:hanging="567"/>
        <w:jc w:val="both"/>
        <w:rPr>
          <w:rFonts w:ascii="David" w:eastAsia="Calibri" w:hAnsi="David"/>
          <w:rtl/>
        </w:rPr>
      </w:pPr>
    </w:p>
    <w:p w14:paraId="12C46CF3" w14:textId="77777777" w:rsidR="000E4E84" w:rsidRPr="00C70837" w:rsidRDefault="000E4E84" w:rsidP="000E4E84">
      <w:pPr>
        <w:spacing w:line="360" w:lineRule="auto"/>
        <w:ind w:left="567" w:hanging="567"/>
        <w:jc w:val="both"/>
        <w:rPr>
          <w:rFonts w:ascii="David" w:eastAsia="Calibri" w:hAnsi="David"/>
          <w:rtl/>
        </w:rPr>
      </w:pPr>
    </w:p>
    <w:p w14:paraId="14945A5B" w14:textId="77777777" w:rsidR="000E4E84" w:rsidRDefault="000E4E84" w:rsidP="000E4E84">
      <w:pPr>
        <w:spacing w:line="360" w:lineRule="auto"/>
        <w:ind w:left="567" w:hanging="567"/>
        <w:jc w:val="both"/>
        <w:rPr>
          <w:rFonts w:ascii="David" w:eastAsia="Calibri" w:hAnsi="David"/>
          <w:rtl/>
        </w:rPr>
      </w:pPr>
      <w:r w:rsidRPr="00C70837">
        <w:rPr>
          <w:rFonts w:ascii="David" w:eastAsia="Calibri" w:hAnsi="David"/>
          <w:rtl/>
        </w:rPr>
        <w:t>10.</w:t>
      </w:r>
      <w:r w:rsidRPr="00C70837">
        <w:rPr>
          <w:rFonts w:ascii="David" w:eastAsia="Calibri" w:hAnsi="David"/>
          <w:rtl/>
        </w:rPr>
        <w:tab/>
        <w:t>לעומת טענות באות כוח המאשימה, טען בא כוח הנאשם, כי הנאשם הודה בעבירות המיוחסות לו ונטל אחריות על ביצוען. לדעת בא כוח הנאשם, יש לגזור את העונש שיש להטיל על הנאשם מכמות השתילים שנתפסה ולא ממשקלם, ולטענת הסניגור, מדובר בכמות שתילים שאינה גדולה. בא כוח הנאשם הוסיף ועמד על כך, שאף בכתב האישום צויין, כי הנאשם החזיק בבית ששכר ביחד עם אדם אחר שזהותו אינה ידועה, והוסיף וטען, כי בשל החובות הגדולים אליהם נקלע הנאשם, בעקבות התמכרותו להימורים, הוא נאלץ לשכור את הבית עבור אנשים אחרים שגידלו בו סמים מסוכנים, ולמעשה הנאשם היה "קוף" (כלשון בא כוח הנאשם, ולא כלשוני שלי) שהוצב לעמוד בחזית, מבלי שהיה לו קשר לגידול הסמים המסוכנים. עוד הוסיף בא כוח הנאשם והתייחס למצבם הבריאותי של הנאשם אשתו וקרובי משפחה אחרים, ולטענתו יש להטיל על הנאשם עונש הנותן לנאשם תקווה לשיקום. אף בא כוח הנאשם אזכר פסיקה המתייחסת לנאשמים שגידלו שתילי קנבוס, והוטלו עליהם עונשי מאסר לתקופות שאפשרו ריצוי העונשים בעבודות שירות. בא כוח הנאשם הוסיף, כי על רקע האפשרות לשקם את הנאשם ובהתחשב בכך שעד עתה לא ריצה עונש מאסר מאח</w:t>
      </w:r>
      <w:r>
        <w:rPr>
          <w:rFonts w:ascii="David" w:eastAsia="Calibri" w:hAnsi="David" w:hint="cs"/>
          <w:rtl/>
        </w:rPr>
        <w:t>ו</w:t>
      </w:r>
      <w:r w:rsidRPr="00C70837">
        <w:rPr>
          <w:rFonts w:ascii="David" w:eastAsia="Calibri" w:hAnsi="David"/>
          <w:rtl/>
        </w:rPr>
        <w:t>רי סורג ובריח, יש מקום להטיל עליו עונש, שניתן לרצותו בעבודות שירות.</w:t>
      </w:r>
    </w:p>
    <w:p w14:paraId="1A5B11C1" w14:textId="77777777" w:rsidR="000E4E84" w:rsidRPr="00C70837" w:rsidRDefault="000E4E84" w:rsidP="000E4E84">
      <w:pPr>
        <w:spacing w:line="360" w:lineRule="auto"/>
        <w:ind w:left="567" w:hanging="567"/>
        <w:jc w:val="both"/>
        <w:rPr>
          <w:rFonts w:ascii="David" w:eastAsia="Calibri" w:hAnsi="David"/>
          <w:rtl/>
        </w:rPr>
      </w:pPr>
    </w:p>
    <w:p w14:paraId="32C4D189" w14:textId="77777777" w:rsidR="000E4E84" w:rsidRPr="00C70837" w:rsidRDefault="000E4E84" w:rsidP="000E4E84">
      <w:pPr>
        <w:spacing w:line="360" w:lineRule="auto"/>
        <w:ind w:left="567" w:hanging="567"/>
        <w:jc w:val="both"/>
        <w:rPr>
          <w:rFonts w:ascii="David" w:eastAsia="Calibri" w:hAnsi="David"/>
          <w:rtl/>
        </w:rPr>
      </w:pPr>
    </w:p>
    <w:p w14:paraId="43A745FE" w14:textId="77777777" w:rsidR="000E4E84" w:rsidRDefault="000E4E84" w:rsidP="000E4E84">
      <w:pPr>
        <w:spacing w:line="360" w:lineRule="auto"/>
        <w:ind w:left="283" w:hanging="567"/>
        <w:jc w:val="both"/>
        <w:rPr>
          <w:rFonts w:ascii="David" w:eastAsia="Calibri" w:hAnsi="David"/>
          <w:b/>
          <w:bCs/>
          <w:rtl/>
        </w:rPr>
      </w:pPr>
      <w:r w:rsidRPr="00C70837">
        <w:rPr>
          <w:rFonts w:ascii="David" w:eastAsia="Calibri" w:hAnsi="David"/>
          <w:b/>
          <w:bCs/>
          <w:rtl/>
        </w:rPr>
        <w:t>ה. דבר הנאשם</w:t>
      </w:r>
    </w:p>
    <w:p w14:paraId="0334F738" w14:textId="77777777" w:rsidR="000E4E84" w:rsidRPr="00C70837" w:rsidRDefault="000E4E84" w:rsidP="000E4E84">
      <w:pPr>
        <w:spacing w:line="360" w:lineRule="auto"/>
        <w:ind w:left="567" w:hanging="567"/>
        <w:jc w:val="both"/>
        <w:rPr>
          <w:rFonts w:ascii="David" w:eastAsia="Calibri" w:hAnsi="David"/>
          <w:b/>
          <w:bCs/>
          <w:rtl/>
        </w:rPr>
      </w:pPr>
    </w:p>
    <w:p w14:paraId="21FCDFEF" w14:textId="77777777" w:rsidR="000E4E84" w:rsidRPr="00C70837" w:rsidRDefault="000E4E84" w:rsidP="000E4E84">
      <w:pPr>
        <w:spacing w:line="360" w:lineRule="auto"/>
        <w:ind w:left="567" w:hanging="567"/>
        <w:jc w:val="both"/>
        <w:rPr>
          <w:rFonts w:ascii="David" w:eastAsia="Calibri" w:hAnsi="David"/>
          <w:rtl/>
        </w:rPr>
      </w:pPr>
      <w:r w:rsidRPr="00C70837">
        <w:rPr>
          <w:rFonts w:ascii="David" w:eastAsia="Calibri" w:hAnsi="David"/>
          <w:rtl/>
        </w:rPr>
        <w:t>11.</w:t>
      </w:r>
      <w:r w:rsidRPr="00C70837">
        <w:rPr>
          <w:rFonts w:ascii="David" w:eastAsia="Calibri" w:hAnsi="David"/>
          <w:rtl/>
        </w:rPr>
        <w:tab/>
        <w:t xml:space="preserve">הנאשם הביע חרטה על העבירות שביצע, ולטענתו, נקלע למצב שלא מרצונו. הנאשם חזר על טענותיו בדבר מצבו הכלכלי הקשה ועל כך שכיום הוא נתון בהליך של פשיטת רגל. עוד הוסיף הנאשם, כי לא היה לו קשר לגידול הסמים בבית ששכר, </w:t>
      </w:r>
      <w:r>
        <w:rPr>
          <w:rFonts w:ascii="David" w:eastAsia="Calibri" w:hAnsi="David" w:hint="cs"/>
          <w:rtl/>
        </w:rPr>
        <w:t xml:space="preserve">וכי עשה זאת </w:t>
      </w:r>
      <w:r w:rsidRPr="00C70837">
        <w:rPr>
          <w:rFonts w:ascii="David" w:eastAsia="Calibri" w:hAnsi="David"/>
          <w:rtl/>
        </w:rPr>
        <w:t>לפי בקשתם של אנשים אחרים ובמימונם, וכי לא קיבל תמורה עבור הפעולות שביצע.</w:t>
      </w:r>
    </w:p>
    <w:p w14:paraId="7D279D54" w14:textId="77777777" w:rsidR="000E4E84" w:rsidRDefault="000E4E84" w:rsidP="000E4E84">
      <w:pPr>
        <w:tabs>
          <w:tab w:val="left" w:pos="567"/>
          <w:tab w:val="left" w:pos="1134"/>
          <w:tab w:val="left" w:pos="1701"/>
          <w:tab w:val="left" w:pos="2268"/>
        </w:tabs>
        <w:spacing w:line="360" w:lineRule="auto"/>
        <w:ind w:left="567" w:hanging="567"/>
        <w:jc w:val="both"/>
        <w:rPr>
          <w:rFonts w:ascii="David" w:eastAsia="Calibri" w:hAnsi="David"/>
          <w:b/>
          <w:bCs/>
          <w:rtl/>
        </w:rPr>
      </w:pPr>
    </w:p>
    <w:p w14:paraId="73CB979F" w14:textId="77777777" w:rsidR="000E4E84" w:rsidRDefault="000E4E84" w:rsidP="000E4E84">
      <w:pPr>
        <w:tabs>
          <w:tab w:val="left" w:pos="567"/>
          <w:tab w:val="left" w:pos="1134"/>
          <w:tab w:val="left" w:pos="1701"/>
          <w:tab w:val="left" w:pos="2268"/>
        </w:tabs>
        <w:spacing w:line="360" w:lineRule="auto"/>
        <w:ind w:left="283" w:hanging="567"/>
        <w:jc w:val="both"/>
        <w:rPr>
          <w:rFonts w:ascii="David" w:eastAsia="Calibri" w:hAnsi="David"/>
          <w:b/>
          <w:bCs/>
          <w:rtl/>
        </w:rPr>
      </w:pPr>
      <w:r w:rsidRPr="00C70837">
        <w:rPr>
          <w:rFonts w:ascii="David" w:eastAsia="Calibri" w:hAnsi="David"/>
          <w:b/>
          <w:bCs/>
          <w:rtl/>
        </w:rPr>
        <w:t>ו. ריבוי עבירות</w:t>
      </w:r>
    </w:p>
    <w:p w14:paraId="6484B58E"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b/>
          <w:bCs/>
          <w:rtl/>
        </w:rPr>
      </w:pPr>
      <w:r w:rsidRPr="00C70837">
        <w:rPr>
          <w:rFonts w:ascii="David" w:eastAsia="Calibri" w:hAnsi="David"/>
          <w:b/>
          <w:bCs/>
          <w:rtl/>
        </w:rPr>
        <w:t xml:space="preserve"> </w:t>
      </w:r>
    </w:p>
    <w:p w14:paraId="52360019" w14:textId="77777777" w:rsidR="000E4E84" w:rsidRPr="00C70837" w:rsidRDefault="000E4E84" w:rsidP="000E4E84">
      <w:pPr>
        <w:spacing w:line="360" w:lineRule="auto"/>
        <w:ind w:left="567" w:hanging="567"/>
        <w:jc w:val="both"/>
        <w:rPr>
          <w:rFonts w:ascii="David" w:eastAsia="Calibri" w:hAnsi="David"/>
          <w:rtl/>
        </w:rPr>
      </w:pPr>
      <w:r w:rsidRPr="00C70837">
        <w:rPr>
          <w:rFonts w:ascii="David" w:eastAsia="Calibri" w:hAnsi="David"/>
          <w:rtl/>
        </w:rPr>
        <w:t>12.</w:t>
      </w:r>
      <w:r w:rsidRPr="00C70837">
        <w:rPr>
          <w:rFonts w:ascii="David" w:eastAsia="Calibri" w:hAnsi="David"/>
          <w:rtl/>
        </w:rPr>
        <w:tab/>
        <w:t>אודה, כי לאחר שקראתי את תסקיר קצינת המבחן, התעורר בי הספק האם יש מקום לראות את הנאשם כמי שמודה בעבירות המיוחסות לו. על כן, ביקשתי לברר עם הנאשם וסנגורו, האם הנאשם עומד על הודאתו. הבהרתי לנאשם, כי אין להודות בעבירות שלא בוצעו על ידו, אך תשובת הנאשם, ואף תשובות סנגורו הייתה, שהנאשם אינו חוזר בו מהודאתו, והוא מודה בעבירות המיוחסות לו בכתב האישום.</w:t>
      </w:r>
    </w:p>
    <w:p w14:paraId="7CAE8E0E" w14:textId="77777777" w:rsidR="000E4E84"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p>
    <w:p w14:paraId="4F8C9A28"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p>
    <w:p w14:paraId="6002E019"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r w:rsidRPr="00C70837">
        <w:rPr>
          <w:rFonts w:ascii="David" w:eastAsia="Calibri" w:hAnsi="David"/>
          <w:rtl/>
        </w:rPr>
        <w:t>13.</w:t>
      </w:r>
      <w:r w:rsidRPr="00C70837">
        <w:rPr>
          <w:rFonts w:ascii="David" w:eastAsia="Calibri" w:hAnsi="David"/>
          <w:rtl/>
        </w:rPr>
        <w:tab/>
        <w:t>הנאשם הורשע בביצוע שתי עבירות. באי כוח הצדדים התייחסו לעבירות שבוצעו על ידי הנאשם כאל מסכת עבריינית אחת, ואף אני אלך בדרכם. לפיכך, העונש שייגזר על הנאשם בגזר דין זה יהיה עונש כולל לשתי העבירות גם יחד.</w:t>
      </w:r>
    </w:p>
    <w:p w14:paraId="695C0AAD" w14:textId="77777777" w:rsidR="000E4E84" w:rsidRDefault="000E4E84" w:rsidP="000E4E84">
      <w:pPr>
        <w:spacing w:line="360" w:lineRule="auto"/>
        <w:ind w:left="567" w:hanging="567"/>
        <w:jc w:val="both"/>
        <w:rPr>
          <w:rFonts w:ascii="David" w:eastAsia="Calibri" w:hAnsi="David"/>
          <w:rtl/>
        </w:rPr>
      </w:pPr>
    </w:p>
    <w:p w14:paraId="0B1288C2" w14:textId="77777777" w:rsidR="000E4E84" w:rsidRPr="00C70837" w:rsidRDefault="000E4E84" w:rsidP="000E4E84">
      <w:pPr>
        <w:spacing w:line="360" w:lineRule="auto"/>
        <w:ind w:left="567" w:hanging="567"/>
        <w:jc w:val="both"/>
        <w:rPr>
          <w:rFonts w:ascii="David" w:eastAsia="Calibri" w:hAnsi="David"/>
          <w:rtl/>
        </w:rPr>
      </w:pPr>
    </w:p>
    <w:p w14:paraId="61154242" w14:textId="77777777" w:rsidR="000E4E84" w:rsidRDefault="000E4E84" w:rsidP="000E4E84">
      <w:pPr>
        <w:spacing w:line="360" w:lineRule="auto"/>
        <w:ind w:left="283" w:hanging="567"/>
        <w:jc w:val="both"/>
        <w:rPr>
          <w:rFonts w:ascii="David" w:eastAsia="Calibri" w:hAnsi="David"/>
          <w:b/>
          <w:bCs/>
          <w:rtl/>
        </w:rPr>
      </w:pPr>
      <w:r w:rsidRPr="00C70837">
        <w:rPr>
          <w:rFonts w:ascii="David" w:eastAsia="Calibri" w:hAnsi="David"/>
          <w:b/>
          <w:bCs/>
          <w:rtl/>
        </w:rPr>
        <w:t>ז. מתחם העונש ההולם</w:t>
      </w:r>
    </w:p>
    <w:p w14:paraId="079BB845" w14:textId="77777777" w:rsidR="000E4E84" w:rsidRPr="00C70837" w:rsidRDefault="000E4E84" w:rsidP="000E4E84">
      <w:pPr>
        <w:spacing w:line="360" w:lineRule="auto"/>
        <w:ind w:left="567" w:hanging="567"/>
        <w:jc w:val="both"/>
        <w:rPr>
          <w:rFonts w:ascii="David" w:eastAsia="Calibri" w:hAnsi="David"/>
          <w:b/>
          <w:bCs/>
          <w:rtl/>
        </w:rPr>
      </w:pPr>
    </w:p>
    <w:p w14:paraId="7BF8DDD1"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r w:rsidRPr="00C70837">
        <w:rPr>
          <w:rFonts w:ascii="David" w:eastAsia="Calibri" w:hAnsi="David"/>
          <w:rtl/>
        </w:rPr>
        <w:t>14.</w:t>
      </w:r>
      <w:r w:rsidRPr="00C70837">
        <w:rPr>
          <w:rFonts w:ascii="David" w:eastAsia="Calibri" w:hAnsi="David"/>
          <w:rtl/>
        </w:rPr>
        <w:tab/>
        <w:t xml:space="preserve">העיקרון המנחה בקביעת "מתחם העונש ההולם" הוא "עיקרון ההלימה". על פי עיקרון זה יש לקיים יחס הולם בין חומרת המעשה, בנסיבותיו, ומידת אשמו של הנאשם, מחד גיסא, ובין סוג ומידת העונש המוטל עליו, מאידך גיסא. בקביעת מתחם העונש ההולם, על בית המשפט להתחשב במידת הפגיעה בערך החברתי שנפגע כתוצאה מביצוע העבירה, ובמידת הענישה הנהוגה בנסיבות הקשורות בביצוע העבירה על ידי הנאשם. בשלב זה בית המשפט אינו מתייחס לנסיבותיו האישיות של הנאשם, שכן השלב בו בית המשפט מתחשב בנסיבותיו האישיות של הנאשם, יהיה השלב בו יבוא בית המשפט לקבוע את עונשו של הנאשם, בתוך מתחם העונש ההולם. </w:t>
      </w:r>
    </w:p>
    <w:p w14:paraId="1562A852"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p>
    <w:p w14:paraId="04DFFBFA"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p>
    <w:p w14:paraId="1FD2636A"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r w:rsidRPr="00C70837">
        <w:rPr>
          <w:rFonts w:ascii="David" w:eastAsia="Calibri" w:hAnsi="David"/>
          <w:rtl/>
        </w:rPr>
        <w:t>15.</w:t>
      </w:r>
      <w:r w:rsidRPr="00C70837">
        <w:rPr>
          <w:rFonts w:ascii="David" w:eastAsia="Calibri" w:hAnsi="David"/>
          <w:rtl/>
        </w:rPr>
        <w:tab/>
      </w:r>
      <w:hyperlink r:id="rId17" w:history="1">
        <w:r w:rsidR="00E84F7C" w:rsidRPr="00E84F7C">
          <w:rPr>
            <w:rStyle w:val="Hyperlink"/>
            <w:rFonts w:ascii="David" w:eastAsia="Calibri" w:hAnsi="David"/>
            <w:rtl/>
          </w:rPr>
          <w:t>בסעיף 40ט'</w:t>
        </w:r>
      </w:hyperlink>
      <w:r w:rsidRPr="00C70837">
        <w:rPr>
          <w:rFonts w:ascii="David" w:eastAsia="Calibri" w:hAnsi="David"/>
          <w:rtl/>
        </w:rPr>
        <w:t xml:space="preserve"> ל</w:t>
      </w:r>
      <w:hyperlink r:id="rId18" w:history="1">
        <w:r w:rsidR="009A7009" w:rsidRPr="009A7009">
          <w:rPr>
            <w:rFonts w:ascii="David" w:eastAsia="Calibri" w:hAnsi="David"/>
            <w:color w:val="0000FF"/>
            <w:u w:val="single"/>
            <w:rtl/>
          </w:rPr>
          <w:t>חוק העונשין</w:t>
        </w:r>
      </w:hyperlink>
      <w:r w:rsidRPr="00C70837">
        <w:rPr>
          <w:rFonts w:ascii="David" w:eastAsia="Calibri" w:hAnsi="David"/>
          <w:rtl/>
        </w:rPr>
        <w:t>, פורטו נסיבות שונות, שאינן מהוות רשימה סגורה, שעל בית המשפט להתחשב בהם, ככל שבית המשפט סבור שהן משפיעות על חומרת המעשה ועל אשמו של הנאשם. במקרה שלפני יש לזקוף לחובת הנאשם את הפגיעה בערך החברתי המוגן, התכנון שקדם לביצוע העבירות, חלקו היחסי של הנאשם בביצוען, הנזק שנגרם או שעלול היה להיגרם כתוצאה מביצוע העבירות וכן את הסיבות שהביאו את הנאשם לבצען.</w:t>
      </w:r>
    </w:p>
    <w:p w14:paraId="653C98D2"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p>
    <w:p w14:paraId="60BF9CC9"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p>
    <w:p w14:paraId="31EEA576"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r w:rsidRPr="00C70837">
        <w:rPr>
          <w:rFonts w:ascii="David" w:eastAsia="Calibri" w:hAnsi="David"/>
          <w:rtl/>
        </w:rPr>
        <w:t>16.</w:t>
      </w:r>
      <w:r w:rsidRPr="00C70837">
        <w:rPr>
          <w:rFonts w:ascii="David" w:eastAsia="Calibri" w:hAnsi="David"/>
          <w:rtl/>
        </w:rPr>
        <w:tab/>
        <w:t xml:space="preserve">אכן, בעקבות התמכרותו להימורים, ונטילת הלוואות בשוק האפור, נקלע הנאשם למצב כלכלי קשה וחמור. מכאן, לטענת הנאשם, נבע שיתוף הפעולה שלו עם גורמים אחרים, שזהותם אינה ידועה (אלא לנאשם). פעולותיו של הנאשם, אשר יצרו את הבסיס לגידול הסמים המסוכנים בבית שנשכר על ידו, והחיפוי שנתן לאחרים, שהסתתרו מאחוריו, אפשרו את הפגיעה בערכים מוגנים חשובים, והם בריאותם ושלמות גופם של אנשים אחרים. העבירה לפי </w:t>
      </w:r>
      <w:hyperlink r:id="rId19" w:history="1">
        <w:r w:rsidR="00E84F7C" w:rsidRPr="00E84F7C">
          <w:rPr>
            <w:rStyle w:val="Hyperlink"/>
            <w:rFonts w:ascii="David" w:eastAsia="Calibri" w:hAnsi="David"/>
            <w:rtl/>
          </w:rPr>
          <w:t>סעיף 6</w:t>
        </w:r>
      </w:hyperlink>
      <w:r w:rsidRPr="00C70837">
        <w:rPr>
          <w:rFonts w:ascii="David" w:eastAsia="Calibri" w:hAnsi="David"/>
          <w:rtl/>
        </w:rPr>
        <w:t xml:space="preserve"> ל</w:t>
      </w:r>
      <w:hyperlink r:id="rId20" w:history="1">
        <w:r w:rsidR="009A7009" w:rsidRPr="009A7009">
          <w:rPr>
            <w:rFonts w:ascii="David" w:eastAsia="Calibri" w:hAnsi="David"/>
            <w:color w:val="0000FF"/>
            <w:u w:val="single"/>
            <w:rtl/>
          </w:rPr>
          <w:t>פקודת הסמים המסוכנים</w:t>
        </w:r>
      </w:hyperlink>
      <w:r w:rsidRPr="00C70837">
        <w:rPr>
          <w:rFonts w:ascii="David" w:eastAsia="Calibri" w:hAnsi="David"/>
          <w:rtl/>
        </w:rPr>
        <w:t>, נושאת לצדה עונש מרבי של 20 שנות מאסר, ללמדך מה החומרה שמייחס המחוקק להפרת הערך החברתי המוגן.</w:t>
      </w:r>
    </w:p>
    <w:p w14:paraId="2B4E5C90"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p>
    <w:p w14:paraId="7841B8BB"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p>
    <w:p w14:paraId="0C58D586"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r w:rsidRPr="00C70837">
        <w:rPr>
          <w:rFonts w:ascii="David" w:eastAsia="Calibri" w:hAnsi="David"/>
          <w:rtl/>
        </w:rPr>
        <w:t>17.</w:t>
      </w:r>
      <w:r w:rsidRPr="00C70837">
        <w:rPr>
          <w:rFonts w:ascii="David" w:eastAsia="Calibri" w:hAnsi="David"/>
          <w:rtl/>
        </w:rPr>
        <w:tab/>
        <w:t>אין צורך להכביר מילים ביחס לחומרת העבירה, ולאחר ששקלתי טענות באי כוח הצדדים, הנני מקבל טענותיהן של באות כוח המאשימה, כי מתחם העונש ההולם נע בין 30 חודשי מאסר בפועל ל- 54 חודשי מאסר בפועל.</w:t>
      </w:r>
    </w:p>
    <w:p w14:paraId="47042542"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p>
    <w:p w14:paraId="05163BEF"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p>
    <w:p w14:paraId="4105E2F7" w14:textId="77777777" w:rsidR="000E4E84" w:rsidRPr="00C70837" w:rsidRDefault="000E4E84" w:rsidP="000E4E84">
      <w:pPr>
        <w:tabs>
          <w:tab w:val="left" w:pos="567"/>
          <w:tab w:val="left" w:pos="1134"/>
          <w:tab w:val="left" w:pos="1701"/>
          <w:tab w:val="left" w:pos="2268"/>
        </w:tabs>
        <w:spacing w:line="360" w:lineRule="auto"/>
        <w:ind w:left="283" w:hanging="567"/>
        <w:jc w:val="both"/>
        <w:rPr>
          <w:rFonts w:ascii="David" w:eastAsia="Calibri" w:hAnsi="David"/>
          <w:b/>
          <w:bCs/>
          <w:rtl/>
        </w:rPr>
      </w:pPr>
      <w:r>
        <w:rPr>
          <w:rFonts w:ascii="David" w:eastAsia="Calibri" w:hAnsi="David" w:hint="cs"/>
          <w:b/>
          <w:bCs/>
          <w:rtl/>
        </w:rPr>
        <w:t>ח</w:t>
      </w:r>
      <w:r w:rsidRPr="00C70837">
        <w:rPr>
          <w:rFonts w:ascii="David" w:eastAsia="Calibri" w:hAnsi="David"/>
          <w:b/>
          <w:bCs/>
          <w:rtl/>
        </w:rPr>
        <w:t>. סטייה ממתחם העונש ההולם</w:t>
      </w:r>
    </w:p>
    <w:p w14:paraId="19E0FED7"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p>
    <w:p w14:paraId="679D412A"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r w:rsidRPr="00C70837">
        <w:rPr>
          <w:rFonts w:ascii="David" w:eastAsia="Calibri" w:hAnsi="David"/>
          <w:rtl/>
        </w:rPr>
        <w:t>18.</w:t>
      </w:r>
      <w:r w:rsidRPr="00C70837">
        <w:rPr>
          <w:rFonts w:ascii="David" w:eastAsia="Calibri" w:hAnsi="David"/>
          <w:rtl/>
        </w:rPr>
        <w:tab/>
        <w:t xml:space="preserve">על פי </w:t>
      </w:r>
      <w:hyperlink r:id="rId21" w:history="1">
        <w:r w:rsidR="00E84F7C" w:rsidRPr="00E84F7C">
          <w:rPr>
            <w:rStyle w:val="Hyperlink"/>
            <w:rFonts w:ascii="David" w:eastAsia="Calibri" w:hAnsi="David"/>
            <w:rtl/>
          </w:rPr>
          <w:t>סעיף 40ד(א)</w:t>
        </w:r>
      </w:hyperlink>
      <w:r w:rsidRPr="00C70837">
        <w:rPr>
          <w:rFonts w:ascii="David" w:eastAsia="Calibri" w:hAnsi="David"/>
          <w:rtl/>
        </w:rPr>
        <w:t xml:space="preserve"> ל</w:t>
      </w:r>
      <w:hyperlink r:id="rId22" w:history="1">
        <w:r w:rsidR="009A7009" w:rsidRPr="009A7009">
          <w:rPr>
            <w:rFonts w:ascii="David" w:eastAsia="Calibri" w:hAnsi="David"/>
            <w:color w:val="0000FF"/>
            <w:u w:val="single"/>
            <w:rtl/>
          </w:rPr>
          <w:t>חוק העונשין</w:t>
        </w:r>
      </w:hyperlink>
      <w:r w:rsidRPr="00C70837">
        <w:rPr>
          <w:rFonts w:ascii="David" w:eastAsia="Calibri" w:hAnsi="David"/>
          <w:rtl/>
        </w:rPr>
        <w:t xml:space="preserve">, בית המשפט רשאי לחרוג ממתחם העונש ההולם אם מצא, כי יש סיכוי של ממש לשיקום של הנאשם. במקרה שכזה, רשאי בית המשפט לקבוע את עונשו של הנאשם "לפי שיקולי שיקומו", וכן מוסמך בית המשפט להורות על נקיטת אמצעי שיקום, לרבות העמדת הנאשם במבחן. עם זאת, לא ניתן לחרוג ממתחם העונש ההולם, גם כאשר יש סיכוי של ממש לשיקומו של הנאשם, אם מעשה העבירה ומידת אשמו של הנאשמים הם "בעלי חומרה יתרה". </w:t>
      </w:r>
    </w:p>
    <w:p w14:paraId="16D9D7E7"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p>
    <w:p w14:paraId="3E3C851F"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p>
    <w:p w14:paraId="32CBC5B0"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r w:rsidRPr="00C70837">
        <w:rPr>
          <w:rFonts w:ascii="David" w:eastAsia="Calibri" w:hAnsi="David"/>
          <w:rtl/>
        </w:rPr>
        <w:t>19.</w:t>
      </w:r>
      <w:r w:rsidRPr="00C70837">
        <w:rPr>
          <w:rFonts w:ascii="David" w:eastAsia="Calibri" w:hAnsi="David"/>
          <w:rtl/>
        </w:rPr>
        <w:tab/>
        <w:t>בתסקיר המבחן שהוגש בעניינו של הנאשם עמדה קצינת המבחן על הצורך לשלב את הנאשם במסגרת "מרכז יום" לטיפול בנפגעי התמכרויות. לדעת קצינת המבחן, טיפול אינטנסיבי בהתמכרותו של הנאשם להימורים, עשוי להקנות לנאשם כלים להתנהגות מסתגלת ונורמטיבית, לצורך ביסוס שינויים בדפוסי החשיבה והרגש.</w:t>
      </w:r>
    </w:p>
    <w:p w14:paraId="4E6BB918"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p>
    <w:p w14:paraId="15A8A47D"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p>
    <w:p w14:paraId="01BB0FED"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r w:rsidRPr="00C70837">
        <w:rPr>
          <w:rFonts w:ascii="David" w:eastAsia="Calibri" w:hAnsi="David"/>
          <w:rtl/>
        </w:rPr>
        <w:t>20.</w:t>
      </w:r>
      <w:r w:rsidRPr="00C70837">
        <w:rPr>
          <w:rFonts w:ascii="David" w:eastAsia="Calibri" w:hAnsi="David"/>
          <w:rtl/>
        </w:rPr>
        <w:tab/>
        <w:t>נוכח שיקולי השיקום שפורטו בתסקיר המבחן, הנני סבור, שיש מקום בעניינו של הנאשם לסטות לקולה ממתחם העונש ההולם, ולגזור עליו עונש קל יותר מהעונש המתחייב ממתחם העונש ההולם.</w:t>
      </w:r>
    </w:p>
    <w:p w14:paraId="005EB9A3"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p>
    <w:p w14:paraId="4D046115"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p>
    <w:p w14:paraId="3C0D3C50" w14:textId="77777777" w:rsidR="000E4E84" w:rsidRPr="00C70837" w:rsidRDefault="000E4E84" w:rsidP="000E4E84">
      <w:pPr>
        <w:tabs>
          <w:tab w:val="left" w:pos="567"/>
          <w:tab w:val="left" w:pos="1134"/>
          <w:tab w:val="left" w:pos="1701"/>
          <w:tab w:val="left" w:pos="2268"/>
        </w:tabs>
        <w:spacing w:line="360" w:lineRule="auto"/>
        <w:ind w:left="283" w:hanging="567"/>
        <w:jc w:val="both"/>
        <w:rPr>
          <w:rFonts w:ascii="David" w:eastAsia="Calibri" w:hAnsi="David"/>
          <w:b/>
          <w:bCs/>
          <w:rtl/>
        </w:rPr>
      </w:pPr>
      <w:r>
        <w:rPr>
          <w:rFonts w:ascii="David" w:eastAsia="Calibri" w:hAnsi="David" w:hint="cs"/>
          <w:b/>
          <w:bCs/>
          <w:rtl/>
        </w:rPr>
        <w:t>ט</w:t>
      </w:r>
      <w:r w:rsidRPr="00C70837">
        <w:rPr>
          <w:rFonts w:ascii="David" w:eastAsia="Calibri" w:hAnsi="David"/>
          <w:b/>
          <w:bCs/>
          <w:rtl/>
        </w:rPr>
        <w:t>. קביעת העונש</w:t>
      </w:r>
    </w:p>
    <w:p w14:paraId="62CFA2E6" w14:textId="77777777" w:rsidR="000E4E84" w:rsidRPr="00C70837" w:rsidRDefault="000E4E84" w:rsidP="000E4E84">
      <w:pPr>
        <w:tabs>
          <w:tab w:val="left" w:pos="567"/>
          <w:tab w:val="left" w:pos="1134"/>
          <w:tab w:val="left" w:pos="1701"/>
          <w:tab w:val="left" w:pos="2268"/>
        </w:tabs>
        <w:spacing w:line="360" w:lineRule="auto"/>
        <w:ind w:left="567" w:hanging="567"/>
        <w:jc w:val="both"/>
        <w:rPr>
          <w:rFonts w:ascii="David" w:eastAsia="Calibri" w:hAnsi="David"/>
          <w:rtl/>
        </w:rPr>
      </w:pPr>
    </w:p>
    <w:p w14:paraId="52A94997" w14:textId="77777777" w:rsidR="000E4E84" w:rsidRPr="00C70837" w:rsidRDefault="000E4E84" w:rsidP="000E4E84">
      <w:pPr>
        <w:spacing w:line="360" w:lineRule="auto"/>
        <w:ind w:left="567" w:hanging="567"/>
        <w:jc w:val="both"/>
        <w:rPr>
          <w:rFonts w:ascii="David" w:eastAsia="Calibri" w:hAnsi="David"/>
          <w:rtl/>
        </w:rPr>
      </w:pPr>
      <w:r w:rsidRPr="00C70837">
        <w:rPr>
          <w:rFonts w:ascii="David" w:eastAsia="Calibri" w:hAnsi="David"/>
          <w:rtl/>
        </w:rPr>
        <w:t>21.</w:t>
      </w:r>
      <w:r w:rsidRPr="00C70837">
        <w:rPr>
          <w:rFonts w:ascii="David" w:eastAsia="Calibri" w:hAnsi="David"/>
          <w:rtl/>
        </w:rPr>
        <w:tab/>
        <w:t>הנאשם יליד שנת 1974 (וגילו כ- 47 שנים), נשוי ואב לשלוש בנות, ומשפחתו אינה חפה מבעיות רפואיות. בעבר הנאשם ניהל מספר מסעדות ומזנונים, אותן נאלץ לסגור בשל חובות כבדים שצבר. מתסקיר המבחן עולה, כי מאז היותו בגיל 17 שנים, הנאשם שלח ידו בהימורים, ועיסוק זה הוא שגרם לחובותיו הכבדים. בעקבות חובותיו, הוכרז הנאשם כפושט רגל, ולאחר ששוחרר למעצר באיזוק, הותר לו לעבוד במסעדה של חבר, ואולם מדובר בעבודה חלקית שניתן לקיימה רק בעת שחברו של הנאשם נמצא במסעדה ומסוגל לפקח עליו.</w:t>
      </w:r>
    </w:p>
    <w:p w14:paraId="4378FF3F" w14:textId="77777777" w:rsidR="000E4E84" w:rsidRDefault="000E4E84" w:rsidP="000E4E84">
      <w:pPr>
        <w:spacing w:line="360" w:lineRule="auto"/>
        <w:ind w:left="567" w:hanging="567"/>
        <w:jc w:val="both"/>
        <w:rPr>
          <w:rFonts w:ascii="David" w:eastAsia="Calibri" w:hAnsi="David"/>
          <w:rtl/>
        </w:rPr>
      </w:pPr>
    </w:p>
    <w:p w14:paraId="13E4E21D" w14:textId="77777777" w:rsidR="000E4E84" w:rsidRPr="00C70837" w:rsidRDefault="000E4E84" w:rsidP="000E4E84">
      <w:pPr>
        <w:spacing w:line="360" w:lineRule="auto"/>
        <w:ind w:left="567" w:hanging="567"/>
        <w:jc w:val="both"/>
        <w:rPr>
          <w:rFonts w:ascii="David" w:eastAsia="Calibri" w:hAnsi="David"/>
          <w:rtl/>
        </w:rPr>
      </w:pPr>
    </w:p>
    <w:p w14:paraId="4EC33E49" w14:textId="77777777" w:rsidR="000E4E84" w:rsidRPr="00C70837" w:rsidRDefault="000E4E84" w:rsidP="000E4E84">
      <w:pPr>
        <w:spacing w:line="360" w:lineRule="auto"/>
        <w:ind w:left="567" w:hanging="567"/>
        <w:jc w:val="both"/>
        <w:rPr>
          <w:rFonts w:ascii="David" w:eastAsia="Calibri" w:hAnsi="David"/>
          <w:rtl/>
        </w:rPr>
      </w:pPr>
      <w:r w:rsidRPr="00C70837">
        <w:rPr>
          <w:rFonts w:ascii="David" w:eastAsia="Calibri" w:hAnsi="David"/>
          <w:rtl/>
        </w:rPr>
        <w:t>22.</w:t>
      </w:r>
      <w:r w:rsidRPr="00C70837">
        <w:rPr>
          <w:rFonts w:ascii="David" w:eastAsia="Calibri" w:hAnsi="David"/>
          <w:rtl/>
        </w:rPr>
        <w:tab/>
        <w:t>העבירה לפי פקודת הסמים היא עבירה חמורה, ולצד מתן המשקל הראוי לנסיבותיו האישיות של הנאשם, יש לתת את הדעת גם להשלכותיה של העבירה, ולקורבנות שהיא מייצרת. טענת הנאשם כי לא הייתה לו "חצי ברירה" כאשר ביצע המעשים המיוחסים לו בכתב האישום, אינה מקובלת עלי כלל וכלל.</w:t>
      </w:r>
    </w:p>
    <w:p w14:paraId="333968DC" w14:textId="77777777" w:rsidR="000E4E84" w:rsidRDefault="000E4E84" w:rsidP="000E4E84">
      <w:pPr>
        <w:spacing w:line="360" w:lineRule="auto"/>
        <w:ind w:left="567" w:hanging="567"/>
        <w:jc w:val="both"/>
        <w:rPr>
          <w:rFonts w:ascii="David" w:eastAsia="Calibri" w:hAnsi="David"/>
          <w:rtl/>
        </w:rPr>
      </w:pPr>
    </w:p>
    <w:p w14:paraId="3C78A0CE" w14:textId="77777777" w:rsidR="000E4E84" w:rsidRPr="00C70837" w:rsidRDefault="000E4E84" w:rsidP="000E4E84">
      <w:pPr>
        <w:spacing w:line="360" w:lineRule="auto"/>
        <w:ind w:left="567" w:hanging="567"/>
        <w:jc w:val="both"/>
        <w:rPr>
          <w:rFonts w:ascii="David" w:eastAsia="Calibri" w:hAnsi="David"/>
          <w:rtl/>
        </w:rPr>
      </w:pPr>
    </w:p>
    <w:p w14:paraId="7ABDD35A" w14:textId="77777777" w:rsidR="000E4E84" w:rsidRPr="00C70837" w:rsidRDefault="000E4E84" w:rsidP="000E4E84">
      <w:pPr>
        <w:spacing w:line="360" w:lineRule="auto"/>
        <w:ind w:left="567" w:hanging="567"/>
        <w:jc w:val="both"/>
        <w:rPr>
          <w:rFonts w:ascii="David" w:eastAsia="Calibri" w:hAnsi="David"/>
          <w:rtl/>
        </w:rPr>
      </w:pPr>
      <w:r w:rsidRPr="00C70837">
        <w:rPr>
          <w:rFonts w:ascii="David" w:eastAsia="Calibri" w:hAnsi="David"/>
          <w:rtl/>
        </w:rPr>
        <w:t>23.</w:t>
      </w:r>
      <w:r w:rsidRPr="00C70837">
        <w:rPr>
          <w:rFonts w:ascii="David" w:eastAsia="Calibri" w:hAnsi="David"/>
          <w:rtl/>
        </w:rPr>
        <w:tab/>
        <w:t xml:space="preserve">לאחר ששקלתי טענות באי כוח הצדדים, ונתתי דעתי להודאת הנאשם בשלב מוקדם של ההליך, ולמשקלן של נסיבותיו האישיות של הנאשם וסיכויי שיקומו, אם וכאשר יעבור תהליך גמילה מהימורים, התקופה בה היה נתון באיזוק אלקטרוני וכל יתר נסיבותיו האישיות, הנני מחליט להשית על הנאשם עונש של 24 חודשי מאסר לריצוי בפועל. לצד עונש זה יוטלו על הנאשם 12 חודשי מאסר על תנאי למשך שלוש שנים, והתנאי הוא, שהנאשם לאט יעבור עבירות לפי </w:t>
      </w:r>
      <w:hyperlink r:id="rId23" w:history="1">
        <w:r w:rsidR="009A7009" w:rsidRPr="009A7009">
          <w:rPr>
            <w:rFonts w:ascii="David" w:eastAsia="Calibri" w:hAnsi="David"/>
            <w:color w:val="0000FF"/>
            <w:u w:val="single"/>
            <w:rtl/>
          </w:rPr>
          <w:t>פקודת הסמים המסוכנים</w:t>
        </w:r>
      </w:hyperlink>
      <w:r w:rsidRPr="00C70837">
        <w:rPr>
          <w:rFonts w:ascii="David" w:eastAsia="Calibri" w:hAnsi="David"/>
          <w:rtl/>
        </w:rPr>
        <w:t>.</w:t>
      </w:r>
    </w:p>
    <w:p w14:paraId="5F621FB3" w14:textId="77777777" w:rsidR="000E4E84" w:rsidRDefault="000E4E84" w:rsidP="000E4E84">
      <w:pPr>
        <w:spacing w:line="360" w:lineRule="auto"/>
        <w:ind w:left="567" w:hanging="567"/>
        <w:jc w:val="both"/>
        <w:rPr>
          <w:rFonts w:ascii="David" w:eastAsia="Calibri" w:hAnsi="David"/>
          <w:b/>
          <w:bCs/>
          <w:rtl/>
        </w:rPr>
      </w:pPr>
    </w:p>
    <w:p w14:paraId="5267078B" w14:textId="77777777" w:rsidR="000E4E84" w:rsidRDefault="000E4E84" w:rsidP="000E4E84">
      <w:pPr>
        <w:spacing w:line="360" w:lineRule="auto"/>
        <w:ind w:left="567" w:hanging="567"/>
        <w:jc w:val="both"/>
        <w:rPr>
          <w:rFonts w:ascii="David" w:eastAsia="Calibri" w:hAnsi="David"/>
          <w:b/>
          <w:bCs/>
          <w:rtl/>
        </w:rPr>
      </w:pPr>
    </w:p>
    <w:p w14:paraId="55994074" w14:textId="77777777" w:rsidR="000E4E84" w:rsidRDefault="000E4E84" w:rsidP="000E4E84">
      <w:pPr>
        <w:spacing w:line="360" w:lineRule="auto"/>
        <w:ind w:left="283" w:hanging="567"/>
        <w:jc w:val="both"/>
        <w:rPr>
          <w:rFonts w:ascii="David" w:eastAsia="Calibri" w:hAnsi="David"/>
          <w:b/>
          <w:bCs/>
          <w:rtl/>
        </w:rPr>
      </w:pPr>
      <w:r>
        <w:rPr>
          <w:rFonts w:ascii="David" w:eastAsia="Calibri" w:hAnsi="David" w:hint="cs"/>
          <w:b/>
          <w:bCs/>
          <w:rtl/>
        </w:rPr>
        <w:t>י</w:t>
      </w:r>
      <w:r w:rsidRPr="00C70837">
        <w:rPr>
          <w:rFonts w:ascii="David" w:eastAsia="Calibri" w:hAnsi="David"/>
          <w:b/>
          <w:bCs/>
          <w:rtl/>
        </w:rPr>
        <w:t>. אמצעים נוספים שהתבקשו</w:t>
      </w:r>
    </w:p>
    <w:p w14:paraId="734A7DA0" w14:textId="77777777" w:rsidR="000E4E84" w:rsidRPr="00C70837" w:rsidRDefault="000E4E84" w:rsidP="000E4E84">
      <w:pPr>
        <w:spacing w:line="360" w:lineRule="auto"/>
        <w:ind w:left="567" w:hanging="567"/>
        <w:jc w:val="both"/>
        <w:rPr>
          <w:rFonts w:ascii="David" w:eastAsia="Calibri" w:hAnsi="David"/>
          <w:b/>
          <w:bCs/>
          <w:rtl/>
        </w:rPr>
      </w:pPr>
    </w:p>
    <w:p w14:paraId="0BC25B04" w14:textId="77777777" w:rsidR="000E4E84" w:rsidRDefault="000E4E84" w:rsidP="000E4E84">
      <w:pPr>
        <w:spacing w:line="360" w:lineRule="auto"/>
        <w:ind w:left="567" w:hanging="567"/>
        <w:jc w:val="both"/>
        <w:rPr>
          <w:rFonts w:ascii="David" w:eastAsia="Calibri" w:hAnsi="David"/>
          <w:rtl/>
        </w:rPr>
      </w:pPr>
      <w:r w:rsidRPr="00C70837">
        <w:rPr>
          <w:rFonts w:ascii="David" w:eastAsia="Calibri" w:hAnsi="David"/>
          <w:rtl/>
        </w:rPr>
        <w:t>24.</w:t>
      </w:r>
      <w:r w:rsidRPr="00C70837">
        <w:rPr>
          <w:rFonts w:ascii="David" w:eastAsia="Calibri" w:hAnsi="David"/>
          <w:rtl/>
        </w:rPr>
        <w:tab/>
        <w:t>הכרזת הנאשם כסוחר סמים:</w:t>
      </w:r>
    </w:p>
    <w:p w14:paraId="3A2A4D8B" w14:textId="77777777" w:rsidR="000E4E84" w:rsidRPr="00C70837" w:rsidRDefault="000E4E84" w:rsidP="000E4E84">
      <w:pPr>
        <w:spacing w:line="360" w:lineRule="auto"/>
        <w:ind w:left="567" w:hanging="567"/>
        <w:jc w:val="both"/>
        <w:rPr>
          <w:rFonts w:ascii="David" w:eastAsia="Calibri" w:hAnsi="David"/>
          <w:rtl/>
        </w:rPr>
      </w:pPr>
    </w:p>
    <w:p w14:paraId="03EDA3F8" w14:textId="77777777" w:rsidR="000E4E84" w:rsidRDefault="000E4E84" w:rsidP="000E4E84">
      <w:pPr>
        <w:spacing w:line="360" w:lineRule="auto"/>
        <w:ind w:left="567" w:hanging="567"/>
        <w:jc w:val="both"/>
        <w:rPr>
          <w:rFonts w:ascii="David" w:eastAsia="Calibri" w:hAnsi="David"/>
          <w:rtl/>
        </w:rPr>
      </w:pPr>
      <w:r w:rsidRPr="00C70837">
        <w:rPr>
          <w:rFonts w:ascii="David" w:eastAsia="Calibri" w:hAnsi="David"/>
          <w:rtl/>
        </w:rPr>
        <w:tab/>
        <w:t xml:space="preserve">הנני נעתר לבקשת באות כוח המאשימה, לקבוע כי הנאשם הוא "סוחר סמים" כמשמעות הדבר </w:t>
      </w:r>
      <w:hyperlink r:id="rId24" w:history="1">
        <w:r w:rsidR="00E84F7C" w:rsidRPr="00E84F7C">
          <w:rPr>
            <w:rStyle w:val="Hyperlink"/>
            <w:rFonts w:ascii="David" w:eastAsia="Calibri" w:hAnsi="David"/>
            <w:rtl/>
          </w:rPr>
          <w:t>בסעיף 36א(ב)</w:t>
        </w:r>
      </w:hyperlink>
      <w:r w:rsidRPr="00C70837">
        <w:rPr>
          <w:rFonts w:ascii="David" w:eastAsia="Calibri" w:hAnsi="David"/>
          <w:rtl/>
        </w:rPr>
        <w:t xml:space="preserve"> ל</w:t>
      </w:r>
      <w:hyperlink r:id="rId25" w:history="1">
        <w:r w:rsidR="009A7009" w:rsidRPr="009A7009">
          <w:rPr>
            <w:rFonts w:ascii="David" w:eastAsia="Calibri" w:hAnsi="David"/>
            <w:color w:val="0000FF"/>
            <w:u w:val="single"/>
            <w:rtl/>
          </w:rPr>
          <w:t>פקודת הסמים המסוכנים</w:t>
        </w:r>
      </w:hyperlink>
      <w:r w:rsidRPr="00C70837">
        <w:rPr>
          <w:rFonts w:ascii="David" w:eastAsia="Calibri" w:hAnsi="David"/>
          <w:rtl/>
        </w:rPr>
        <w:t xml:space="preserve"> [נוסח חדש], תשל"ג – 1973. לפיכך בסיפא לגזר דין זה תינתנה הוראות חילוט ביחס לרכוש המפורט בכתב האישום.</w:t>
      </w:r>
    </w:p>
    <w:p w14:paraId="4EB805BC" w14:textId="77777777" w:rsidR="000E4E84" w:rsidRDefault="000E4E84" w:rsidP="000E4E84">
      <w:pPr>
        <w:spacing w:line="360" w:lineRule="auto"/>
        <w:ind w:left="567" w:hanging="567"/>
        <w:jc w:val="both"/>
        <w:rPr>
          <w:rFonts w:ascii="David" w:eastAsia="Calibri" w:hAnsi="David"/>
          <w:rtl/>
        </w:rPr>
      </w:pPr>
    </w:p>
    <w:p w14:paraId="04C0D052" w14:textId="77777777" w:rsidR="000E4E84" w:rsidRPr="00C70837" w:rsidRDefault="000E4E84" w:rsidP="000E4E84">
      <w:pPr>
        <w:spacing w:line="360" w:lineRule="auto"/>
        <w:ind w:left="567" w:hanging="567"/>
        <w:jc w:val="both"/>
        <w:rPr>
          <w:rFonts w:ascii="David" w:eastAsia="Calibri" w:hAnsi="David"/>
          <w:rtl/>
        </w:rPr>
      </w:pPr>
    </w:p>
    <w:p w14:paraId="74049727" w14:textId="77777777" w:rsidR="000E4E84" w:rsidRDefault="000E4E84" w:rsidP="000E4E84">
      <w:pPr>
        <w:spacing w:line="360" w:lineRule="auto"/>
        <w:ind w:left="567" w:hanging="567"/>
        <w:jc w:val="both"/>
        <w:rPr>
          <w:rFonts w:ascii="David" w:eastAsia="Calibri" w:hAnsi="David"/>
          <w:rtl/>
        </w:rPr>
      </w:pPr>
      <w:r w:rsidRPr="00C70837">
        <w:rPr>
          <w:rFonts w:ascii="David" w:eastAsia="Calibri" w:hAnsi="David"/>
          <w:rtl/>
        </w:rPr>
        <w:t>25.</w:t>
      </w:r>
      <w:r w:rsidRPr="00C70837">
        <w:rPr>
          <w:rFonts w:ascii="David" w:eastAsia="Calibri" w:hAnsi="David"/>
          <w:rtl/>
        </w:rPr>
        <w:tab/>
        <w:t>קנס כספי:</w:t>
      </w:r>
    </w:p>
    <w:p w14:paraId="6F27AA4D" w14:textId="77777777" w:rsidR="000E4E84" w:rsidRPr="00C70837" w:rsidRDefault="000E4E84" w:rsidP="000E4E84">
      <w:pPr>
        <w:spacing w:line="360" w:lineRule="auto"/>
        <w:ind w:left="567" w:hanging="567"/>
        <w:jc w:val="both"/>
        <w:rPr>
          <w:rFonts w:ascii="David" w:eastAsia="Calibri" w:hAnsi="David"/>
          <w:rtl/>
        </w:rPr>
      </w:pPr>
    </w:p>
    <w:p w14:paraId="5FBD44FB" w14:textId="77777777" w:rsidR="000E4E84" w:rsidRDefault="000E4E84" w:rsidP="000E4E84">
      <w:pPr>
        <w:spacing w:line="360" w:lineRule="auto"/>
        <w:ind w:left="567" w:hanging="567"/>
        <w:jc w:val="both"/>
        <w:rPr>
          <w:rFonts w:ascii="David" w:eastAsia="Calibri" w:hAnsi="David"/>
          <w:rtl/>
        </w:rPr>
      </w:pPr>
      <w:r w:rsidRPr="00C70837">
        <w:rPr>
          <w:rFonts w:ascii="David" w:eastAsia="Calibri" w:hAnsi="David"/>
          <w:rtl/>
        </w:rPr>
        <w:tab/>
        <w:t>לאור עונש המאסר בפועל שיהיה על הנאשם לרצות, הנני סבור, שאין מקום להיעתר לבקשת באות כוח המאשימה ולהטיל על הנאשם לשלם "קנס כספי כבד". הטלת "קנס כספי כבד" על הנאשם יעניש את משפחתו ועלול להגדיל את הבור הכספי בו נתון הנאשם, דבר אשר יפחית את סיכויי השיקום שלו.</w:t>
      </w:r>
    </w:p>
    <w:p w14:paraId="7B0C3882" w14:textId="77777777" w:rsidR="000E4E84" w:rsidRDefault="000E4E84" w:rsidP="000E4E84">
      <w:pPr>
        <w:spacing w:line="360" w:lineRule="auto"/>
        <w:ind w:left="567" w:hanging="567"/>
        <w:jc w:val="both"/>
        <w:rPr>
          <w:rFonts w:ascii="David" w:eastAsia="Calibri" w:hAnsi="David"/>
          <w:rtl/>
        </w:rPr>
      </w:pPr>
    </w:p>
    <w:p w14:paraId="1EE0BF93" w14:textId="77777777" w:rsidR="000E4E84" w:rsidRPr="00C70837" w:rsidRDefault="000E4E84" w:rsidP="000E4E84">
      <w:pPr>
        <w:spacing w:line="360" w:lineRule="auto"/>
        <w:ind w:left="567" w:hanging="567"/>
        <w:jc w:val="both"/>
        <w:rPr>
          <w:rFonts w:ascii="David" w:eastAsia="Calibri" w:hAnsi="David"/>
          <w:rtl/>
        </w:rPr>
      </w:pPr>
    </w:p>
    <w:p w14:paraId="2F22370E" w14:textId="77777777" w:rsidR="000E4E84" w:rsidRDefault="000E4E84" w:rsidP="000E4E84">
      <w:pPr>
        <w:spacing w:line="360" w:lineRule="auto"/>
        <w:ind w:left="567" w:hanging="567"/>
        <w:jc w:val="both"/>
        <w:rPr>
          <w:rFonts w:ascii="David" w:eastAsia="Calibri" w:hAnsi="David"/>
          <w:rtl/>
        </w:rPr>
      </w:pPr>
      <w:r w:rsidRPr="00C70837">
        <w:rPr>
          <w:rFonts w:ascii="David" w:eastAsia="Calibri" w:hAnsi="David"/>
          <w:rtl/>
        </w:rPr>
        <w:t>26.</w:t>
      </w:r>
      <w:r w:rsidRPr="00C70837">
        <w:rPr>
          <w:rFonts w:ascii="David" w:eastAsia="Calibri" w:hAnsi="David"/>
          <w:rtl/>
        </w:rPr>
        <w:tab/>
        <w:t>שלילת רישיון הנהיגה:</w:t>
      </w:r>
    </w:p>
    <w:p w14:paraId="4EA6E6F5" w14:textId="77777777" w:rsidR="000E4E84" w:rsidRPr="00C70837" w:rsidRDefault="000E4E84" w:rsidP="000E4E84">
      <w:pPr>
        <w:spacing w:line="360" w:lineRule="auto"/>
        <w:ind w:left="567" w:hanging="567"/>
        <w:jc w:val="both"/>
        <w:rPr>
          <w:rFonts w:ascii="David" w:eastAsia="Calibri" w:hAnsi="David"/>
          <w:rtl/>
        </w:rPr>
      </w:pPr>
    </w:p>
    <w:p w14:paraId="73F71ACB" w14:textId="77777777" w:rsidR="000E4E84" w:rsidRDefault="000E4E84" w:rsidP="000E4E84">
      <w:pPr>
        <w:spacing w:line="360" w:lineRule="auto"/>
        <w:ind w:left="567" w:hanging="567"/>
        <w:jc w:val="both"/>
        <w:rPr>
          <w:rFonts w:ascii="David" w:eastAsia="Calibri" w:hAnsi="David"/>
          <w:rtl/>
        </w:rPr>
      </w:pPr>
      <w:r w:rsidRPr="00C70837">
        <w:rPr>
          <w:rFonts w:ascii="David" w:eastAsia="Calibri" w:hAnsi="David"/>
          <w:rtl/>
        </w:rPr>
        <w:tab/>
        <w:t>לא מצאתי מקום להיעתר לבקשת באות כוח המאשימה לשלול את רישיון הנהיגה של הנאשם. מקובלת עלי טענת בא כוח הנאשם, כי בתום ריצוי עונש המאסר, הנאשם עשוי להיזקק לרישיון הנהיגה לצרכי פרנסתו. שלילת הרישיון עלולה אפוא לפגוע בסיכויי השיקום של הנאשם.</w:t>
      </w:r>
    </w:p>
    <w:p w14:paraId="69CBDD1F" w14:textId="77777777" w:rsidR="000E4E84" w:rsidRDefault="000E4E84" w:rsidP="000E4E84">
      <w:pPr>
        <w:spacing w:line="360" w:lineRule="auto"/>
        <w:ind w:left="567" w:hanging="567"/>
        <w:jc w:val="both"/>
        <w:rPr>
          <w:rFonts w:ascii="David" w:eastAsia="Calibri" w:hAnsi="David"/>
          <w:rtl/>
        </w:rPr>
      </w:pPr>
    </w:p>
    <w:p w14:paraId="4CEEE65F" w14:textId="77777777" w:rsidR="000E4E84" w:rsidRPr="00C70837" w:rsidRDefault="000E4E84" w:rsidP="000E4E84">
      <w:pPr>
        <w:spacing w:line="360" w:lineRule="auto"/>
        <w:ind w:left="567" w:hanging="567"/>
        <w:jc w:val="both"/>
        <w:rPr>
          <w:rFonts w:ascii="David" w:eastAsia="Calibri" w:hAnsi="David"/>
          <w:rtl/>
        </w:rPr>
      </w:pPr>
    </w:p>
    <w:p w14:paraId="0408AAE0" w14:textId="77777777" w:rsidR="000E4E84" w:rsidRDefault="000E4E84" w:rsidP="000E4E84">
      <w:pPr>
        <w:spacing w:line="360" w:lineRule="auto"/>
        <w:ind w:left="283" w:hanging="567"/>
        <w:jc w:val="both"/>
        <w:rPr>
          <w:rFonts w:ascii="David" w:eastAsia="Calibri" w:hAnsi="David"/>
          <w:b/>
          <w:bCs/>
          <w:rtl/>
        </w:rPr>
      </w:pPr>
      <w:r w:rsidRPr="00C70837">
        <w:rPr>
          <w:rFonts w:ascii="David" w:eastAsia="Calibri" w:hAnsi="David"/>
          <w:b/>
          <w:bCs/>
          <w:rtl/>
        </w:rPr>
        <w:t>י</w:t>
      </w:r>
      <w:r>
        <w:rPr>
          <w:rFonts w:ascii="David" w:eastAsia="Calibri" w:hAnsi="David" w:hint="cs"/>
          <w:b/>
          <w:bCs/>
          <w:rtl/>
        </w:rPr>
        <w:t>"א</w:t>
      </w:r>
      <w:r w:rsidRPr="00C70837">
        <w:rPr>
          <w:rFonts w:ascii="David" w:eastAsia="Calibri" w:hAnsi="David"/>
          <w:b/>
          <w:bCs/>
          <w:rtl/>
        </w:rPr>
        <w:t>. סוף דבר</w:t>
      </w:r>
    </w:p>
    <w:p w14:paraId="5B8FF71D" w14:textId="77777777" w:rsidR="000E4E84" w:rsidRPr="00C70837" w:rsidRDefault="000E4E84" w:rsidP="000E4E84">
      <w:pPr>
        <w:spacing w:line="360" w:lineRule="auto"/>
        <w:ind w:left="567" w:hanging="567"/>
        <w:jc w:val="both"/>
        <w:rPr>
          <w:rFonts w:ascii="David" w:eastAsia="Calibri" w:hAnsi="David"/>
          <w:b/>
          <w:bCs/>
          <w:rtl/>
        </w:rPr>
      </w:pPr>
    </w:p>
    <w:p w14:paraId="3D080607" w14:textId="77777777" w:rsidR="000E4E84" w:rsidRDefault="000E4E84" w:rsidP="000E4E84">
      <w:pPr>
        <w:spacing w:line="360" w:lineRule="auto"/>
        <w:ind w:left="567" w:hanging="567"/>
        <w:jc w:val="both"/>
        <w:rPr>
          <w:rFonts w:ascii="David" w:eastAsia="Calibri" w:hAnsi="David"/>
          <w:rtl/>
        </w:rPr>
      </w:pPr>
      <w:r w:rsidRPr="00C70837">
        <w:rPr>
          <w:rFonts w:ascii="David" w:eastAsia="Calibri" w:hAnsi="David"/>
          <w:rtl/>
        </w:rPr>
        <w:t>27.</w:t>
      </w:r>
      <w:r w:rsidRPr="00C70837">
        <w:rPr>
          <w:rFonts w:ascii="David" w:eastAsia="Calibri" w:hAnsi="David"/>
          <w:rtl/>
        </w:rPr>
        <w:tab/>
      </w:r>
      <w:r w:rsidRPr="00C70837">
        <w:rPr>
          <w:rFonts w:ascii="David" w:eastAsia="Calibri" w:hAnsi="David"/>
          <w:b/>
          <w:bCs/>
          <w:rtl/>
        </w:rPr>
        <w:t>אשר על כל האמור לעיל, הנני מחליט כדלקמן:</w:t>
      </w:r>
    </w:p>
    <w:p w14:paraId="77DC02FF" w14:textId="77777777" w:rsidR="000E4E84" w:rsidRPr="00C70837" w:rsidRDefault="000E4E84" w:rsidP="000E4E84">
      <w:pPr>
        <w:spacing w:line="360" w:lineRule="auto"/>
        <w:ind w:left="567" w:hanging="567"/>
        <w:jc w:val="both"/>
        <w:rPr>
          <w:rFonts w:ascii="David" w:eastAsia="Calibri" w:hAnsi="David"/>
          <w:rtl/>
        </w:rPr>
      </w:pPr>
    </w:p>
    <w:p w14:paraId="4E6BE347" w14:textId="77777777" w:rsidR="000E4E84" w:rsidRDefault="000E4E84" w:rsidP="000E4E84">
      <w:pPr>
        <w:spacing w:line="360" w:lineRule="auto"/>
        <w:ind w:left="1134" w:hanging="567"/>
        <w:jc w:val="both"/>
        <w:rPr>
          <w:rFonts w:ascii="David" w:eastAsia="Calibri" w:hAnsi="David"/>
          <w:rtl/>
        </w:rPr>
      </w:pPr>
      <w:r w:rsidRPr="00C70837">
        <w:rPr>
          <w:rFonts w:ascii="David" w:eastAsia="Calibri" w:hAnsi="David"/>
          <w:rtl/>
        </w:rPr>
        <w:t>(א)</w:t>
      </w:r>
      <w:r w:rsidRPr="00C70837">
        <w:rPr>
          <w:rFonts w:ascii="David" w:eastAsia="Calibri" w:hAnsi="David"/>
          <w:rtl/>
        </w:rPr>
        <w:tab/>
        <w:t>הנני דן את הנאשם ל- 3 (שלוש) שנות מאסר, מתוכן שנתיים שיהיה על הנאשם לרצות בפועל, והיתר</w:t>
      </w:r>
      <w:r>
        <w:rPr>
          <w:rFonts w:ascii="David" w:eastAsia="Calibri" w:hAnsi="David" w:hint="cs"/>
          <w:rtl/>
        </w:rPr>
        <w:t xml:space="preserve"> (</w:t>
      </w:r>
      <w:r w:rsidRPr="00C70837">
        <w:rPr>
          <w:rFonts w:ascii="David" w:eastAsia="Calibri" w:hAnsi="David"/>
          <w:rtl/>
        </w:rPr>
        <w:t>שנה אחת</w:t>
      </w:r>
      <w:r>
        <w:rPr>
          <w:rFonts w:ascii="David" w:eastAsia="Calibri" w:hAnsi="David" w:hint="cs"/>
          <w:rtl/>
        </w:rPr>
        <w:t>)</w:t>
      </w:r>
      <w:r w:rsidRPr="00C70837">
        <w:rPr>
          <w:rFonts w:ascii="David" w:eastAsia="Calibri" w:hAnsi="David"/>
          <w:rtl/>
        </w:rPr>
        <w:t xml:space="preserve">, לריצוי על תנאי, והתנאי הוא, שבמשך 3 (שלוש) שנים לא יעבור הנאשם עבירה לפי </w:t>
      </w:r>
      <w:hyperlink r:id="rId26" w:history="1">
        <w:r w:rsidR="009A7009" w:rsidRPr="009A7009">
          <w:rPr>
            <w:rFonts w:ascii="David" w:eastAsia="Calibri" w:hAnsi="David"/>
            <w:color w:val="0000FF"/>
            <w:u w:val="single"/>
            <w:rtl/>
          </w:rPr>
          <w:t>פקודת הסמים המסוכנים</w:t>
        </w:r>
      </w:hyperlink>
      <w:r w:rsidRPr="00C70837">
        <w:rPr>
          <w:rFonts w:ascii="David" w:eastAsia="Calibri" w:hAnsi="David"/>
          <w:rtl/>
        </w:rPr>
        <w:t xml:space="preserve"> [נוסח חדש], תשל"ג – 1973, למעט עבירה שעניינה החזקת סם מסוכן לשימוש עצמי.</w:t>
      </w:r>
    </w:p>
    <w:p w14:paraId="1BFAF156" w14:textId="77777777" w:rsidR="000E4E84" w:rsidRPr="00C70837" w:rsidRDefault="000E4E84" w:rsidP="000E4E84">
      <w:pPr>
        <w:spacing w:line="360" w:lineRule="auto"/>
        <w:ind w:left="1134" w:hanging="567"/>
        <w:jc w:val="both"/>
        <w:rPr>
          <w:rFonts w:ascii="David" w:eastAsia="Calibri" w:hAnsi="David"/>
          <w:rtl/>
        </w:rPr>
      </w:pPr>
    </w:p>
    <w:p w14:paraId="05094238" w14:textId="77777777" w:rsidR="000E4E84" w:rsidRDefault="000E4E84" w:rsidP="000E4E84">
      <w:pPr>
        <w:spacing w:line="360" w:lineRule="auto"/>
        <w:ind w:left="1134" w:hanging="567"/>
        <w:jc w:val="both"/>
        <w:rPr>
          <w:rFonts w:ascii="David" w:eastAsia="Calibri" w:hAnsi="David"/>
          <w:rtl/>
        </w:rPr>
      </w:pPr>
      <w:r w:rsidRPr="00C70837">
        <w:rPr>
          <w:rFonts w:ascii="David" w:eastAsia="Calibri" w:hAnsi="David"/>
          <w:rtl/>
        </w:rPr>
        <w:t>(ב)</w:t>
      </w:r>
      <w:r w:rsidRPr="00C70837">
        <w:rPr>
          <w:rFonts w:ascii="David" w:eastAsia="Calibri" w:hAnsi="David"/>
          <w:rtl/>
        </w:rPr>
        <w:tab/>
        <w:t>מתקופת המאסר שעל הנאשם לרצות בפועל, לפי האמור בסעיף קטן (א) שלעיל, תנוכה התקופה בה היה נתון במעצר (מתאריך 2.2.2020 ועד לתאריך 13.4.2020).</w:t>
      </w:r>
    </w:p>
    <w:p w14:paraId="4F3E06E1" w14:textId="77777777" w:rsidR="000E4E84" w:rsidRPr="00C70837" w:rsidRDefault="000E4E84" w:rsidP="000E4E84">
      <w:pPr>
        <w:spacing w:line="360" w:lineRule="auto"/>
        <w:ind w:left="1134" w:hanging="567"/>
        <w:jc w:val="both"/>
        <w:rPr>
          <w:rFonts w:ascii="David" w:eastAsia="Calibri" w:hAnsi="David"/>
          <w:rtl/>
        </w:rPr>
      </w:pPr>
    </w:p>
    <w:p w14:paraId="199AC9D8" w14:textId="77777777" w:rsidR="000E4E84" w:rsidRDefault="000E4E84" w:rsidP="000E4E84">
      <w:pPr>
        <w:spacing w:line="360" w:lineRule="auto"/>
        <w:ind w:left="1134" w:hanging="567"/>
        <w:jc w:val="both"/>
        <w:rPr>
          <w:rFonts w:ascii="David" w:eastAsia="Calibri" w:hAnsi="David"/>
          <w:rtl/>
        </w:rPr>
      </w:pPr>
      <w:r w:rsidRPr="00C70837">
        <w:rPr>
          <w:rFonts w:ascii="David" w:eastAsia="Calibri" w:hAnsi="David"/>
          <w:rtl/>
        </w:rPr>
        <w:t>(ג)</w:t>
      </w:r>
      <w:r w:rsidRPr="00C70837">
        <w:rPr>
          <w:rFonts w:ascii="David" w:eastAsia="Calibri" w:hAnsi="David"/>
          <w:rtl/>
        </w:rPr>
        <w:tab/>
        <w:t xml:space="preserve">הנני דן את הנאשם ל- 4 (ארבעה) חודשי מאסר על תנאי, והתנאי הוא שבמשך שנתיים לא יעבור הנאשם עבירה לפי </w:t>
      </w:r>
      <w:hyperlink r:id="rId27" w:history="1">
        <w:r w:rsidR="00E84F7C" w:rsidRPr="00E84F7C">
          <w:rPr>
            <w:rStyle w:val="Hyperlink"/>
            <w:rFonts w:ascii="David" w:eastAsia="Calibri" w:hAnsi="David"/>
            <w:rtl/>
          </w:rPr>
          <w:t>סעיף 400</w:t>
        </w:r>
      </w:hyperlink>
      <w:r w:rsidRPr="00C70837">
        <w:rPr>
          <w:rFonts w:ascii="David" w:eastAsia="Calibri" w:hAnsi="David"/>
          <w:rtl/>
        </w:rPr>
        <w:t xml:space="preserve"> ל</w:t>
      </w:r>
      <w:hyperlink r:id="rId28" w:history="1">
        <w:r w:rsidR="009A7009" w:rsidRPr="009A7009">
          <w:rPr>
            <w:rFonts w:ascii="David" w:eastAsia="Calibri" w:hAnsi="David"/>
            <w:color w:val="0000FF"/>
            <w:u w:val="single"/>
            <w:rtl/>
          </w:rPr>
          <w:t>חוק העונשין</w:t>
        </w:r>
      </w:hyperlink>
      <w:r w:rsidRPr="00C70837">
        <w:rPr>
          <w:rFonts w:ascii="David" w:eastAsia="Calibri" w:hAnsi="David"/>
          <w:rtl/>
        </w:rPr>
        <w:t>, תשל"ז – 1977 או כל עבירה אחרת שיש בה יסוד של שליחת יד ברכוש הזולת.</w:t>
      </w:r>
    </w:p>
    <w:p w14:paraId="623E30B8" w14:textId="77777777" w:rsidR="000E4E84" w:rsidRPr="00C70837" w:rsidRDefault="000E4E84" w:rsidP="000E4E84">
      <w:pPr>
        <w:spacing w:line="360" w:lineRule="auto"/>
        <w:ind w:left="1134" w:hanging="567"/>
        <w:jc w:val="both"/>
        <w:rPr>
          <w:rFonts w:ascii="David" w:eastAsia="Calibri" w:hAnsi="David"/>
          <w:rtl/>
        </w:rPr>
      </w:pPr>
    </w:p>
    <w:p w14:paraId="06DFE71A" w14:textId="77777777" w:rsidR="000E4E84" w:rsidRDefault="000E4E84" w:rsidP="000E4E84">
      <w:pPr>
        <w:spacing w:line="360" w:lineRule="auto"/>
        <w:ind w:left="1134" w:hanging="567"/>
        <w:jc w:val="both"/>
        <w:rPr>
          <w:rFonts w:ascii="David" w:eastAsia="Calibri" w:hAnsi="David"/>
          <w:rtl/>
        </w:rPr>
      </w:pPr>
      <w:r w:rsidRPr="00C70837">
        <w:rPr>
          <w:rFonts w:ascii="David" w:eastAsia="Calibri" w:hAnsi="David"/>
          <w:rtl/>
        </w:rPr>
        <w:t>(ד)</w:t>
      </w:r>
      <w:r w:rsidRPr="00C70837">
        <w:rPr>
          <w:rFonts w:ascii="David" w:eastAsia="Calibri" w:hAnsi="David"/>
          <w:rtl/>
        </w:rPr>
        <w:tab/>
        <w:t xml:space="preserve">הנני קובע כי הנאשם הוא "סוחר סמים" לעניין </w:t>
      </w:r>
      <w:hyperlink r:id="rId29" w:history="1">
        <w:r w:rsidR="00E84F7C" w:rsidRPr="00E84F7C">
          <w:rPr>
            <w:rStyle w:val="Hyperlink"/>
            <w:rFonts w:ascii="David" w:eastAsia="Calibri" w:hAnsi="David"/>
            <w:rtl/>
          </w:rPr>
          <w:t>סעיף 36א(ב)</w:t>
        </w:r>
      </w:hyperlink>
      <w:r w:rsidRPr="00C70837">
        <w:rPr>
          <w:rFonts w:ascii="David" w:eastAsia="Calibri" w:hAnsi="David"/>
          <w:rtl/>
        </w:rPr>
        <w:t xml:space="preserve"> ל</w:t>
      </w:r>
      <w:hyperlink r:id="rId30" w:history="1">
        <w:r w:rsidR="009A7009" w:rsidRPr="009A7009">
          <w:rPr>
            <w:rFonts w:ascii="David" w:eastAsia="Calibri" w:hAnsi="David"/>
            <w:color w:val="0000FF"/>
            <w:u w:val="single"/>
            <w:rtl/>
          </w:rPr>
          <w:t>פקודת הסמים המסוכנים</w:t>
        </w:r>
      </w:hyperlink>
      <w:r w:rsidRPr="00C70837">
        <w:rPr>
          <w:rFonts w:ascii="David" w:eastAsia="Calibri" w:hAnsi="David"/>
          <w:rtl/>
        </w:rPr>
        <w:t xml:space="preserve"> [נוסח חדש], תשל"ג – 1973, והנני מורה לחלט לטובת המדינה את כל הרכוש המפורט ברשימת "הרכוש שחילוטו מתבקש", המצורפת לכת האישום. עם זאת, ביחס למכונית שפרטיה רשומים בפריט 11 לרשימה (מכונית מזדה שמספרה נקוב ברשימה), המכונית לא תחולט אם הנאשם ישלם לקרן החילוט סך 20,000 (עשרים אלף) ₪ כמפורט להלן:</w:t>
      </w:r>
    </w:p>
    <w:p w14:paraId="56B18545" w14:textId="77777777" w:rsidR="000E4E84" w:rsidRPr="00C70837" w:rsidRDefault="000E4E84" w:rsidP="000E4E84">
      <w:pPr>
        <w:spacing w:line="360" w:lineRule="auto"/>
        <w:ind w:left="567" w:hanging="567"/>
        <w:jc w:val="both"/>
        <w:rPr>
          <w:rFonts w:ascii="David" w:eastAsia="Calibri" w:hAnsi="David"/>
          <w:rtl/>
        </w:rPr>
      </w:pPr>
    </w:p>
    <w:p w14:paraId="73528413" w14:textId="77777777" w:rsidR="000E4E84" w:rsidRDefault="000E4E84" w:rsidP="000E4E84">
      <w:pPr>
        <w:spacing w:line="360" w:lineRule="auto"/>
        <w:ind w:left="1701" w:hanging="567"/>
        <w:jc w:val="both"/>
        <w:rPr>
          <w:rFonts w:ascii="David" w:eastAsia="Calibri" w:hAnsi="David"/>
          <w:rtl/>
        </w:rPr>
      </w:pPr>
      <w:r w:rsidRPr="00C70837">
        <w:rPr>
          <w:rFonts w:ascii="David" w:eastAsia="Calibri" w:hAnsi="David"/>
          <w:rtl/>
        </w:rPr>
        <w:t>(1)</w:t>
      </w:r>
      <w:r w:rsidRPr="00C70837">
        <w:rPr>
          <w:rFonts w:ascii="David" w:eastAsia="Calibri" w:hAnsi="David"/>
          <w:rtl/>
        </w:rPr>
        <w:tab/>
        <w:t xml:space="preserve">סך 15,000 (חמישה עשר אלף) ₪ שיועברו מהערובה שהפקיד הנאשם במסגרת ההליך בו התבקש מעצרו עד תום ההליכים (תיק </w:t>
      </w:r>
      <w:hyperlink r:id="rId31" w:history="1">
        <w:r w:rsidR="009A7009" w:rsidRPr="009A7009">
          <w:rPr>
            <w:rFonts w:ascii="David" w:eastAsia="Calibri" w:hAnsi="David"/>
            <w:color w:val="0000FF"/>
            <w:u w:val="single"/>
            <w:rtl/>
          </w:rPr>
          <w:t>מ"ת 36747-02-20</w:t>
        </w:r>
      </w:hyperlink>
      <w:r w:rsidRPr="00C70837">
        <w:rPr>
          <w:rFonts w:ascii="David" w:eastAsia="Calibri" w:hAnsi="David"/>
          <w:rtl/>
        </w:rPr>
        <w:t>).</w:t>
      </w:r>
    </w:p>
    <w:p w14:paraId="3FA1CF34" w14:textId="77777777" w:rsidR="000E4E84" w:rsidRPr="00C70837" w:rsidRDefault="000E4E84" w:rsidP="000E4E84">
      <w:pPr>
        <w:spacing w:line="360" w:lineRule="auto"/>
        <w:ind w:left="1701" w:hanging="567"/>
        <w:jc w:val="both"/>
        <w:rPr>
          <w:rFonts w:ascii="David" w:eastAsia="Calibri" w:hAnsi="David"/>
          <w:rtl/>
        </w:rPr>
      </w:pPr>
    </w:p>
    <w:p w14:paraId="3D96D2EF" w14:textId="77777777" w:rsidR="000E4E84" w:rsidRDefault="000E4E84" w:rsidP="000E4E84">
      <w:pPr>
        <w:spacing w:line="360" w:lineRule="auto"/>
        <w:ind w:left="1701" w:hanging="567"/>
        <w:jc w:val="both"/>
        <w:rPr>
          <w:rFonts w:ascii="David" w:eastAsia="Calibri" w:hAnsi="David"/>
          <w:rtl/>
        </w:rPr>
      </w:pPr>
      <w:r w:rsidRPr="00C70837">
        <w:rPr>
          <w:rFonts w:ascii="David" w:eastAsia="Calibri" w:hAnsi="David"/>
          <w:rtl/>
        </w:rPr>
        <w:t>(2)</w:t>
      </w:r>
      <w:r w:rsidRPr="00C70837">
        <w:rPr>
          <w:rFonts w:ascii="David" w:eastAsia="Calibri" w:hAnsi="David"/>
          <w:rtl/>
        </w:rPr>
        <w:tab/>
        <w:t>סך 5,000 (חמשת אלפים) ₪ ישולמו על ידי הנאשם לקרן החילוט בתוך 60 ימים מהיום.</w:t>
      </w:r>
    </w:p>
    <w:p w14:paraId="5E26FAE1" w14:textId="77777777" w:rsidR="000E4E84" w:rsidRPr="00C70837" w:rsidRDefault="000E4E84" w:rsidP="000E4E84">
      <w:pPr>
        <w:spacing w:line="360" w:lineRule="auto"/>
        <w:ind w:left="567" w:hanging="567"/>
        <w:jc w:val="both"/>
        <w:rPr>
          <w:rFonts w:ascii="David" w:eastAsia="Calibri" w:hAnsi="David"/>
          <w:rtl/>
        </w:rPr>
      </w:pPr>
    </w:p>
    <w:p w14:paraId="187384B3" w14:textId="77777777" w:rsidR="000E4E84" w:rsidRDefault="000E4E84" w:rsidP="000E4E84">
      <w:pPr>
        <w:spacing w:line="360" w:lineRule="auto"/>
        <w:ind w:left="1134" w:hanging="567"/>
        <w:jc w:val="both"/>
        <w:rPr>
          <w:rFonts w:ascii="David" w:eastAsia="Calibri" w:hAnsi="David"/>
          <w:rtl/>
        </w:rPr>
      </w:pPr>
      <w:r w:rsidRPr="00C70837">
        <w:rPr>
          <w:rFonts w:ascii="David" w:eastAsia="Calibri" w:hAnsi="David"/>
          <w:rtl/>
        </w:rPr>
        <w:t>(ה)</w:t>
      </w:r>
      <w:r w:rsidRPr="00C70837">
        <w:rPr>
          <w:rFonts w:ascii="David" w:eastAsia="Calibri" w:hAnsi="David"/>
          <w:rtl/>
        </w:rPr>
        <w:tab/>
        <w:t xml:space="preserve">לעניין האמור בסעיף קטן (ד)(1) שלעיל, הנני מורה למזכירות בית המשפט להעביר את הערובה שהופקדה בתיק </w:t>
      </w:r>
      <w:hyperlink r:id="rId32" w:history="1">
        <w:r w:rsidR="009A7009" w:rsidRPr="009A7009">
          <w:rPr>
            <w:rFonts w:ascii="David" w:eastAsia="Calibri" w:hAnsi="David"/>
            <w:color w:val="0000FF"/>
            <w:u w:val="single"/>
            <w:rtl/>
          </w:rPr>
          <w:t>מ"ת 36747-02-20</w:t>
        </w:r>
      </w:hyperlink>
      <w:r w:rsidRPr="00C70837">
        <w:rPr>
          <w:rFonts w:ascii="David" w:eastAsia="Calibri" w:hAnsi="David"/>
          <w:rtl/>
        </w:rPr>
        <w:t xml:space="preserve"> לקרן החילוט.</w:t>
      </w:r>
    </w:p>
    <w:p w14:paraId="22B67D47" w14:textId="77777777" w:rsidR="000E4E84" w:rsidRPr="00C70837" w:rsidRDefault="000E4E84" w:rsidP="000E4E84">
      <w:pPr>
        <w:spacing w:line="360" w:lineRule="auto"/>
        <w:ind w:left="1134" w:hanging="567"/>
        <w:jc w:val="both"/>
        <w:rPr>
          <w:rFonts w:ascii="David" w:eastAsia="Calibri" w:hAnsi="David"/>
          <w:rtl/>
        </w:rPr>
      </w:pPr>
    </w:p>
    <w:p w14:paraId="4DF0D3C0" w14:textId="77777777" w:rsidR="000E4E84" w:rsidRDefault="000E4E84" w:rsidP="000E4E84">
      <w:pPr>
        <w:spacing w:line="360" w:lineRule="auto"/>
        <w:ind w:left="1134" w:hanging="567"/>
        <w:jc w:val="both"/>
        <w:rPr>
          <w:rFonts w:ascii="David" w:eastAsia="Calibri" w:hAnsi="David"/>
          <w:rtl/>
        </w:rPr>
      </w:pPr>
      <w:r w:rsidRPr="00C70837">
        <w:rPr>
          <w:rFonts w:ascii="David" w:eastAsia="Calibri" w:hAnsi="David"/>
          <w:rtl/>
        </w:rPr>
        <w:t>(ו)</w:t>
      </w:r>
      <w:r w:rsidRPr="00C70837">
        <w:rPr>
          <w:rFonts w:ascii="David" w:eastAsia="Calibri" w:hAnsi="David"/>
          <w:rtl/>
        </w:rPr>
        <w:tab/>
        <w:t>הנאשם יתייצב לריצוי עונשו ביום א' 9.5.2021, עד לשעה 10:00, בבית מעצר קישון, או על פי החלטת שירות בתי הסוהר, כאשר ברשותו תעודת זהות או דרכון ועותק מגזר דין זה. על הנאשם לתאם את הכניסה למאסר, כולל האפשרות למיון מוקדם, עם ענף אבחון ומיון של שירות בתי הסוהר, בטלפונים: 08-9787377 או 08-9787336.</w:t>
      </w:r>
    </w:p>
    <w:p w14:paraId="2AF8471D" w14:textId="77777777" w:rsidR="000E4E84" w:rsidRPr="00C70837" w:rsidRDefault="000E4E84" w:rsidP="000E4E84">
      <w:pPr>
        <w:spacing w:line="360" w:lineRule="auto"/>
        <w:ind w:left="567" w:hanging="567"/>
        <w:jc w:val="both"/>
        <w:rPr>
          <w:rFonts w:ascii="David" w:eastAsia="Calibri" w:hAnsi="David"/>
          <w:rtl/>
        </w:rPr>
      </w:pPr>
    </w:p>
    <w:p w14:paraId="11CCFFA0" w14:textId="77777777" w:rsidR="000E4E84" w:rsidRDefault="009A7009" w:rsidP="000E4E84">
      <w:pPr>
        <w:spacing w:line="360" w:lineRule="auto"/>
        <w:ind w:left="567" w:hanging="567"/>
        <w:jc w:val="both"/>
        <w:rPr>
          <w:rFonts w:cs="FrankRuehl"/>
          <w:sz w:val="28"/>
          <w:szCs w:val="28"/>
          <w:rtl/>
        </w:rPr>
      </w:pPr>
      <w:bookmarkStart w:id="8" w:name="Nitan"/>
      <w:r>
        <w:rPr>
          <w:rFonts w:ascii="Arial" w:hAnsi="Arial"/>
          <w:b/>
          <w:bCs/>
          <w:rtl/>
        </w:rPr>
        <w:t xml:space="preserve">ניתן היום,  י' אייר תשפ"א, 22 אפריל 2021, והודע בפומבי. </w:t>
      </w:r>
      <w:bookmarkEnd w:id="8"/>
    </w:p>
    <w:p w14:paraId="007759AC" w14:textId="77777777" w:rsidR="000E4E84" w:rsidRDefault="009A7009" w:rsidP="000E4E84">
      <w:pPr>
        <w:jc w:val="center"/>
        <w:rPr>
          <w:rtl/>
        </w:rPr>
      </w:pPr>
      <w:r w:rsidRPr="009A7009">
        <w:rPr>
          <w:rFonts w:ascii="David" w:hAnsi="David"/>
          <w:b/>
          <w:bCs/>
          <w:color w:val="FFFFFF"/>
          <w:sz w:val="2"/>
          <w:szCs w:val="2"/>
          <w:rtl/>
        </w:rPr>
        <w:t>5129371</w:t>
      </w:r>
      <w:r>
        <w:rPr>
          <w:rFonts w:ascii="David" w:hAnsi="David"/>
          <w:b/>
          <w:bCs/>
          <w:rtl/>
        </w:rPr>
        <w:t xml:space="preserve">והודע לנאשם כי הוא זכאי לערער על פסק הדין בתוך 45 ימים מהיום. </w:t>
      </w:r>
    </w:p>
    <w:tbl>
      <w:tblPr>
        <w:bidiVisual/>
        <w:tblW w:w="0" w:type="auto"/>
        <w:jc w:val="right"/>
        <w:tblLook w:val="01E0" w:firstRow="1" w:lastRow="1" w:firstColumn="1" w:lastColumn="1" w:noHBand="0" w:noVBand="0"/>
      </w:tblPr>
      <w:tblGrid>
        <w:gridCol w:w="2576"/>
      </w:tblGrid>
      <w:tr w:rsidR="000E4E84" w14:paraId="0E329490" w14:textId="77777777" w:rsidTr="000E4E84">
        <w:trPr>
          <w:jc w:val="right"/>
        </w:trPr>
        <w:tc>
          <w:tcPr>
            <w:tcW w:w="2576" w:type="dxa"/>
            <w:tcBorders>
              <w:top w:val="nil"/>
              <w:left w:val="nil"/>
              <w:bottom w:val="single" w:sz="4" w:space="0" w:color="auto"/>
              <w:right w:val="nil"/>
            </w:tcBorders>
            <w:shd w:val="clear" w:color="auto" w:fill="auto"/>
            <w:vAlign w:val="bottom"/>
          </w:tcPr>
          <w:p w14:paraId="7DB7C5F7" w14:textId="77777777" w:rsidR="000E4E84" w:rsidRPr="009A7009" w:rsidRDefault="009A7009" w:rsidP="000E4E84">
            <w:pPr>
              <w:jc w:val="center"/>
              <w:rPr>
                <w:rFonts w:ascii="Courier New" w:hAnsi="Courier New"/>
                <w:b/>
                <w:bCs/>
                <w:color w:val="FFFFFF"/>
                <w:sz w:val="2"/>
                <w:szCs w:val="2"/>
                <w:rtl/>
              </w:rPr>
            </w:pPr>
            <w:r w:rsidRPr="009A7009">
              <w:rPr>
                <w:rFonts w:ascii="Courier New" w:hAnsi="Courier New"/>
                <w:b/>
                <w:bCs/>
                <w:color w:val="FFFFFF"/>
                <w:sz w:val="2"/>
                <w:szCs w:val="2"/>
                <w:rtl/>
              </w:rPr>
              <w:t>54678313</w:t>
            </w:r>
          </w:p>
        </w:tc>
      </w:tr>
      <w:tr w:rsidR="000E4E84" w14:paraId="772B8A27" w14:textId="77777777" w:rsidTr="000E4E84">
        <w:trPr>
          <w:jc w:val="right"/>
        </w:trPr>
        <w:tc>
          <w:tcPr>
            <w:tcW w:w="2576" w:type="dxa"/>
            <w:tcBorders>
              <w:top w:val="single" w:sz="4" w:space="0" w:color="auto"/>
              <w:left w:val="nil"/>
              <w:bottom w:val="nil"/>
              <w:right w:val="nil"/>
            </w:tcBorders>
            <w:shd w:val="clear" w:color="auto" w:fill="auto"/>
          </w:tcPr>
          <w:p w14:paraId="457A12AE" w14:textId="77777777" w:rsidR="000E4E84" w:rsidRPr="000E4E84" w:rsidRDefault="000E4E84" w:rsidP="000E4E84">
            <w:pPr>
              <w:jc w:val="center"/>
              <w:rPr>
                <w:b/>
                <w:bCs/>
                <w:sz w:val="22"/>
                <w:szCs w:val="22"/>
              </w:rPr>
            </w:pPr>
            <w:r w:rsidRPr="000E4E84">
              <w:rPr>
                <w:rFonts w:hint="cs"/>
                <w:b/>
                <w:bCs/>
                <w:sz w:val="22"/>
                <w:szCs w:val="22"/>
                <w:rtl/>
              </w:rPr>
              <w:t>יצחק כהן, שופט</w:t>
            </w:r>
          </w:p>
        </w:tc>
      </w:tr>
    </w:tbl>
    <w:p w14:paraId="5C5FFE6A" w14:textId="77777777" w:rsidR="000E4E84" w:rsidRPr="00E84F7C" w:rsidRDefault="00E84F7C" w:rsidP="000E4E84">
      <w:pPr>
        <w:jc w:val="center"/>
        <w:rPr>
          <w:color w:val="FFFFFF"/>
          <w:sz w:val="2"/>
          <w:szCs w:val="2"/>
        </w:rPr>
      </w:pPr>
      <w:r w:rsidRPr="00E84F7C">
        <w:rPr>
          <w:color w:val="FFFFFF"/>
          <w:sz w:val="2"/>
          <w:szCs w:val="2"/>
          <w:rtl/>
        </w:rPr>
        <w:t>5129371</w:t>
      </w:r>
    </w:p>
    <w:p w14:paraId="69B01946" w14:textId="77777777" w:rsidR="00C41ECF" w:rsidRPr="00E84F7C" w:rsidRDefault="00E84F7C" w:rsidP="009A7009">
      <w:pPr>
        <w:keepNext/>
        <w:rPr>
          <w:rFonts w:ascii="David" w:hAnsi="David"/>
          <w:color w:val="FFFFFF"/>
          <w:sz w:val="2"/>
          <w:szCs w:val="2"/>
          <w:rtl/>
        </w:rPr>
      </w:pPr>
      <w:r w:rsidRPr="00E84F7C">
        <w:rPr>
          <w:rFonts w:ascii="David" w:hAnsi="David"/>
          <w:color w:val="FFFFFF"/>
          <w:sz w:val="2"/>
          <w:szCs w:val="2"/>
          <w:rtl/>
        </w:rPr>
        <w:t>54678313</w:t>
      </w:r>
    </w:p>
    <w:p w14:paraId="23C67A6F" w14:textId="77777777" w:rsidR="009A7009" w:rsidRDefault="009A7009" w:rsidP="009A7009">
      <w:pPr>
        <w:rPr>
          <w:rtl/>
        </w:rPr>
      </w:pPr>
    </w:p>
    <w:p w14:paraId="1053AC4D" w14:textId="77777777" w:rsidR="009A7009" w:rsidRDefault="009A7009" w:rsidP="009A7009">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7505AD62" w14:textId="77777777" w:rsidR="00E84F7C" w:rsidRPr="00E84F7C" w:rsidRDefault="00E84F7C" w:rsidP="00E84F7C">
      <w:pPr>
        <w:keepNext/>
        <w:rPr>
          <w:rFonts w:ascii="David" w:hAnsi="David"/>
          <w:color w:val="000000"/>
          <w:sz w:val="22"/>
          <w:szCs w:val="22"/>
          <w:rtl/>
        </w:rPr>
      </w:pPr>
    </w:p>
    <w:p w14:paraId="75D97745" w14:textId="77777777" w:rsidR="00E84F7C" w:rsidRPr="00E84F7C" w:rsidRDefault="00E84F7C" w:rsidP="00E84F7C">
      <w:pPr>
        <w:keepNext/>
        <w:rPr>
          <w:rFonts w:ascii="David" w:hAnsi="David"/>
          <w:color w:val="000000"/>
          <w:sz w:val="22"/>
          <w:szCs w:val="22"/>
          <w:rtl/>
        </w:rPr>
      </w:pPr>
      <w:r w:rsidRPr="00E84F7C">
        <w:rPr>
          <w:rFonts w:ascii="David" w:hAnsi="David"/>
          <w:color w:val="000000"/>
          <w:sz w:val="22"/>
          <w:szCs w:val="22"/>
          <w:rtl/>
        </w:rPr>
        <w:t>יצחק כהן 54678313-/</w:t>
      </w:r>
    </w:p>
    <w:p w14:paraId="32C176D9" w14:textId="77777777" w:rsidR="009A7009" w:rsidRPr="009A7009" w:rsidRDefault="00E84F7C" w:rsidP="00E84F7C">
      <w:pPr>
        <w:rPr>
          <w:rFonts w:hint="cs"/>
          <w:color w:val="0000FF"/>
          <w:u w:val="single"/>
        </w:rPr>
      </w:pPr>
      <w:r w:rsidRPr="00E84F7C">
        <w:rPr>
          <w:color w:val="000000"/>
          <w:u w:val="single"/>
          <w:rtl/>
        </w:rPr>
        <w:t>נוסח מסמך זה כפוף לשינויי ניסוח ועריכה</w:t>
      </w:r>
      <w:r w:rsidR="00E15D4F">
        <w:rPr>
          <w:rFonts w:hint="cs"/>
          <w:color w:val="0000FF"/>
          <w:u w:val="single"/>
          <w:rtl/>
        </w:rPr>
        <w:t xml:space="preserve"> </w:t>
      </w:r>
    </w:p>
    <w:sectPr w:rsidR="009A7009" w:rsidRPr="009A7009" w:rsidSect="00E84F7C">
      <w:headerReference w:type="even" r:id="rId34"/>
      <w:headerReference w:type="default" r:id="rId35"/>
      <w:footerReference w:type="even" r:id="rId36"/>
      <w:footerReference w:type="default" r:id="rId37"/>
      <w:pgSz w:w="11907" w:h="16840" w:code="9"/>
      <w:pgMar w:top="1701" w:right="1701" w:bottom="1276" w:left="1701" w:header="680"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6EB5C" w14:textId="77777777" w:rsidR="00F410F5" w:rsidRDefault="00F410F5" w:rsidP="00EE3924">
      <w:r>
        <w:separator/>
      </w:r>
    </w:p>
  </w:endnote>
  <w:endnote w:type="continuationSeparator" w:id="0">
    <w:p w14:paraId="586E1CBC" w14:textId="77777777" w:rsidR="00F410F5" w:rsidRDefault="00F410F5" w:rsidP="00EE3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3E9E6" w14:textId="77777777" w:rsidR="00E84F7C" w:rsidRDefault="00E84F7C" w:rsidP="00E84F7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810B13" w14:textId="77777777" w:rsidR="00874DB1" w:rsidRPr="00E84F7C" w:rsidRDefault="00E84F7C" w:rsidP="00E84F7C">
    <w:pPr>
      <w:pStyle w:val="a5"/>
      <w:pBdr>
        <w:top w:val="single" w:sz="4" w:space="1" w:color="auto"/>
        <w:between w:val="single" w:sz="4" w:space="0" w:color="auto"/>
      </w:pBdr>
      <w:spacing w:after="60"/>
      <w:jc w:val="center"/>
      <w:rPr>
        <w:rFonts w:ascii="FrankRuehl" w:hAnsi="FrankRuehl" w:cs="FrankRuehl"/>
        <w:color w:val="000000"/>
      </w:rPr>
    </w:pPr>
    <w:r w:rsidRPr="00E84F7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69CDE" w14:textId="77777777" w:rsidR="00E84F7C" w:rsidRDefault="00E84F7C" w:rsidP="00E84F7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C0E7B">
      <w:rPr>
        <w:rFonts w:ascii="FrankRuehl" w:hAnsi="FrankRuehl" w:cs="FrankRuehl"/>
        <w:noProof/>
        <w:rtl/>
      </w:rPr>
      <w:t>1</w:t>
    </w:r>
    <w:r>
      <w:rPr>
        <w:rFonts w:ascii="FrankRuehl" w:hAnsi="FrankRuehl" w:cs="FrankRuehl"/>
        <w:rtl/>
      </w:rPr>
      <w:fldChar w:fldCharType="end"/>
    </w:r>
  </w:p>
  <w:p w14:paraId="7BFCD56C" w14:textId="77777777" w:rsidR="00874DB1" w:rsidRPr="00E84F7C" w:rsidRDefault="00E84F7C" w:rsidP="00E84F7C">
    <w:pPr>
      <w:pStyle w:val="a5"/>
      <w:pBdr>
        <w:top w:val="single" w:sz="4" w:space="1" w:color="auto"/>
        <w:between w:val="single" w:sz="4" w:space="0" w:color="auto"/>
      </w:pBdr>
      <w:spacing w:after="60"/>
      <w:jc w:val="center"/>
      <w:rPr>
        <w:rFonts w:ascii="FrankRuehl" w:hAnsi="FrankRuehl" w:cs="FrankRuehl"/>
        <w:color w:val="000000"/>
      </w:rPr>
    </w:pPr>
    <w:r w:rsidRPr="00E84F7C">
      <w:rPr>
        <w:rFonts w:ascii="FrankRuehl" w:hAnsi="FrankRuehl" w:cs="FrankRuehl"/>
        <w:color w:val="000000"/>
      </w:rPr>
      <w:pict w14:anchorId="62DB9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FD1EF" w14:textId="77777777" w:rsidR="00F410F5" w:rsidRDefault="00F410F5" w:rsidP="00EE3924">
      <w:r>
        <w:separator/>
      </w:r>
    </w:p>
  </w:footnote>
  <w:footnote w:type="continuationSeparator" w:id="0">
    <w:p w14:paraId="5EAEE32E" w14:textId="77777777" w:rsidR="00F410F5" w:rsidRDefault="00F410F5" w:rsidP="00EE3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A545E" w14:textId="77777777" w:rsidR="009A7009" w:rsidRPr="00E84F7C" w:rsidRDefault="00E84F7C" w:rsidP="00E84F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36724-02-20</w:t>
    </w:r>
    <w:r>
      <w:rPr>
        <w:rFonts w:ascii="David" w:hAnsi="David"/>
        <w:color w:val="000000"/>
        <w:sz w:val="22"/>
        <w:szCs w:val="22"/>
        <w:rtl/>
      </w:rPr>
      <w:tab/>
      <w:t xml:space="preserve"> מדינת ישראל נ' גיא (בן שמעון) אבוטבול לגאלי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BA9E5" w14:textId="77777777" w:rsidR="009A7009" w:rsidRPr="00E84F7C" w:rsidRDefault="00E84F7C" w:rsidP="00E84F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36724-02-20</w:t>
    </w:r>
    <w:r>
      <w:rPr>
        <w:rFonts w:ascii="David" w:hAnsi="David"/>
        <w:color w:val="000000"/>
        <w:sz w:val="22"/>
        <w:szCs w:val="22"/>
        <w:rtl/>
      </w:rPr>
      <w:tab/>
      <w:t xml:space="preserve"> מדינת ישראל נ' גיא (בן שמעון) אבוטבול לגאלי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4E84"/>
    <w:rsid w:val="000E4E84"/>
    <w:rsid w:val="00180ED8"/>
    <w:rsid w:val="001C5AAC"/>
    <w:rsid w:val="002C0E7B"/>
    <w:rsid w:val="00874DB1"/>
    <w:rsid w:val="009A4E4C"/>
    <w:rsid w:val="009A7009"/>
    <w:rsid w:val="009E1429"/>
    <w:rsid w:val="00BD0D9E"/>
    <w:rsid w:val="00C41ECF"/>
    <w:rsid w:val="00C810D8"/>
    <w:rsid w:val="00E15D4F"/>
    <w:rsid w:val="00E84F7C"/>
    <w:rsid w:val="00EE3924"/>
    <w:rsid w:val="00F410F5"/>
    <w:rsid w:val="00FC53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5F5F11"/>
  <w15:chartTrackingRefBased/>
  <w15:docId w15:val="{FF76A2D0-EC6A-4E09-B20F-8894F3C7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4E8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E4E84"/>
    <w:pPr>
      <w:tabs>
        <w:tab w:val="center" w:pos="4153"/>
        <w:tab w:val="right" w:pos="8306"/>
      </w:tabs>
    </w:pPr>
  </w:style>
  <w:style w:type="character" w:customStyle="1" w:styleId="a4">
    <w:name w:val="כותרת עליונה תו"/>
    <w:link w:val="a3"/>
    <w:rsid w:val="000E4E84"/>
    <w:rPr>
      <w:rFonts w:ascii="Times New Roman" w:eastAsia="Times New Roman" w:hAnsi="Times New Roman" w:cs="David"/>
      <w:sz w:val="24"/>
      <w:szCs w:val="24"/>
    </w:rPr>
  </w:style>
  <w:style w:type="paragraph" w:styleId="a5">
    <w:name w:val="footer"/>
    <w:basedOn w:val="a"/>
    <w:link w:val="a6"/>
    <w:rsid w:val="000E4E84"/>
    <w:pPr>
      <w:tabs>
        <w:tab w:val="center" w:pos="4153"/>
        <w:tab w:val="right" w:pos="8306"/>
      </w:tabs>
    </w:pPr>
  </w:style>
  <w:style w:type="character" w:customStyle="1" w:styleId="a6">
    <w:name w:val="כותרת תחתונה תו"/>
    <w:link w:val="a5"/>
    <w:rsid w:val="000E4E84"/>
    <w:rPr>
      <w:rFonts w:ascii="Times New Roman" w:eastAsia="Times New Roman" w:hAnsi="Times New Roman" w:cs="David"/>
      <w:sz w:val="24"/>
      <w:szCs w:val="24"/>
    </w:rPr>
  </w:style>
  <w:style w:type="table" w:styleId="a7">
    <w:name w:val="Table Grid"/>
    <w:basedOn w:val="a1"/>
    <w:rsid w:val="000E4E8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E4E84"/>
  </w:style>
  <w:style w:type="character" w:styleId="a9">
    <w:name w:val="line number"/>
    <w:rsid w:val="000E4E84"/>
  </w:style>
  <w:style w:type="character" w:styleId="Hyperlink">
    <w:name w:val="Hyperlink"/>
    <w:rsid w:val="009A70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law/70301" TargetMode="External"/><Relationship Id="rId26" Type="http://schemas.openxmlformats.org/officeDocument/2006/relationships/hyperlink" Target="http://www.nevo.co.il/law/4216" TargetMode="External"/><Relationship Id="rId39" Type="http://schemas.openxmlformats.org/officeDocument/2006/relationships/theme" Target="theme/theme1.xml"/><Relationship Id="rId21" Type="http://schemas.openxmlformats.org/officeDocument/2006/relationships/hyperlink" Target="http://www.nevo.co.il/law/70301/40d.a" TargetMode="External"/><Relationship Id="rId34" Type="http://schemas.openxmlformats.org/officeDocument/2006/relationships/header" Target="header1.xml"/><Relationship Id="rId7" Type="http://schemas.openxmlformats.org/officeDocument/2006/relationships/hyperlink" Target="http://www.nevo.co.il/law/4216/6" TargetMode="External"/><Relationship Id="rId12" Type="http://schemas.openxmlformats.org/officeDocument/2006/relationships/hyperlink" Target="http://www.nevo.co.il/law/70301/400"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4216"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29" Type="http://schemas.openxmlformats.org/officeDocument/2006/relationships/hyperlink" Target="http://www.nevo.co.il/law/4216/36a.b"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4216/36a.b" TargetMode="External"/><Relationship Id="rId32" Type="http://schemas.openxmlformats.org/officeDocument/2006/relationships/hyperlink" Target="http://www.nevo.co.il/case/26459303"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400"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 TargetMode="External"/><Relationship Id="rId36" Type="http://schemas.openxmlformats.org/officeDocument/2006/relationships/footer" Target="footer1.xml"/><Relationship Id="rId10" Type="http://schemas.openxmlformats.org/officeDocument/2006/relationships/hyperlink" Target="http://www.nevo.co.il/law/70301/40d.a" TargetMode="External"/><Relationship Id="rId19" Type="http://schemas.openxmlformats.org/officeDocument/2006/relationships/hyperlink" Target="http://www.nevo.co.il/law/4216/6" TargetMode="External"/><Relationship Id="rId31" Type="http://schemas.openxmlformats.org/officeDocument/2006/relationships/hyperlink" Target="http://www.nevo.co.il/case/26459303"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0" TargetMode="External"/><Relationship Id="rId30" Type="http://schemas.openxmlformats.org/officeDocument/2006/relationships/hyperlink" Target="http://www.nevo.co.il/law/4216" TargetMode="External"/><Relationship Id="rId35" Type="http://schemas.openxmlformats.org/officeDocument/2006/relationships/header" Target="header2.xml"/><Relationship Id="rId8" Type="http://schemas.openxmlformats.org/officeDocument/2006/relationships/hyperlink" Target="http://www.nevo.co.il/law/4216/36a.b"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2192</Words>
  <Characters>10964</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13130</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4128884</vt:i4>
      </vt:variant>
      <vt:variant>
        <vt:i4>78</vt:i4>
      </vt:variant>
      <vt:variant>
        <vt:i4>0</vt:i4>
      </vt:variant>
      <vt:variant>
        <vt:i4>5</vt:i4>
      </vt:variant>
      <vt:variant>
        <vt:lpwstr>http://www.nevo.co.il/case/26459303</vt:lpwstr>
      </vt:variant>
      <vt:variant>
        <vt:lpwstr/>
      </vt:variant>
      <vt:variant>
        <vt:i4>4128884</vt:i4>
      </vt:variant>
      <vt:variant>
        <vt:i4>75</vt:i4>
      </vt:variant>
      <vt:variant>
        <vt:i4>0</vt:i4>
      </vt:variant>
      <vt:variant>
        <vt:i4>5</vt:i4>
      </vt:variant>
      <vt:variant>
        <vt:lpwstr>http://www.nevo.co.il/case/26459303</vt:lpwstr>
      </vt:variant>
      <vt:variant>
        <vt:lpwstr/>
      </vt:variant>
      <vt:variant>
        <vt:i4>8257637</vt:i4>
      </vt:variant>
      <vt:variant>
        <vt:i4>72</vt:i4>
      </vt:variant>
      <vt:variant>
        <vt:i4>0</vt:i4>
      </vt:variant>
      <vt:variant>
        <vt:i4>5</vt:i4>
      </vt:variant>
      <vt:variant>
        <vt:lpwstr>http://www.nevo.co.il/law/4216</vt:lpwstr>
      </vt:variant>
      <vt:variant>
        <vt:lpwstr/>
      </vt:variant>
      <vt:variant>
        <vt:i4>5111890</vt:i4>
      </vt:variant>
      <vt:variant>
        <vt:i4>69</vt:i4>
      </vt:variant>
      <vt:variant>
        <vt:i4>0</vt:i4>
      </vt:variant>
      <vt:variant>
        <vt:i4>5</vt:i4>
      </vt:variant>
      <vt:variant>
        <vt:lpwstr>http://www.nevo.co.il/law/4216/36a.b</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http://www.nevo.co.il/law/70301/400</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5111890</vt:i4>
      </vt:variant>
      <vt:variant>
        <vt:i4>54</vt:i4>
      </vt:variant>
      <vt:variant>
        <vt:i4>0</vt:i4>
      </vt:variant>
      <vt:variant>
        <vt:i4>5</vt:i4>
      </vt:variant>
      <vt:variant>
        <vt:lpwstr>http://www.nevo.co.il/law/4216/36a.b</vt:lpwstr>
      </vt:variant>
      <vt:variant>
        <vt:lpwstr/>
      </vt:variant>
      <vt:variant>
        <vt:i4>8257637</vt:i4>
      </vt:variant>
      <vt:variant>
        <vt:i4>51</vt:i4>
      </vt:variant>
      <vt:variant>
        <vt:i4>0</vt:i4>
      </vt:variant>
      <vt:variant>
        <vt:i4>5</vt:i4>
      </vt:variant>
      <vt:variant>
        <vt:lpwstr>http://www.nevo.co.il/law/4216</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4915205</vt:i4>
      </vt:variant>
      <vt:variant>
        <vt:i4>45</vt:i4>
      </vt:variant>
      <vt:variant>
        <vt:i4>0</vt:i4>
      </vt:variant>
      <vt:variant>
        <vt:i4>5</vt:i4>
      </vt:variant>
      <vt:variant>
        <vt:lpwstr>http://www.nevo.co.il/law/70301/40d.a</vt:lpwstr>
      </vt:variant>
      <vt:variant>
        <vt:lpwstr/>
      </vt:variant>
      <vt:variant>
        <vt:i4>8257637</vt:i4>
      </vt:variant>
      <vt:variant>
        <vt:i4>42</vt:i4>
      </vt:variant>
      <vt:variant>
        <vt:i4>0</vt:i4>
      </vt:variant>
      <vt:variant>
        <vt:i4>5</vt:i4>
      </vt:variant>
      <vt:variant>
        <vt:lpwstr>http://www.nevo.co.il/law/4216</vt:lpwstr>
      </vt:variant>
      <vt:variant>
        <vt:lpwstr/>
      </vt:variant>
      <vt:variant>
        <vt:i4>4718666</vt:i4>
      </vt:variant>
      <vt:variant>
        <vt:i4>39</vt:i4>
      </vt:variant>
      <vt:variant>
        <vt:i4>0</vt:i4>
      </vt:variant>
      <vt:variant>
        <vt:i4>5</vt:i4>
      </vt:variant>
      <vt:variant>
        <vt:lpwstr>http://www.nevo.co.il/law/4216/6</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5111890</vt:i4>
      </vt:variant>
      <vt:variant>
        <vt:i4>6</vt:i4>
      </vt:variant>
      <vt:variant>
        <vt:i4>0</vt:i4>
      </vt:variant>
      <vt:variant>
        <vt:i4>5</vt:i4>
      </vt:variant>
      <vt:variant>
        <vt:lpwstr>http://www.nevo.co.il/law/4216/36a.b</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2025-04-22T21:04:00Z</dcterms:created>
  <dcterms:modified xsi:type="dcterms:W3CDTF">2025-04-22T21:04:00Z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36724</vt:lpwstr>
  </property>
  <property fmtid="{D5CDD505-2E9C-101B-9397-08002B2CF9AE}" pid="6" name="NEWPARTB">
    <vt:lpwstr>02</vt:lpwstr>
  </property>
  <property fmtid="{D5CDD505-2E9C-101B-9397-08002B2CF9AE}" pid="7" name="NEWPARTC">
    <vt:lpwstr>20</vt:lpwstr>
  </property>
  <property fmtid="{D5CDD505-2E9C-101B-9397-08002B2CF9AE}" pid="8" name="APPELLEE">
    <vt:lpwstr>גיא (בן שמעון) אבוטבול לגאלי</vt:lpwstr>
  </property>
  <property fmtid="{D5CDD505-2E9C-101B-9397-08002B2CF9AE}" pid="9" name="LAWYER">
    <vt:lpwstr>נג'וא סלימאן;סיוון קוסטר;שי לוי</vt:lpwstr>
  </property>
  <property fmtid="{D5CDD505-2E9C-101B-9397-08002B2CF9AE}" pid="10" name="JUDGE">
    <vt:lpwstr>יצחק כהן</vt:lpwstr>
  </property>
  <property fmtid="{D5CDD505-2E9C-101B-9397-08002B2CF9AE}" pid="11" name="CITY">
    <vt:lpwstr>חי'</vt:lpwstr>
  </property>
  <property fmtid="{D5CDD505-2E9C-101B-9397-08002B2CF9AE}" pid="12" name="DATE">
    <vt:lpwstr>20210422</vt:lpwstr>
  </property>
  <property fmtid="{D5CDD505-2E9C-101B-9397-08002B2CF9AE}" pid="13" name="TYPE_N_DATE">
    <vt:lpwstr>39020210422</vt:lpwstr>
  </property>
  <property fmtid="{D5CDD505-2E9C-101B-9397-08002B2CF9AE}" pid="14" name="WORDNUMPAGES">
    <vt:lpwstr>8</vt:lpwstr>
  </property>
  <property fmtid="{D5CDD505-2E9C-101B-9397-08002B2CF9AE}" pid="15" name="TYPE_ABS_DATE">
    <vt:lpwstr>390020210422</vt:lpwstr>
  </property>
  <property fmtid="{D5CDD505-2E9C-101B-9397-08002B2CF9AE}" pid="16" name="APPELLANT">
    <vt:lpwstr>מדינת ישראל</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26459303:2</vt:lpwstr>
  </property>
  <property fmtid="{D5CDD505-2E9C-101B-9397-08002B2CF9AE}" pid="36" name="LAWLISTTMP1">
    <vt:lpwstr>4216/006:2;036a.b:2</vt:lpwstr>
  </property>
  <property fmtid="{D5CDD505-2E9C-101B-9397-08002B2CF9AE}" pid="37" name="LAWLISTTMP2">
    <vt:lpwstr>70301/400:2;040i;040d.a</vt:lpwstr>
  </property>
</Properties>
</file>