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F66A34" w:rsidRPr="00BF46FA" w14:paraId="735460B5" w14:textId="77777777" w:rsidTr="00843170">
        <w:trPr>
          <w:trHeight w:hRule="exact" w:val="418"/>
          <w:jc w:val="center"/>
        </w:trPr>
        <w:tc>
          <w:tcPr>
            <w:tcW w:w="8721" w:type="dxa"/>
            <w:gridSpan w:val="2"/>
          </w:tcPr>
          <w:p w14:paraId="61B4E224" w14:textId="77777777" w:rsidR="00F66A34" w:rsidRPr="00BF46FA" w:rsidRDefault="00F66A34" w:rsidP="006277D3">
            <w:pPr>
              <w:pStyle w:val="a3"/>
              <w:jc w:val="center"/>
              <w:rPr>
                <w:rFonts w:ascii="Tahoma" w:hAnsi="Tahoma" w:cs="Tahoma"/>
                <w:color w:val="000080"/>
                <w:rtl/>
              </w:rPr>
            </w:pPr>
            <w:bookmarkStart w:id="0" w:name="FirstLawyer"/>
            <w:bookmarkStart w:id="1" w:name="LastJudge"/>
            <w:r w:rsidRPr="00BF46FA">
              <w:rPr>
                <w:rFonts w:ascii="Tahoma" w:hAnsi="Tahoma" w:cs="Tahoma"/>
                <w:b/>
                <w:bCs/>
                <w:color w:val="000080"/>
                <w:rtl/>
              </w:rPr>
              <w:t>בית המשפט המחוזי בחיפה</w:t>
            </w:r>
          </w:p>
        </w:tc>
      </w:tr>
      <w:tr w:rsidR="00F66A34" w:rsidRPr="00BF46FA" w14:paraId="60BBC5B5" w14:textId="77777777" w:rsidTr="00843170">
        <w:trPr>
          <w:trHeight w:val="337"/>
          <w:jc w:val="center"/>
        </w:trPr>
        <w:tc>
          <w:tcPr>
            <w:tcW w:w="5062" w:type="dxa"/>
          </w:tcPr>
          <w:p w14:paraId="070EF399" w14:textId="77777777" w:rsidR="00F66A34" w:rsidRPr="00BF46FA" w:rsidRDefault="00F66A34" w:rsidP="006277D3">
            <w:pPr>
              <w:rPr>
                <w:rFonts w:cs="FrankRuehl"/>
                <w:sz w:val="28"/>
                <w:szCs w:val="28"/>
                <w:rtl/>
              </w:rPr>
            </w:pPr>
            <w:r w:rsidRPr="00BF46FA">
              <w:rPr>
                <w:rFonts w:cs="FrankRuehl"/>
                <w:sz w:val="28"/>
                <w:szCs w:val="28"/>
                <w:rtl/>
              </w:rPr>
              <w:t>ת"פ</w:t>
            </w:r>
            <w:r w:rsidRPr="00BF46FA">
              <w:rPr>
                <w:rFonts w:cs="FrankRuehl" w:hint="cs"/>
                <w:sz w:val="28"/>
                <w:szCs w:val="28"/>
                <w:rtl/>
              </w:rPr>
              <w:t xml:space="preserve"> </w:t>
            </w:r>
            <w:r w:rsidRPr="00BF46FA">
              <w:rPr>
                <w:rFonts w:cs="FrankRuehl"/>
                <w:sz w:val="28"/>
                <w:szCs w:val="28"/>
                <w:rtl/>
              </w:rPr>
              <w:t>32815-03-20</w:t>
            </w:r>
            <w:r w:rsidRPr="00BF46FA">
              <w:rPr>
                <w:rFonts w:cs="FrankRuehl" w:hint="cs"/>
                <w:sz w:val="28"/>
                <w:szCs w:val="28"/>
                <w:rtl/>
              </w:rPr>
              <w:t xml:space="preserve"> </w:t>
            </w:r>
            <w:r w:rsidRPr="00BF46FA">
              <w:rPr>
                <w:rFonts w:cs="FrankRuehl"/>
                <w:sz w:val="28"/>
                <w:szCs w:val="28"/>
                <w:rtl/>
              </w:rPr>
              <w:t>מדינת ישראל נ' גוגילשוילי(עציר)</w:t>
            </w:r>
          </w:p>
          <w:p w14:paraId="63A3E12A" w14:textId="77777777" w:rsidR="00F66A34" w:rsidRPr="00BF46FA" w:rsidRDefault="00F66A34" w:rsidP="006277D3">
            <w:pPr>
              <w:pStyle w:val="a3"/>
              <w:rPr>
                <w:rFonts w:cs="FrankRuehl"/>
                <w:sz w:val="28"/>
                <w:szCs w:val="28"/>
                <w:rtl/>
              </w:rPr>
            </w:pPr>
          </w:p>
        </w:tc>
        <w:tc>
          <w:tcPr>
            <w:tcW w:w="3659" w:type="dxa"/>
          </w:tcPr>
          <w:p w14:paraId="2101E505" w14:textId="77777777" w:rsidR="00F66A34" w:rsidRPr="00BF46FA" w:rsidRDefault="00F66A34" w:rsidP="006277D3">
            <w:pPr>
              <w:pStyle w:val="a3"/>
              <w:jc w:val="right"/>
              <w:rPr>
                <w:rFonts w:cs="FrankRuehl"/>
                <w:sz w:val="28"/>
                <w:szCs w:val="28"/>
                <w:rtl/>
              </w:rPr>
            </w:pPr>
          </w:p>
        </w:tc>
      </w:tr>
    </w:tbl>
    <w:p w14:paraId="1E9CA93E" w14:textId="77777777" w:rsidR="00F66A34" w:rsidRPr="00BF46FA" w:rsidRDefault="00F66A34" w:rsidP="00F66A34">
      <w:pPr>
        <w:pStyle w:val="a3"/>
        <w:rPr>
          <w:rtl/>
        </w:rPr>
      </w:pPr>
      <w:r w:rsidRPr="00BF46FA">
        <w:rPr>
          <w:rFonts w:hint="cs"/>
          <w:rtl/>
        </w:rPr>
        <w:t xml:space="preserve"> </w:t>
      </w:r>
    </w:p>
    <w:p w14:paraId="7B1565FE" w14:textId="77777777" w:rsidR="00F66A34" w:rsidRPr="00BF46FA" w:rsidRDefault="00F66A34" w:rsidP="00F66A34">
      <w:pPr>
        <w:rPr>
          <w:rtl/>
        </w:rPr>
      </w:pPr>
    </w:p>
    <w:p w14:paraId="7EF6C37F" w14:textId="77777777" w:rsidR="00F66A34" w:rsidRPr="00BF46FA" w:rsidRDefault="00F66A34" w:rsidP="00F66A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66A34" w:rsidRPr="00BF46FA" w14:paraId="4C25B870" w14:textId="77777777" w:rsidTr="00F66A34">
        <w:trPr>
          <w:trHeight w:val="295"/>
          <w:jc w:val="center"/>
        </w:trPr>
        <w:tc>
          <w:tcPr>
            <w:tcW w:w="923" w:type="dxa"/>
            <w:tcBorders>
              <w:top w:val="nil"/>
              <w:left w:val="nil"/>
              <w:bottom w:val="nil"/>
              <w:right w:val="nil"/>
            </w:tcBorders>
            <w:shd w:val="clear" w:color="auto" w:fill="auto"/>
          </w:tcPr>
          <w:p w14:paraId="5BB6D3A6" w14:textId="77777777" w:rsidR="00F66A34" w:rsidRPr="00BF46FA" w:rsidRDefault="00F66A34" w:rsidP="00F66A34">
            <w:pPr>
              <w:jc w:val="both"/>
              <w:rPr>
                <w:rFonts w:ascii="Arial" w:hAnsi="Arial" w:cs="FrankRuehl"/>
                <w:sz w:val="28"/>
                <w:szCs w:val="28"/>
              </w:rPr>
            </w:pPr>
            <w:r w:rsidRPr="00BF46FA">
              <w:rPr>
                <w:rFonts w:ascii="Arial" w:hAnsi="Arial" w:cs="FrankRuehl" w:hint="cs"/>
                <w:sz w:val="28"/>
                <w:szCs w:val="28"/>
                <w:rtl/>
              </w:rPr>
              <w:t>ב</w:t>
            </w:r>
            <w:r w:rsidRPr="00BF46F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FE27288" w14:textId="77777777" w:rsidR="00F66A34" w:rsidRPr="00BF46FA" w:rsidRDefault="00F66A34" w:rsidP="006277D3">
            <w:pPr>
              <w:rPr>
                <w:rFonts w:ascii="Arial" w:hAnsi="Arial"/>
                <w:b/>
                <w:bCs/>
                <w:rtl/>
              </w:rPr>
            </w:pPr>
            <w:r w:rsidRPr="00BF46FA">
              <w:rPr>
                <w:rFonts w:ascii="Arial" w:hAnsi="Arial" w:hint="cs"/>
                <w:b/>
                <w:bCs/>
                <w:rtl/>
              </w:rPr>
              <w:t>כבוד ה</w:t>
            </w:r>
            <w:r w:rsidRPr="00BF46FA">
              <w:rPr>
                <w:rFonts w:ascii="Arial" w:hAnsi="Arial"/>
                <w:b/>
                <w:bCs/>
                <w:rtl/>
              </w:rPr>
              <w:t>שופט</w:t>
            </w:r>
            <w:r w:rsidRPr="00BF46FA">
              <w:rPr>
                <w:rFonts w:ascii="Arial" w:hAnsi="Arial" w:hint="cs"/>
                <w:b/>
                <w:bCs/>
                <w:rtl/>
              </w:rPr>
              <w:t xml:space="preserve">  </w:t>
            </w:r>
            <w:r w:rsidRPr="00BF46FA">
              <w:rPr>
                <w:rFonts w:ascii="Arial" w:hAnsi="Arial"/>
                <w:b/>
                <w:bCs/>
                <w:rtl/>
              </w:rPr>
              <w:t>אברהים בולוס</w:t>
            </w:r>
          </w:p>
          <w:p w14:paraId="7D507C1B" w14:textId="77777777" w:rsidR="00F66A34" w:rsidRPr="00BF46FA" w:rsidRDefault="00F66A34" w:rsidP="006277D3">
            <w:pPr>
              <w:rPr>
                <w:rtl/>
              </w:rPr>
            </w:pPr>
          </w:p>
          <w:p w14:paraId="13B61A90" w14:textId="77777777" w:rsidR="00F66A34" w:rsidRPr="00BF46FA" w:rsidRDefault="00F66A34" w:rsidP="00F66A34">
            <w:pPr>
              <w:jc w:val="both"/>
              <w:rPr>
                <w:rFonts w:ascii="Arial" w:hAnsi="Arial" w:cs="FrankRuehl"/>
                <w:sz w:val="28"/>
                <w:szCs w:val="28"/>
              </w:rPr>
            </w:pPr>
          </w:p>
        </w:tc>
      </w:tr>
      <w:tr w:rsidR="00F66A34" w:rsidRPr="00BF46FA" w14:paraId="0FD21DF9" w14:textId="77777777" w:rsidTr="00F66A34">
        <w:trPr>
          <w:trHeight w:val="355"/>
          <w:jc w:val="center"/>
        </w:trPr>
        <w:tc>
          <w:tcPr>
            <w:tcW w:w="923" w:type="dxa"/>
            <w:tcBorders>
              <w:top w:val="nil"/>
              <w:left w:val="nil"/>
              <w:bottom w:val="nil"/>
              <w:right w:val="nil"/>
            </w:tcBorders>
            <w:shd w:val="clear" w:color="auto" w:fill="auto"/>
          </w:tcPr>
          <w:p w14:paraId="5E218E62" w14:textId="77777777" w:rsidR="00F66A34" w:rsidRPr="00BF46FA" w:rsidRDefault="00F66A34" w:rsidP="00F66A34">
            <w:pPr>
              <w:jc w:val="both"/>
              <w:rPr>
                <w:rFonts w:ascii="Arial" w:hAnsi="Arial" w:cs="FrankRuehl"/>
                <w:sz w:val="28"/>
                <w:szCs w:val="28"/>
              </w:rPr>
            </w:pPr>
            <w:bookmarkStart w:id="2" w:name="FirstAppellant"/>
            <w:r w:rsidRPr="00BF46F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8601C71" w14:textId="77777777" w:rsidR="00F66A34" w:rsidRPr="00BF46FA" w:rsidRDefault="00F66A34" w:rsidP="006277D3">
            <w:r w:rsidRPr="00BF46FA">
              <w:rPr>
                <w:rFonts w:ascii="Arial" w:hAnsi="Arial" w:cs="FrankRuehl"/>
                <w:sz w:val="28"/>
                <w:szCs w:val="28"/>
                <w:rtl/>
              </w:rPr>
              <w:t>מדינת ישראל</w:t>
            </w:r>
            <w:r w:rsidRPr="00BF46FA">
              <w:rPr>
                <w:rFonts w:ascii="Arial" w:hAnsi="Arial" w:cs="FrankRuehl"/>
                <w:sz w:val="28"/>
                <w:szCs w:val="28"/>
                <w:rtl/>
              </w:rPr>
              <w:br/>
            </w:r>
            <w:r w:rsidRPr="00BF46FA">
              <w:rPr>
                <w:rtl/>
              </w:rPr>
              <w:br/>
            </w:r>
            <w:r w:rsidRPr="00BF46FA">
              <w:rPr>
                <w:rFonts w:hint="cs"/>
                <w:rtl/>
              </w:rPr>
              <w:t>ע"י פרקליטות מחוז חיפה (פלילי)</w:t>
            </w:r>
          </w:p>
        </w:tc>
        <w:tc>
          <w:tcPr>
            <w:tcW w:w="3771" w:type="dxa"/>
            <w:tcBorders>
              <w:top w:val="nil"/>
              <w:left w:val="nil"/>
              <w:bottom w:val="nil"/>
              <w:right w:val="nil"/>
            </w:tcBorders>
            <w:shd w:val="clear" w:color="auto" w:fill="auto"/>
          </w:tcPr>
          <w:p w14:paraId="2A3008E6" w14:textId="77777777" w:rsidR="00F66A34" w:rsidRPr="00BF46FA" w:rsidRDefault="00F66A34" w:rsidP="00F66A34">
            <w:pPr>
              <w:jc w:val="both"/>
              <w:rPr>
                <w:rFonts w:ascii="Arial" w:hAnsi="Arial" w:cs="FrankRuehl"/>
                <w:sz w:val="28"/>
                <w:szCs w:val="28"/>
              </w:rPr>
            </w:pPr>
          </w:p>
        </w:tc>
      </w:tr>
      <w:bookmarkEnd w:id="2"/>
      <w:tr w:rsidR="00F66A34" w:rsidRPr="00BF46FA" w14:paraId="7D38E419" w14:textId="77777777" w:rsidTr="00F66A34">
        <w:trPr>
          <w:trHeight w:val="355"/>
          <w:jc w:val="center"/>
        </w:trPr>
        <w:tc>
          <w:tcPr>
            <w:tcW w:w="923" w:type="dxa"/>
            <w:tcBorders>
              <w:top w:val="nil"/>
              <w:left w:val="nil"/>
              <w:bottom w:val="nil"/>
              <w:right w:val="nil"/>
            </w:tcBorders>
            <w:shd w:val="clear" w:color="auto" w:fill="auto"/>
          </w:tcPr>
          <w:p w14:paraId="0AD498B3" w14:textId="77777777" w:rsidR="00F66A34" w:rsidRPr="00BF46FA" w:rsidRDefault="00F66A34" w:rsidP="00F66A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8F2CA32" w14:textId="77777777" w:rsidR="00F66A34" w:rsidRPr="00BF46FA" w:rsidRDefault="00F66A34" w:rsidP="00F66A34">
            <w:pPr>
              <w:jc w:val="both"/>
              <w:rPr>
                <w:rtl/>
              </w:rPr>
            </w:pPr>
          </w:p>
        </w:tc>
        <w:tc>
          <w:tcPr>
            <w:tcW w:w="3771" w:type="dxa"/>
            <w:tcBorders>
              <w:top w:val="nil"/>
              <w:left w:val="nil"/>
              <w:bottom w:val="nil"/>
              <w:right w:val="nil"/>
            </w:tcBorders>
            <w:shd w:val="clear" w:color="auto" w:fill="auto"/>
          </w:tcPr>
          <w:p w14:paraId="3543985C" w14:textId="77777777" w:rsidR="00F66A34" w:rsidRPr="00BF46FA" w:rsidRDefault="00F66A34" w:rsidP="00F66A34">
            <w:pPr>
              <w:jc w:val="right"/>
              <w:rPr>
                <w:rFonts w:ascii="Arial" w:hAnsi="Arial" w:cs="FrankRuehl"/>
                <w:sz w:val="28"/>
                <w:szCs w:val="28"/>
                <w:rtl/>
              </w:rPr>
            </w:pPr>
            <w:r w:rsidRPr="00BF46FA">
              <w:rPr>
                <w:rFonts w:ascii="Arial" w:hAnsi="Arial" w:cs="FrankRuehl" w:hint="cs"/>
                <w:sz w:val="28"/>
                <w:szCs w:val="28"/>
                <w:rtl/>
              </w:rPr>
              <w:t>ה</w:t>
            </w:r>
            <w:r w:rsidRPr="00BF46FA">
              <w:rPr>
                <w:rFonts w:ascii="Arial" w:hAnsi="Arial" w:cs="FrankRuehl"/>
                <w:sz w:val="28"/>
                <w:szCs w:val="28"/>
                <w:rtl/>
              </w:rPr>
              <w:t>מאשימה</w:t>
            </w:r>
          </w:p>
        </w:tc>
      </w:tr>
      <w:tr w:rsidR="00F66A34" w:rsidRPr="00BF46FA" w14:paraId="75B0FCFD" w14:textId="77777777" w:rsidTr="00F66A34">
        <w:trPr>
          <w:trHeight w:val="355"/>
          <w:jc w:val="center"/>
        </w:trPr>
        <w:tc>
          <w:tcPr>
            <w:tcW w:w="923" w:type="dxa"/>
            <w:tcBorders>
              <w:top w:val="nil"/>
              <w:left w:val="nil"/>
              <w:bottom w:val="nil"/>
              <w:right w:val="nil"/>
            </w:tcBorders>
            <w:shd w:val="clear" w:color="auto" w:fill="auto"/>
          </w:tcPr>
          <w:p w14:paraId="0A939BC1" w14:textId="77777777" w:rsidR="00F66A34" w:rsidRPr="00BF46FA" w:rsidRDefault="00F66A34" w:rsidP="00F66A3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CAFA94" w14:textId="77777777" w:rsidR="00F66A34" w:rsidRPr="00BF46FA" w:rsidRDefault="00F66A34" w:rsidP="00F66A34">
            <w:pPr>
              <w:jc w:val="center"/>
              <w:rPr>
                <w:rFonts w:ascii="Arial" w:hAnsi="Arial" w:cs="FrankRuehl"/>
                <w:b/>
                <w:bCs/>
                <w:sz w:val="28"/>
                <w:szCs w:val="28"/>
                <w:rtl/>
              </w:rPr>
            </w:pPr>
          </w:p>
          <w:p w14:paraId="14FBD3D7" w14:textId="77777777" w:rsidR="00F66A34" w:rsidRPr="00BF46FA" w:rsidRDefault="00F66A34" w:rsidP="00F66A34">
            <w:pPr>
              <w:jc w:val="center"/>
              <w:rPr>
                <w:rFonts w:ascii="Arial" w:hAnsi="Arial" w:cs="FrankRuehl"/>
                <w:b/>
                <w:bCs/>
                <w:sz w:val="28"/>
                <w:szCs w:val="28"/>
                <w:rtl/>
              </w:rPr>
            </w:pPr>
            <w:r w:rsidRPr="00BF46FA">
              <w:rPr>
                <w:rFonts w:ascii="Arial" w:hAnsi="Arial" w:cs="FrankRuehl"/>
                <w:b/>
                <w:bCs/>
                <w:sz w:val="28"/>
                <w:szCs w:val="28"/>
                <w:rtl/>
              </w:rPr>
              <w:t>נגד</w:t>
            </w:r>
          </w:p>
          <w:p w14:paraId="1BFA8AF1" w14:textId="77777777" w:rsidR="00F66A34" w:rsidRPr="00BF46FA" w:rsidRDefault="00F66A34" w:rsidP="00F66A34">
            <w:pPr>
              <w:jc w:val="both"/>
              <w:rPr>
                <w:rFonts w:ascii="Arial" w:hAnsi="Arial" w:cs="FrankRuehl"/>
                <w:sz w:val="28"/>
                <w:szCs w:val="28"/>
              </w:rPr>
            </w:pPr>
          </w:p>
        </w:tc>
      </w:tr>
      <w:tr w:rsidR="00F66A34" w:rsidRPr="00BF46FA" w14:paraId="53C8D661" w14:textId="77777777" w:rsidTr="00F66A34">
        <w:trPr>
          <w:trHeight w:val="355"/>
          <w:jc w:val="center"/>
        </w:trPr>
        <w:tc>
          <w:tcPr>
            <w:tcW w:w="923" w:type="dxa"/>
            <w:tcBorders>
              <w:top w:val="nil"/>
              <w:left w:val="nil"/>
              <w:bottom w:val="nil"/>
              <w:right w:val="nil"/>
            </w:tcBorders>
            <w:shd w:val="clear" w:color="auto" w:fill="auto"/>
          </w:tcPr>
          <w:p w14:paraId="21E67404" w14:textId="77777777" w:rsidR="00F66A34" w:rsidRPr="00BF46FA" w:rsidRDefault="00F66A34" w:rsidP="006277D3">
            <w:pPr>
              <w:rPr>
                <w:rFonts w:ascii="Arial" w:hAnsi="Arial" w:cs="FrankRuehl"/>
                <w:sz w:val="28"/>
                <w:szCs w:val="28"/>
                <w:rtl/>
              </w:rPr>
            </w:pPr>
          </w:p>
        </w:tc>
        <w:tc>
          <w:tcPr>
            <w:tcW w:w="4126" w:type="dxa"/>
            <w:tcBorders>
              <w:top w:val="nil"/>
              <w:left w:val="nil"/>
              <w:bottom w:val="nil"/>
              <w:right w:val="nil"/>
            </w:tcBorders>
            <w:shd w:val="clear" w:color="auto" w:fill="auto"/>
          </w:tcPr>
          <w:p w14:paraId="20FD8BE8" w14:textId="77777777" w:rsidR="00F66A34" w:rsidRPr="00BF46FA" w:rsidRDefault="00F66A34" w:rsidP="006277D3">
            <w:pPr>
              <w:rPr>
                <w:rtl/>
              </w:rPr>
            </w:pPr>
            <w:r w:rsidRPr="00BF46FA">
              <w:rPr>
                <w:rFonts w:ascii="Arial" w:hAnsi="Arial" w:cs="FrankRuehl"/>
                <w:sz w:val="28"/>
                <w:szCs w:val="28"/>
                <w:rtl/>
              </w:rPr>
              <w:t>דויטי גוגילשוילי (עציר)</w:t>
            </w:r>
            <w:r w:rsidRPr="00BF46FA">
              <w:rPr>
                <w:rFonts w:ascii="Arial" w:hAnsi="Arial" w:cs="FrankRuehl"/>
                <w:sz w:val="28"/>
                <w:szCs w:val="28"/>
                <w:rtl/>
              </w:rPr>
              <w:br/>
            </w:r>
            <w:r w:rsidRPr="00BF46FA">
              <w:rPr>
                <w:rtl/>
              </w:rPr>
              <w:br/>
            </w:r>
            <w:r w:rsidRPr="00BF46FA">
              <w:rPr>
                <w:rFonts w:hint="cs"/>
                <w:rtl/>
              </w:rPr>
              <w:t>ע"י ב"כ עוה"ד אולג פרגין (סניגוריה ציבורית)</w:t>
            </w:r>
          </w:p>
        </w:tc>
        <w:tc>
          <w:tcPr>
            <w:tcW w:w="3771" w:type="dxa"/>
            <w:tcBorders>
              <w:top w:val="nil"/>
              <w:left w:val="nil"/>
              <w:bottom w:val="nil"/>
              <w:right w:val="nil"/>
            </w:tcBorders>
            <w:shd w:val="clear" w:color="auto" w:fill="auto"/>
          </w:tcPr>
          <w:p w14:paraId="39ECFD93" w14:textId="77777777" w:rsidR="00F66A34" w:rsidRPr="00BF46FA" w:rsidRDefault="00F66A34" w:rsidP="00F66A34">
            <w:pPr>
              <w:jc w:val="right"/>
              <w:rPr>
                <w:rFonts w:ascii="Arial" w:hAnsi="Arial" w:cs="FrankRuehl"/>
                <w:sz w:val="28"/>
                <w:szCs w:val="28"/>
              </w:rPr>
            </w:pPr>
          </w:p>
        </w:tc>
      </w:tr>
      <w:tr w:rsidR="00F66A34" w:rsidRPr="00BF46FA" w14:paraId="3928A718" w14:textId="77777777" w:rsidTr="00F66A34">
        <w:trPr>
          <w:trHeight w:val="355"/>
          <w:jc w:val="center"/>
        </w:trPr>
        <w:tc>
          <w:tcPr>
            <w:tcW w:w="923" w:type="dxa"/>
            <w:tcBorders>
              <w:top w:val="nil"/>
              <w:left w:val="nil"/>
              <w:bottom w:val="nil"/>
              <w:right w:val="nil"/>
            </w:tcBorders>
            <w:shd w:val="clear" w:color="auto" w:fill="auto"/>
          </w:tcPr>
          <w:p w14:paraId="5AD5293E" w14:textId="77777777" w:rsidR="00F66A34" w:rsidRPr="00BF46FA" w:rsidRDefault="00F66A34" w:rsidP="00F66A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E9C1FD7" w14:textId="77777777" w:rsidR="00F66A34" w:rsidRPr="00BF46FA" w:rsidRDefault="00F66A34" w:rsidP="00F66A34">
            <w:pPr>
              <w:jc w:val="both"/>
              <w:rPr>
                <w:rtl/>
              </w:rPr>
            </w:pPr>
          </w:p>
        </w:tc>
        <w:tc>
          <w:tcPr>
            <w:tcW w:w="3771" w:type="dxa"/>
            <w:tcBorders>
              <w:top w:val="nil"/>
              <w:left w:val="nil"/>
              <w:bottom w:val="nil"/>
              <w:right w:val="nil"/>
            </w:tcBorders>
            <w:shd w:val="clear" w:color="auto" w:fill="auto"/>
          </w:tcPr>
          <w:p w14:paraId="067E5FAA" w14:textId="77777777" w:rsidR="00F66A34" w:rsidRPr="00BF46FA" w:rsidRDefault="00F66A34" w:rsidP="00F66A34">
            <w:pPr>
              <w:jc w:val="right"/>
              <w:rPr>
                <w:rFonts w:ascii="Arial" w:hAnsi="Arial" w:cs="FrankRuehl"/>
                <w:sz w:val="28"/>
                <w:szCs w:val="28"/>
              </w:rPr>
            </w:pPr>
            <w:r w:rsidRPr="00BF46FA">
              <w:rPr>
                <w:rFonts w:ascii="Arial" w:hAnsi="Arial" w:cs="FrankRuehl" w:hint="cs"/>
                <w:sz w:val="28"/>
                <w:szCs w:val="28"/>
                <w:rtl/>
              </w:rPr>
              <w:t>ה</w:t>
            </w:r>
            <w:r w:rsidRPr="00BF46FA">
              <w:rPr>
                <w:rFonts w:ascii="Arial" w:hAnsi="Arial" w:cs="FrankRuehl"/>
                <w:sz w:val="28"/>
                <w:szCs w:val="28"/>
                <w:rtl/>
              </w:rPr>
              <w:t>נאשמים</w:t>
            </w:r>
          </w:p>
        </w:tc>
      </w:tr>
    </w:tbl>
    <w:p w14:paraId="679F0F3F" w14:textId="77777777" w:rsidR="00622601" w:rsidRDefault="00622601" w:rsidP="00622601">
      <w:pPr>
        <w:jc w:val="center"/>
        <w:rPr>
          <w:rFonts w:ascii="Arial" w:hAnsi="Arial" w:cs="FrankRuehl"/>
          <w:sz w:val="32"/>
          <w:szCs w:val="32"/>
          <w:rtl/>
        </w:rPr>
      </w:pPr>
      <w:bookmarkStart w:id="3" w:name="LawTable"/>
      <w:bookmarkEnd w:id="3"/>
    </w:p>
    <w:p w14:paraId="5C18C152" w14:textId="77777777" w:rsidR="00622601" w:rsidRPr="00622601" w:rsidRDefault="00622601" w:rsidP="00622601">
      <w:pPr>
        <w:spacing w:before="120" w:after="120" w:line="240" w:lineRule="exact"/>
        <w:ind w:left="283" w:hanging="283"/>
        <w:jc w:val="both"/>
        <w:rPr>
          <w:rFonts w:ascii="FrankRuehl" w:hAnsi="FrankRuehl" w:cs="FrankRuehl"/>
          <w:rtl/>
        </w:rPr>
      </w:pPr>
    </w:p>
    <w:p w14:paraId="3CBD5409" w14:textId="77777777" w:rsidR="00622601" w:rsidRPr="00622601" w:rsidRDefault="00622601" w:rsidP="00622601">
      <w:pPr>
        <w:spacing w:before="120" w:after="120" w:line="240" w:lineRule="exact"/>
        <w:ind w:left="283" w:hanging="283"/>
        <w:jc w:val="both"/>
        <w:rPr>
          <w:rFonts w:ascii="FrankRuehl" w:hAnsi="FrankRuehl" w:cs="FrankRuehl"/>
          <w:rtl/>
        </w:rPr>
      </w:pPr>
    </w:p>
    <w:p w14:paraId="464DB0AA" w14:textId="77777777" w:rsidR="00622601" w:rsidRPr="00622601" w:rsidRDefault="00622601" w:rsidP="00622601">
      <w:pPr>
        <w:spacing w:before="120" w:after="120" w:line="240" w:lineRule="exact"/>
        <w:ind w:left="283" w:hanging="283"/>
        <w:jc w:val="both"/>
        <w:rPr>
          <w:rFonts w:ascii="FrankRuehl" w:hAnsi="FrankRuehl" w:cs="FrankRuehl"/>
          <w:rtl/>
        </w:rPr>
      </w:pPr>
      <w:r w:rsidRPr="00622601">
        <w:rPr>
          <w:rFonts w:ascii="FrankRuehl" w:hAnsi="FrankRuehl" w:cs="FrankRuehl"/>
          <w:rtl/>
        </w:rPr>
        <w:t xml:space="preserve">חקיקה שאוזכרה: </w:t>
      </w:r>
    </w:p>
    <w:p w14:paraId="2D7F49F8" w14:textId="77777777" w:rsidR="00622601" w:rsidRPr="00622601" w:rsidRDefault="00622601" w:rsidP="00622601">
      <w:pPr>
        <w:spacing w:before="120" w:after="120" w:line="240" w:lineRule="exact"/>
        <w:ind w:left="283" w:hanging="283"/>
        <w:jc w:val="both"/>
        <w:rPr>
          <w:rFonts w:ascii="FrankRuehl" w:hAnsi="FrankRuehl" w:cs="FrankRuehl"/>
          <w:rtl/>
        </w:rPr>
      </w:pPr>
      <w:hyperlink r:id="rId7" w:history="1">
        <w:r w:rsidRPr="00622601">
          <w:rPr>
            <w:rFonts w:ascii="FrankRuehl" w:hAnsi="FrankRuehl" w:cs="FrankRuehl"/>
            <w:color w:val="0000FF"/>
            <w:rtl/>
          </w:rPr>
          <w:t>חוק העונשין, תשל"ז-1977</w:t>
        </w:r>
      </w:hyperlink>
      <w:r w:rsidRPr="00622601">
        <w:rPr>
          <w:rFonts w:ascii="FrankRuehl" w:hAnsi="FrankRuehl" w:cs="FrankRuehl"/>
          <w:rtl/>
        </w:rPr>
        <w:t xml:space="preserve">: סע'  </w:t>
      </w:r>
      <w:hyperlink r:id="rId8" w:history="1">
        <w:r w:rsidRPr="00622601">
          <w:rPr>
            <w:rFonts w:ascii="FrankRuehl" w:hAnsi="FrankRuehl" w:cs="FrankRuehl"/>
            <w:color w:val="0000FF"/>
            <w:rtl/>
          </w:rPr>
          <w:t>29</w:t>
        </w:r>
      </w:hyperlink>
      <w:r w:rsidRPr="00622601">
        <w:rPr>
          <w:rFonts w:ascii="FrankRuehl" w:hAnsi="FrankRuehl" w:cs="FrankRuehl"/>
          <w:rtl/>
        </w:rPr>
        <w:t xml:space="preserve">, </w:t>
      </w:r>
      <w:hyperlink r:id="rId9" w:history="1">
        <w:r w:rsidRPr="00622601">
          <w:rPr>
            <w:rFonts w:ascii="FrankRuehl" w:hAnsi="FrankRuehl" w:cs="FrankRuehl"/>
            <w:color w:val="0000FF"/>
            <w:rtl/>
          </w:rPr>
          <w:t>381(א)(2)</w:t>
        </w:r>
      </w:hyperlink>
      <w:r w:rsidRPr="00622601">
        <w:rPr>
          <w:rFonts w:ascii="FrankRuehl" w:hAnsi="FrankRuehl" w:cs="FrankRuehl"/>
          <w:rtl/>
        </w:rPr>
        <w:t xml:space="preserve">, </w:t>
      </w:r>
      <w:hyperlink r:id="rId10" w:history="1">
        <w:r w:rsidRPr="00622601">
          <w:rPr>
            <w:rFonts w:ascii="FrankRuehl" w:hAnsi="FrankRuehl" w:cs="FrankRuehl"/>
            <w:color w:val="0000FF"/>
            <w:rtl/>
          </w:rPr>
          <w:t>383(א)(1)</w:t>
        </w:r>
      </w:hyperlink>
      <w:r w:rsidRPr="00622601">
        <w:rPr>
          <w:rFonts w:ascii="FrankRuehl" w:hAnsi="FrankRuehl" w:cs="FrankRuehl"/>
          <w:rtl/>
        </w:rPr>
        <w:t xml:space="preserve">, </w:t>
      </w:r>
      <w:hyperlink r:id="rId11" w:history="1">
        <w:r w:rsidRPr="00622601">
          <w:rPr>
            <w:rFonts w:ascii="FrankRuehl" w:hAnsi="FrankRuehl" w:cs="FrankRuehl"/>
            <w:color w:val="0000FF"/>
            <w:rtl/>
          </w:rPr>
          <w:t>384</w:t>
        </w:r>
      </w:hyperlink>
      <w:r w:rsidRPr="00622601">
        <w:rPr>
          <w:rFonts w:ascii="FrankRuehl" w:hAnsi="FrankRuehl" w:cs="FrankRuehl"/>
          <w:rtl/>
        </w:rPr>
        <w:t xml:space="preserve">, </w:t>
      </w:r>
      <w:hyperlink r:id="rId12" w:history="1">
        <w:r w:rsidRPr="00622601">
          <w:rPr>
            <w:rFonts w:ascii="FrankRuehl" w:hAnsi="FrankRuehl" w:cs="FrankRuehl"/>
            <w:color w:val="0000FF"/>
            <w:rtl/>
          </w:rPr>
          <w:t>402(ב)</w:t>
        </w:r>
      </w:hyperlink>
      <w:r w:rsidRPr="00622601">
        <w:rPr>
          <w:rFonts w:ascii="FrankRuehl" w:hAnsi="FrankRuehl" w:cs="FrankRuehl"/>
          <w:rtl/>
        </w:rPr>
        <w:t xml:space="preserve">, </w:t>
      </w:r>
      <w:hyperlink r:id="rId13" w:history="1">
        <w:r w:rsidRPr="00622601">
          <w:rPr>
            <w:rFonts w:ascii="FrankRuehl" w:hAnsi="FrankRuehl" w:cs="FrankRuehl"/>
            <w:color w:val="0000FF"/>
            <w:rtl/>
          </w:rPr>
          <w:t>40 יג(ג)</w:t>
        </w:r>
      </w:hyperlink>
    </w:p>
    <w:p w14:paraId="07456B44" w14:textId="77777777" w:rsidR="00622601" w:rsidRPr="00622601" w:rsidRDefault="00622601" w:rsidP="00622601">
      <w:pPr>
        <w:spacing w:before="120" w:after="120" w:line="240" w:lineRule="exact"/>
        <w:ind w:left="283" w:hanging="283"/>
        <w:jc w:val="both"/>
        <w:rPr>
          <w:rFonts w:ascii="FrankRuehl" w:hAnsi="FrankRuehl" w:cs="FrankRuehl"/>
          <w:rtl/>
        </w:rPr>
      </w:pPr>
      <w:hyperlink r:id="rId14" w:history="1">
        <w:r w:rsidRPr="00622601">
          <w:rPr>
            <w:rFonts w:ascii="FrankRuehl" w:hAnsi="FrankRuehl" w:cs="FrankRuehl"/>
            <w:color w:val="0000FF"/>
            <w:rtl/>
          </w:rPr>
          <w:t>פקודת הסמים המסוכנים [נוסח חדש], תשל"ג-1973</w:t>
        </w:r>
      </w:hyperlink>
      <w:r w:rsidRPr="00622601">
        <w:rPr>
          <w:rFonts w:ascii="FrankRuehl" w:hAnsi="FrankRuehl" w:cs="FrankRuehl"/>
          <w:rtl/>
        </w:rPr>
        <w:t xml:space="preserve">: סע'  </w:t>
      </w:r>
      <w:hyperlink r:id="rId15" w:history="1">
        <w:r w:rsidRPr="00622601">
          <w:rPr>
            <w:rFonts w:ascii="FrankRuehl" w:hAnsi="FrankRuehl" w:cs="FrankRuehl"/>
            <w:color w:val="0000FF"/>
            <w:rtl/>
          </w:rPr>
          <w:t>7.א.</w:t>
        </w:r>
      </w:hyperlink>
      <w:r w:rsidRPr="00622601">
        <w:rPr>
          <w:rFonts w:ascii="FrankRuehl" w:hAnsi="FrankRuehl" w:cs="FrankRuehl"/>
          <w:rtl/>
        </w:rPr>
        <w:t xml:space="preserve">, </w:t>
      </w:r>
      <w:hyperlink r:id="rId16" w:history="1">
        <w:r w:rsidRPr="00622601">
          <w:rPr>
            <w:rFonts w:ascii="FrankRuehl" w:hAnsi="FrankRuehl" w:cs="FrankRuehl"/>
            <w:color w:val="0000FF"/>
            <w:rtl/>
          </w:rPr>
          <w:t>7.ג</w:t>
        </w:r>
      </w:hyperlink>
    </w:p>
    <w:p w14:paraId="0D30BDB6" w14:textId="77777777" w:rsidR="00622601" w:rsidRPr="00622601" w:rsidRDefault="00622601" w:rsidP="00622601">
      <w:pPr>
        <w:jc w:val="center"/>
        <w:rPr>
          <w:rFonts w:ascii="Arial" w:hAnsi="Arial" w:cs="FrankRuehl"/>
          <w:sz w:val="32"/>
          <w:szCs w:val="32"/>
          <w:rtl/>
        </w:rPr>
      </w:pPr>
      <w:bookmarkStart w:id="4" w:name="LawTable_End"/>
      <w:bookmarkEnd w:id="4"/>
    </w:p>
    <w:p w14:paraId="21EAB6D3" w14:textId="77777777" w:rsidR="00843170" w:rsidRPr="00843170" w:rsidRDefault="00843170" w:rsidP="00843170">
      <w:pPr>
        <w:jc w:val="center"/>
        <w:rPr>
          <w:rFonts w:ascii="Arial" w:hAnsi="Arial" w:cs="FrankRuehl"/>
          <w:sz w:val="32"/>
          <w:szCs w:val="32"/>
          <w:rtl/>
        </w:rPr>
      </w:pPr>
    </w:p>
    <w:p w14:paraId="44748FF9" w14:textId="77777777" w:rsidR="00843170" w:rsidRPr="00BF46FA" w:rsidRDefault="00843170" w:rsidP="00BF46FA">
      <w:pPr>
        <w:jc w:val="center"/>
        <w:rPr>
          <w:rFonts w:ascii="Arial" w:hAnsi="Arial" w:cs="FrankRuehl"/>
          <w:b/>
          <w:bCs/>
          <w:sz w:val="32"/>
          <w:szCs w:val="32"/>
          <w:u w:val="single"/>
          <w:rtl/>
        </w:rPr>
      </w:pPr>
      <w:bookmarkStart w:id="5" w:name="PsakDin"/>
      <w:r w:rsidRPr="00BF46FA">
        <w:rPr>
          <w:rFonts w:ascii="Arial" w:hAnsi="Arial" w:cs="FrankRuehl"/>
          <w:b/>
          <w:bCs/>
          <w:sz w:val="32"/>
          <w:szCs w:val="32"/>
          <w:u w:val="single"/>
          <w:rtl/>
        </w:rPr>
        <w:t>גזר דין</w:t>
      </w:r>
    </w:p>
    <w:bookmarkEnd w:id="5"/>
    <w:p w14:paraId="46C41CB2" w14:textId="77777777" w:rsidR="00843170" w:rsidRPr="00F66A34" w:rsidRDefault="00843170" w:rsidP="00F66A34">
      <w:pPr>
        <w:jc w:val="center"/>
        <w:rPr>
          <w:rFonts w:ascii="Arial" w:hAnsi="Arial" w:cs="FrankRuehl"/>
          <w:sz w:val="32"/>
          <w:szCs w:val="32"/>
          <w:u w:val="single"/>
          <w:rtl/>
        </w:rPr>
      </w:pPr>
    </w:p>
    <w:bookmarkEnd w:id="0"/>
    <w:bookmarkEnd w:id="1"/>
    <w:p w14:paraId="6C8DBF50" w14:textId="77777777" w:rsidR="00F66A34" w:rsidRDefault="00F66A34" w:rsidP="00F66A34">
      <w:pPr>
        <w:ind w:firstLine="360"/>
        <w:rPr>
          <w:rFonts w:ascii="Arial" w:hAnsi="Arial"/>
          <w:b/>
          <w:bCs/>
          <w:u w:val="single"/>
        </w:rPr>
      </w:pPr>
    </w:p>
    <w:p w14:paraId="14F15A6C" w14:textId="77777777" w:rsidR="00F66A34" w:rsidRDefault="00F66A34" w:rsidP="00F66A34">
      <w:pPr>
        <w:numPr>
          <w:ilvl w:val="0"/>
          <w:numId w:val="1"/>
        </w:numPr>
        <w:spacing w:line="360" w:lineRule="auto"/>
        <w:contextualSpacing/>
        <w:jc w:val="both"/>
        <w:rPr>
          <w:rFonts w:ascii="David" w:eastAsia="Calibri" w:hAnsi="David"/>
          <w:rtl/>
        </w:rPr>
      </w:pPr>
      <w:bookmarkStart w:id="6" w:name="ABSTRACT_START"/>
      <w:bookmarkEnd w:id="6"/>
      <w:r>
        <w:rPr>
          <w:rFonts w:ascii="David" w:eastAsia="Calibri" w:hAnsi="David"/>
          <w:rtl/>
        </w:rPr>
        <w:t xml:space="preserve">הנאשם הורשע על פי הודאתו במסגרת הסדר טיעון (שלא כלל הסכמה לגבי העונש) בעובדות כתב האישום המתוקן בשנית, הכולל 4 אישומים (להלן: </w:t>
      </w:r>
      <w:r>
        <w:rPr>
          <w:rFonts w:ascii="David" w:eastAsia="Calibri" w:hAnsi="David"/>
          <w:b/>
          <w:bCs/>
          <w:rtl/>
        </w:rPr>
        <w:t>כתב האישום</w:t>
      </w:r>
      <w:r>
        <w:rPr>
          <w:rFonts w:ascii="David" w:eastAsia="Calibri" w:hAnsi="David"/>
          <w:rtl/>
        </w:rPr>
        <w:t xml:space="preserve">). </w:t>
      </w:r>
    </w:p>
    <w:p w14:paraId="0A26AC8A" w14:textId="77777777" w:rsidR="00F66A34" w:rsidRDefault="00F66A34" w:rsidP="00F66A34">
      <w:pPr>
        <w:spacing w:line="360" w:lineRule="auto"/>
        <w:ind w:left="360"/>
        <w:contextualSpacing/>
        <w:jc w:val="both"/>
        <w:rPr>
          <w:rFonts w:ascii="David" w:eastAsia="Calibri" w:hAnsi="David"/>
          <w:rtl/>
        </w:rPr>
      </w:pPr>
    </w:p>
    <w:p w14:paraId="08B5F2AB" w14:textId="77777777" w:rsidR="00F66A34" w:rsidRDefault="00F66A34" w:rsidP="00F66A34">
      <w:pPr>
        <w:spacing w:line="360" w:lineRule="auto"/>
        <w:ind w:left="360"/>
        <w:contextualSpacing/>
        <w:jc w:val="both"/>
        <w:rPr>
          <w:rFonts w:ascii="David" w:eastAsia="Calibri" w:hAnsi="David"/>
        </w:rPr>
      </w:pPr>
      <w:r>
        <w:rPr>
          <w:rFonts w:ascii="David" w:eastAsia="Calibri" w:hAnsi="David"/>
          <w:rtl/>
        </w:rPr>
        <w:t xml:space="preserve">באישום הראשון בעבירות של </w:t>
      </w:r>
      <w:r>
        <w:rPr>
          <w:rFonts w:ascii="David" w:eastAsia="Calibri" w:hAnsi="David"/>
          <w:b/>
          <w:bCs/>
          <w:rtl/>
        </w:rPr>
        <w:t>תקיפה כדי לגנוב</w:t>
      </w:r>
      <w:r>
        <w:rPr>
          <w:rFonts w:ascii="David" w:eastAsia="Calibri" w:hAnsi="David"/>
          <w:rtl/>
        </w:rPr>
        <w:t xml:space="preserve"> לפי </w:t>
      </w:r>
      <w:hyperlink r:id="rId17" w:history="1">
        <w:r w:rsidR="00843170" w:rsidRPr="00843170">
          <w:rPr>
            <w:rStyle w:val="Hyperlink"/>
            <w:rFonts w:ascii="David" w:eastAsia="Calibri" w:hAnsi="David"/>
            <w:rtl/>
          </w:rPr>
          <w:t>סעיף 381(א)(2)</w:t>
        </w:r>
      </w:hyperlink>
      <w:r>
        <w:rPr>
          <w:rFonts w:ascii="David" w:eastAsia="Calibri" w:hAnsi="David"/>
          <w:rtl/>
        </w:rPr>
        <w:t xml:space="preserve"> </w:t>
      </w:r>
      <w:r>
        <w:rPr>
          <w:rFonts w:ascii="David" w:eastAsia="Calibri" w:hAnsi="David"/>
          <w:u w:val="single"/>
          <w:rtl/>
        </w:rPr>
        <w:t>ל</w:t>
      </w:r>
      <w:hyperlink r:id="rId18" w:history="1">
        <w:r w:rsidR="00BF46FA" w:rsidRPr="00BF46FA">
          <w:rPr>
            <w:rFonts w:ascii="David" w:eastAsia="Calibri" w:hAnsi="David"/>
            <w:color w:val="0000FF"/>
            <w:u w:val="single"/>
            <w:rtl/>
          </w:rPr>
          <w:t>חוק העונשין</w:t>
        </w:r>
      </w:hyperlink>
      <w:r>
        <w:rPr>
          <w:rFonts w:ascii="David" w:eastAsia="Calibri" w:hAnsi="David"/>
          <w:u w:val="single"/>
          <w:rtl/>
        </w:rPr>
        <w:t>, התשל"ז – 1977</w:t>
      </w:r>
      <w:r>
        <w:rPr>
          <w:rFonts w:ascii="David" w:eastAsia="Calibri" w:hAnsi="David"/>
          <w:rtl/>
        </w:rPr>
        <w:t xml:space="preserve"> (להלן: </w:t>
      </w:r>
      <w:r>
        <w:rPr>
          <w:rFonts w:ascii="David" w:eastAsia="Calibri" w:hAnsi="David"/>
          <w:b/>
          <w:bCs/>
          <w:rtl/>
        </w:rPr>
        <w:t>חוק העונשין</w:t>
      </w:r>
      <w:r>
        <w:rPr>
          <w:rFonts w:ascii="David" w:eastAsia="Calibri" w:hAnsi="David"/>
          <w:rtl/>
        </w:rPr>
        <w:t xml:space="preserve">) ועבירת </w:t>
      </w:r>
      <w:r>
        <w:rPr>
          <w:rFonts w:ascii="David" w:eastAsia="Calibri" w:hAnsi="David"/>
          <w:b/>
          <w:bCs/>
          <w:rtl/>
        </w:rPr>
        <w:t>גניבה</w:t>
      </w:r>
      <w:r>
        <w:rPr>
          <w:rFonts w:ascii="David" w:eastAsia="Calibri" w:hAnsi="David"/>
          <w:rtl/>
        </w:rPr>
        <w:t xml:space="preserve"> לפי </w:t>
      </w:r>
      <w:hyperlink r:id="rId19" w:history="1">
        <w:r w:rsidR="00843170" w:rsidRPr="00843170">
          <w:rPr>
            <w:rStyle w:val="Hyperlink"/>
            <w:rFonts w:ascii="David" w:eastAsia="Calibri" w:hAnsi="David"/>
            <w:rtl/>
          </w:rPr>
          <w:t>סעיף 383(א)(1)</w:t>
        </w:r>
      </w:hyperlink>
      <w:r>
        <w:rPr>
          <w:rFonts w:ascii="David" w:eastAsia="Calibri" w:hAnsi="David"/>
          <w:rtl/>
        </w:rPr>
        <w:t xml:space="preserve"> + </w:t>
      </w:r>
      <w:hyperlink r:id="rId20" w:history="1">
        <w:r w:rsidR="00843170" w:rsidRPr="00843170">
          <w:rPr>
            <w:rStyle w:val="Hyperlink"/>
            <w:rFonts w:ascii="David" w:eastAsia="Calibri" w:hAnsi="David"/>
            <w:rtl/>
          </w:rPr>
          <w:t>384</w:t>
        </w:r>
      </w:hyperlink>
      <w:r>
        <w:rPr>
          <w:rFonts w:ascii="David" w:eastAsia="Calibri" w:hAnsi="David"/>
          <w:rtl/>
        </w:rPr>
        <w:t xml:space="preserve"> לחוק העונשין</w:t>
      </w:r>
      <w:bookmarkStart w:id="7" w:name="ABSTRACT_END"/>
      <w:bookmarkEnd w:id="7"/>
      <w:r>
        <w:rPr>
          <w:rFonts w:ascii="David" w:eastAsia="Calibri" w:hAnsi="David"/>
          <w:rtl/>
        </w:rPr>
        <w:t>.</w:t>
      </w:r>
    </w:p>
    <w:p w14:paraId="472B3701" w14:textId="77777777" w:rsidR="00F66A34" w:rsidRDefault="00F66A34" w:rsidP="00F66A34">
      <w:pPr>
        <w:spacing w:line="360" w:lineRule="auto"/>
        <w:ind w:left="360"/>
        <w:contextualSpacing/>
        <w:jc w:val="both"/>
        <w:rPr>
          <w:rFonts w:ascii="David" w:eastAsia="Calibri" w:hAnsi="David"/>
          <w:rtl/>
        </w:rPr>
      </w:pPr>
    </w:p>
    <w:p w14:paraId="5FE9F3A2"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בכל אחד משני האישומים השני והשלישי</w:t>
      </w:r>
      <w:r>
        <w:rPr>
          <w:rFonts w:ascii="David" w:eastAsia="Calibri" w:hAnsi="David" w:hint="cs"/>
          <w:rtl/>
        </w:rPr>
        <w:t>,</w:t>
      </w:r>
      <w:r>
        <w:rPr>
          <w:rFonts w:ascii="David" w:eastAsia="Calibri" w:hAnsi="David"/>
          <w:rtl/>
        </w:rPr>
        <w:t xml:space="preserve"> בעבירת </w:t>
      </w:r>
      <w:r>
        <w:rPr>
          <w:rFonts w:ascii="David" w:eastAsia="Calibri" w:hAnsi="David"/>
          <w:b/>
          <w:bCs/>
          <w:rtl/>
        </w:rPr>
        <w:t>שוד בנסיבות מחמירות</w:t>
      </w:r>
      <w:r>
        <w:rPr>
          <w:rFonts w:ascii="David" w:eastAsia="Calibri" w:hAnsi="David"/>
          <w:rtl/>
        </w:rPr>
        <w:t xml:space="preserve"> לפי </w:t>
      </w:r>
      <w:hyperlink r:id="rId21" w:history="1">
        <w:r w:rsidR="00843170" w:rsidRPr="00843170">
          <w:rPr>
            <w:rStyle w:val="Hyperlink"/>
            <w:rFonts w:ascii="David" w:eastAsia="Calibri" w:hAnsi="David"/>
            <w:rtl/>
          </w:rPr>
          <w:t>סעיף 402(ב)</w:t>
        </w:r>
      </w:hyperlink>
      <w:r>
        <w:rPr>
          <w:rFonts w:ascii="David" w:eastAsia="Calibri" w:hAnsi="David"/>
          <w:rtl/>
        </w:rPr>
        <w:t xml:space="preserve"> + </w:t>
      </w:r>
      <w:hyperlink r:id="rId22" w:history="1">
        <w:r w:rsidR="00843170" w:rsidRPr="00843170">
          <w:rPr>
            <w:rStyle w:val="Hyperlink"/>
            <w:rFonts w:ascii="David" w:eastAsia="Calibri" w:hAnsi="David"/>
            <w:rtl/>
          </w:rPr>
          <w:t>29</w:t>
        </w:r>
      </w:hyperlink>
      <w:r>
        <w:rPr>
          <w:rFonts w:ascii="David" w:eastAsia="Calibri" w:hAnsi="David"/>
          <w:rtl/>
        </w:rPr>
        <w:t xml:space="preserve"> ל</w:t>
      </w:r>
      <w:hyperlink r:id="rId23" w:history="1">
        <w:r w:rsidR="00BF46FA" w:rsidRPr="00BF46FA">
          <w:rPr>
            <w:rFonts w:ascii="David" w:eastAsia="Calibri" w:hAnsi="David"/>
            <w:color w:val="0000FF"/>
            <w:u w:val="single"/>
            <w:rtl/>
          </w:rPr>
          <w:t>חוק העונשין</w:t>
        </w:r>
      </w:hyperlink>
      <w:r>
        <w:rPr>
          <w:rFonts w:ascii="David" w:eastAsia="Calibri" w:hAnsi="David"/>
          <w:rtl/>
        </w:rPr>
        <w:t xml:space="preserve">. </w:t>
      </w:r>
    </w:p>
    <w:p w14:paraId="2D3478A0" w14:textId="77777777" w:rsidR="00F66A34" w:rsidRDefault="00F66A34" w:rsidP="00F66A34">
      <w:pPr>
        <w:spacing w:line="360" w:lineRule="auto"/>
        <w:ind w:left="360"/>
        <w:contextualSpacing/>
        <w:jc w:val="both"/>
        <w:rPr>
          <w:rFonts w:ascii="David" w:eastAsia="Calibri" w:hAnsi="David"/>
          <w:rtl/>
        </w:rPr>
      </w:pPr>
    </w:p>
    <w:p w14:paraId="510465BF"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lastRenderedPageBreak/>
        <w:t xml:space="preserve">ובאישום הרביעי בעבירת </w:t>
      </w:r>
      <w:r>
        <w:rPr>
          <w:rFonts w:ascii="David" w:eastAsia="Calibri" w:hAnsi="David"/>
          <w:b/>
          <w:bCs/>
          <w:rtl/>
        </w:rPr>
        <w:t>החזקת סם מסוכן שלא לצריכה עצמית</w:t>
      </w:r>
      <w:r>
        <w:rPr>
          <w:rFonts w:ascii="David" w:eastAsia="Calibri" w:hAnsi="David"/>
          <w:rtl/>
        </w:rPr>
        <w:t xml:space="preserve"> לפי סעיף </w:t>
      </w:r>
      <w:hyperlink r:id="rId24" w:history="1">
        <w:r w:rsidR="00843170" w:rsidRPr="00843170">
          <w:rPr>
            <w:rStyle w:val="Hyperlink"/>
            <w:rFonts w:ascii="David" w:eastAsia="Calibri" w:hAnsi="David"/>
            <w:rtl/>
          </w:rPr>
          <w:t>7(א) + (ג)</w:t>
        </w:r>
      </w:hyperlink>
      <w:r>
        <w:rPr>
          <w:rFonts w:ascii="David" w:eastAsia="Calibri" w:hAnsi="David"/>
          <w:rtl/>
        </w:rPr>
        <w:t xml:space="preserve"> רישא </w:t>
      </w:r>
      <w:r>
        <w:rPr>
          <w:rFonts w:ascii="David" w:eastAsia="Calibri" w:hAnsi="David"/>
          <w:u w:val="single"/>
          <w:rtl/>
        </w:rPr>
        <w:t>ל</w:t>
      </w:r>
      <w:hyperlink r:id="rId25" w:history="1">
        <w:r w:rsidR="00BF46FA" w:rsidRPr="00BF46FA">
          <w:rPr>
            <w:rFonts w:ascii="David" w:eastAsia="Calibri" w:hAnsi="David"/>
            <w:color w:val="0000FF"/>
            <w:u w:val="single"/>
            <w:rtl/>
          </w:rPr>
          <w:t>פקודת הסמים המסוכנים</w:t>
        </w:r>
      </w:hyperlink>
      <w:r>
        <w:rPr>
          <w:rFonts w:ascii="David" w:eastAsia="Calibri" w:hAnsi="David"/>
          <w:u w:val="single"/>
          <w:rtl/>
        </w:rPr>
        <w:t xml:space="preserve"> [נוסח חדש], התשל"ג – 1973</w:t>
      </w:r>
      <w:r>
        <w:rPr>
          <w:rFonts w:ascii="David" w:eastAsia="Calibri" w:hAnsi="David"/>
          <w:rtl/>
        </w:rPr>
        <w:t>.</w:t>
      </w:r>
    </w:p>
    <w:p w14:paraId="30C01F23" w14:textId="77777777" w:rsidR="00F66A34" w:rsidRDefault="00F66A34" w:rsidP="00F66A34">
      <w:pPr>
        <w:ind w:left="360"/>
        <w:contextualSpacing/>
        <w:jc w:val="both"/>
        <w:rPr>
          <w:rFonts w:ascii="David" w:eastAsia="Calibri" w:hAnsi="David"/>
          <w:rtl/>
        </w:rPr>
      </w:pPr>
    </w:p>
    <w:p w14:paraId="557757E2" w14:textId="77777777" w:rsidR="00F66A34" w:rsidRDefault="00F66A34" w:rsidP="00F66A34">
      <w:pPr>
        <w:ind w:left="360"/>
        <w:contextualSpacing/>
        <w:jc w:val="both"/>
        <w:rPr>
          <w:rFonts w:ascii="David" w:eastAsia="Calibri" w:hAnsi="David"/>
          <w:b/>
          <w:bCs/>
          <w:u w:val="single"/>
          <w:rtl/>
        </w:rPr>
      </w:pPr>
      <w:r>
        <w:rPr>
          <w:rFonts w:ascii="David" w:eastAsia="Calibri" w:hAnsi="David"/>
          <w:b/>
          <w:bCs/>
          <w:u w:val="single"/>
          <w:rtl/>
        </w:rPr>
        <w:t>כתב האישום</w:t>
      </w:r>
    </w:p>
    <w:p w14:paraId="5E734E98" w14:textId="77777777" w:rsidR="00F66A34" w:rsidRDefault="00F66A34" w:rsidP="00F66A34">
      <w:pPr>
        <w:ind w:left="360"/>
        <w:contextualSpacing/>
        <w:jc w:val="both"/>
        <w:rPr>
          <w:rFonts w:ascii="David" w:eastAsia="Calibri" w:hAnsi="David"/>
          <w:rtl/>
        </w:rPr>
      </w:pPr>
    </w:p>
    <w:p w14:paraId="089B00BA" w14:textId="77777777" w:rsidR="00F66A34" w:rsidRDefault="00F66A34" w:rsidP="00F66A34">
      <w:pPr>
        <w:numPr>
          <w:ilvl w:val="0"/>
          <w:numId w:val="1"/>
        </w:numPr>
        <w:spacing w:line="360" w:lineRule="auto"/>
        <w:contextualSpacing/>
        <w:jc w:val="both"/>
        <w:rPr>
          <w:rFonts w:ascii="David" w:eastAsia="Calibri" w:hAnsi="David"/>
          <w:rtl/>
        </w:rPr>
      </w:pPr>
      <w:r>
        <w:rPr>
          <w:rFonts w:ascii="David" w:eastAsia="Calibri" w:hAnsi="David"/>
          <w:rtl/>
        </w:rPr>
        <w:t xml:space="preserve">עפ"י </w:t>
      </w:r>
      <w:r>
        <w:rPr>
          <w:rFonts w:ascii="David" w:eastAsia="Calibri" w:hAnsi="David"/>
          <w:b/>
          <w:bCs/>
          <w:rtl/>
        </w:rPr>
        <w:t>האישום הראשון</w:t>
      </w:r>
      <w:r>
        <w:rPr>
          <w:rFonts w:ascii="David" w:eastAsia="Calibri" w:hAnsi="David"/>
          <w:rtl/>
        </w:rPr>
        <w:t xml:space="preserve">, ביום 29.2.20 בבוקר יצאה קשישה ילידת 1949 (להלן: </w:t>
      </w:r>
      <w:r>
        <w:rPr>
          <w:rFonts w:ascii="David" w:eastAsia="Calibri" w:hAnsi="David"/>
          <w:b/>
          <w:bCs/>
          <w:rtl/>
        </w:rPr>
        <w:t>המתלוננת</w:t>
      </w:r>
      <w:r>
        <w:rPr>
          <w:rFonts w:ascii="David" w:eastAsia="Calibri" w:hAnsi="David"/>
          <w:rtl/>
        </w:rPr>
        <w:t xml:space="preserve">) מביתה ברח' גאולה 31 בחיפה, כשהיא אוחזת ביד אחת שקית אשפה (להלן: </w:t>
      </w:r>
      <w:r>
        <w:rPr>
          <w:rFonts w:ascii="David" w:eastAsia="Calibri" w:hAnsi="David"/>
          <w:b/>
          <w:bCs/>
          <w:rtl/>
        </w:rPr>
        <w:t>השקית</w:t>
      </w:r>
      <w:r>
        <w:rPr>
          <w:rFonts w:ascii="David" w:eastAsia="Calibri" w:hAnsi="David"/>
          <w:rtl/>
        </w:rPr>
        <w:t xml:space="preserve">) וביד השנייה תיק יד (להלן: </w:t>
      </w:r>
      <w:r>
        <w:rPr>
          <w:rFonts w:ascii="David" w:eastAsia="Calibri" w:hAnsi="David"/>
          <w:b/>
          <w:bCs/>
          <w:rtl/>
        </w:rPr>
        <w:t>התיק</w:t>
      </w:r>
      <w:r>
        <w:rPr>
          <w:rFonts w:ascii="David" w:eastAsia="Calibri" w:hAnsi="David"/>
          <w:rtl/>
        </w:rPr>
        <w:t>) ובו ארנק המכיל 16 ₪ וכרטיס 'רב קו'.</w:t>
      </w:r>
    </w:p>
    <w:p w14:paraId="3D779B70" w14:textId="77777777" w:rsidR="00F66A34" w:rsidRDefault="00F66A34" w:rsidP="00F66A34">
      <w:pPr>
        <w:spacing w:line="252" w:lineRule="auto"/>
        <w:ind w:left="720"/>
        <w:contextualSpacing/>
        <w:rPr>
          <w:rFonts w:ascii="David" w:eastAsia="Calibri" w:hAnsi="David"/>
        </w:rPr>
      </w:pPr>
    </w:p>
    <w:p w14:paraId="3092F68C"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ביציאה משביל הכניסה לביתה, פנתה המתלוננת לצד ימין, ובעודה הולכת היא השליכה את השקית לפח אשפה. בשלב זה, בסמוך לרחוב גאולה 19, הגיח הנאשם מהצד, משך פעמיים את התיק ונטל אותו מידה של המתלוננת. בעודו אוחז את התיק בשתי ידיו, החל הנאשם לרוץ מהמקום והמתלוננת רצה אחריו כשהיא צועקת "גנב, גנב".</w:t>
      </w:r>
    </w:p>
    <w:p w14:paraId="1109310E" w14:textId="77777777" w:rsidR="00F66A34" w:rsidRDefault="00F66A34" w:rsidP="00F66A34">
      <w:pPr>
        <w:spacing w:line="252" w:lineRule="auto"/>
        <w:ind w:left="720"/>
        <w:contextualSpacing/>
        <w:rPr>
          <w:rFonts w:ascii="David" w:eastAsia="Calibri" w:hAnsi="David"/>
        </w:rPr>
      </w:pPr>
    </w:p>
    <w:p w14:paraId="28AB918C"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בהגיע הנאשם לבניין ברח' גאולה 19, הוא ירד במדרגות המובילות אל חצר, שם נטל את הארנק, השליך את התיק וברח.</w:t>
      </w:r>
    </w:p>
    <w:p w14:paraId="58FB68D2" w14:textId="77777777" w:rsidR="00F66A34" w:rsidRDefault="00F66A34" w:rsidP="00F66A34">
      <w:pPr>
        <w:spacing w:line="252" w:lineRule="auto"/>
        <w:ind w:left="720"/>
        <w:contextualSpacing/>
        <w:rPr>
          <w:rFonts w:ascii="David" w:eastAsia="Calibri" w:hAnsi="David"/>
        </w:rPr>
      </w:pPr>
    </w:p>
    <w:p w14:paraId="3FF12CA3"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במעשיו המתוארים לעיל, תקף הנאשם את המתלוננת כדי לגנוב דבר וכן גנב את ארנקה של המתלוננת.</w:t>
      </w:r>
    </w:p>
    <w:p w14:paraId="224A35B8" w14:textId="77777777" w:rsidR="00F66A34" w:rsidRDefault="00F66A34" w:rsidP="00F66A34">
      <w:pPr>
        <w:spacing w:line="252" w:lineRule="auto"/>
        <w:ind w:left="720"/>
        <w:contextualSpacing/>
        <w:rPr>
          <w:rFonts w:ascii="David" w:eastAsia="Calibri" w:hAnsi="David"/>
        </w:rPr>
      </w:pPr>
    </w:p>
    <w:p w14:paraId="13FB98C8" w14:textId="77777777" w:rsidR="00F66A34" w:rsidRDefault="00F66A34" w:rsidP="00F66A34">
      <w:pPr>
        <w:numPr>
          <w:ilvl w:val="0"/>
          <w:numId w:val="1"/>
        </w:numPr>
        <w:spacing w:line="360" w:lineRule="auto"/>
        <w:contextualSpacing/>
        <w:jc w:val="both"/>
        <w:rPr>
          <w:rFonts w:ascii="David" w:eastAsia="Calibri" w:hAnsi="David"/>
          <w:rtl/>
        </w:rPr>
      </w:pPr>
      <w:r>
        <w:rPr>
          <w:rFonts w:ascii="David" w:eastAsia="Calibri" w:hAnsi="David"/>
          <w:rtl/>
        </w:rPr>
        <w:t xml:space="preserve">בהתאם </w:t>
      </w:r>
      <w:r>
        <w:rPr>
          <w:rFonts w:ascii="David" w:eastAsia="Calibri" w:hAnsi="David"/>
          <w:b/>
          <w:bCs/>
          <w:rtl/>
        </w:rPr>
        <w:t>לאישום השני</w:t>
      </w:r>
      <w:r>
        <w:rPr>
          <w:rFonts w:ascii="David" w:eastAsia="Calibri" w:hAnsi="David"/>
          <w:rtl/>
        </w:rPr>
        <w:t xml:space="preserve">, קשיש יליד 1944 (להלן: </w:t>
      </w:r>
      <w:r>
        <w:rPr>
          <w:rFonts w:ascii="David" w:eastAsia="Calibri" w:hAnsi="David"/>
          <w:b/>
          <w:bCs/>
          <w:rtl/>
        </w:rPr>
        <w:t>המתלונן</w:t>
      </w:r>
      <w:r>
        <w:rPr>
          <w:rFonts w:ascii="David" w:eastAsia="Calibri" w:hAnsi="David"/>
          <w:rtl/>
        </w:rPr>
        <w:t xml:space="preserve">) הינו נהג מונית (להלן: </w:t>
      </w:r>
      <w:r>
        <w:rPr>
          <w:rFonts w:ascii="David" w:eastAsia="Calibri" w:hAnsi="David"/>
          <w:b/>
          <w:bCs/>
          <w:rtl/>
        </w:rPr>
        <w:t>המונית</w:t>
      </w:r>
      <w:r>
        <w:rPr>
          <w:rFonts w:ascii="David" w:eastAsia="Calibri" w:hAnsi="David"/>
          <w:rtl/>
        </w:rPr>
        <w:t>).</w:t>
      </w:r>
    </w:p>
    <w:p w14:paraId="3620E854" w14:textId="77777777" w:rsidR="00F66A34" w:rsidRDefault="00F66A34" w:rsidP="00F66A34">
      <w:pPr>
        <w:spacing w:line="252" w:lineRule="auto"/>
        <w:ind w:left="720"/>
        <w:contextualSpacing/>
        <w:rPr>
          <w:rFonts w:ascii="David" w:eastAsia="Calibri" w:hAnsi="David"/>
        </w:rPr>
      </w:pPr>
    </w:p>
    <w:p w14:paraId="277DB6C8"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ביום 29/2/20 בצהריים, עמד הנאשם ביחד עם אדם אחר, שזהותו אינה ידועה למאשימה, ברחוב הרצל בחיפה, והשניים סימנו למונית לעצור.</w:t>
      </w:r>
    </w:p>
    <w:p w14:paraId="1CD9EF73" w14:textId="77777777" w:rsidR="00F66A34" w:rsidRDefault="00F66A34" w:rsidP="00F66A34">
      <w:pPr>
        <w:spacing w:line="252" w:lineRule="auto"/>
        <w:ind w:left="720"/>
        <w:contextualSpacing/>
        <w:rPr>
          <w:rFonts w:ascii="David" w:eastAsia="Calibri" w:hAnsi="David"/>
        </w:rPr>
      </w:pPr>
    </w:p>
    <w:p w14:paraId="6FC3CB9E"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המתלונן שנהג במונית עצר את המונית כך  שהנאשם והאחר נכנסו אליה, כאשר הנאשם התיישב במושב ליד הנהג, האחר התיישב במושב שמאחורי הנהג, והם ביקשו מהמתלונן להסיעם לרחוב האר"י שבמעונות גאולה.</w:t>
      </w:r>
    </w:p>
    <w:p w14:paraId="4567591F" w14:textId="77777777" w:rsidR="00F66A34" w:rsidRDefault="00F66A34" w:rsidP="00F66A34">
      <w:pPr>
        <w:spacing w:line="252" w:lineRule="auto"/>
        <w:ind w:left="720"/>
        <w:contextualSpacing/>
        <w:rPr>
          <w:rFonts w:ascii="David" w:eastAsia="Calibri" w:hAnsi="David"/>
        </w:rPr>
      </w:pPr>
    </w:p>
    <w:p w14:paraId="28D2C352"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בהגיעם למעונות גאולה, ביקש הנאשם מהמתלונן לעצור לאחר הסיבוב, סמוך לחורשה, והמתלונן עצר את המונית כמבוקשו.</w:t>
      </w:r>
    </w:p>
    <w:p w14:paraId="389BD816" w14:textId="77777777" w:rsidR="00F66A34" w:rsidRDefault="00F66A34" w:rsidP="00F66A34">
      <w:pPr>
        <w:spacing w:line="252" w:lineRule="auto"/>
        <w:ind w:left="720"/>
        <w:contextualSpacing/>
        <w:rPr>
          <w:rFonts w:ascii="David" w:eastAsia="Calibri" w:hAnsi="David"/>
        </w:rPr>
      </w:pPr>
    </w:p>
    <w:p w14:paraId="4DBD9FC7"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 xml:space="preserve">בשלב זה, האחר לפת את צווארו של המתלונן בתנועת חניקה באמצעות ידיו בחוזקה, הצמיד סכין לצווארו ודרש ממנו לתת לו כסף כשהוא מאיים עליו כי אם לא יעשה כן אזי יהרוג אותו. המתלונן אשר חשש מפני הנאשם והאחר, הוציא מכיס החולצה 850 ₪ ומסר אותם לנאשם (להלן: </w:t>
      </w:r>
      <w:r>
        <w:rPr>
          <w:rFonts w:ascii="David" w:eastAsia="Calibri" w:hAnsi="David"/>
          <w:b/>
          <w:bCs/>
          <w:rtl/>
        </w:rPr>
        <w:t>הכסף</w:t>
      </w:r>
      <w:r>
        <w:rPr>
          <w:rFonts w:ascii="David" w:eastAsia="Calibri" w:hAnsi="David"/>
          <w:rtl/>
        </w:rPr>
        <w:t>).</w:t>
      </w:r>
    </w:p>
    <w:p w14:paraId="7EA782AF" w14:textId="77777777" w:rsidR="00F66A34" w:rsidRDefault="00F66A34" w:rsidP="00F66A34">
      <w:pPr>
        <w:spacing w:line="252" w:lineRule="auto"/>
        <w:ind w:left="720"/>
        <w:contextualSpacing/>
        <w:rPr>
          <w:rFonts w:ascii="David" w:eastAsia="Calibri" w:hAnsi="David"/>
        </w:rPr>
      </w:pPr>
    </w:p>
    <w:p w14:paraId="7B4D7B44"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 xml:space="preserve">בנוסף, נטל הנאשם את מכשיר הפלאפון של המתלונן, מסוג סמסונג גלקסי </w:t>
      </w:r>
      <w:r>
        <w:rPr>
          <w:rFonts w:ascii="David" w:eastAsia="Calibri" w:hAnsi="David"/>
        </w:rPr>
        <w:t>A10</w:t>
      </w:r>
      <w:r>
        <w:rPr>
          <w:rFonts w:ascii="David" w:eastAsia="Calibri" w:hAnsi="David"/>
          <w:rtl/>
        </w:rPr>
        <w:t xml:space="preserve"> (להלן: </w:t>
      </w:r>
      <w:r>
        <w:rPr>
          <w:rFonts w:ascii="David" w:eastAsia="Calibri" w:hAnsi="David"/>
          <w:b/>
          <w:bCs/>
          <w:rtl/>
        </w:rPr>
        <w:t>הפלאפון</w:t>
      </w:r>
      <w:r>
        <w:rPr>
          <w:rFonts w:ascii="David" w:eastAsia="Calibri" w:hAnsi="David"/>
          <w:rtl/>
        </w:rPr>
        <w:t xml:space="preserve">), שהיה מונח באותה העת במונית ליד תיבת ההילוכים, הוציא את מפתחות המונית </w:t>
      </w:r>
      <w:r>
        <w:rPr>
          <w:rFonts w:ascii="David" w:eastAsia="Calibri" w:hAnsi="David"/>
          <w:rtl/>
        </w:rPr>
        <w:lastRenderedPageBreak/>
        <w:t xml:space="preserve">(להלן: </w:t>
      </w:r>
      <w:r>
        <w:rPr>
          <w:rFonts w:ascii="David" w:eastAsia="Calibri" w:hAnsi="David"/>
          <w:b/>
          <w:bCs/>
          <w:rtl/>
        </w:rPr>
        <w:t>המפתחות</w:t>
      </w:r>
      <w:r>
        <w:rPr>
          <w:rFonts w:ascii="David" w:eastAsia="Calibri" w:hAnsi="David"/>
          <w:rtl/>
        </w:rPr>
        <w:t>) ממתג ההפעלה ואמר למתלונן, כי הוא ישאיר את המפתחות ליד משאית שחנתה בסמוך.</w:t>
      </w:r>
    </w:p>
    <w:p w14:paraId="667EDE1B" w14:textId="77777777" w:rsidR="00F66A34" w:rsidRDefault="00F66A34" w:rsidP="00F66A34">
      <w:pPr>
        <w:spacing w:line="252" w:lineRule="auto"/>
        <w:ind w:left="720"/>
        <w:contextualSpacing/>
        <w:rPr>
          <w:rFonts w:ascii="David" w:eastAsia="Calibri" w:hAnsi="David"/>
        </w:rPr>
      </w:pPr>
    </w:p>
    <w:p w14:paraId="2C1B9C22"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הנאשם והאחר יצאו מהמונית, כשברשות הנאשם הכסף, הפלאפון והמפתחות. בהגיעם למשאית הניחו את המפתחות על המדרכה ונכנסו לחורשה הסמוכה.</w:t>
      </w:r>
    </w:p>
    <w:p w14:paraId="3A419487" w14:textId="77777777" w:rsidR="00F66A34" w:rsidRDefault="00F66A34" w:rsidP="00F66A34">
      <w:pPr>
        <w:spacing w:line="252" w:lineRule="auto"/>
        <w:ind w:left="720"/>
        <w:contextualSpacing/>
        <w:rPr>
          <w:rFonts w:ascii="David" w:eastAsia="Calibri" w:hAnsi="David"/>
        </w:rPr>
      </w:pPr>
    </w:p>
    <w:p w14:paraId="00EBC029"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במעשיו המתוארים לעיל, גנב הנאשם דבר בצוותא עם אחר, כאשר בשעת מעשה הם איימו לבצע מעשה אלימות, כשהם מזוינים בנשק או במכשיר שיש בהם כדי לסכן או לפגוע, הכול כדי להשיג את הדבר הנגנב, למנוע התנגדות או להתגבר עליה.</w:t>
      </w:r>
    </w:p>
    <w:p w14:paraId="6F379273" w14:textId="77777777" w:rsidR="00F66A34" w:rsidRDefault="00F66A34" w:rsidP="00F66A34">
      <w:pPr>
        <w:spacing w:line="252" w:lineRule="auto"/>
        <w:ind w:left="720"/>
        <w:contextualSpacing/>
        <w:rPr>
          <w:rFonts w:ascii="David" w:eastAsia="Calibri" w:hAnsi="David"/>
        </w:rPr>
      </w:pPr>
    </w:p>
    <w:p w14:paraId="41FA3067" w14:textId="77777777" w:rsidR="00F66A34" w:rsidRDefault="00F66A34" w:rsidP="00F66A34">
      <w:pPr>
        <w:numPr>
          <w:ilvl w:val="0"/>
          <w:numId w:val="1"/>
        </w:numPr>
        <w:spacing w:line="360" w:lineRule="auto"/>
        <w:contextualSpacing/>
        <w:jc w:val="both"/>
        <w:rPr>
          <w:rFonts w:ascii="David" w:eastAsia="Calibri" w:hAnsi="David"/>
          <w:rtl/>
        </w:rPr>
      </w:pPr>
      <w:r>
        <w:rPr>
          <w:rFonts w:ascii="David" w:eastAsia="Calibri" w:hAnsi="David"/>
          <w:rtl/>
        </w:rPr>
        <w:t xml:space="preserve">בהתאם </w:t>
      </w:r>
      <w:r>
        <w:rPr>
          <w:rFonts w:ascii="David" w:eastAsia="Calibri" w:hAnsi="David"/>
          <w:b/>
          <w:bCs/>
          <w:rtl/>
        </w:rPr>
        <w:t>לאישום השלישי</w:t>
      </w:r>
      <w:r>
        <w:rPr>
          <w:rFonts w:ascii="David" w:eastAsia="Calibri" w:hAnsi="David"/>
          <w:rtl/>
        </w:rPr>
        <w:t xml:space="preserve">, קשיש יליד 1948 (להלן: </w:t>
      </w:r>
      <w:r>
        <w:rPr>
          <w:rFonts w:ascii="David" w:eastAsia="Calibri" w:hAnsi="David"/>
          <w:b/>
          <w:bCs/>
          <w:rtl/>
        </w:rPr>
        <w:t>המתלונן</w:t>
      </w:r>
      <w:r>
        <w:rPr>
          <w:rFonts w:ascii="David" w:eastAsia="Calibri" w:hAnsi="David"/>
          <w:rtl/>
        </w:rPr>
        <w:t xml:space="preserve">) הינו נהג מונית. </w:t>
      </w:r>
    </w:p>
    <w:p w14:paraId="361FB0B7" w14:textId="77777777" w:rsidR="00F66A34" w:rsidRDefault="00F66A34" w:rsidP="00F66A34">
      <w:pPr>
        <w:spacing w:line="252" w:lineRule="auto"/>
        <w:ind w:left="720"/>
        <w:contextualSpacing/>
        <w:rPr>
          <w:rFonts w:ascii="David" w:eastAsia="Calibri" w:hAnsi="David"/>
        </w:rPr>
      </w:pPr>
    </w:p>
    <w:p w14:paraId="78CB3963"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ביום 1.3.20, בסמוך לשעה 16:15, עמד הנאשם ביחד עם אדם אחר, שזהותו אינה ידועה למאשימה, בתחנת אוטובוס ברחוב לאון בלום 54 בחיפה, והם סימנו למונית לעצור.</w:t>
      </w:r>
    </w:p>
    <w:p w14:paraId="27659429" w14:textId="77777777" w:rsidR="00F66A34" w:rsidRDefault="00F66A34" w:rsidP="00F66A34">
      <w:pPr>
        <w:spacing w:line="252" w:lineRule="auto"/>
        <w:ind w:left="720"/>
        <w:contextualSpacing/>
        <w:rPr>
          <w:rFonts w:ascii="David" w:eastAsia="Calibri" w:hAnsi="David"/>
        </w:rPr>
      </w:pPr>
    </w:p>
    <w:p w14:paraId="7EF1B2D8"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המתלונן שנהג במונית עצר את המונית והנאשם והאחר נכנסו אליה, כאשר הנאשם התיישב במושב ליד הנהג והאחר התיישב במושב האחורי, והם ביקשו מהמתלונן להסיעם לרחוב קניאל שבמעונות גאולה.</w:t>
      </w:r>
    </w:p>
    <w:p w14:paraId="19671363" w14:textId="77777777" w:rsidR="00F66A34" w:rsidRDefault="00F66A34" w:rsidP="00F66A34">
      <w:pPr>
        <w:spacing w:line="252" w:lineRule="auto"/>
        <w:ind w:left="720"/>
        <w:contextualSpacing/>
        <w:rPr>
          <w:rFonts w:ascii="David" w:eastAsia="Calibri" w:hAnsi="David"/>
        </w:rPr>
      </w:pPr>
    </w:p>
    <w:p w14:paraId="225F8DD1"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בהגיעם לרחוב קניאל ביקש הנאשם מהמתלונן לעצור את המונית ליד מדרגות סמוכות והמתלונן עשה כן. בשלב זה, הרים הנאשם את בלם היד של המונית, אחז את המתלונן בגרון בחוזקה, כשבידו סכין יפנית אותה קירב אל המתלונן ודרש ממנו באיומים ובצעקות שיתן לו כסף.</w:t>
      </w:r>
    </w:p>
    <w:p w14:paraId="46D03E07" w14:textId="77777777" w:rsidR="00F66A34" w:rsidRDefault="00F66A34" w:rsidP="00F66A34">
      <w:pPr>
        <w:spacing w:line="252" w:lineRule="auto"/>
        <w:ind w:left="720"/>
        <w:contextualSpacing/>
        <w:rPr>
          <w:rFonts w:ascii="David" w:eastAsia="Calibri" w:hAnsi="David"/>
        </w:rPr>
      </w:pPr>
    </w:p>
    <w:p w14:paraId="3DE867BD"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בשל חששו מהנאשם והאחר, הוציא המתלונן את ארנקו מדלת הנהג  ומסר אותו לנאשם, כשכל העת הוא צועק ומבקש מהנאשם שלא ידקור אותו. הנאשם נטל מהארנק 300 ₪ ושטר של 20 דולר ודרש בצעקות מהמתלונן שייתן לו עוד כסף, תוך כדי שהאחר חונק את המתלונן מאחור ומכה אותו בפיו.</w:t>
      </w:r>
    </w:p>
    <w:p w14:paraId="17E0854B" w14:textId="77777777" w:rsidR="00F66A34" w:rsidRDefault="00F66A34" w:rsidP="00F66A34">
      <w:pPr>
        <w:spacing w:line="252" w:lineRule="auto"/>
        <w:ind w:left="720"/>
        <w:contextualSpacing/>
        <w:rPr>
          <w:rFonts w:ascii="David" w:eastAsia="Calibri" w:hAnsi="David"/>
        </w:rPr>
      </w:pPr>
    </w:p>
    <w:p w14:paraId="1B665A9A"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בשלב זה פתח המתלונן מגירה הממוקמת מתחת להגה במונית והוציא ממנה שטר של 200 ₪ אותם מסר לנאשם כדרישתו. הנאשם נטל את השטר, דרש וצעק "עוד", פתח את תא הכפפות וחיפש כסף נוסף, אולם לא מצא. בנוסף, נטל הנאשם את מכשיר הפלאפון של המתלונן, מסוג שיומי, שהיה מונח באותה העת ליד תיבת ההילוכים במונית.</w:t>
      </w:r>
    </w:p>
    <w:p w14:paraId="40AE7CF1" w14:textId="77777777" w:rsidR="00F66A34" w:rsidRDefault="00F66A34" w:rsidP="00F66A34">
      <w:pPr>
        <w:spacing w:line="252" w:lineRule="auto"/>
        <w:ind w:left="720"/>
        <w:contextualSpacing/>
        <w:rPr>
          <w:rFonts w:ascii="David" w:eastAsia="Calibri" w:hAnsi="David"/>
        </w:rPr>
      </w:pPr>
    </w:p>
    <w:p w14:paraId="00FC0FD5"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לאחר מכן, ניסה הנאשם להוציא את מפתחות המונית ממתג ההפעלה, אולם המתלונן משך את המפתחות וצעק על הנאשם. הנאשם והאחר יצאו מהרכב, כשברשותו של הנאשם סך של 500 ₪, 20 דולר והפלאפון.</w:t>
      </w:r>
    </w:p>
    <w:p w14:paraId="60F80F88" w14:textId="77777777" w:rsidR="00F66A34" w:rsidRDefault="00F66A34" w:rsidP="00F66A34">
      <w:pPr>
        <w:spacing w:line="252" w:lineRule="auto"/>
        <w:ind w:left="720"/>
        <w:contextualSpacing/>
        <w:rPr>
          <w:rFonts w:ascii="David" w:eastAsia="Calibri" w:hAnsi="David"/>
        </w:rPr>
      </w:pPr>
    </w:p>
    <w:p w14:paraId="2778B43E"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כתוצאה ממעשיהם של הנאשם והאחר נגרם למתלונן דימום בפה ושתי שיניים תותבות יצאו ממקומן ונפלו מהפה של המתלונן.</w:t>
      </w:r>
    </w:p>
    <w:p w14:paraId="5CA779AD" w14:textId="77777777" w:rsidR="00F66A34" w:rsidRDefault="00F66A34" w:rsidP="00F66A34">
      <w:pPr>
        <w:spacing w:line="252" w:lineRule="auto"/>
        <w:ind w:left="720"/>
        <w:contextualSpacing/>
        <w:rPr>
          <w:rFonts w:ascii="David" w:eastAsia="Calibri" w:hAnsi="David"/>
        </w:rPr>
      </w:pPr>
    </w:p>
    <w:p w14:paraId="1FF3C2CF"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במעשיו המתוארים לעיל, גנב הנאשם דבר בצוותא עם אחר, כאשר בשעת מעשה הם היו מזוינים בנשק או במכשיר שיש בהם כדי לסכן או לפגוע, ובשעת השוד או בתכוף לפניו או לאחריו פצעו את המתלונן, הכהו או השתמשו באלימות אחרת כלפי גופו, כדי להשיג את הדבר הגנוב, למנוע התנגדות או להתגבר עליה.</w:t>
      </w:r>
    </w:p>
    <w:p w14:paraId="65853452" w14:textId="77777777" w:rsidR="00F66A34" w:rsidRDefault="00F66A34" w:rsidP="00F66A34">
      <w:pPr>
        <w:spacing w:line="252" w:lineRule="auto"/>
        <w:ind w:left="720"/>
        <w:contextualSpacing/>
        <w:rPr>
          <w:rFonts w:ascii="David" w:eastAsia="Calibri" w:hAnsi="David"/>
        </w:rPr>
      </w:pPr>
    </w:p>
    <w:p w14:paraId="423525AD" w14:textId="77777777" w:rsidR="00F66A34" w:rsidRDefault="00F66A34" w:rsidP="00F66A34">
      <w:pPr>
        <w:numPr>
          <w:ilvl w:val="0"/>
          <w:numId w:val="1"/>
        </w:numPr>
        <w:spacing w:line="360" w:lineRule="auto"/>
        <w:contextualSpacing/>
        <w:jc w:val="both"/>
        <w:rPr>
          <w:rFonts w:ascii="David" w:eastAsia="Calibri" w:hAnsi="David"/>
          <w:rtl/>
        </w:rPr>
      </w:pPr>
      <w:r>
        <w:rPr>
          <w:rFonts w:ascii="David" w:eastAsia="Calibri" w:hAnsi="David"/>
          <w:rtl/>
        </w:rPr>
        <w:t xml:space="preserve">בהתאם </w:t>
      </w:r>
      <w:r>
        <w:rPr>
          <w:rFonts w:ascii="David" w:eastAsia="Calibri" w:hAnsi="David"/>
          <w:b/>
          <w:bCs/>
          <w:rtl/>
        </w:rPr>
        <w:t>לאישום הרביעי</w:t>
      </w:r>
      <w:r>
        <w:rPr>
          <w:rFonts w:ascii="David" w:eastAsia="Calibri" w:hAnsi="David"/>
          <w:rtl/>
        </w:rPr>
        <w:t>, ביום 2.3.20, בסמוך לשעה 12:00, נעצר הנאשם על ידי שוטרי תחנת חיפה בחניה של קופת חולים "מכבי", ברחוב הרצל בחיפה. באותה העת, החזיק הנאשם בארנקו שתי אריזות ובתוכן סם מסוכן מסוג הרואין במשקל 1.3691 גרם, וזאת שלא לשימוש העצמי וללא היתר או רישיון מאת מנהל.</w:t>
      </w:r>
    </w:p>
    <w:p w14:paraId="0BF3294E" w14:textId="77777777" w:rsidR="00F66A34" w:rsidRDefault="00F66A34" w:rsidP="00F66A34">
      <w:pPr>
        <w:rPr>
          <w:rFonts w:ascii="David" w:hAnsi="David"/>
        </w:rPr>
      </w:pPr>
    </w:p>
    <w:p w14:paraId="0A844572" w14:textId="77777777" w:rsidR="00F66A34" w:rsidRDefault="00F66A34" w:rsidP="00F66A34">
      <w:pPr>
        <w:spacing w:line="360" w:lineRule="auto"/>
        <w:ind w:firstLine="360"/>
        <w:jc w:val="both"/>
        <w:rPr>
          <w:rFonts w:ascii="David" w:hAnsi="David"/>
          <w:b/>
          <w:bCs/>
          <w:u w:val="single"/>
          <w:rtl/>
        </w:rPr>
      </w:pPr>
      <w:r>
        <w:rPr>
          <w:rFonts w:ascii="David" w:hAnsi="David"/>
          <w:b/>
          <w:bCs/>
          <w:u w:val="single"/>
          <w:rtl/>
        </w:rPr>
        <w:t>תסקיר שירות המבחן</w:t>
      </w:r>
    </w:p>
    <w:p w14:paraId="0F68CB0F" w14:textId="77777777" w:rsidR="00F66A34" w:rsidRDefault="00F66A34" w:rsidP="00F66A34">
      <w:pPr>
        <w:jc w:val="both"/>
        <w:rPr>
          <w:rFonts w:ascii="David" w:hAnsi="David"/>
        </w:rPr>
      </w:pPr>
    </w:p>
    <w:p w14:paraId="4242AB1B" w14:textId="77777777" w:rsidR="00F66A34" w:rsidRDefault="00F66A34" w:rsidP="00F66A34">
      <w:pPr>
        <w:numPr>
          <w:ilvl w:val="0"/>
          <w:numId w:val="1"/>
        </w:numPr>
        <w:spacing w:line="360" w:lineRule="auto"/>
        <w:contextualSpacing/>
        <w:jc w:val="both"/>
        <w:rPr>
          <w:rFonts w:ascii="David" w:eastAsia="Calibri" w:hAnsi="David"/>
          <w:rtl/>
        </w:rPr>
      </w:pPr>
      <w:r>
        <w:rPr>
          <w:rFonts w:ascii="David" w:eastAsia="Calibri" w:hAnsi="David"/>
          <w:rtl/>
        </w:rPr>
        <w:t>בתסקיר שהתקבל שירות המבחן סקר את מצבו האישי והמשפחתי של הנאשם, בן 47 נשוי ואב לשני ילדים בגירים. עלה לישראל מגיאורגיה לפני כעשור. בגיאורגיה השלים תואר במשפטים ועבד כיועץ משפטי בחברה ממשלתית עד לעלייתו לישראל. לדבריו בשל פערי שפה לא יכל לבצע את מבחן ההסמכה לקבלת רישיון עורך דין בישראל ועל כן השתלב בתחום הריצוף במשך 9 שנים, כאשר חלה ירידה בתפקודו התעסוקתי. סובל מהתמכרות לסמים מעל לשנה, לדבריו ההתמכרות החלה עוד בגיאורגיה שם עבר תהליך גמילה עצמאי אך חזר לצרוך סמים בארץ וביטא רצון לעבור הליך גמילה.</w:t>
      </w:r>
    </w:p>
    <w:p w14:paraId="12AB0E8B" w14:textId="77777777" w:rsidR="00F66A34" w:rsidRDefault="00F66A34" w:rsidP="00F66A34">
      <w:pPr>
        <w:spacing w:line="252" w:lineRule="auto"/>
        <w:ind w:left="720"/>
        <w:contextualSpacing/>
        <w:rPr>
          <w:rFonts w:ascii="David" w:eastAsia="Calibri" w:hAnsi="David"/>
        </w:rPr>
      </w:pPr>
    </w:p>
    <w:p w14:paraId="475994E8" w14:textId="77777777" w:rsidR="00F66A34" w:rsidRDefault="00F66A34" w:rsidP="00F66A34">
      <w:pPr>
        <w:spacing w:line="360" w:lineRule="auto"/>
        <w:ind w:left="360"/>
        <w:contextualSpacing/>
        <w:jc w:val="both"/>
        <w:rPr>
          <w:rFonts w:ascii="David" w:eastAsia="Calibri" w:hAnsi="David"/>
        </w:rPr>
      </w:pPr>
      <w:r>
        <w:rPr>
          <w:rFonts w:ascii="David" w:eastAsia="Calibri" w:hAnsi="David"/>
          <w:rtl/>
        </w:rPr>
        <w:t>הנאשם ללא עבר פלילי; הסביר כי ביצע את העבירות לצורך מימון סמים נוספים והביע חרטה על מעשיו ואמפתיה לנפגעים; שירות המבחן סבר, כי קיים סיכון להישנות מעורבותו בעבירות על רקע התמכרותו לסמים, המצריך התערבות כוללת ואינטנסיבית במצבו על מנת לסייע בהפחתת הסיכון.</w:t>
      </w:r>
    </w:p>
    <w:p w14:paraId="52B25AC7" w14:textId="77777777" w:rsidR="00F66A34" w:rsidRDefault="00F66A34" w:rsidP="00F66A34">
      <w:pPr>
        <w:ind w:left="360"/>
        <w:contextualSpacing/>
        <w:jc w:val="both"/>
        <w:rPr>
          <w:rFonts w:ascii="David" w:eastAsia="Calibri" w:hAnsi="David"/>
        </w:rPr>
      </w:pPr>
    </w:p>
    <w:p w14:paraId="1F515D9C"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לסיכום, שירות המבחן התרשם כי על אף נכונותו המילולית של הנאשם בטיפול, לאור דפוסי התנהלותו, הנאשם יתקשה לעמוד בדרישות במסגרת של קהילה טיפולית. לאור זאת ונוכח  רמת הסיכון הנשקפת ממנו, אין בידי שירות המבחן המלצה לחלופת ענישה בקהילה שתסייע בהפחתת הסיכון בעניינו.</w:t>
      </w:r>
    </w:p>
    <w:p w14:paraId="0F80F0EF" w14:textId="77777777" w:rsidR="00F66A34" w:rsidRDefault="00F66A34" w:rsidP="00F66A34">
      <w:pPr>
        <w:ind w:left="360"/>
        <w:contextualSpacing/>
        <w:jc w:val="both"/>
        <w:rPr>
          <w:rFonts w:ascii="David" w:eastAsia="Calibri" w:hAnsi="David"/>
          <w:rtl/>
        </w:rPr>
      </w:pPr>
    </w:p>
    <w:p w14:paraId="60A7AA55"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יחד עם זאת, מאחר וקיימת חשיבות להשתלבותו במסגרת לטיפול בהתמכרויות, במידה ויוטל על הנאשם עונש מאסר בפועל, המליץ שירות המבחן לבדוק אפשרות לשלבו בהליך טיפולי אינטנסיבי בתחום ההתמכרויות בתוך כתלי בית הסוהר, אשר יכול להוות גורם מפחית סיכון.</w:t>
      </w:r>
    </w:p>
    <w:p w14:paraId="1B3E70D9" w14:textId="77777777" w:rsidR="00F66A34" w:rsidRDefault="00F66A34" w:rsidP="00F66A34">
      <w:pPr>
        <w:spacing w:line="360" w:lineRule="auto"/>
        <w:ind w:left="360"/>
        <w:jc w:val="both"/>
        <w:rPr>
          <w:rFonts w:ascii="David" w:hAnsi="David"/>
          <w:b/>
          <w:bCs/>
          <w:u w:val="single"/>
          <w:rtl/>
        </w:rPr>
      </w:pPr>
    </w:p>
    <w:p w14:paraId="457BF2DF" w14:textId="77777777" w:rsidR="00F66A34" w:rsidRDefault="00F66A34" w:rsidP="00F66A34">
      <w:pPr>
        <w:spacing w:line="360" w:lineRule="auto"/>
        <w:ind w:left="360"/>
        <w:jc w:val="both"/>
        <w:rPr>
          <w:rFonts w:ascii="David" w:hAnsi="David"/>
          <w:b/>
          <w:bCs/>
          <w:u w:val="single"/>
          <w:rtl/>
        </w:rPr>
      </w:pPr>
      <w:r>
        <w:rPr>
          <w:rFonts w:ascii="David" w:hAnsi="David"/>
          <w:b/>
          <w:bCs/>
          <w:u w:val="single"/>
          <w:rtl/>
        </w:rPr>
        <w:t>הראיות לעונש</w:t>
      </w:r>
    </w:p>
    <w:p w14:paraId="3F213E23" w14:textId="77777777" w:rsidR="00F66A34" w:rsidRDefault="00F66A34" w:rsidP="00F66A34">
      <w:pPr>
        <w:ind w:left="360" w:firstLine="360"/>
        <w:contextualSpacing/>
        <w:jc w:val="both"/>
        <w:rPr>
          <w:rFonts w:ascii="David" w:eastAsia="Calibri" w:hAnsi="David"/>
          <w:b/>
          <w:bCs/>
          <w:highlight w:val="yellow"/>
          <w:u w:val="single"/>
          <w:rtl/>
        </w:rPr>
      </w:pPr>
    </w:p>
    <w:p w14:paraId="7959987B" w14:textId="77777777" w:rsidR="00F66A34" w:rsidRDefault="00F66A34" w:rsidP="00F66A34">
      <w:pPr>
        <w:numPr>
          <w:ilvl w:val="0"/>
          <w:numId w:val="1"/>
        </w:numPr>
        <w:spacing w:line="360" w:lineRule="auto"/>
        <w:contextualSpacing/>
        <w:jc w:val="both"/>
        <w:rPr>
          <w:rFonts w:ascii="David" w:eastAsia="Calibri" w:hAnsi="David"/>
          <w:rtl/>
        </w:rPr>
      </w:pPr>
      <w:r>
        <w:rPr>
          <w:rFonts w:ascii="David" w:eastAsia="Calibri" w:hAnsi="David"/>
          <w:rtl/>
        </w:rPr>
        <w:t>לדיון שהתקיים ביום 21.9.20 המאשימה העידה את המתלונן מן האישום השלישי,  אשר סיפר כי בזמן עבודתו כנהג מונית הוא הותקף על ידי הנאשם והאדם הנוסף שהיה עמו; במהלך השוד הנאשם התכוון לדקור אותו עם סכין שלופה, ולאחר שהמתלונן נתן לו את הכסף הנאשם ניסה לגנוב גם את מפתחות המונית.</w:t>
      </w:r>
    </w:p>
    <w:p w14:paraId="7D3BA9BB" w14:textId="77777777" w:rsidR="00F66A34" w:rsidRDefault="00F66A34" w:rsidP="00F66A34">
      <w:pPr>
        <w:ind w:left="360"/>
        <w:contextualSpacing/>
        <w:jc w:val="both"/>
        <w:rPr>
          <w:rFonts w:ascii="David" w:eastAsia="Calibri" w:hAnsi="David"/>
        </w:rPr>
      </w:pPr>
    </w:p>
    <w:p w14:paraId="74EB5F4B"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המתלונן תיאר את השלכות האירוע, את התחושות והחששות שהוא נושא עמו מאז אירוע השוד – המתלונן חושש להסיע במונית נוסע יחיד; מעדיף להסיע נשים זקנות מאשר בחורים צעירים; המתלונן אינו עובד בלילות בכלל וכן נפגע כלכלית עקב הכספים והטלפון הנייד שהנאשם שדד ממנו וכן ימי העבודה הרבים שהפסיד כתוצאה מהשוד.</w:t>
      </w:r>
    </w:p>
    <w:p w14:paraId="04B3C3E6" w14:textId="77777777" w:rsidR="00F66A34" w:rsidRDefault="00F66A34" w:rsidP="00F66A34">
      <w:pPr>
        <w:ind w:left="360"/>
        <w:contextualSpacing/>
        <w:jc w:val="both"/>
        <w:rPr>
          <w:rFonts w:ascii="David" w:eastAsia="Calibri" w:hAnsi="David"/>
          <w:b/>
          <w:bCs/>
          <w:u w:val="single"/>
        </w:rPr>
      </w:pPr>
    </w:p>
    <w:p w14:paraId="7F6F0792" w14:textId="77777777" w:rsidR="00F66A34" w:rsidRDefault="00F66A34" w:rsidP="00F66A34">
      <w:pPr>
        <w:spacing w:line="360" w:lineRule="auto"/>
        <w:ind w:left="360"/>
        <w:contextualSpacing/>
        <w:jc w:val="both"/>
        <w:rPr>
          <w:rFonts w:ascii="David" w:eastAsia="Calibri" w:hAnsi="David"/>
          <w:b/>
          <w:bCs/>
          <w:u w:val="single"/>
          <w:rtl/>
        </w:rPr>
      </w:pPr>
      <w:r>
        <w:rPr>
          <w:rFonts w:ascii="David" w:eastAsia="Calibri" w:hAnsi="David"/>
          <w:b/>
          <w:bCs/>
          <w:u w:val="single"/>
          <w:rtl/>
        </w:rPr>
        <w:t>טיעוני הצדדים ודברי הנאשם</w:t>
      </w:r>
    </w:p>
    <w:p w14:paraId="61827502" w14:textId="77777777" w:rsidR="00F66A34" w:rsidRDefault="00F66A34" w:rsidP="00F66A34">
      <w:pPr>
        <w:ind w:left="360"/>
        <w:contextualSpacing/>
        <w:jc w:val="both"/>
        <w:rPr>
          <w:rFonts w:ascii="David" w:eastAsia="Calibri" w:hAnsi="David"/>
        </w:rPr>
      </w:pPr>
    </w:p>
    <w:p w14:paraId="64CFA910" w14:textId="77777777" w:rsidR="00F66A34" w:rsidRDefault="00F66A34" w:rsidP="00F66A34">
      <w:pPr>
        <w:numPr>
          <w:ilvl w:val="0"/>
          <w:numId w:val="1"/>
        </w:numPr>
        <w:spacing w:line="360" w:lineRule="auto"/>
        <w:contextualSpacing/>
        <w:jc w:val="both"/>
        <w:rPr>
          <w:rFonts w:ascii="David" w:eastAsia="Calibri" w:hAnsi="David"/>
        </w:rPr>
      </w:pPr>
      <w:r>
        <w:rPr>
          <w:rFonts w:ascii="David" w:eastAsia="Calibri" w:hAnsi="David"/>
          <w:b/>
          <w:bCs/>
          <w:rtl/>
        </w:rPr>
        <w:t xml:space="preserve">המאשימה </w:t>
      </w:r>
      <w:r>
        <w:rPr>
          <w:rFonts w:ascii="David" w:eastAsia="Calibri" w:hAnsi="David"/>
          <w:rtl/>
        </w:rPr>
        <w:t>התייחסה לחומרת העבירות שביצע הנאשם - לעובדה שכתב האישום מגולל שלושה אירועים שונים של גניבה תוך הפעלת אלימות (האישומים 1-3), שבוצעו כנגד שלושה מתלוננים שונים שכולם קשישים ובשלושה מועדים שונים. באישום הראשון הנאשם שודד קשישה שהולכת לתומה ברחוב ולא חס עליה; באישומים 2-3 הנאשם יחד עם אחר מבצע מעשים חמורים בשני נהגי מונית קשישים בתעוזה, תוך שימוש בסכין באמצע היום, כאשר הנאשם מסלים את מעשיו מאישום לאישום עד שבאישום השלישי הנאשם מקרב סכין יפנית אל המתלונן שצועק ומבקש מהנאשם שלא ידקור אותו, וכל זאת לשם בצע כסף.</w:t>
      </w:r>
    </w:p>
    <w:p w14:paraId="0D95B4C4" w14:textId="77777777" w:rsidR="00F66A34" w:rsidRDefault="00F66A34" w:rsidP="00F66A34">
      <w:pPr>
        <w:ind w:left="360"/>
        <w:contextualSpacing/>
        <w:jc w:val="both"/>
        <w:rPr>
          <w:rFonts w:ascii="David" w:eastAsia="Calibri" w:hAnsi="David"/>
          <w:rtl/>
        </w:rPr>
      </w:pPr>
    </w:p>
    <w:p w14:paraId="43447089" w14:textId="77777777" w:rsidR="00F66A34" w:rsidRDefault="00F66A34" w:rsidP="00F66A34">
      <w:pPr>
        <w:spacing w:line="360" w:lineRule="auto"/>
        <w:ind w:left="360"/>
        <w:contextualSpacing/>
        <w:jc w:val="both"/>
        <w:rPr>
          <w:rFonts w:ascii="David" w:eastAsia="Calibri" w:hAnsi="David"/>
        </w:rPr>
      </w:pPr>
      <w:r>
        <w:rPr>
          <w:rFonts w:ascii="David" w:eastAsia="Calibri" w:hAnsi="David"/>
          <w:rtl/>
        </w:rPr>
        <w:t xml:space="preserve">המאשימה התייחסה לערך החברתי המוגן שנפגע; לעובדה כי לאירועים קדם תכנון כאשר הנאשם הגיע עם סכין ועם אדם נוסף; המאשימה טענה כי המתלוננים השונים חוו טראומה קשה והפנתה לעדות המתלונן השלישי. </w:t>
      </w:r>
    </w:p>
    <w:p w14:paraId="339E0D7D" w14:textId="77777777" w:rsidR="00F66A34" w:rsidRDefault="00F66A34" w:rsidP="00F66A34">
      <w:pPr>
        <w:spacing w:line="252" w:lineRule="auto"/>
        <w:ind w:left="720"/>
        <w:contextualSpacing/>
        <w:rPr>
          <w:rFonts w:ascii="David" w:eastAsia="Calibri" w:hAnsi="David"/>
        </w:rPr>
      </w:pPr>
    </w:p>
    <w:p w14:paraId="51784675" w14:textId="77777777" w:rsidR="00F66A34" w:rsidRDefault="00F66A34" w:rsidP="00F66A34">
      <w:pPr>
        <w:spacing w:line="360" w:lineRule="auto"/>
        <w:ind w:left="360"/>
        <w:contextualSpacing/>
        <w:jc w:val="both"/>
        <w:rPr>
          <w:rFonts w:ascii="David" w:eastAsia="Calibri" w:hAnsi="David"/>
        </w:rPr>
      </w:pPr>
      <w:r>
        <w:rPr>
          <w:rFonts w:ascii="David" w:eastAsia="Calibri" w:hAnsi="David"/>
          <w:rtl/>
        </w:rPr>
        <w:t xml:space="preserve">לטענת המאשימה, למרות שמדובר בשלושה מעשים שהתרחשו בפרק זמן קצר ולכאורה ניתן לחשוב שיש קשר ביניהם, אלא שמדובר בקשר מלאכותי שכן עסקינן בפועל בשלושה אירועים עצמאיים ונפרדים. </w:t>
      </w:r>
    </w:p>
    <w:p w14:paraId="0E33CC60" w14:textId="77777777" w:rsidR="00F66A34" w:rsidRDefault="00F66A34" w:rsidP="00F66A34">
      <w:pPr>
        <w:spacing w:line="252" w:lineRule="auto"/>
        <w:ind w:left="720"/>
        <w:contextualSpacing/>
        <w:rPr>
          <w:rFonts w:ascii="David" w:eastAsia="Calibri" w:hAnsi="David"/>
        </w:rPr>
      </w:pPr>
    </w:p>
    <w:p w14:paraId="7434387E"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המאשימה סקרה את  עמדת הפסיקה לפיה יש למגר תופעת עבירות השוד תוך הטלת ענישה מחמירה, ביחוד כאשר מעשי השוד מופנים כלפי אוכלוסיית הקשישים תוך ניצול חולשת המתלוננים. עוד הדגישה כי החומרה שבמעשי הנאשם מקבלת משנה תוקף שעה שחלק ממעשי השוד הופנו כנגד נהגי מוניות לאור הקלות הרבה בה ניתן לבצע את העבירות תוך הפגיעה בהם במסגרת עבודתם. בנסיבות אלו המאשימה סבורה, כי יש לקבוע בעניינו של הנאשם את מתחמי הענישה הבאים:</w:t>
      </w:r>
    </w:p>
    <w:p w14:paraId="12682DC4" w14:textId="77777777" w:rsidR="00F66A34" w:rsidRDefault="00F66A34" w:rsidP="00F66A34">
      <w:pPr>
        <w:ind w:left="360"/>
        <w:contextualSpacing/>
        <w:jc w:val="both"/>
        <w:rPr>
          <w:rFonts w:ascii="David" w:eastAsia="Calibri" w:hAnsi="David"/>
        </w:rPr>
      </w:pPr>
    </w:p>
    <w:p w14:paraId="41B07293"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לגבי האירוע הראשון – מתחם הנע בין 40-18 חודשי מאסר בפועל;</w:t>
      </w:r>
    </w:p>
    <w:p w14:paraId="292837FD" w14:textId="77777777" w:rsidR="00F66A34" w:rsidRDefault="00F66A34" w:rsidP="00F66A34">
      <w:pPr>
        <w:spacing w:line="360" w:lineRule="auto"/>
        <w:ind w:left="360"/>
        <w:contextualSpacing/>
        <w:jc w:val="both"/>
        <w:rPr>
          <w:rFonts w:ascii="David" w:eastAsia="Calibri" w:hAnsi="David"/>
        </w:rPr>
      </w:pPr>
      <w:r>
        <w:rPr>
          <w:rFonts w:ascii="David" w:eastAsia="Calibri" w:hAnsi="David"/>
          <w:rtl/>
        </w:rPr>
        <w:t>לגבי האירוע השני  והשלישי – מבוקש לקבוע מתחם עבור כל אירוע בנפרד, הנע בין 8-5 שנות מאסר בפועל;</w:t>
      </w:r>
    </w:p>
    <w:p w14:paraId="06F89C70"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לגבי האירוע הרביעי -  מתחם הנע בין 18-6 חודשי מאסר בפועל.</w:t>
      </w:r>
    </w:p>
    <w:p w14:paraId="0A9618A8" w14:textId="77777777" w:rsidR="00F66A34" w:rsidRDefault="00F66A34" w:rsidP="00F66A34">
      <w:pPr>
        <w:spacing w:line="360" w:lineRule="auto"/>
        <w:ind w:left="360"/>
        <w:contextualSpacing/>
        <w:jc w:val="both"/>
        <w:rPr>
          <w:rFonts w:ascii="David" w:eastAsia="Calibri" w:hAnsi="David"/>
          <w:rtl/>
        </w:rPr>
      </w:pPr>
    </w:p>
    <w:p w14:paraId="3B3C9FB3"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המאשימה התייחסה לגילו הצעיר של הנאשם, היעדר עבר פלילי ומעצרו מיום 2.3.20 אולם טענה כי אין לייחס להם משקל מכריע לאור העובדה כי הנאשם ביצע מספר רב של עבירות בתקופה כה קצרה. באשר לטענה כי הנאשם התמכר לסמים עקב בעיה בריאותית נטען כי העניין לא נתמך במסמכים רפואיים.</w:t>
      </w:r>
    </w:p>
    <w:p w14:paraId="1FC7787C" w14:textId="77777777" w:rsidR="00F66A34" w:rsidRDefault="00F66A34" w:rsidP="00F66A34">
      <w:pPr>
        <w:spacing w:line="360" w:lineRule="auto"/>
        <w:ind w:left="360"/>
        <w:contextualSpacing/>
        <w:jc w:val="both"/>
        <w:rPr>
          <w:rFonts w:ascii="David" w:eastAsia="Calibri" w:hAnsi="David"/>
          <w:rtl/>
        </w:rPr>
      </w:pPr>
    </w:p>
    <w:p w14:paraId="4265FA73"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על כן, לטענת המאשימה יש להטיל על הנאשם עונש ברף האמצעי של המתחמים שהוצגו ובמצטבר זה לזה; השתת עונשי מאסר על תנאי משמעותיים בגין כל עבירה וכן מתן פיצוי משמעותי למתלוננים.</w:t>
      </w:r>
    </w:p>
    <w:p w14:paraId="5D45D99A" w14:textId="77777777" w:rsidR="00F66A34" w:rsidRDefault="00F66A34" w:rsidP="00F66A34">
      <w:pPr>
        <w:ind w:left="360"/>
        <w:contextualSpacing/>
        <w:jc w:val="both"/>
        <w:rPr>
          <w:rFonts w:ascii="David" w:eastAsia="Calibri" w:hAnsi="David"/>
        </w:rPr>
      </w:pPr>
    </w:p>
    <w:p w14:paraId="5BB9E241" w14:textId="77777777" w:rsidR="00F66A34" w:rsidRDefault="00F66A34" w:rsidP="00F66A34">
      <w:pPr>
        <w:numPr>
          <w:ilvl w:val="0"/>
          <w:numId w:val="1"/>
        </w:numPr>
        <w:spacing w:line="360" w:lineRule="auto"/>
        <w:contextualSpacing/>
        <w:jc w:val="both"/>
        <w:rPr>
          <w:rFonts w:ascii="David" w:eastAsia="Calibri" w:hAnsi="David"/>
          <w:rtl/>
        </w:rPr>
      </w:pPr>
      <w:r>
        <w:rPr>
          <w:rFonts w:ascii="David" w:eastAsia="Calibri" w:hAnsi="David"/>
          <w:rtl/>
        </w:rPr>
        <w:t xml:space="preserve">לטענת </w:t>
      </w:r>
      <w:r>
        <w:rPr>
          <w:rFonts w:ascii="David" w:eastAsia="Calibri" w:hAnsi="David"/>
          <w:b/>
          <w:bCs/>
          <w:rtl/>
        </w:rPr>
        <w:t>ב"כ הנאשם</w:t>
      </w:r>
      <w:r>
        <w:rPr>
          <w:rFonts w:ascii="David" w:eastAsia="Calibri" w:hAnsi="David"/>
          <w:rtl/>
        </w:rPr>
        <w:t xml:space="preserve"> בטיעונים  ובדיון שהתקיים ביום 21.9.20, אישומים 1-2 בוצעו באותו יום ואילו האישום השלישי התרחש למחרת; באשר לאירוע הראשון נטען כי מדובר בתקיפה לשם גניבה אשר חומרתו פחותה מעבירת שוד, כשבאותו מקרה לא נגרם למתלוננת כל נזק גופני והנזק הכלכלי שנגרם איננו רב.</w:t>
      </w:r>
    </w:p>
    <w:p w14:paraId="0529B461" w14:textId="77777777" w:rsidR="00F66A34" w:rsidRDefault="00F66A34" w:rsidP="00F66A34">
      <w:pPr>
        <w:spacing w:line="252" w:lineRule="auto"/>
        <w:ind w:left="720"/>
        <w:contextualSpacing/>
        <w:rPr>
          <w:rFonts w:ascii="David" w:eastAsia="Calibri" w:hAnsi="David"/>
        </w:rPr>
      </w:pPr>
    </w:p>
    <w:p w14:paraId="2BF99BC5" w14:textId="77777777" w:rsidR="00F66A34" w:rsidRDefault="00F66A34" w:rsidP="00F66A34">
      <w:pPr>
        <w:spacing w:line="360" w:lineRule="auto"/>
        <w:ind w:left="360"/>
        <w:contextualSpacing/>
        <w:jc w:val="both"/>
        <w:rPr>
          <w:rFonts w:ascii="David" w:eastAsia="Calibri" w:hAnsi="David"/>
        </w:rPr>
      </w:pPr>
      <w:r>
        <w:rPr>
          <w:rFonts w:ascii="David" w:eastAsia="Calibri" w:hAnsi="David"/>
          <w:rtl/>
        </w:rPr>
        <w:t>באשר לאישומים 2-3, נטען כי לא מדובר בעבירת שוד במדרג חומרה גבוה שכן למתלוננים לא נגרם נזק גופני, לא הייתה אלימות, לא נעשה שימוש בסכין אשר גרם לנזק גופני והנזק הרכושי שנגרם אינו רב ; לטענת ב"כ הנאשם,  המאשימה חרגה מעובדות כתב האישום שכן בניגוד לטענותיה, כתב האישום לא מייחס לנאשם תכנון מוקדם ולא מצוין בכתב האישום שהנאשם הצטייד בסכין יפנית כדי לבצע את השוד כאשר לגישתו, סכין יפנית יכולה להיות בכיסו של כל אדם ואין הדבר מעיד על כוונה לבצע עבירה. במקרה זה, כך נטען, עסקינן  בעבירות שבוצעו באופן ספונטני ללא תכנון גם לא תחכום והפגיעה בערכים המוגנים הינו ברף הנמוך.</w:t>
      </w:r>
    </w:p>
    <w:p w14:paraId="21D9A6B1" w14:textId="77777777" w:rsidR="00F66A34" w:rsidRDefault="00F66A34" w:rsidP="00F66A34">
      <w:pPr>
        <w:ind w:left="360"/>
        <w:contextualSpacing/>
        <w:jc w:val="both"/>
        <w:rPr>
          <w:rFonts w:ascii="David" w:eastAsia="Calibri" w:hAnsi="David"/>
        </w:rPr>
      </w:pPr>
    </w:p>
    <w:p w14:paraId="35DC8AC6"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באשר לקביעת מתחם העונש ומספר האירועים, נטען כי לאור סמיכות הזמנים ודפוס הפעולה לאותו צורך עברייני, יש לקבוע שמדובר באירוע אחד. לעניין רף הענישה נטען תוך הפניה לפסיקה, כי מתחם העונש הראוי בגין מכלול העבירות מתחיל ב- 6 חודשי מאסר בעבודות שירות ועד 36 חודשי מאסר בפועל.</w:t>
      </w:r>
    </w:p>
    <w:p w14:paraId="68C4A9CA" w14:textId="77777777" w:rsidR="00F66A34" w:rsidRDefault="00F66A34" w:rsidP="00F66A34">
      <w:pPr>
        <w:ind w:left="360"/>
        <w:contextualSpacing/>
        <w:jc w:val="both"/>
        <w:rPr>
          <w:rFonts w:ascii="David" w:eastAsia="Calibri" w:hAnsi="David"/>
          <w:rtl/>
        </w:rPr>
      </w:pPr>
    </w:p>
    <w:p w14:paraId="5BB29EBF"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לטענת ב"כ הנאשם, הנאשם ללא עבר פלילי מעד מעידה קשה, בהתאם לתסקיר שהוגש אין לנאשם דפוסי התנהגות עברייניים וזאת חרף התמכרותו לסמים; הנאשם מביע חרטה על התנהגותו ומתבייש במעשיו; הנאשם עסק בעריכת דין בארץ מוצאו ועם עלייתו לישראל, עקב קשיי שפה לא הצליח לעבור את המבחנים בארץ ועבד בעבודות כפיים; התמכרותו לסמים נבעה מפציעתו במסגרת מלחמת אזרחים בגיאורגיה אשר הובילה לתלות במשככי כאבים ולאחר מכן בסמים.</w:t>
      </w:r>
    </w:p>
    <w:p w14:paraId="6E80E298" w14:textId="77777777" w:rsidR="00F66A34" w:rsidRDefault="00F66A34" w:rsidP="00F66A34">
      <w:pPr>
        <w:ind w:left="360"/>
        <w:contextualSpacing/>
        <w:jc w:val="both"/>
        <w:rPr>
          <w:rFonts w:ascii="David" w:eastAsia="Calibri" w:hAnsi="David"/>
          <w:rtl/>
        </w:rPr>
      </w:pPr>
    </w:p>
    <w:p w14:paraId="6181DFEC" w14:textId="77777777" w:rsidR="00F66A34" w:rsidRDefault="00F66A34" w:rsidP="00F66A34">
      <w:pPr>
        <w:spacing w:line="360" w:lineRule="auto"/>
        <w:ind w:left="360"/>
        <w:contextualSpacing/>
        <w:jc w:val="both"/>
        <w:rPr>
          <w:rFonts w:ascii="David" w:eastAsia="Calibri" w:hAnsi="David"/>
          <w:rtl/>
        </w:rPr>
      </w:pPr>
      <w:r>
        <w:rPr>
          <w:rFonts w:ascii="David" w:eastAsia="Calibri" w:hAnsi="David"/>
          <w:rtl/>
        </w:rPr>
        <w:t>נטען כי הנאשם נורמטיבי, זו הפעם הראשונה שבה הסתבך בפלילים; הנאשם הודה בהזדמנות הראשונה עוד בחקירת המשטרה והביע חרטה; ועל כן מבוקש להורות על הטלת ענישה מקלה ברף התחתון של מתחם הענישה. באשר להטלת פיצוי כספי נטען כי הנאשם מבין ורוצה לפצות את המתלוננים אך יש להתחשב בכך שלנאשם אין מקורות פרנסה.</w:t>
      </w:r>
    </w:p>
    <w:p w14:paraId="4E784091" w14:textId="77777777" w:rsidR="00F66A34" w:rsidRDefault="00F66A34" w:rsidP="00F66A34">
      <w:pPr>
        <w:ind w:left="360"/>
        <w:contextualSpacing/>
        <w:jc w:val="both"/>
        <w:rPr>
          <w:rFonts w:ascii="David" w:eastAsia="Calibri" w:hAnsi="David"/>
          <w:rtl/>
        </w:rPr>
      </w:pPr>
    </w:p>
    <w:p w14:paraId="7651E0BA" w14:textId="77777777" w:rsidR="00F66A34" w:rsidRDefault="00F66A34" w:rsidP="00F66A34">
      <w:pPr>
        <w:numPr>
          <w:ilvl w:val="0"/>
          <w:numId w:val="1"/>
        </w:numPr>
        <w:spacing w:line="360" w:lineRule="auto"/>
        <w:contextualSpacing/>
        <w:jc w:val="both"/>
        <w:rPr>
          <w:rFonts w:ascii="David" w:eastAsia="Calibri" w:hAnsi="David" w:cs="Arial"/>
          <w:sz w:val="22"/>
          <w:szCs w:val="22"/>
          <w:rtl/>
        </w:rPr>
      </w:pPr>
      <w:r>
        <w:rPr>
          <w:rFonts w:ascii="David" w:eastAsia="Calibri" w:hAnsi="David"/>
          <w:rtl/>
        </w:rPr>
        <w:t xml:space="preserve">בדברי הנאשם בפניי הוא התנצל על מעשיו כלפי המתלוננים וכן התנצל בפני משפחתו, הביע רצון לשנות את דרכיו ולטפל בהתמכרותו ולא להיות מעורב במעשים פליליים. </w:t>
      </w:r>
    </w:p>
    <w:p w14:paraId="3E27288C" w14:textId="77777777" w:rsidR="00F66A34" w:rsidRDefault="00F66A34" w:rsidP="00F66A34">
      <w:pPr>
        <w:shd w:val="clear" w:color="auto" w:fill="FFFFFF"/>
        <w:spacing w:after="120"/>
        <w:ind w:left="360"/>
        <w:contextualSpacing/>
        <w:jc w:val="both"/>
        <w:rPr>
          <w:rFonts w:ascii="David" w:eastAsia="Calibri" w:hAnsi="David"/>
          <w:b/>
          <w:bCs/>
          <w:u w:val="single"/>
          <w:rtl/>
        </w:rPr>
      </w:pPr>
    </w:p>
    <w:p w14:paraId="7F4B48C4" w14:textId="77777777" w:rsidR="00F66A34" w:rsidRDefault="00F66A34" w:rsidP="00F66A34">
      <w:pPr>
        <w:shd w:val="clear" w:color="auto" w:fill="FFFFFF"/>
        <w:spacing w:after="120"/>
        <w:ind w:left="360"/>
        <w:contextualSpacing/>
        <w:jc w:val="both"/>
        <w:rPr>
          <w:rFonts w:ascii="David" w:hAnsi="David"/>
          <w:b/>
          <w:bCs/>
          <w:color w:val="000000"/>
          <w:u w:val="single"/>
        </w:rPr>
      </w:pPr>
      <w:r>
        <w:rPr>
          <w:rFonts w:ascii="David" w:hAnsi="David"/>
          <w:b/>
          <w:bCs/>
          <w:color w:val="000000"/>
          <w:u w:val="single"/>
          <w:rtl/>
        </w:rPr>
        <w:t>מתחם העונש</w:t>
      </w:r>
    </w:p>
    <w:p w14:paraId="0633731B" w14:textId="77777777" w:rsidR="00F66A34" w:rsidRDefault="00F66A34" w:rsidP="00F66A34">
      <w:pPr>
        <w:shd w:val="clear" w:color="auto" w:fill="FFFFFF"/>
        <w:jc w:val="both"/>
        <w:rPr>
          <w:rFonts w:ascii="David" w:hAnsi="David"/>
          <w:color w:val="000000"/>
        </w:rPr>
      </w:pPr>
    </w:p>
    <w:p w14:paraId="7ED3757F"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 xml:space="preserve"> המבחן המוביל או המרכזי לקביעתו של אירוע הוא  "הקשר ההדוק", כך  שגם אם עסקינן במספר מעשים  וריבוי  עבירות וכל עוד ביניהם  קיים קשר הדוק ייחשבו לאירוע אחד (</w:t>
      </w:r>
      <w:hyperlink r:id="rId26" w:history="1">
        <w:r w:rsidR="00BF46FA" w:rsidRPr="00BF46FA">
          <w:rPr>
            <w:rFonts w:ascii="David" w:hAnsi="David"/>
            <w:color w:val="0000FF"/>
            <w:u w:val="single"/>
            <w:rtl/>
          </w:rPr>
          <w:t>ע"פ 4910/13</w:t>
        </w:r>
      </w:hyperlink>
      <w:r>
        <w:rPr>
          <w:rFonts w:ascii="David" w:hAnsi="David"/>
          <w:color w:val="000000"/>
          <w:rtl/>
        </w:rPr>
        <w:t xml:space="preserve"> </w:t>
      </w:r>
      <w:r>
        <w:rPr>
          <w:rFonts w:ascii="David" w:hAnsi="David"/>
          <w:b/>
          <w:bCs/>
          <w:color w:val="000000"/>
          <w:rtl/>
        </w:rPr>
        <w:t>ג'אבר נ' מדינת ישראל</w:t>
      </w:r>
      <w:r>
        <w:rPr>
          <w:rFonts w:ascii="David" w:hAnsi="David"/>
          <w:color w:val="000000"/>
          <w:rtl/>
        </w:rPr>
        <w:t xml:space="preserve">, פסקאות 5-6 לחוות דעתה של כבוד השופטת ברק-ארז (29.10.14) (להלן: </w:t>
      </w:r>
      <w:r>
        <w:rPr>
          <w:rFonts w:ascii="David" w:hAnsi="David"/>
          <w:b/>
          <w:bCs/>
          <w:color w:val="000000"/>
          <w:rtl/>
        </w:rPr>
        <w:t>עניין ג'אבר</w:t>
      </w:r>
      <w:r>
        <w:rPr>
          <w:rFonts w:ascii="David" w:hAnsi="David"/>
          <w:color w:val="000000"/>
          <w:rtl/>
        </w:rPr>
        <w:t xml:space="preserve">); ראו גם </w:t>
      </w:r>
      <w:hyperlink r:id="rId27" w:history="1">
        <w:r w:rsidR="00BF46FA" w:rsidRPr="00BF46FA">
          <w:rPr>
            <w:rFonts w:ascii="David" w:hAnsi="David"/>
            <w:color w:val="0000FF"/>
            <w:u w:val="single"/>
            <w:rtl/>
          </w:rPr>
          <w:t>ע"פ 5643/14</w:t>
        </w:r>
      </w:hyperlink>
      <w:r>
        <w:rPr>
          <w:rFonts w:ascii="David" w:hAnsi="David"/>
          <w:color w:val="000000"/>
          <w:rtl/>
        </w:rPr>
        <w:t xml:space="preserve"> </w:t>
      </w:r>
      <w:r>
        <w:rPr>
          <w:rFonts w:ascii="David" w:hAnsi="David"/>
          <w:b/>
          <w:bCs/>
          <w:color w:val="000000"/>
          <w:rtl/>
        </w:rPr>
        <w:t xml:space="preserve">עיסא נ' מדינת ישראל, </w:t>
      </w:r>
      <w:r>
        <w:rPr>
          <w:rFonts w:ascii="David" w:hAnsi="David"/>
          <w:color w:val="000000"/>
          <w:rtl/>
        </w:rPr>
        <w:t>פסקאות 11-12 (23.6.15)). בקביעה זו יש להידרש לנסיבות עובדתיות מיוחדות   המהוות מבחני עזר לקביעת עוצמת הקשר, כמו, למשל "</w:t>
      </w:r>
      <w:r>
        <w:rPr>
          <w:rFonts w:ascii="David" w:hAnsi="David"/>
          <w:b/>
          <w:bCs/>
          <w:color w:val="000000"/>
          <w:rtl/>
        </w:rPr>
        <w:t>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r>
        <w:rPr>
          <w:rFonts w:ascii="David" w:hAnsi="David"/>
          <w:color w:val="000000"/>
          <w:rtl/>
        </w:rPr>
        <w:t xml:space="preserve">" </w:t>
      </w:r>
      <w:hyperlink r:id="rId28" w:history="1">
        <w:r w:rsidR="00BF46FA" w:rsidRPr="00BF46FA">
          <w:rPr>
            <w:rFonts w:ascii="David" w:hAnsi="David"/>
            <w:color w:val="0000FF"/>
            <w:u w:val="single"/>
            <w:rtl/>
          </w:rPr>
          <w:t>ע"פ 1261/15</w:t>
        </w:r>
      </w:hyperlink>
      <w:r>
        <w:rPr>
          <w:rFonts w:ascii="David" w:hAnsi="David"/>
          <w:color w:val="000000"/>
          <w:rtl/>
        </w:rPr>
        <w:t xml:space="preserve"> ‏ ‏ </w:t>
      </w:r>
      <w:r>
        <w:rPr>
          <w:rFonts w:ascii="David" w:hAnsi="David"/>
          <w:b/>
          <w:bCs/>
          <w:color w:val="000000"/>
          <w:rtl/>
        </w:rPr>
        <w:t>מדינת ישראל נ' יוסף דלאל</w:t>
      </w:r>
      <w:r>
        <w:rPr>
          <w:rFonts w:ascii="David" w:hAnsi="David"/>
          <w:color w:val="000000"/>
          <w:rtl/>
        </w:rPr>
        <w:t xml:space="preserve">, פסקה 22 (3.9.15).  </w:t>
      </w:r>
    </w:p>
    <w:p w14:paraId="114F8D2A" w14:textId="77777777" w:rsidR="00F66A34" w:rsidRDefault="00F66A34" w:rsidP="00F66A34">
      <w:pPr>
        <w:shd w:val="clear" w:color="auto" w:fill="FFFFFF"/>
        <w:spacing w:after="120"/>
        <w:contextualSpacing/>
        <w:jc w:val="both"/>
        <w:rPr>
          <w:rFonts w:ascii="David" w:hAnsi="David"/>
          <w:color w:val="000000"/>
          <w:rtl/>
        </w:rPr>
      </w:pPr>
    </w:p>
    <w:p w14:paraId="33E739D5"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אלה הם המבחנים אותם יש ליישם בגמישות שכן: "</w:t>
      </w:r>
      <w:r>
        <w:rPr>
          <w:rFonts w:ascii="David" w:hAnsi="David"/>
          <w:b/>
          <w:bCs/>
          <w:color w:val="000000"/>
          <w:rtl/>
        </w:rPr>
        <w:t>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w:t>
      </w:r>
      <w:r>
        <w:rPr>
          <w:rFonts w:ascii="David" w:hAnsi="David"/>
          <w:color w:val="000000"/>
          <w:rtl/>
        </w:rPr>
        <w:t xml:space="preserve">", (בפסקה 2 לחו"ד השופט ע' פוגלמן בעניין </w:t>
      </w:r>
      <w:r>
        <w:rPr>
          <w:rFonts w:ascii="David" w:hAnsi="David"/>
          <w:b/>
          <w:bCs/>
          <w:color w:val="000000"/>
          <w:rtl/>
        </w:rPr>
        <w:t>ג'באר</w:t>
      </w:r>
      <w:r>
        <w:rPr>
          <w:rFonts w:ascii="David" w:hAnsi="David"/>
          <w:color w:val="000000"/>
          <w:rtl/>
        </w:rPr>
        <w:t>), כן נקבע כי "</w:t>
      </w:r>
      <w:r>
        <w:rPr>
          <w:rFonts w:ascii="David" w:hAnsi="David"/>
          <w:b/>
          <w:bCs/>
          <w:color w:val="000000"/>
          <w:rtl/>
        </w:rPr>
        <w:t>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קביעת מתחמי עונש שלא לצורך עלולה במקרים מסויימים להביא להעלאת רף הענישה באופן שאינו ראוי, על-ידי פריטה לפרוטות של הרכיבים העונשיים בעניינו של הנאשם ויצירת תחושה לא נוחה של 'התחשבנות' עמו, העצמה של חומרת מעשיו מעבר למתחייב וחריצת דינו בדרך מלאכותית</w:t>
      </w:r>
      <w:r>
        <w:rPr>
          <w:rFonts w:ascii="David" w:hAnsi="David"/>
          <w:color w:val="000000"/>
          <w:rtl/>
        </w:rPr>
        <w:t>" (</w:t>
      </w:r>
      <w:hyperlink r:id="rId29" w:history="1">
        <w:r w:rsidR="00BF46FA" w:rsidRPr="00BF46FA">
          <w:rPr>
            <w:rFonts w:ascii="David" w:hAnsi="David"/>
            <w:color w:val="0000FF"/>
            <w:u w:val="single"/>
            <w:rtl/>
          </w:rPr>
          <w:t>ע"פ 5643/14</w:t>
        </w:r>
      </w:hyperlink>
      <w:r>
        <w:rPr>
          <w:rFonts w:ascii="David" w:hAnsi="David"/>
          <w:color w:val="000000"/>
          <w:rtl/>
        </w:rPr>
        <w:t xml:space="preserve"> </w:t>
      </w:r>
      <w:r>
        <w:rPr>
          <w:rFonts w:ascii="David" w:hAnsi="David"/>
          <w:b/>
          <w:bCs/>
          <w:color w:val="000000"/>
          <w:rtl/>
        </w:rPr>
        <w:t>עיסא נ' מדינת ישראל</w:t>
      </w:r>
      <w:r>
        <w:rPr>
          <w:rFonts w:ascii="David" w:hAnsi="David"/>
          <w:color w:val="000000"/>
          <w:rtl/>
        </w:rPr>
        <w:t>, פסקה 11 (23.6.2015).</w:t>
      </w:r>
    </w:p>
    <w:p w14:paraId="48A27559" w14:textId="77777777" w:rsidR="00F66A34" w:rsidRDefault="00F66A34" w:rsidP="00F66A34">
      <w:pPr>
        <w:shd w:val="clear" w:color="auto" w:fill="FFFFFF"/>
        <w:spacing w:after="120" w:line="360" w:lineRule="auto"/>
        <w:ind w:left="360"/>
        <w:contextualSpacing/>
        <w:jc w:val="both"/>
        <w:rPr>
          <w:rFonts w:ascii="David" w:hAnsi="David"/>
          <w:color w:val="000000"/>
        </w:rPr>
      </w:pPr>
    </w:p>
    <w:p w14:paraId="1B7CB06D"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Pr>
      </w:pPr>
      <w:r>
        <w:rPr>
          <w:rFonts w:ascii="David" w:hAnsi="David"/>
          <w:color w:val="000000"/>
          <w:rtl/>
        </w:rPr>
        <w:t>שעה שעסקינן במבחן רחב, מהשקולים של יעילות ההליך וכאשר ריבוי המתחמים לא משליך ולא משנה את התוצאה גם לא קביעתו של העונש ההולם (</w:t>
      </w:r>
      <w:hyperlink r:id="rId30" w:history="1">
        <w:r w:rsidR="00BF46FA" w:rsidRPr="00BF46FA">
          <w:rPr>
            <w:rFonts w:ascii="David" w:hAnsi="David"/>
            <w:color w:val="0000FF"/>
            <w:u w:val="single"/>
            <w:rtl/>
          </w:rPr>
          <w:t>ע"פ 5668/13</w:t>
        </w:r>
      </w:hyperlink>
      <w:r>
        <w:rPr>
          <w:rFonts w:ascii="David" w:hAnsi="David"/>
          <w:color w:val="000000"/>
          <w:rtl/>
        </w:rPr>
        <w:t xml:space="preserve"> </w:t>
      </w:r>
      <w:r>
        <w:rPr>
          <w:rFonts w:ascii="David" w:hAnsi="David" w:hint="cs"/>
          <w:b/>
          <w:bCs/>
          <w:color w:val="000000"/>
          <w:rtl/>
        </w:rPr>
        <w:t>מזרחי נ' מדינת ישראל</w:t>
      </w:r>
      <w:r>
        <w:rPr>
          <w:rFonts w:ascii="David" w:hAnsi="David" w:hint="cs"/>
          <w:color w:val="000000"/>
          <w:rtl/>
        </w:rPr>
        <w:t>, פסקה 2 לחו"ד השופטת נאור (17.3.2016) - המגמה בפסיקה מלמדת על יישום גמיש המאפשר כינוסם של עבירות ומעשים רבים אף אם נעשו כנגד מספר רב של קורבנות ובריחוק זמן ומקום תחת קורת הגג של אירוע אחד, כל עוד ניתן להשקיף על ההתרחשויות כמסכת עבריינית אחת או כאלה שקיימת ביניהן זיקה עניינית</w:t>
      </w:r>
      <w:r>
        <w:rPr>
          <w:rFonts w:ascii="Calibri" w:eastAsia="Calibri" w:hAnsi="Calibri" w:cs="Arial"/>
          <w:rtl/>
        </w:rPr>
        <w:t>(</w:t>
      </w:r>
      <w:hyperlink r:id="rId31" w:history="1">
        <w:r w:rsidR="00BF46FA" w:rsidRPr="00BF46FA">
          <w:rPr>
            <w:rFonts w:ascii="David" w:hAnsi="David"/>
            <w:color w:val="0000FF"/>
            <w:u w:val="single"/>
            <w:rtl/>
          </w:rPr>
          <w:t>ע"פ 4527/14</w:t>
        </w:r>
      </w:hyperlink>
      <w:r>
        <w:rPr>
          <w:rFonts w:ascii="David" w:hAnsi="David"/>
          <w:color w:val="000000"/>
          <w:rtl/>
        </w:rPr>
        <w:t xml:space="preserve"> </w:t>
      </w:r>
      <w:r>
        <w:rPr>
          <w:rFonts w:ascii="David" w:hAnsi="David"/>
          <w:b/>
          <w:bCs/>
          <w:color w:val="000000"/>
          <w:rtl/>
        </w:rPr>
        <w:t>שרונה שמעוני פרינץ נ' מדינת ישראל</w:t>
      </w:r>
      <w:r>
        <w:rPr>
          <w:rFonts w:ascii="David" w:hAnsi="David"/>
          <w:color w:val="000000"/>
          <w:rtl/>
        </w:rPr>
        <w:t>, פסקה 10 והאסמכתאות שם (23.03.16)).</w:t>
      </w:r>
    </w:p>
    <w:p w14:paraId="1988F7F4" w14:textId="77777777" w:rsidR="00F66A34" w:rsidRDefault="00F66A34" w:rsidP="00F66A34">
      <w:pPr>
        <w:shd w:val="clear" w:color="auto" w:fill="FFFFFF"/>
        <w:spacing w:after="120" w:line="360" w:lineRule="auto"/>
        <w:contextualSpacing/>
        <w:jc w:val="both"/>
        <w:rPr>
          <w:rFonts w:ascii="David" w:hAnsi="David"/>
          <w:color w:val="000000"/>
          <w:rtl/>
        </w:rPr>
      </w:pPr>
    </w:p>
    <w:p w14:paraId="369D0184"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לעניין האישומים 3-1 אני סבור כי המדובר באירוע אחד זאת לנוכח המניע המשותף שעמד ביסודם והוא השגתו של כסף קל למימון התמכרותו הנאשם לסמים, דפוס הפעולה הדומה, התכנון והשיטה בניצול חולשתם של הקורבנות  וגם סמיכות הזמן והעובדה שהמעשים התרחשו במקום גיאוגרפי צר (שכונת הדר בחיפה). נראה כי המדובר במסכת עבריינית אחת אשר המעשים שבגדרה התרחשו בזה אחר זה, תוך שימוש באלימות ובחירה של קורבנות שיתקשו להגיב נוכח גילם המתקדם.</w:t>
      </w:r>
    </w:p>
    <w:p w14:paraId="404FEF6F" w14:textId="77777777" w:rsidR="00F66A34" w:rsidRDefault="00F66A34" w:rsidP="00F66A34">
      <w:pPr>
        <w:shd w:val="clear" w:color="auto" w:fill="FFFFFF"/>
        <w:spacing w:after="120" w:line="360" w:lineRule="auto"/>
        <w:ind w:left="360"/>
        <w:contextualSpacing/>
        <w:jc w:val="both"/>
        <w:rPr>
          <w:rFonts w:ascii="David" w:hAnsi="David"/>
          <w:color w:val="000000"/>
        </w:rPr>
      </w:pPr>
    </w:p>
    <w:p w14:paraId="55A13DEE" w14:textId="77777777" w:rsidR="00F66A34" w:rsidRDefault="00F66A34" w:rsidP="00F66A34">
      <w:pPr>
        <w:shd w:val="clear" w:color="auto" w:fill="FFFFFF"/>
        <w:spacing w:after="120" w:line="360" w:lineRule="auto"/>
        <w:ind w:left="360"/>
        <w:contextualSpacing/>
        <w:jc w:val="both"/>
        <w:rPr>
          <w:rFonts w:ascii="David" w:hAnsi="David"/>
          <w:color w:val="000000"/>
        </w:rPr>
      </w:pPr>
      <w:r>
        <w:rPr>
          <w:rFonts w:ascii="David" w:hAnsi="David"/>
          <w:color w:val="000000"/>
          <w:rtl/>
        </w:rPr>
        <w:t>הדבר הינו נכון לעניין האישום הרביעי, שכן כפי שציינתי התמכרותו של הנאשם לסם היא שהביאה לביצוע אותם המעשים, וסביר להניח כי הסם שנמצא בכיסו נרכש מהשלל שהנאשם השיג מביצוען של עבירות השוד והגניבה.</w:t>
      </w:r>
    </w:p>
    <w:p w14:paraId="25D1ADAD" w14:textId="77777777" w:rsidR="00F66A34" w:rsidRDefault="00F66A34" w:rsidP="00F66A34">
      <w:pPr>
        <w:shd w:val="clear" w:color="auto" w:fill="FFFFFF"/>
        <w:spacing w:after="120" w:line="360" w:lineRule="auto"/>
        <w:ind w:left="360"/>
        <w:contextualSpacing/>
        <w:jc w:val="both"/>
        <w:rPr>
          <w:rFonts w:ascii="David" w:hAnsi="David"/>
          <w:color w:val="000000"/>
          <w:rtl/>
        </w:rPr>
      </w:pPr>
    </w:p>
    <w:p w14:paraId="780093FF"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עבירת השוד, כמו הגם התקיפה כדי לגנוב והגניבה, הן עבירות חמורות, שכורכות בתוכן איום על הסדר החברתי, כמו גם על הביטחון האישי של כל אחד מיחידי החברה (</w:t>
      </w:r>
      <w:hyperlink r:id="rId32" w:history="1">
        <w:r w:rsidR="00BF46FA" w:rsidRPr="00BF46FA">
          <w:rPr>
            <w:rFonts w:ascii="David" w:hAnsi="David"/>
            <w:color w:val="0000FF"/>
            <w:u w:val="single"/>
            <w:rtl/>
          </w:rPr>
          <w:t>ע"פ 6339/12</w:t>
        </w:r>
      </w:hyperlink>
      <w:r>
        <w:rPr>
          <w:rFonts w:ascii="David" w:hAnsi="David"/>
          <w:color w:val="000000"/>
          <w:rtl/>
        </w:rPr>
        <w:t xml:space="preserve"> </w:t>
      </w:r>
      <w:r>
        <w:rPr>
          <w:rFonts w:ascii="David" w:hAnsi="David"/>
          <w:b/>
          <w:bCs/>
          <w:color w:val="000000"/>
          <w:rtl/>
        </w:rPr>
        <w:t>פלוני נ' מדינת ישראל</w:t>
      </w:r>
      <w:r>
        <w:rPr>
          <w:rFonts w:ascii="David" w:hAnsi="David"/>
          <w:color w:val="000000"/>
          <w:rtl/>
        </w:rPr>
        <w:t xml:space="preserve"> (21.4.2013)). עבירות אלו פוגעות בשלוותם של הקורבנות ומאיימות גם על הכלל ועל כל אדם, לא כן שכן  הנתפס כחלש ובלתי מוגן, אשר הופך להיות יעד לפגיעה (</w:t>
      </w:r>
      <w:hyperlink r:id="rId33" w:history="1">
        <w:r w:rsidR="00BF46FA" w:rsidRPr="00BF46FA">
          <w:rPr>
            <w:rFonts w:ascii="David" w:hAnsi="David"/>
            <w:color w:val="0000FF"/>
            <w:u w:val="single"/>
            <w:rtl/>
          </w:rPr>
          <w:t>ע"פ 49/13</w:t>
        </w:r>
      </w:hyperlink>
      <w:r>
        <w:rPr>
          <w:rFonts w:ascii="David" w:hAnsi="David"/>
          <w:color w:val="000000"/>
          <w:rtl/>
        </w:rPr>
        <w:t xml:space="preserve"> </w:t>
      </w:r>
      <w:r>
        <w:rPr>
          <w:rFonts w:ascii="David" w:hAnsi="David"/>
          <w:b/>
          <w:bCs/>
          <w:color w:val="000000"/>
          <w:rtl/>
        </w:rPr>
        <w:t>פלוני נ' מדינת ישראל</w:t>
      </w:r>
      <w:r>
        <w:rPr>
          <w:rFonts w:ascii="David" w:hAnsi="David"/>
          <w:color w:val="000000"/>
          <w:rtl/>
        </w:rPr>
        <w:t>, פסקה 13 (26.02.2014)).</w:t>
      </w:r>
    </w:p>
    <w:p w14:paraId="493A88C9" w14:textId="77777777" w:rsidR="00F66A34" w:rsidRDefault="00F66A34" w:rsidP="00F66A34">
      <w:pPr>
        <w:spacing w:line="252" w:lineRule="auto"/>
        <w:ind w:left="720"/>
        <w:contextualSpacing/>
        <w:rPr>
          <w:rFonts w:ascii="David" w:hAnsi="David"/>
          <w:color w:val="000000"/>
        </w:rPr>
      </w:pPr>
    </w:p>
    <w:p w14:paraId="659E5744" w14:textId="77777777" w:rsidR="00F66A34" w:rsidRDefault="00F66A34" w:rsidP="00F66A34">
      <w:pPr>
        <w:shd w:val="clear" w:color="auto" w:fill="FFFFFF"/>
        <w:spacing w:after="120" w:line="360" w:lineRule="auto"/>
        <w:ind w:left="360"/>
        <w:contextualSpacing/>
        <w:jc w:val="both"/>
        <w:rPr>
          <w:rFonts w:ascii="David" w:hAnsi="David"/>
          <w:color w:val="000000"/>
          <w:rtl/>
        </w:rPr>
      </w:pPr>
      <w:r>
        <w:rPr>
          <w:rFonts w:ascii="David" w:eastAsia="Calibri" w:hAnsi="David"/>
          <w:color w:val="000000"/>
          <w:shd w:val="clear" w:color="auto" w:fill="FFFFFF"/>
          <w:rtl/>
        </w:rPr>
        <w:t xml:space="preserve">הערכים החברתיים המוגנים שנפגעו כתוצאה ממעשי הנאשם הם הזכות לביטחון אישי; ההגנה על שלום הציבור </w:t>
      </w:r>
      <w:r>
        <w:rPr>
          <w:rFonts w:ascii="David" w:eastAsia="Calibri" w:hAnsi="David" w:hint="cs"/>
          <w:color w:val="000000"/>
          <w:shd w:val="clear" w:color="auto" w:fill="FFFFFF"/>
          <w:rtl/>
        </w:rPr>
        <w:t>ובפרט</w:t>
      </w:r>
      <w:r>
        <w:rPr>
          <w:rFonts w:ascii="David" w:eastAsia="Calibri" w:hAnsi="David"/>
          <w:color w:val="000000"/>
          <w:shd w:val="clear" w:color="auto" w:fill="FFFFFF"/>
          <w:rtl/>
        </w:rPr>
        <w:t xml:space="preserve"> על תחושת הביטחון של הולכי רגל תמימים ונהגי מוניות העובדים לפרנסתם במונית בה מבוצעת עבירת השוד, ובנוסף גם הזכות להגנה על הקניין. </w:t>
      </w:r>
    </w:p>
    <w:p w14:paraId="0686BA27" w14:textId="77777777" w:rsidR="00F66A34" w:rsidRDefault="00F66A34" w:rsidP="00F66A34">
      <w:pPr>
        <w:spacing w:line="252" w:lineRule="auto"/>
        <w:ind w:left="720"/>
        <w:contextualSpacing/>
        <w:rPr>
          <w:rFonts w:ascii="David" w:hAnsi="David"/>
          <w:color w:val="000000"/>
        </w:rPr>
      </w:pPr>
    </w:p>
    <w:p w14:paraId="79A0139A"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כפי שנקבע רבות בפסיקה, נהגי מוניות הפכו בשנים האחרונות ל"טרף קל" לביצוע עבירות השוד, כאשר כל רצונם של המבצעים הוא השגת כסף קל (</w:t>
      </w:r>
      <w:hyperlink r:id="rId34" w:history="1">
        <w:r w:rsidR="00BF46FA" w:rsidRPr="00BF46FA">
          <w:rPr>
            <w:rFonts w:ascii="David" w:hAnsi="David"/>
            <w:color w:val="0000FF"/>
            <w:u w:val="single"/>
            <w:rtl/>
          </w:rPr>
          <w:t>ע"פ 1698/16</w:t>
        </w:r>
      </w:hyperlink>
      <w:r>
        <w:rPr>
          <w:rFonts w:ascii="David" w:hAnsi="David"/>
          <w:color w:val="000000"/>
          <w:rtl/>
        </w:rPr>
        <w:t xml:space="preserve"> </w:t>
      </w:r>
      <w:r>
        <w:rPr>
          <w:rFonts w:ascii="David" w:hAnsi="David"/>
          <w:b/>
          <w:bCs/>
          <w:color w:val="000000"/>
          <w:rtl/>
        </w:rPr>
        <w:t>יוהנס דמלאו נ' מדינת ישראל</w:t>
      </w:r>
      <w:r>
        <w:rPr>
          <w:rFonts w:ascii="David" w:hAnsi="David"/>
          <w:color w:val="000000"/>
          <w:rtl/>
        </w:rPr>
        <w:t xml:space="preserve"> (08.11.2016)). בית המשפט העליון נתן את דעתו לא אחת לחומרת עבירת השוד כלפי נהגי מוניות הנותנים שירות לציבור גם בשעות לילה מאוחרות כשהם פגיעים וחשופים לאלימות קשה. בהקשר זה נקבע, כי יש להיאבק בתופעת השוד של נהגי מוניות באמצעות החמרת הענישה (</w:t>
      </w:r>
      <w:hyperlink r:id="rId35" w:history="1">
        <w:r w:rsidR="00BF46FA" w:rsidRPr="00BF46FA">
          <w:rPr>
            <w:rFonts w:ascii="David" w:hAnsi="David"/>
            <w:color w:val="0000FF"/>
            <w:u w:val="single"/>
            <w:rtl/>
          </w:rPr>
          <w:t>ע"פ 1885/07</w:t>
        </w:r>
      </w:hyperlink>
      <w:r>
        <w:rPr>
          <w:rFonts w:ascii="David" w:hAnsi="David"/>
          <w:color w:val="000000"/>
          <w:rtl/>
        </w:rPr>
        <w:t xml:space="preserve"> </w:t>
      </w:r>
      <w:r>
        <w:rPr>
          <w:rFonts w:ascii="David" w:hAnsi="David"/>
          <w:b/>
          <w:bCs/>
          <w:color w:val="000000"/>
          <w:rtl/>
        </w:rPr>
        <w:t>נאיף נ' מדינת ישראל</w:t>
      </w:r>
      <w:r>
        <w:rPr>
          <w:rFonts w:ascii="David" w:hAnsi="David"/>
          <w:color w:val="000000"/>
          <w:rtl/>
        </w:rPr>
        <w:t xml:space="preserve"> (1.7.2008)).</w:t>
      </w:r>
    </w:p>
    <w:p w14:paraId="0D1CE5F2" w14:textId="77777777" w:rsidR="00F66A34" w:rsidRDefault="00F66A34" w:rsidP="00F66A34">
      <w:pPr>
        <w:spacing w:line="252" w:lineRule="auto"/>
        <w:ind w:left="360"/>
        <w:contextualSpacing/>
        <w:rPr>
          <w:rFonts w:ascii="David" w:hAnsi="David"/>
          <w:color w:val="000000"/>
        </w:rPr>
      </w:pPr>
    </w:p>
    <w:p w14:paraId="28AE3714"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 xml:space="preserve">עבירות השוד מסיבות לנהגי המוניות פגיעה קשה מבחינה כלכלית ובעיקר פגיעה נפשית נוכח </w:t>
      </w:r>
      <w:r>
        <w:rPr>
          <w:rFonts w:ascii="David" w:eastAsia="Calibri" w:hAnsi="David"/>
          <w:color w:val="000000"/>
          <w:shd w:val="clear" w:color="auto" w:fill="FFFFFF"/>
          <w:rtl/>
        </w:rPr>
        <w:t>הפחד והאימה בעת ביצוע השוד</w:t>
      </w:r>
      <w:r>
        <w:rPr>
          <w:rFonts w:ascii="David" w:hAnsi="David"/>
          <w:color w:val="000000"/>
          <w:rtl/>
        </w:rPr>
        <w:t xml:space="preserve">, כאשר החוויה הטראומתית עלולה ללוות אותם תקופה ארוכה. </w:t>
      </w:r>
      <w:r>
        <w:rPr>
          <w:rFonts w:ascii="David" w:eastAsia="Calibri" w:hAnsi="David"/>
          <w:color w:val="000000"/>
          <w:shd w:val="clear" w:color="auto" w:fill="FFFFFF"/>
          <w:rtl/>
        </w:rPr>
        <w:t xml:space="preserve">בעניין זה נקבע, כי </w:t>
      </w:r>
      <w:r>
        <w:rPr>
          <w:rFonts w:ascii="David" w:hAnsi="David"/>
          <w:color w:val="000000"/>
          <w:rtl/>
        </w:rPr>
        <w:t>תחושת האימה וחוסר האונים שבהם שרוי קורבן עבירת השוד, מותירים בו לא אחת צלקות נפשיות חמורות ולתקופה ארוכה. העבירות אף פוגעות בכלל נהגי המוניות, ומערערות את ביטחונם העצמי (</w:t>
      </w:r>
      <w:hyperlink r:id="rId36" w:history="1">
        <w:r w:rsidR="00BF46FA" w:rsidRPr="00BF46FA">
          <w:rPr>
            <w:rFonts w:ascii="David" w:hAnsi="David"/>
            <w:color w:val="0000FF"/>
            <w:u w:val="single"/>
            <w:rtl/>
          </w:rPr>
          <w:t>ע"פ 10828/04</w:t>
        </w:r>
      </w:hyperlink>
      <w:r>
        <w:rPr>
          <w:rFonts w:ascii="David" w:hAnsi="David"/>
          <w:color w:val="000000"/>
          <w:rtl/>
        </w:rPr>
        <w:t xml:space="preserve"> </w:t>
      </w:r>
      <w:r>
        <w:rPr>
          <w:rFonts w:ascii="David" w:hAnsi="David"/>
          <w:b/>
          <w:bCs/>
          <w:color w:val="000000"/>
          <w:rtl/>
        </w:rPr>
        <w:t>אלטורי נ' מדינת ישראל</w:t>
      </w:r>
      <w:r>
        <w:rPr>
          <w:rFonts w:ascii="David" w:hAnsi="David"/>
          <w:color w:val="000000"/>
          <w:rtl/>
        </w:rPr>
        <w:t xml:space="preserve">, פסקה ו' (16.6.2005); ראו גם: </w:t>
      </w:r>
      <w:hyperlink r:id="rId37" w:history="1">
        <w:r w:rsidR="00BF46FA" w:rsidRPr="00BF46FA">
          <w:rPr>
            <w:rFonts w:ascii="David" w:hAnsi="David"/>
            <w:color w:val="0000FF"/>
            <w:u w:val="single"/>
            <w:rtl/>
          </w:rPr>
          <w:t>ע"פ 3312/12</w:t>
        </w:r>
      </w:hyperlink>
      <w:r>
        <w:rPr>
          <w:rFonts w:ascii="David" w:hAnsi="David"/>
          <w:color w:val="000000"/>
          <w:rtl/>
        </w:rPr>
        <w:t xml:space="preserve"> </w:t>
      </w:r>
      <w:r>
        <w:rPr>
          <w:rFonts w:ascii="David" w:hAnsi="David"/>
          <w:b/>
          <w:bCs/>
          <w:color w:val="000000"/>
          <w:rtl/>
        </w:rPr>
        <w:t>פלוני נ' מדינת ישראל</w:t>
      </w:r>
      <w:r>
        <w:rPr>
          <w:rFonts w:ascii="David" w:hAnsi="David"/>
          <w:color w:val="000000"/>
          <w:rtl/>
        </w:rPr>
        <w:t xml:space="preserve"> (2.4.2013); </w:t>
      </w:r>
      <w:hyperlink r:id="rId38" w:history="1">
        <w:r w:rsidR="00BF46FA" w:rsidRPr="00BF46FA">
          <w:rPr>
            <w:rFonts w:ascii="David" w:hAnsi="David"/>
            <w:color w:val="0000FF"/>
            <w:u w:val="single"/>
            <w:rtl/>
          </w:rPr>
          <w:t>ע"פ 4178/12</w:t>
        </w:r>
      </w:hyperlink>
      <w:r>
        <w:rPr>
          <w:rFonts w:ascii="David" w:hAnsi="David"/>
          <w:color w:val="000000"/>
          <w:rtl/>
        </w:rPr>
        <w:t xml:space="preserve"> </w:t>
      </w:r>
      <w:r>
        <w:rPr>
          <w:rFonts w:ascii="David" w:hAnsi="David"/>
          <w:b/>
          <w:bCs/>
          <w:color w:val="000000"/>
          <w:rtl/>
        </w:rPr>
        <w:t>עוינה נ' מדינת ישראל</w:t>
      </w:r>
      <w:r>
        <w:rPr>
          <w:rFonts w:ascii="David" w:hAnsi="David"/>
          <w:color w:val="000000"/>
          <w:rtl/>
        </w:rPr>
        <w:t xml:space="preserve"> (9.7.2013)).</w:t>
      </w:r>
    </w:p>
    <w:p w14:paraId="3E83BCA7" w14:textId="77777777" w:rsidR="00F66A34" w:rsidRDefault="00F66A34" w:rsidP="00F66A34">
      <w:pPr>
        <w:shd w:val="clear" w:color="auto" w:fill="FFFFFF"/>
        <w:spacing w:after="120"/>
        <w:ind w:left="360"/>
        <w:contextualSpacing/>
        <w:jc w:val="both"/>
        <w:rPr>
          <w:rFonts w:ascii="David" w:hAnsi="David"/>
          <w:color w:val="000000"/>
          <w:rtl/>
        </w:rPr>
      </w:pPr>
    </w:p>
    <w:p w14:paraId="5EE929F5"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באשר לעבירות התקיפה והגניבה שביצע הנאשם באישום הראשון, בתי המשפט מייחסים חומרה יתרה לביצוע עבירות המכוונות כנגד קשישים: "</w:t>
      </w:r>
      <w:r>
        <w:rPr>
          <w:rFonts w:ascii="David" w:hAnsi="David"/>
          <w:b/>
          <w:bCs/>
          <w:color w:val="000000"/>
          <w:rtl/>
        </w:rPr>
        <w:t>שוד או גניבה מקשיש ומחסר ישע, נתפס כמעשה שיש בו כיעור מוסרי גדול יותר מעבירה 'רגילה' של שוד או גניבה, בהיותו הפרה של הציווי 'והדרת פני זקן' הנתפס כמעין חוק טבע בכל חברה אנושית. העבירה של שוד קשישים היא מעשה נקלה ובזוי במיוחד, גם בקוד העברייני, ולא בכדי היא נחשבת לעבירה הנמצאת בתחתית 'שרשרת המזון' של העבירות ושל העבריינים</w:t>
      </w:r>
      <w:r>
        <w:rPr>
          <w:rFonts w:ascii="David" w:hAnsi="David"/>
          <w:color w:val="000000"/>
          <w:rtl/>
        </w:rPr>
        <w:t>" (</w:t>
      </w:r>
      <w:hyperlink r:id="rId39" w:history="1">
        <w:r w:rsidR="00BF46FA" w:rsidRPr="00BF46FA">
          <w:rPr>
            <w:rFonts w:ascii="David" w:hAnsi="David"/>
            <w:color w:val="0000FF"/>
            <w:u w:val="single"/>
            <w:rtl/>
          </w:rPr>
          <w:t>ע"פ 1864/11</w:t>
        </w:r>
      </w:hyperlink>
      <w:r>
        <w:rPr>
          <w:rFonts w:ascii="David" w:hAnsi="David"/>
          <w:color w:val="000000"/>
          <w:rtl/>
        </w:rPr>
        <w:t xml:space="preserve"> </w:t>
      </w:r>
      <w:r>
        <w:rPr>
          <w:rFonts w:ascii="David" w:hAnsi="David"/>
          <w:b/>
          <w:bCs/>
          <w:color w:val="000000"/>
          <w:rtl/>
        </w:rPr>
        <w:t>דוידוב נ' מדינת ישראל</w:t>
      </w:r>
      <w:r>
        <w:rPr>
          <w:rFonts w:ascii="David" w:hAnsi="David"/>
          <w:color w:val="000000"/>
          <w:rtl/>
        </w:rPr>
        <w:t>, פסקה 7 (7.11.2012)).</w:t>
      </w:r>
    </w:p>
    <w:p w14:paraId="31FB8D4C" w14:textId="77777777" w:rsidR="00F66A34" w:rsidRDefault="00F66A34" w:rsidP="00F66A34">
      <w:pPr>
        <w:shd w:val="clear" w:color="auto" w:fill="FFFFFF"/>
        <w:spacing w:after="120"/>
        <w:ind w:left="360"/>
        <w:contextualSpacing/>
        <w:jc w:val="both"/>
        <w:rPr>
          <w:rFonts w:ascii="David" w:hAnsi="David"/>
          <w:color w:val="000000"/>
        </w:rPr>
      </w:pPr>
    </w:p>
    <w:p w14:paraId="1A6868AA" w14:textId="77777777" w:rsidR="00F66A34" w:rsidRDefault="00F66A34" w:rsidP="00F66A34">
      <w:pPr>
        <w:shd w:val="clear" w:color="auto" w:fill="FFFFFF"/>
        <w:spacing w:after="120" w:line="360" w:lineRule="auto"/>
        <w:ind w:left="360"/>
        <w:contextualSpacing/>
        <w:jc w:val="both"/>
        <w:rPr>
          <w:rFonts w:ascii="David" w:hAnsi="David"/>
          <w:color w:val="000000"/>
          <w:rtl/>
        </w:rPr>
      </w:pPr>
      <w:r>
        <w:rPr>
          <w:rFonts w:ascii="David" w:hAnsi="David"/>
          <w:color w:val="000000"/>
          <w:rtl/>
        </w:rPr>
        <w:t>בית המשפט העליון מדגיש את חשיבות ההרתעה והגמול ביחס לעבריינים הפושעים נגד קשישים ורואה בענישה המחמירה בנושאים אלו את תרומתו להגנה על קשישים כדי להבטיח כי קורבנות אלו לא יהפכו יעד קל י למעשי בריונות (</w:t>
      </w:r>
      <w:hyperlink r:id="rId40" w:history="1">
        <w:r w:rsidR="00BF46FA" w:rsidRPr="00BF46FA">
          <w:rPr>
            <w:rFonts w:ascii="David" w:hAnsi="David"/>
            <w:color w:val="0000FF"/>
            <w:u w:val="single"/>
            <w:rtl/>
          </w:rPr>
          <w:t>ע"פ 7961/07</w:t>
        </w:r>
      </w:hyperlink>
      <w:r>
        <w:rPr>
          <w:rFonts w:ascii="David" w:hAnsi="David"/>
          <w:color w:val="000000"/>
          <w:rtl/>
        </w:rPr>
        <w:t xml:space="preserve"> </w:t>
      </w:r>
      <w:r>
        <w:rPr>
          <w:rFonts w:ascii="David" w:hAnsi="David"/>
          <w:b/>
          <w:bCs/>
          <w:color w:val="000000"/>
          <w:rtl/>
        </w:rPr>
        <w:t>מדינת ישראל נ' שכטר</w:t>
      </w:r>
      <w:r>
        <w:rPr>
          <w:rFonts w:ascii="David" w:hAnsi="David"/>
          <w:color w:val="000000"/>
          <w:rtl/>
        </w:rPr>
        <w:t xml:space="preserve">, פסקה 8 (19.3.2008); </w:t>
      </w:r>
      <w:hyperlink r:id="rId41" w:history="1">
        <w:r w:rsidR="00BF46FA" w:rsidRPr="00BF46FA">
          <w:rPr>
            <w:rFonts w:ascii="David" w:hAnsi="David"/>
            <w:color w:val="0000FF"/>
            <w:u w:val="single"/>
            <w:rtl/>
          </w:rPr>
          <w:t>ע"פ 1044/13</w:t>
        </w:r>
      </w:hyperlink>
      <w:r>
        <w:rPr>
          <w:rFonts w:ascii="David" w:hAnsi="David"/>
          <w:color w:val="000000"/>
          <w:rtl/>
        </w:rPr>
        <w:t xml:space="preserve"> </w:t>
      </w:r>
      <w:r>
        <w:rPr>
          <w:rFonts w:ascii="David" w:hAnsi="David"/>
          <w:b/>
          <w:bCs/>
          <w:color w:val="000000"/>
          <w:rtl/>
        </w:rPr>
        <w:t>ענאן זידאן נ' מדינת ישראל</w:t>
      </w:r>
      <w:r>
        <w:rPr>
          <w:rFonts w:ascii="David" w:hAnsi="David"/>
          <w:color w:val="000000"/>
          <w:rtl/>
        </w:rPr>
        <w:t>, פיסקה 19 (29.10.2013)).</w:t>
      </w:r>
    </w:p>
    <w:p w14:paraId="3284033F" w14:textId="77777777" w:rsidR="00F66A34" w:rsidRDefault="00F66A34" w:rsidP="00F66A34">
      <w:pPr>
        <w:shd w:val="clear" w:color="auto" w:fill="FFFFFF"/>
        <w:spacing w:after="120" w:line="360" w:lineRule="auto"/>
        <w:ind w:left="360"/>
        <w:contextualSpacing/>
        <w:jc w:val="both"/>
        <w:rPr>
          <w:rFonts w:ascii="David" w:hAnsi="David"/>
          <w:color w:val="000000"/>
          <w:rtl/>
        </w:rPr>
      </w:pPr>
    </w:p>
    <w:p w14:paraId="0D7D584A" w14:textId="77777777" w:rsidR="00F66A34" w:rsidRDefault="00F66A34" w:rsidP="00F66A34">
      <w:pPr>
        <w:numPr>
          <w:ilvl w:val="0"/>
          <w:numId w:val="1"/>
        </w:numPr>
        <w:shd w:val="clear" w:color="auto" w:fill="FFFFFF"/>
        <w:spacing w:line="360" w:lineRule="auto"/>
        <w:contextualSpacing/>
        <w:jc w:val="both"/>
        <w:rPr>
          <w:noProof/>
          <w:rtl/>
        </w:rPr>
      </w:pPr>
      <w:r>
        <w:rPr>
          <w:rFonts w:ascii="Arial" w:hAnsi="Arial"/>
          <w:rtl/>
        </w:rPr>
        <w:t xml:space="preserve">לכל אלה יש להוסיף את עבירת </w:t>
      </w:r>
      <w:r>
        <w:rPr>
          <w:noProof/>
          <w:rtl/>
        </w:rPr>
        <w:t>החזקת הסם המסוכן שלא לצריכה עצמית, החותרת תחת הערכים המוגנים של בריאות ואף בטחון הציבור. לא אחת נאמר כי נוסף לפגיעה הישירה הרי סם מסוכן הוא מחולל פשיעה והראיה היא הסתבכותו של הנאשם בעבירות השוד והגניבה בתיק זה , דבר המחייב הטלת ענישה מרתיעה (</w:t>
      </w:r>
      <w:hyperlink r:id="rId42" w:history="1">
        <w:r w:rsidR="00BF46FA" w:rsidRPr="00BF46FA">
          <w:rPr>
            <w:noProof/>
            <w:color w:val="0000FF"/>
            <w:u w:val="single"/>
            <w:rtl/>
          </w:rPr>
          <w:t>ע"פ 966/94</w:t>
        </w:r>
      </w:hyperlink>
      <w:r>
        <w:rPr>
          <w:noProof/>
          <w:rtl/>
        </w:rPr>
        <w:t xml:space="preserve"> </w:t>
      </w:r>
      <w:r>
        <w:rPr>
          <w:b/>
          <w:bCs/>
          <w:noProof/>
          <w:rtl/>
        </w:rPr>
        <w:t>אמזלג נ' מדינת ישראל</w:t>
      </w:r>
      <w:r>
        <w:rPr>
          <w:noProof/>
          <w:rtl/>
        </w:rPr>
        <w:t xml:space="preserve">, פסקה 7  (12.12.1995); ראו גם </w:t>
      </w:r>
      <w:hyperlink r:id="rId43" w:history="1">
        <w:r w:rsidR="00BF46FA" w:rsidRPr="00BF46FA">
          <w:rPr>
            <w:noProof/>
            <w:color w:val="0000FF"/>
            <w:u w:val="single"/>
            <w:rtl/>
          </w:rPr>
          <w:t>ע"פ 9482/09</w:t>
        </w:r>
      </w:hyperlink>
      <w:r>
        <w:rPr>
          <w:noProof/>
          <w:rtl/>
        </w:rPr>
        <w:t xml:space="preserve"> </w:t>
      </w:r>
      <w:r>
        <w:rPr>
          <w:b/>
          <w:bCs/>
          <w:noProof/>
          <w:rtl/>
        </w:rPr>
        <w:t>ביטון נ' מדינת ישראל</w:t>
      </w:r>
      <w:r>
        <w:rPr>
          <w:noProof/>
          <w:rtl/>
        </w:rPr>
        <w:t>, פסקה 24 (24.7.11)</w:t>
      </w:r>
    </w:p>
    <w:p w14:paraId="1CB0BE8A" w14:textId="77777777" w:rsidR="00F66A34" w:rsidRDefault="00F66A34" w:rsidP="00F66A34">
      <w:pPr>
        <w:shd w:val="clear" w:color="auto" w:fill="FFFFFF"/>
        <w:spacing w:after="120"/>
        <w:ind w:left="360"/>
        <w:contextualSpacing/>
        <w:jc w:val="both"/>
        <w:rPr>
          <w:rFonts w:ascii="David" w:hAnsi="David"/>
          <w:color w:val="000000"/>
        </w:rPr>
      </w:pPr>
    </w:p>
    <w:p w14:paraId="438A7BB0"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Pr>
      </w:pPr>
      <w:r>
        <w:rPr>
          <w:rFonts w:ascii="David" w:hAnsi="David"/>
          <w:color w:val="000000"/>
          <w:rtl/>
        </w:rPr>
        <w:t>באשר לנסיבות ביצוע עבירות שבאישומים 3-1, יש לתת את הדעת לתכנון שקדם לביצוע.  מתוך עובדות כתב האישום עולה כי לעבירות קדם תכנון, כאשר באישום הראשון עת הלכה המתלוננת ברחוב, הנאשם הפתיע אותה  עת הגיח מהצד, משך פעמיים בתיקה ולאחר מכן נכנס לבניין סמוך נטל את הארנק, השליך את התיק וברח; באישומים 2-3 הנאשם, כשהוא מצויד בסכין ויחד עם שותף עצר מונית, הוביל את הנהגים למקום בו ביצע את השוד כשהוא מאיים באמצעות הסכין על המתלוננים. התכנון בא לידי ביטוי מובהק בבחירת הנאשם לקורבנות חלשים ופגיעים שיתקשו מפאת גילם להתנגד ולהיאבק בנאשם ושותפו.</w:t>
      </w:r>
    </w:p>
    <w:p w14:paraId="32B7FAAF" w14:textId="77777777" w:rsidR="00F66A34" w:rsidRDefault="00F66A34" w:rsidP="00F66A34">
      <w:pPr>
        <w:shd w:val="clear" w:color="auto" w:fill="FFFFFF"/>
        <w:spacing w:after="120" w:line="360" w:lineRule="auto"/>
        <w:ind w:left="360"/>
        <w:contextualSpacing/>
        <w:jc w:val="both"/>
        <w:rPr>
          <w:rFonts w:ascii="David" w:hAnsi="David"/>
          <w:color w:val="000000"/>
        </w:rPr>
      </w:pPr>
    </w:p>
    <w:p w14:paraId="5718ED0E" w14:textId="77777777" w:rsidR="00F66A34" w:rsidRDefault="00F66A34" w:rsidP="00F66A34">
      <w:pPr>
        <w:shd w:val="clear" w:color="auto" w:fill="FFFFFF"/>
        <w:spacing w:after="120" w:line="360" w:lineRule="auto"/>
        <w:ind w:left="360"/>
        <w:contextualSpacing/>
        <w:jc w:val="both"/>
        <w:rPr>
          <w:rFonts w:ascii="David" w:hAnsi="David"/>
          <w:color w:val="000000"/>
          <w:rtl/>
        </w:rPr>
      </w:pPr>
      <w:r>
        <w:rPr>
          <w:rFonts w:ascii="David" w:hAnsi="David"/>
          <w:color w:val="000000"/>
          <w:rtl/>
        </w:rPr>
        <w:t>ועוד, בכל עבירה של שוד כמו גם התקיפה כדי לגנוב,  קיים פוטנציאל להסתבכות האירוע. באישום הראשון מדובר באישה בת 71, אשר בקלות יכל להיגרם לה נזק גופני כתוצאה מהמאבק עם הנאשם; כן באישום השני והשלישי, המתלוננים  בני 76 ו - 72 בהתאמה, ועל כן הנזק שהיה צפוי להיגרם, לרבות פגיעה בנפש או בגוף, הינו רב. על אף העובדה שבפועל הנאשם לא גרם לפגיעה פיזית קשה למתלוננים ולא נעשה שימוש בסכין לפציעת נהגי המונית,  נגרמו למתלוננים פגיעות גופניות ובעיקר נפשיות נוכח האימה שאחזה בהם ובפרט נוכח השימוש בסכין אשר העצים את הפחד שנבע ממעשה השוד עצמו עד כדי אפשרות לגרימת נזק נפשי מתמשך. לכך יש להוסיף את הנזק הכלכלי שנגרם למתלוננים, את בצע הכסף שעמד ביסוד מעשי הנאשם והעיקר הוא  בחירתו המוקפדת לקורבנות חלשים וחלקו המרכזי בביצוע חלק מהמעשים והבלעדי בביצוע המעשים האחרים.</w:t>
      </w:r>
    </w:p>
    <w:p w14:paraId="724B17FC" w14:textId="77777777" w:rsidR="00F66A34" w:rsidRDefault="00F66A34" w:rsidP="00F66A34">
      <w:pPr>
        <w:shd w:val="clear" w:color="auto" w:fill="FFFFFF"/>
        <w:spacing w:after="120"/>
        <w:ind w:left="360"/>
        <w:contextualSpacing/>
        <w:jc w:val="both"/>
        <w:rPr>
          <w:rFonts w:ascii="David" w:hAnsi="David"/>
          <w:color w:val="000000"/>
        </w:rPr>
      </w:pPr>
    </w:p>
    <w:p w14:paraId="45E41FF3" w14:textId="77777777" w:rsidR="00F66A34" w:rsidRDefault="00F66A34" w:rsidP="00F66A34">
      <w:pPr>
        <w:shd w:val="clear" w:color="auto" w:fill="FFFFFF"/>
        <w:spacing w:after="120" w:line="360" w:lineRule="auto"/>
        <w:ind w:left="360"/>
        <w:contextualSpacing/>
        <w:jc w:val="both"/>
        <w:rPr>
          <w:rFonts w:ascii="David" w:hAnsi="David"/>
          <w:color w:val="000000"/>
          <w:rtl/>
        </w:rPr>
      </w:pPr>
      <w:r>
        <w:rPr>
          <w:rFonts w:ascii="David" w:hAnsi="David"/>
          <w:color w:val="000000"/>
          <w:rtl/>
        </w:rPr>
        <w:t>הסיבות שהביאו את הנאשם לבצע את העבירות</w:t>
      </w:r>
      <w:r w:rsidR="00BF46FA">
        <w:rPr>
          <w:rFonts w:ascii="David" w:hAnsi="David"/>
          <w:b/>
          <w:bCs/>
          <w:color w:val="000000"/>
          <w:rtl/>
        </w:rPr>
        <w:t xml:space="preserve"> </w:t>
      </w:r>
      <w:r>
        <w:rPr>
          <w:rFonts w:ascii="David" w:hAnsi="David"/>
          <w:color w:val="000000"/>
          <w:rtl/>
        </w:rPr>
        <w:t>נעוצות לטענתו בהתמכרותו לסמים עקב בעיה רפואית ממנה סובל, והצורך בהשגת כסף לרכישת סמים; ואולם העניין הרפואי לא גובה כראוי, והמניע של השגת כסף קל לשם מימון התמכרות הנאשם לסמים לא נראית בעיניי כנסיבה מקלה.</w:t>
      </w:r>
    </w:p>
    <w:p w14:paraId="5BAA7B6D" w14:textId="77777777" w:rsidR="00F66A34" w:rsidRDefault="00F66A34" w:rsidP="00F66A34">
      <w:pPr>
        <w:shd w:val="clear" w:color="auto" w:fill="FFFFFF"/>
        <w:spacing w:after="120"/>
        <w:contextualSpacing/>
        <w:jc w:val="both"/>
        <w:rPr>
          <w:rFonts w:ascii="David" w:hAnsi="David"/>
          <w:color w:val="000000"/>
          <w:rtl/>
        </w:rPr>
      </w:pPr>
    </w:p>
    <w:p w14:paraId="364DEFBF"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באשר למדיניות הענישה הנהוגה, אפנה</w:t>
      </w:r>
      <w:r w:rsidR="00BF46FA">
        <w:rPr>
          <w:rFonts w:ascii="David" w:hAnsi="David"/>
          <w:color w:val="000000"/>
          <w:rtl/>
        </w:rPr>
        <w:t xml:space="preserve"> </w:t>
      </w:r>
      <w:r>
        <w:rPr>
          <w:rFonts w:ascii="David" w:hAnsi="David"/>
          <w:color w:val="000000"/>
          <w:rtl/>
        </w:rPr>
        <w:t>למקרים דומים בהם הוטלו על נאשמים עונשים כמפורט להלן:</w:t>
      </w:r>
    </w:p>
    <w:p w14:paraId="66F3427C" w14:textId="77777777" w:rsidR="00F66A34" w:rsidRDefault="00F66A34" w:rsidP="00F66A34">
      <w:pPr>
        <w:shd w:val="clear" w:color="auto" w:fill="FFFFFF"/>
        <w:spacing w:after="120"/>
        <w:ind w:left="720"/>
        <w:contextualSpacing/>
        <w:jc w:val="both"/>
        <w:rPr>
          <w:rFonts w:ascii="David" w:hAnsi="David"/>
          <w:color w:val="000000"/>
        </w:rPr>
      </w:pPr>
    </w:p>
    <w:p w14:paraId="1D4A6F8F" w14:textId="77777777" w:rsidR="00F66A34" w:rsidRDefault="00F66A34" w:rsidP="00F66A34">
      <w:pPr>
        <w:shd w:val="clear" w:color="auto" w:fill="FFFFFF"/>
        <w:spacing w:after="120"/>
        <w:ind w:left="720"/>
        <w:contextualSpacing/>
        <w:jc w:val="both"/>
        <w:rPr>
          <w:rFonts w:ascii="David" w:hAnsi="David"/>
          <w:color w:val="000000"/>
          <w:u w:val="single"/>
          <w:rtl/>
        </w:rPr>
      </w:pPr>
    </w:p>
    <w:p w14:paraId="4BA672A0" w14:textId="77777777" w:rsidR="00F66A34" w:rsidRDefault="00BF46FA" w:rsidP="00F66A34">
      <w:pPr>
        <w:numPr>
          <w:ilvl w:val="0"/>
          <w:numId w:val="2"/>
        </w:numPr>
        <w:shd w:val="clear" w:color="auto" w:fill="FFFFFF"/>
        <w:spacing w:after="120" w:line="360" w:lineRule="auto"/>
        <w:contextualSpacing/>
        <w:jc w:val="both"/>
        <w:rPr>
          <w:rFonts w:ascii="David" w:hAnsi="David"/>
          <w:color w:val="000000"/>
        </w:rPr>
      </w:pPr>
      <w:hyperlink r:id="rId44" w:history="1">
        <w:r w:rsidRPr="00BF46FA">
          <w:rPr>
            <w:rFonts w:ascii="David" w:hAnsi="David"/>
            <w:color w:val="0000FF"/>
            <w:u w:val="single"/>
            <w:rtl/>
          </w:rPr>
          <w:t>ע"פ 5603/17</w:t>
        </w:r>
      </w:hyperlink>
      <w:r w:rsidR="00F66A34">
        <w:rPr>
          <w:rFonts w:ascii="David" w:hAnsi="David"/>
          <w:color w:val="000000"/>
          <w:rtl/>
        </w:rPr>
        <w:t xml:space="preserve"> </w:t>
      </w:r>
      <w:r w:rsidR="00F66A34">
        <w:rPr>
          <w:rFonts w:ascii="David" w:hAnsi="David"/>
          <w:b/>
          <w:bCs/>
          <w:color w:val="000000"/>
          <w:rtl/>
        </w:rPr>
        <w:t>מיכולסקי נ' מדינת ישראל</w:t>
      </w:r>
      <w:r w:rsidR="00F66A34">
        <w:rPr>
          <w:rFonts w:ascii="David" w:hAnsi="David"/>
          <w:color w:val="000000"/>
          <w:rtl/>
        </w:rPr>
        <w:t xml:space="preserve"> (11.6.18) - נדחה ערעורו של נאשם אשר הורשע על יסוד הודאתו  בביצוע </w:t>
      </w:r>
      <w:r w:rsidR="00F66A34">
        <w:rPr>
          <w:rFonts w:ascii="David" w:hAnsi="David"/>
          <w:b/>
          <w:bCs/>
          <w:color w:val="000000"/>
          <w:rtl/>
        </w:rPr>
        <w:t>עבירות שוד</w:t>
      </w:r>
      <w:r w:rsidR="00F66A34">
        <w:rPr>
          <w:rFonts w:ascii="David" w:hAnsi="David"/>
          <w:color w:val="000000"/>
          <w:rtl/>
        </w:rPr>
        <w:t>, שימוש ברכב ללא רשות ונהיגה ללא רישיון נהיגה. במהלך נסיעת הנאשם ואחר במונית  הורו לנהג לעצור את המונית, האחר אחז בצווארו של הנהג והנאשם איים עליו בסכין ודרש את כספו ורכושו. הנאשם והאחר נטלו את ארנקו של הנהג, את תכשיטיו וטלפון נייד. הנהג יצא מהמונית ובהמשך המונית נמצאה נטושה. הנאשם ללא עבר פלילי. בית המשפט המחוזי קבע מתחם עונש שנע בין 30-60 חודשי מאסר בפועל והטיל על הנאשם עונש של 30 חודשי מאסר בפועל. ערעור הנאשם על חומרת העונש נדחה בהסכמת הצדדים.</w:t>
      </w:r>
    </w:p>
    <w:p w14:paraId="4B884E5F" w14:textId="77777777" w:rsidR="00F66A34" w:rsidRDefault="00F66A34" w:rsidP="00F66A34">
      <w:pPr>
        <w:shd w:val="clear" w:color="auto" w:fill="FFFFFF"/>
        <w:spacing w:after="120" w:line="360" w:lineRule="auto"/>
        <w:ind w:left="720"/>
        <w:contextualSpacing/>
        <w:jc w:val="both"/>
        <w:rPr>
          <w:rFonts w:ascii="David" w:hAnsi="David"/>
          <w:color w:val="000000"/>
        </w:rPr>
      </w:pPr>
    </w:p>
    <w:p w14:paraId="47338214" w14:textId="77777777" w:rsidR="00F66A34" w:rsidRDefault="00BF46FA" w:rsidP="00F66A34">
      <w:pPr>
        <w:numPr>
          <w:ilvl w:val="0"/>
          <w:numId w:val="2"/>
        </w:numPr>
        <w:shd w:val="clear" w:color="auto" w:fill="FFFFFF"/>
        <w:spacing w:after="120" w:line="360" w:lineRule="auto"/>
        <w:contextualSpacing/>
        <w:jc w:val="both"/>
        <w:rPr>
          <w:rFonts w:ascii="David" w:hAnsi="David"/>
          <w:color w:val="000000"/>
        </w:rPr>
      </w:pPr>
      <w:hyperlink r:id="rId45" w:history="1">
        <w:r w:rsidRPr="00BF46FA">
          <w:rPr>
            <w:rFonts w:ascii="David" w:hAnsi="David"/>
            <w:color w:val="0000FF"/>
            <w:u w:val="single"/>
            <w:rtl/>
          </w:rPr>
          <w:t>ע"פ 1698/16</w:t>
        </w:r>
      </w:hyperlink>
      <w:r w:rsidR="00F66A34">
        <w:rPr>
          <w:rFonts w:ascii="David" w:hAnsi="David"/>
          <w:color w:val="000000"/>
          <w:rtl/>
        </w:rPr>
        <w:t xml:space="preserve"> </w:t>
      </w:r>
      <w:r w:rsidR="00F66A34">
        <w:rPr>
          <w:rFonts w:ascii="David" w:hAnsi="David"/>
          <w:b/>
          <w:bCs/>
          <w:color w:val="000000"/>
          <w:rtl/>
        </w:rPr>
        <w:t>דמלאו נ' מדינת ישראל</w:t>
      </w:r>
      <w:r w:rsidR="00F66A34">
        <w:rPr>
          <w:rFonts w:ascii="David" w:hAnsi="David"/>
          <w:color w:val="000000"/>
          <w:rtl/>
        </w:rPr>
        <w:t xml:space="preserve"> (8.11.16) – הנאשם הורשע לאחר ניהול הוכחות בעבירות של </w:t>
      </w:r>
      <w:r w:rsidR="00F66A34">
        <w:rPr>
          <w:rFonts w:ascii="David" w:hAnsi="David"/>
          <w:b/>
          <w:bCs/>
          <w:color w:val="000000"/>
          <w:rtl/>
        </w:rPr>
        <w:t>שוד בנסיבות מחמירות</w:t>
      </w:r>
      <w:r w:rsidR="00F66A34">
        <w:rPr>
          <w:rFonts w:ascii="David" w:hAnsi="David"/>
          <w:color w:val="000000"/>
          <w:rtl/>
        </w:rPr>
        <w:t xml:space="preserve"> והיזק בזדון. הנאשם תקף  נהג מונית מתוך כוונה לשדוד את רכושו, חבט בראשו של הנהג באמצעות ידיו ואיים עליו. הנאשם עקר ממקומם את המונה והדיבורית שהיו במונית והשליכם בכוח לעבר המתלונן ושדד את כספו. למתלונן נגרם נזק פיזי של שפשוף ברגלו ונזק נפשי משמעותי. בית המשפט המחוזי מצא כי המתחם הינו בין 3 ל-5 שנות מאסר. לצורך קביעת העונש בתוך המתחם ניתנה התייחסות לעברו הפלילי של הנאשם הכולל 8 הרשעות, לכך שהעבירה בוצעה בחלוף 8 ימים ממועד סיום מאסרו הקודם. הנאשם נדון לעונש של 48 חודשי מאסר בפועל והופעל עונש של מאסר על תנאי בן 3 חודשים במצטבר. בית המשפט העליון אישר את מתחם הענישה שנקבע על ידי בימ"ש המחוזי ודחה את הערעור על חומרת העונש.</w:t>
      </w:r>
    </w:p>
    <w:p w14:paraId="1E1224DD" w14:textId="77777777" w:rsidR="00F66A34" w:rsidRDefault="00F66A34" w:rsidP="00F66A34">
      <w:pPr>
        <w:shd w:val="clear" w:color="auto" w:fill="FFFFFF"/>
        <w:spacing w:after="120"/>
        <w:ind w:left="720"/>
        <w:contextualSpacing/>
        <w:jc w:val="both"/>
        <w:rPr>
          <w:rFonts w:ascii="David" w:hAnsi="David"/>
          <w:color w:val="000000"/>
        </w:rPr>
      </w:pPr>
    </w:p>
    <w:p w14:paraId="391D05D5" w14:textId="77777777" w:rsidR="00F66A34" w:rsidRDefault="00BF46FA" w:rsidP="00F66A34">
      <w:pPr>
        <w:numPr>
          <w:ilvl w:val="0"/>
          <w:numId w:val="2"/>
        </w:numPr>
        <w:shd w:val="clear" w:color="auto" w:fill="FFFFFF"/>
        <w:spacing w:after="120" w:line="360" w:lineRule="auto"/>
        <w:contextualSpacing/>
        <w:jc w:val="both"/>
        <w:rPr>
          <w:rFonts w:ascii="David" w:hAnsi="David"/>
          <w:color w:val="000000"/>
          <w:rtl/>
        </w:rPr>
      </w:pPr>
      <w:hyperlink r:id="rId46" w:history="1">
        <w:r w:rsidRPr="00BF46FA">
          <w:rPr>
            <w:rFonts w:ascii="David" w:hAnsi="David"/>
            <w:color w:val="0000FF"/>
            <w:u w:val="single"/>
            <w:rtl/>
          </w:rPr>
          <w:t>ע"פ 3312/12</w:t>
        </w:r>
      </w:hyperlink>
      <w:r w:rsidR="00F66A34">
        <w:rPr>
          <w:rFonts w:ascii="David" w:hAnsi="David"/>
          <w:color w:val="000000"/>
          <w:rtl/>
        </w:rPr>
        <w:t xml:space="preserve"> </w:t>
      </w:r>
      <w:r w:rsidR="00F66A34">
        <w:rPr>
          <w:rFonts w:ascii="David" w:hAnsi="David"/>
          <w:b/>
          <w:bCs/>
          <w:color w:val="000000"/>
          <w:rtl/>
        </w:rPr>
        <w:t>פלוני נ' מדינת ישראל</w:t>
      </w:r>
      <w:r w:rsidR="00F66A34">
        <w:rPr>
          <w:rFonts w:ascii="David" w:hAnsi="David"/>
          <w:color w:val="000000"/>
          <w:rtl/>
        </w:rPr>
        <w:t xml:space="preserve"> (02.04.2013) - הנאשם הורשע על פי הודאתו במסגרת הסדר טיעון, </w:t>
      </w:r>
      <w:r w:rsidR="00F66A34">
        <w:rPr>
          <w:rFonts w:ascii="David" w:hAnsi="David"/>
          <w:b/>
          <w:bCs/>
          <w:color w:val="000000"/>
          <w:rtl/>
        </w:rPr>
        <w:t>בשלוש עבירות של שוד בנסיבות מחמירות</w:t>
      </w:r>
      <w:r w:rsidR="00F66A34">
        <w:rPr>
          <w:rFonts w:ascii="David" w:hAnsi="David"/>
          <w:color w:val="000000"/>
          <w:rtl/>
        </w:rPr>
        <w:t xml:space="preserve"> ובשתי עבירות איומים. במסגרת האישום הראשון הנאשם יחד עם שניים נוספים שדדו 700 ₪ מנהג מונית לאחר שחנקו אותו ואיימו עליו; בהתאם לאישום השני המערער שדד עם אחר 130 ₪ וטלפון נייד מנהגת מונית תוך שהוצמד לצווארה סכין; ובהתאם לאישום השלישי הנאשם ושותף תקפו נהג מונית באמצעות כלי מתכת ושדדו 650 ₪ ו-250 דולר. המערער בן 21, מנהל אורח חיים עברייני וצורך אלכוהול וסמים באופן קבוע. ביהמ"ש המחוזי גזר על המערער עונש של 5 וחצי שנות מאסר בפועל, שנת מאסר ע"ת ופיצוי כולל לשלושת המתלוננים בסך של 37,000 ₪. ביהמ"ש העליון דחה את הערעור על חומרת העונש.</w:t>
      </w:r>
    </w:p>
    <w:p w14:paraId="29758429" w14:textId="77777777" w:rsidR="00F66A34" w:rsidRDefault="00F66A34" w:rsidP="00F66A34">
      <w:pPr>
        <w:shd w:val="clear" w:color="auto" w:fill="FFFFFF"/>
        <w:spacing w:after="120"/>
        <w:ind w:left="720"/>
        <w:contextualSpacing/>
        <w:jc w:val="both"/>
        <w:rPr>
          <w:rFonts w:ascii="David" w:hAnsi="David"/>
          <w:color w:val="000000"/>
        </w:rPr>
      </w:pPr>
    </w:p>
    <w:p w14:paraId="1C5BF330" w14:textId="77777777" w:rsidR="00F66A34" w:rsidRDefault="00BF46FA" w:rsidP="00F66A34">
      <w:pPr>
        <w:numPr>
          <w:ilvl w:val="0"/>
          <w:numId w:val="2"/>
        </w:numPr>
        <w:shd w:val="clear" w:color="auto" w:fill="FFFFFF"/>
        <w:spacing w:after="120" w:line="360" w:lineRule="auto"/>
        <w:contextualSpacing/>
        <w:jc w:val="both"/>
        <w:rPr>
          <w:rFonts w:ascii="David" w:hAnsi="David"/>
          <w:color w:val="000000"/>
        </w:rPr>
      </w:pPr>
      <w:hyperlink r:id="rId47" w:history="1">
        <w:r w:rsidRPr="00BF46FA">
          <w:rPr>
            <w:rFonts w:ascii="David" w:hAnsi="David"/>
            <w:color w:val="0000FF"/>
            <w:u w:val="single"/>
            <w:rtl/>
          </w:rPr>
          <w:t>ע"פ 2223/11</w:t>
        </w:r>
      </w:hyperlink>
      <w:r w:rsidR="00F66A34">
        <w:rPr>
          <w:rFonts w:ascii="David" w:hAnsi="David"/>
          <w:color w:val="000000"/>
          <w:rtl/>
        </w:rPr>
        <w:t xml:space="preserve"> </w:t>
      </w:r>
      <w:r w:rsidR="00F66A34">
        <w:rPr>
          <w:rFonts w:ascii="David" w:hAnsi="David"/>
          <w:b/>
          <w:bCs/>
          <w:color w:val="000000"/>
          <w:rtl/>
        </w:rPr>
        <w:t>טברי נ' מדינת ישראל</w:t>
      </w:r>
      <w:r w:rsidR="00F66A34">
        <w:rPr>
          <w:rFonts w:ascii="David" w:hAnsi="David"/>
          <w:color w:val="000000"/>
          <w:rtl/>
        </w:rPr>
        <w:t xml:space="preserve"> (25.4.12) – הנאשם הורשע, על פי הודאתו </w:t>
      </w:r>
      <w:r w:rsidR="00F66A34">
        <w:rPr>
          <w:rFonts w:ascii="David" w:hAnsi="David"/>
          <w:b/>
          <w:bCs/>
          <w:color w:val="000000"/>
          <w:rtl/>
        </w:rPr>
        <w:t>בעבירת שוד מזוין</w:t>
      </w:r>
      <w:r w:rsidR="00F66A34">
        <w:rPr>
          <w:rFonts w:ascii="David" w:hAnsi="David"/>
          <w:color w:val="000000"/>
          <w:rtl/>
        </w:rPr>
        <w:t>, עבירת איומים  ועבירת השמדת ראיה. הנאשם ואחר עלו על מונית. עם עצירת המונית, הנאשם הצמיד סכין לצווארו של נהג מונית ודרש ממנו את כספו. הנאשם היכה את הנהג בראשו והאחר יצא מהמונית, פתח את דלת הנהג ובעט בו. הנהג מסר לנאשם את כספו והנאשם נטל גם את הטלפון של הנהג. במהלך חקירתו, גרם הנאשם לנזק לראיה שהוצגה בפניו. הנאשם מכור לסמים ובעל עבר פלילי הכולל 18 הרשעות קודמות ונשא בעבר 10 מאסרים. בית המשפט המחוזי הטיל עליו עונש של 50 חודשי מאסר (וכן הפעיל מאסר על תנאי, סה"כ 56 חודשים), 2 עונשי מאסר ע"ת ותשלום פיצוי למתלונן. ביהמ"ש העליון דחה את הערעור על חומרת העונש וקבע כי אמנם עונש המאסר שהוטל איננו עונש קל אולם הוא מוצדק על רקע עברו הפלילי של המערער.</w:t>
      </w:r>
    </w:p>
    <w:p w14:paraId="0E8D2732" w14:textId="77777777" w:rsidR="00F66A34" w:rsidRDefault="00F66A34" w:rsidP="00F66A34">
      <w:pPr>
        <w:shd w:val="clear" w:color="auto" w:fill="FFFFFF"/>
        <w:spacing w:after="120"/>
        <w:ind w:left="720"/>
        <w:contextualSpacing/>
        <w:jc w:val="both"/>
        <w:rPr>
          <w:rFonts w:ascii="David" w:hAnsi="David"/>
          <w:color w:val="000000"/>
        </w:rPr>
      </w:pPr>
    </w:p>
    <w:p w14:paraId="582569D3" w14:textId="77777777" w:rsidR="00F66A34" w:rsidRDefault="00BF46FA" w:rsidP="00F66A34">
      <w:pPr>
        <w:numPr>
          <w:ilvl w:val="0"/>
          <w:numId w:val="2"/>
        </w:numPr>
        <w:shd w:val="clear" w:color="auto" w:fill="FFFFFF"/>
        <w:spacing w:after="120" w:line="360" w:lineRule="auto"/>
        <w:contextualSpacing/>
        <w:jc w:val="both"/>
        <w:rPr>
          <w:rFonts w:ascii="David" w:hAnsi="David"/>
          <w:color w:val="000000"/>
        </w:rPr>
      </w:pPr>
      <w:hyperlink r:id="rId48" w:history="1">
        <w:r w:rsidRPr="00BF46FA">
          <w:rPr>
            <w:rFonts w:ascii="David" w:hAnsi="David"/>
            <w:color w:val="0000FF"/>
            <w:u w:val="single"/>
            <w:rtl/>
          </w:rPr>
          <w:t>ע"פ 4571/11</w:t>
        </w:r>
      </w:hyperlink>
      <w:r w:rsidR="00F66A34">
        <w:rPr>
          <w:rFonts w:ascii="David" w:hAnsi="David"/>
          <w:color w:val="000000"/>
          <w:rtl/>
        </w:rPr>
        <w:t xml:space="preserve"> </w:t>
      </w:r>
      <w:r w:rsidR="00F66A34">
        <w:rPr>
          <w:rFonts w:ascii="David" w:hAnsi="David"/>
          <w:b/>
          <w:bCs/>
          <w:color w:val="000000"/>
          <w:rtl/>
        </w:rPr>
        <w:t>אדי אדלר נ' מדינת ישראל</w:t>
      </w:r>
      <w:r w:rsidR="00F66A34">
        <w:rPr>
          <w:rFonts w:ascii="David" w:hAnsi="David"/>
          <w:color w:val="000000"/>
          <w:rtl/>
        </w:rPr>
        <w:t xml:space="preserve"> (06.02.2012), המערער הורשע, לאחר שמיעת ראיות, </w:t>
      </w:r>
      <w:r w:rsidR="00F66A34">
        <w:rPr>
          <w:rFonts w:ascii="David" w:hAnsi="David"/>
          <w:b/>
          <w:bCs/>
          <w:color w:val="000000"/>
          <w:rtl/>
        </w:rPr>
        <w:t>בשתי עבירות שוד של נהגי מונית</w:t>
      </w:r>
      <w:r w:rsidR="00F66A34">
        <w:rPr>
          <w:rFonts w:ascii="David" w:hAnsi="David"/>
          <w:color w:val="000000"/>
          <w:rtl/>
        </w:rPr>
        <w:t>. בהתאם לאישום הראשון המערער תקף את הנהג, הלם בפניו באגרוף וגנב ממנו 150 ₪; באישום השני נסע המערער יחד עם נוסעת נוספת אשר הצמידה את חגורת הבטיחות לצוואר הנהג כשבאותו זמן המערער גנב 800 ₪ ונמלטו. המערער מכור לסמים ובעל הרשעות קודמות רבות. בגזר הדין, הושת על המערער עונש מאסר של 36 חודשים והופעל עונש מאסר שהיה תלוי ועומד נגדו, חלקו במצטבר וחלקו בחופף, כך שתקופת המאסר הכוללת תעמוד על 42 חודשים. כמו כן, הוטל על המערער עונש מאסר ע"ת, תשלום פיצוי בסך 4,000 ש"ח למתלונן הראשון ותשלום פיצוי בסך 2,000 ש"ח למתלונן השני. ביהמ"ש העליון דחה את הערעור על חומרת העונש.</w:t>
      </w:r>
    </w:p>
    <w:p w14:paraId="2E59BA7D" w14:textId="77777777" w:rsidR="00F66A34" w:rsidRDefault="00F66A34" w:rsidP="00F66A34">
      <w:pPr>
        <w:spacing w:line="252" w:lineRule="auto"/>
        <w:ind w:left="720"/>
        <w:contextualSpacing/>
        <w:rPr>
          <w:rFonts w:ascii="David" w:hAnsi="David"/>
          <w:color w:val="000000"/>
        </w:rPr>
      </w:pPr>
    </w:p>
    <w:p w14:paraId="43542A65" w14:textId="77777777" w:rsidR="00F66A34" w:rsidRDefault="00BF46FA" w:rsidP="00F66A34">
      <w:pPr>
        <w:numPr>
          <w:ilvl w:val="0"/>
          <w:numId w:val="2"/>
        </w:numPr>
        <w:shd w:val="clear" w:color="auto" w:fill="FFFFFF"/>
        <w:spacing w:after="120" w:line="360" w:lineRule="auto"/>
        <w:contextualSpacing/>
        <w:jc w:val="both"/>
        <w:rPr>
          <w:rFonts w:ascii="David" w:hAnsi="David"/>
          <w:color w:val="000000"/>
        </w:rPr>
      </w:pPr>
      <w:hyperlink r:id="rId49" w:history="1">
        <w:r w:rsidRPr="00BF46FA">
          <w:rPr>
            <w:rFonts w:ascii="David" w:hAnsi="David"/>
            <w:color w:val="0000FF"/>
            <w:u w:val="single"/>
            <w:rtl/>
          </w:rPr>
          <w:t>ת"פ (מחוזי מרכז) 49556-07-19</w:t>
        </w:r>
      </w:hyperlink>
      <w:r w:rsidR="00F66A34">
        <w:rPr>
          <w:rFonts w:ascii="David" w:hAnsi="David"/>
          <w:color w:val="000000"/>
          <w:rtl/>
        </w:rPr>
        <w:t xml:space="preserve"> </w:t>
      </w:r>
      <w:r w:rsidR="00F66A34">
        <w:rPr>
          <w:rFonts w:ascii="David" w:hAnsi="David"/>
          <w:b/>
          <w:bCs/>
          <w:color w:val="000000"/>
          <w:rtl/>
        </w:rPr>
        <w:t>מדינת ישראל נ' אלגרושי</w:t>
      </w:r>
      <w:r w:rsidR="00F66A34">
        <w:rPr>
          <w:rFonts w:ascii="David" w:hAnsi="David"/>
          <w:color w:val="000000"/>
          <w:rtl/>
        </w:rPr>
        <w:t xml:space="preserve"> (30.4.20)- הנאשם הורשע על יסוד הודאתו </w:t>
      </w:r>
      <w:r w:rsidR="00F66A34">
        <w:rPr>
          <w:rFonts w:ascii="David" w:hAnsi="David"/>
          <w:b/>
          <w:bCs/>
          <w:color w:val="000000"/>
          <w:rtl/>
        </w:rPr>
        <w:t>בעבירות שוד בנסיבות מחמירות</w:t>
      </w:r>
      <w:r w:rsidR="00F66A34">
        <w:rPr>
          <w:rFonts w:ascii="David" w:hAnsi="David"/>
          <w:color w:val="000000"/>
          <w:rtl/>
        </w:rPr>
        <w:t xml:space="preserve"> ושיבוש מהלכי משפט. הנאשם ואחר איימו על נהג מונית, תקפו אותו ושדדו את כספו בסך 2,300 ₪ וגם מכשיר קשר. ביהמ"ש המחוזי קבע כי המתחם ההולם הינו  בין 24 ל-54 חודשי מאסר, ובשל גילו של הנאשם (19 שנים) והיעדר עבר פלילי השית על הנאשם מאסר בפועל לנמשך 27 חודשים.</w:t>
      </w:r>
    </w:p>
    <w:p w14:paraId="0EEB4E7E" w14:textId="77777777" w:rsidR="00F66A34" w:rsidRDefault="00F66A34" w:rsidP="00F66A34">
      <w:pPr>
        <w:pStyle w:val="a9"/>
        <w:rPr>
          <w:rFonts w:ascii="David" w:eastAsia="Times New Roman" w:hAnsi="David" w:cs="David"/>
          <w:color w:val="000000"/>
          <w:sz w:val="24"/>
          <w:szCs w:val="24"/>
        </w:rPr>
      </w:pPr>
    </w:p>
    <w:p w14:paraId="742EFD87" w14:textId="77777777" w:rsidR="00F66A34" w:rsidRDefault="00F66A34" w:rsidP="00F66A34">
      <w:pPr>
        <w:numPr>
          <w:ilvl w:val="0"/>
          <w:numId w:val="2"/>
        </w:numPr>
        <w:shd w:val="clear" w:color="auto" w:fill="FFFFFF"/>
        <w:spacing w:after="120" w:line="360" w:lineRule="auto"/>
        <w:contextualSpacing/>
        <w:jc w:val="both"/>
        <w:rPr>
          <w:rFonts w:ascii="David" w:hAnsi="David"/>
          <w:color w:val="000000"/>
          <w:rtl/>
        </w:rPr>
      </w:pPr>
      <w:r>
        <w:rPr>
          <w:rFonts w:ascii="David" w:hAnsi="David"/>
          <w:color w:val="000000"/>
          <w:rtl/>
        </w:rPr>
        <w:t>ב</w:t>
      </w:r>
      <w:hyperlink r:id="rId50" w:history="1">
        <w:r w:rsidR="00BF46FA" w:rsidRPr="00BF46FA">
          <w:rPr>
            <w:rFonts w:ascii="David" w:hAnsi="David"/>
            <w:color w:val="0000FF"/>
            <w:u w:val="single"/>
            <w:rtl/>
          </w:rPr>
          <w:t>ת"פ (מחוזי ב"ש) 42980-03-17</w:t>
        </w:r>
      </w:hyperlink>
      <w:r>
        <w:rPr>
          <w:rFonts w:ascii="David" w:hAnsi="David"/>
          <w:color w:val="000000"/>
          <w:rtl/>
        </w:rPr>
        <w:t xml:space="preserve"> </w:t>
      </w:r>
      <w:r>
        <w:rPr>
          <w:rFonts w:ascii="David" w:hAnsi="David"/>
          <w:b/>
          <w:bCs/>
          <w:color w:val="000000"/>
          <w:rtl/>
        </w:rPr>
        <w:t>מדינת ישראל נ' יוסף</w:t>
      </w:r>
      <w:r>
        <w:rPr>
          <w:rFonts w:ascii="David" w:hAnsi="David"/>
          <w:color w:val="000000"/>
          <w:rtl/>
        </w:rPr>
        <w:t xml:space="preserve"> (11.1.18), הורשע נאשם במסגרת הסדר טיעון </w:t>
      </w:r>
      <w:r>
        <w:rPr>
          <w:rFonts w:ascii="David" w:hAnsi="David"/>
          <w:b/>
          <w:bCs/>
          <w:color w:val="000000"/>
          <w:rtl/>
        </w:rPr>
        <w:t>בעבירת שוד בנסיבות מחמירות</w:t>
      </w:r>
      <w:r>
        <w:rPr>
          <w:rFonts w:ascii="David" w:hAnsi="David"/>
          <w:color w:val="000000"/>
          <w:rtl/>
        </w:rPr>
        <w:t>. הנאשם נכנס למונית, סיכם את מחיר הנסיעה עם המתלונן, ואמר למתלונן שחברו ישלם בעבור הנסיעה כשיגיעו. כשהגיעו הנאשם ביקש מהמתלונן שיעצור כדי שחברו יוכל להצטרף. החבר – קטין, התיישב במושב האחורי של המונית, והנאשם הוציא חפץ הנחזה להיות סכין, הנהג עצר את המונית ונמלט ממנה, והנאשם והאחר גנבו מהמונית סך של 900 ₪. לחובת הנאשם עבר פלילי. בית המשפט קבע מתחם עונש הנע בין 12 ל-36 חודשי מאסר בפועל והשית על הנאשם עונש של 24 חודשי מאסר בפועל (סה"כ 30 חודשים, כולל הפעלת תנאי) ופיצוי למתלונן.</w:t>
      </w:r>
    </w:p>
    <w:p w14:paraId="49C1285E" w14:textId="77777777" w:rsidR="00F66A34" w:rsidRDefault="00F66A34" w:rsidP="00F66A34">
      <w:pPr>
        <w:ind w:left="720"/>
        <w:rPr>
          <w:rFonts w:ascii="David" w:hAnsi="David"/>
          <w:color w:val="000000"/>
        </w:rPr>
      </w:pPr>
    </w:p>
    <w:p w14:paraId="12366F99" w14:textId="77777777" w:rsidR="00F66A34" w:rsidRDefault="00F66A34" w:rsidP="00F66A34">
      <w:pPr>
        <w:ind w:left="720"/>
        <w:rPr>
          <w:rFonts w:ascii="David" w:hAnsi="David"/>
          <w:color w:val="000000"/>
          <w:u w:val="single"/>
          <w:rtl/>
        </w:rPr>
      </w:pPr>
    </w:p>
    <w:p w14:paraId="4D640511" w14:textId="77777777" w:rsidR="00F66A34" w:rsidRDefault="00F66A34" w:rsidP="00F66A34">
      <w:pPr>
        <w:numPr>
          <w:ilvl w:val="0"/>
          <w:numId w:val="2"/>
        </w:numPr>
        <w:shd w:val="clear" w:color="auto" w:fill="FFFFFF"/>
        <w:spacing w:after="120" w:line="360" w:lineRule="auto"/>
        <w:contextualSpacing/>
        <w:jc w:val="both"/>
        <w:rPr>
          <w:rFonts w:ascii="David" w:hAnsi="David"/>
          <w:color w:val="000000"/>
          <w:rtl/>
        </w:rPr>
      </w:pPr>
      <w:r>
        <w:rPr>
          <w:rFonts w:ascii="David" w:hAnsi="David"/>
          <w:color w:val="000000"/>
          <w:rtl/>
        </w:rPr>
        <w:t xml:space="preserve">  </w:t>
      </w:r>
      <w:hyperlink r:id="rId51" w:history="1">
        <w:r w:rsidR="00BF46FA" w:rsidRPr="00BF46FA">
          <w:rPr>
            <w:rFonts w:ascii="David" w:hAnsi="David"/>
            <w:color w:val="0000FF"/>
            <w:u w:val="single"/>
            <w:rtl/>
          </w:rPr>
          <w:t>ת"פ (שלום רמ') 57694-09-16</w:t>
        </w:r>
      </w:hyperlink>
      <w:r>
        <w:rPr>
          <w:rFonts w:ascii="David" w:hAnsi="David"/>
          <w:color w:val="000000"/>
          <w:rtl/>
        </w:rPr>
        <w:t xml:space="preserve"> </w:t>
      </w:r>
      <w:r>
        <w:rPr>
          <w:rFonts w:ascii="David" w:hAnsi="David"/>
          <w:b/>
          <w:bCs/>
          <w:color w:val="000000"/>
          <w:rtl/>
        </w:rPr>
        <w:t>משטרת ישראל  נ' אהווידי</w:t>
      </w:r>
      <w:r>
        <w:rPr>
          <w:rFonts w:ascii="David" w:hAnsi="David"/>
          <w:color w:val="000000"/>
          <w:rtl/>
        </w:rPr>
        <w:t xml:space="preserve"> (28.2.17): בית משפט השלום הרשיע את הנאשם, לפי הודאתו, </w:t>
      </w:r>
      <w:r>
        <w:rPr>
          <w:rFonts w:ascii="David" w:hAnsi="David"/>
          <w:b/>
          <w:bCs/>
          <w:color w:val="000000"/>
          <w:rtl/>
        </w:rPr>
        <w:t>בעבירות של תקיפה לשם גניבה וגניבה</w:t>
      </w:r>
      <w:r>
        <w:rPr>
          <w:rFonts w:ascii="David" w:hAnsi="David"/>
          <w:color w:val="000000"/>
          <w:rtl/>
        </w:rPr>
        <w:t>. הנאשם חטף את תיקה של המתלוננת שהכיל 10,000 ₪. הנאשם הינו צעיר ללא עבר פלילי ובית המשפט אשר הסדר טיעון והטיל על הנאשם מאסר לתקופה של 5 חודשים שיבוצע בדרך של עבודות שירות, מאסר על תנאי, קנס בסכום של 4,000 ₪ ופיצויים בסכום של 10,000 ₪.</w:t>
      </w:r>
    </w:p>
    <w:p w14:paraId="112337C4" w14:textId="77777777" w:rsidR="00F66A34" w:rsidRDefault="00F66A34" w:rsidP="00F66A34">
      <w:pPr>
        <w:shd w:val="clear" w:color="auto" w:fill="FFFFFF"/>
        <w:spacing w:after="120" w:line="360" w:lineRule="auto"/>
        <w:contextualSpacing/>
        <w:jc w:val="both"/>
        <w:rPr>
          <w:rFonts w:ascii="David" w:hAnsi="David"/>
          <w:color w:val="000000"/>
        </w:rPr>
      </w:pPr>
    </w:p>
    <w:p w14:paraId="0F1F24D6" w14:textId="77777777" w:rsidR="00F66A34" w:rsidRDefault="00BF46FA" w:rsidP="00F66A34">
      <w:pPr>
        <w:numPr>
          <w:ilvl w:val="0"/>
          <w:numId w:val="2"/>
        </w:numPr>
        <w:shd w:val="clear" w:color="auto" w:fill="FFFFFF"/>
        <w:spacing w:after="120" w:line="360" w:lineRule="auto"/>
        <w:contextualSpacing/>
        <w:jc w:val="both"/>
        <w:rPr>
          <w:rFonts w:ascii="David" w:hAnsi="David"/>
          <w:color w:val="000000"/>
          <w:rtl/>
        </w:rPr>
      </w:pPr>
      <w:hyperlink r:id="rId52" w:history="1">
        <w:r w:rsidRPr="00BF46FA">
          <w:rPr>
            <w:rFonts w:ascii="David" w:hAnsi="David"/>
            <w:color w:val="0000FF"/>
            <w:u w:val="single"/>
            <w:rtl/>
          </w:rPr>
          <w:t>ת"פ (שלום ב"ש) 63233-06-16</w:t>
        </w:r>
      </w:hyperlink>
      <w:r w:rsidR="00F66A34">
        <w:rPr>
          <w:rFonts w:ascii="David" w:hAnsi="David"/>
          <w:color w:val="000000"/>
          <w:rtl/>
        </w:rPr>
        <w:t xml:space="preserve"> </w:t>
      </w:r>
      <w:r w:rsidR="00F66A34">
        <w:rPr>
          <w:rFonts w:ascii="David" w:hAnsi="David"/>
          <w:b/>
          <w:bCs/>
          <w:color w:val="000000"/>
          <w:rtl/>
        </w:rPr>
        <w:t>מדינת ישראל נ' מקריס</w:t>
      </w:r>
      <w:r w:rsidR="00F66A34">
        <w:rPr>
          <w:rFonts w:ascii="David" w:hAnsi="David"/>
          <w:color w:val="000000"/>
          <w:rtl/>
        </w:rPr>
        <w:t xml:space="preserve"> (5.12.16) – הנאשם הורשע , לפי הודאתו, בעבירות של </w:t>
      </w:r>
      <w:r w:rsidR="00F66A34">
        <w:rPr>
          <w:rFonts w:ascii="David" w:hAnsi="David"/>
          <w:b/>
          <w:bCs/>
          <w:color w:val="000000"/>
          <w:rtl/>
        </w:rPr>
        <w:t>תקיפה לשלם גניבה וגניבה</w:t>
      </w:r>
      <w:r w:rsidR="00F66A34">
        <w:rPr>
          <w:rFonts w:ascii="David" w:hAnsi="David"/>
          <w:color w:val="000000"/>
          <w:rtl/>
        </w:rPr>
        <w:t>. הנאשם תקף את המתלונן וגנב ממנו את הטלפון הנייד. בית המשפט הטיל על הנאשם מאסר בפועל לתקופה של  6 חודשים, הפעיל מאסר על תנאי, מאסר על תנאי, קנס ופיצוי למתלונן.</w:t>
      </w:r>
    </w:p>
    <w:p w14:paraId="38D4D5EC" w14:textId="77777777" w:rsidR="00F66A34" w:rsidRDefault="00F66A34" w:rsidP="00F66A34">
      <w:pPr>
        <w:pStyle w:val="a9"/>
        <w:rPr>
          <w:rFonts w:ascii="David" w:eastAsia="Times New Roman" w:hAnsi="David" w:cs="David"/>
          <w:color w:val="000000"/>
          <w:sz w:val="24"/>
          <w:szCs w:val="24"/>
        </w:rPr>
      </w:pPr>
    </w:p>
    <w:p w14:paraId="581F90B4" w14:textId="77777777" w:rsidR="00F66A34" w:rsidRDefault="00F66A34" w:rsidP="00F66A34">
      <w:pPr>
        <w:numPr>
          <w:ilvl w:val="0"/>
          <w:numId w:val="2"/>
        </w:numPr>
        <w:shd w:val="clear" w:color="auto" w:fill="FFFFFF"/>
        <w:spacing w:after="120" w:line="360" w:lineRule="auto"/>
        <w:contextualSpacing/>
        <w:jc w:val="both"/>
        <w:rPr>
          <w:rFonts w:ascii="David" w:hAnsi="David"/>
          <w:color w:val="000000"/>
          <w:rtl/>
        </w:rPr>
      </w:pPr>
      <w:r>
        <w:rPr>
          <w:rFonts w:ascii="David" w:hAnsi="David"/>
          <w:color w:val="000000"/>
          <w:rtl/>
        </w:rPr>
        <w:t>ב</w:t>
      </w:r>
      <w:hyperlink r:id="rId53" w:history="1">
        <w:r w:rsidR="00BF46FA" w:rsidRPr="00BF46FA">
          <w:rPr>
            <w:rFonts w:ascii="David" w:hAnsi="David"/>
            <w:color w:val="0000FF"/>
            <w:u w:val="single"/>
            <w:rtl/>
          </w:rPr>
          <w:t>ת"פ (שלום נתניה) 24335-10-13</w:t>
        </w:r>
      </w:hyperlink>
      <w:r>
        <w:rPr>
          <w:rFonts w:ascii="David" w:hAnsi="David"/>
          <w:color w:val="000000"/>
          <w:rtl/>
        </w:rPr>
        <w:t xml:space="preserve"> </w:t>
      </w:r>
      <w:r>
        <w:rPr>
          <w:rFonts w:ascii="David" w:hAnsi="David"/>
          <w:b/>
          <w:bCs/>
          <w:color w:val="000000"/>
          <w:rtl/>
        </w:rPr>
        <w:t>מדינת ישראל נ' סולי אלגרינאי</w:t>
      </w:r>
      <w:r>
        <w:rPr>
          <w:rFonts w:ascii="David" w:hAnsi="David"/>
          <w:color w:val="000000"/>
          <w:rtl/>
        </w:rPr>
        <w:t xml:space="preserve"> (23.11.15) – הנאשם הורשע על פי הודאתו </w:t>
      </w:r>
      <w:r>
        <w:rPr>
          <w:rFonts w:ascii="David" w:hAnsi="David"/>
          <w:b/>
          <w:bCs/>
          <w:color w:val="000000"/>
          <w:rtl/>
        </w:rPr>
        <w:t>בעבירות של תקיפה כדי לגנוב וגניבה</w:t>
      </w:r>
      <w:r>
        <w:rPr>
          <w:rFonts w:ascii="David" w:hAnsi="David"/>
          <w:color w:val="000000"/>
          <w:rtl/>
        </w:rPr>
        <w:t>. הנאשם דחף את המתלוננת ותלש מצווארה שרשרת. לנאשם עבר  פלילי כקטין שהתיישן, כן נוכח גילו הצעיר (21 שנים) נגזר עליו עונש של  מאסר בפועל למשך 5 חודשים שירוצו בעבודות שירות ותשלום פיצוי למתלוננת.</w:t>
      </w:r>
    </w:p>
    <w:p w14:paraId="4DFF3EA7" w14:textId="77777777" w:rsidR="00F66A34" w:rsidRDefault="00F66A34" w:rsidP="00F66A34">
      <w:pPr>
        <w:shd w:val="clear" w:color="auto" w:fill="FFFFFF"/>
        <w:spacing w:after="120"/>
        <w:contextualSpacing/>
        <w:jc w:val="both"/>
        <w:rPr>
          <w:rFonts w:ascii="David" w:hAnsi="David"/>
          <w:color w:val="000000"/>
        </w:rPr>
      </w:pPr>
    </w:p>
    <w:p w14:paraId="541370C5" w14:textId="77777777" w:rsidR="00F66A34" w:rsidRDefault="00F66A34" w:rsidP="00F66A34">
      <w:pPr>
        <w:numPr>
          <w:ilvl w:val="0"/>
          <w:numId w:val="1"/>
        </w:numPr>
        <w:shd w:val="clear" w:color="auto" w:fill="FFFFFF"/>
        <w:spacing w:after="120" w:line="360" w:lineRule="auto"/>
        <w:contextualSpacing/>
        <w:jc w:val="both"/>
        <w:rPr>
          <w:rFonts w:ascii="David" w:hAnsi="David"/>
          <w:color w:val="000000"/>
          <w:rtl/>
        </w:rPr>
      </w:pPr>
      <w:r>
        <w:rPr>
          <w:rFonts w:ascii="David" w:hAnsi="David"/>
          <w:color w:val="000000"/>
          <w:rtl/>
        </w:rPr>
        <w:t>לאחר שנתתי את דעתי לערכים המוגנים ולמידת הפגיעה בהם שהינה בינונית; לנסיבות ביצוע העבירות עליהן עמדתי לעיל; לעונש המרבי הקבוע בחוק בגין עבירת השוד בנסיבות מחמירות העומד על 20 שנות מאסר, למדיניות הענישה, ובאשר לעבירת הסם לכמות וסוג הסם שנמצא ברשות הנאשם - מכל אלה, אני מוצא כי מתחם העונש ההולם הוא בין 36 ל- 72 חודשי   מאסר בפועל.</w:t>
      </w:r>
    </w:p>
    <w:p w14:paraId="08DA292F" w14:textId="77777777" w:rsidR="00F66A34" w:rsidRDefault="00F66A34" w:rsidP="00F66A34">
      <w:pPr>
        <w:shd w:val="clear" w:color="auto" w:fill="FFFFFF"/>
        <w:spacing w:after="120" w:line="360" w:lineRule="auto"/>
        <w:ind w:left="360"/>
        <w:contextualSpacing/>
        <w:jc w:val="both"/>
        <w:rPr>
          <w:rFonts w:ascii="David" w:hAnsi="David"/>
          <w:color w:val="000000"/>
        </w:rPr>
      </w:pPr>
    </w:p>
    <w:p w14:paraId="346AADF7" w14:textId="77777777" w:rsidR="00F66A34" w:rsidRDefault="00F66A34" w:rsidP="00F66A34">
      <w:pPr>
        <w:numPr>
          <w:ilvl w:val="0"/>
          <w:numId w:val="1"/>
        </w:numPr>
        <w:shd w:val="clear" w:color="auto" w:fill="FFFFFF"/>
        <w:spacing w:line="360" w:lineRule="auto"/>
        <w:contextualSpacing/>
        <w:jc w:val="both"/>
        <w:rPr>
          <w:rFonts w:ascii="David" w:hAnsi="David"/>
          <w:color w:val="000000"/>
        </w:rPr>
      </w:pPr>
      <w:r>
        <w:rPr>
          <w:rFonts w:ascii="David" w:hAnsi="David"/>
          <w:color w:val="000000"/>
          <w:rtl/>
        </w:rPr>
        <w:t xml:space="preserve">אני ער לכך כי </w:t>
      </w:r>
      <w:r>
        <w:rPr>
          <w:rFonts w:ascii="David" w:hAnsi="David" w:hint="cs"/>
          <w:color w:val="000000"/>
          <w:rtl/>
        </w:rPr>
        <w:t>מסקנתי</w:t>
      </w:r>
      <w:r>
        <w:rPr>
          <w:rFonts w:ascii="David" w:hAnsi="David"/>
          <w:color w:val="000000"/>
          <w:rtl/>
        </w:rPr>
        <w:t xml:space="preserve"> </w:t>
      </w:r>
      <w:r>
        <w:rPr>
          <w:rFonts w:ascii="David" w:hAnsi="David" w:hint="cs"/>
          <w:color w:val="000000"/>
          <w:rtl/>
        </w:rPr>
        <w:t xml:space="preserve">לפיה </w:t>
      </w:r>
      <w:r>
        <w:rPr>
          <w:rFonts w:ascii="David" w:hAnsi="David"/>
          <w:color w:val="000000"/>
          <w:rtl/>
        </w:rPr>
        <w:t xml:space="preserve">עסקינן באירוע אחד </w:t>
      </w:r>
      <w:r>
        <w:rPr>
          <w:rFonts w:ascii="David" w:hAnsi="David" w:hint="cs"/>
          <w:color w:val="000000"/>
          <w:rtl/>
        </w:rPr>
        <w:t>נראית</w:t>
      </w:r>
      <w:r>
        <w:rPr>
          <w:rFonts w:ascii="David" w:hAnsi="David"/>
          <w:color w:val="000000"/>
          <w:rtl/>
        </w:rPr>
        <w:t xml:space="preserve"> גבולית. יחד עם זאת, אחזור ואדגיש כי גם לו נקבעו מתחמים שונים עדיין הייתי בוחר לקבוע עונש כולל בגין כל העבירות  כפי העונש עליו אעמוד בהמשך הדברים. בהקשר זה אזכיר, כי באירועים  שונים  ביהמ"ש  מוסמך להשית עונש כולל או עונשים נפרדים תוך קביעת מידת החפיפה ביניהם, ובסופו של דבר החשוב הוא כי בגזירת העונש ביהמ"ש ישמור על יחס הולם בין חומרת מכלול המעשים ומידת אשמו של הנאשם לבין  העונש</w:t>
      </w:r>
      <w:r>
        <w:rPr>
          <w:rFonts w:ascii="David" w:eastAsia="Calibri" w:hAnsi="David"/>
          <w:rtl/>
        </w:rPr>
        <w:t xml:space="preserve"> (</w:t>
      </w:r>
      <w:hyperlink r:id="rId54" w:history="1">
        <w:r w:rsidR="00843170" w:rsidRPr="00843170">
          <w:rPr>
            <w:rStyle w:val="Hyperlink"/>
            <w:rFonts w:ascii="David" w:eastAsia="Calibri" w:hAnsi="David"/>
            <w:rtl/>
          </w:rPr>
          <w:t>סע' 40 יג(ג)</w:t>
        </w:r>
      </w:hyperlink>
      <w:r>
        <w:rPr>
          <w:rFonts w:ascii="David" w:eastAsia="Calibri" w:hAnsi="David"/>
          <w:rtl/>
        </w:rPr>
        <w:t xml:space="preserve"> ל</w:t>
      </w:r>
      <w:hyperlink r:id="rId55" w:history="1">
        <w:r w:rsidR="00BF46FA" w:rsidRPr="00BF46FA">
          <w:rPr>
            <w:rFonts w:ascii="David" w:eastAsia="Calibri" w:hAnsi="David"/>
            <w:color w:val="0000FF"/>
            <w:u w:val="single"/>
            <w:rtl/>
          </w:rPr>
          <w:t>חוק העונשין</w:t>
        </w:r>
      </w:hyperlink>
      <w:r>
        <w:rPr>
          <w:rFonts w:ascii="David" w:eastAsia="Calibri" w:hAnsi="David"/>
          <w:rtl/>
        </w:rPr>
        <w:t>)</w:t>
      </w:r>
      <w:r>
        <w:rPr>
          <w:rFonts w:ascii="David" w:hAnsi="David"/>
          <w:color w:val="000000"/>
          <w:rtl/>
        </w:rPr>
        <w:t>.</w:t>
      </w:r>
    </w:p>
    <w:p w14:paraId="7BA0B7EA" w14:textId="77777777" w:rsidR="00F66A34" w:rsidRDefault="00F66A34" w:rsidP="00F66A34">
      <w:pPr>
        <w:shd w:val="clear" w:color="auto" w:fill="FFFFFF"/>
        <w:spacing w:line="360" w:lineRule="auto"/>
        <w:contextualSpacing/>
        <w:jc w:val="both"/>
        <w:rPr>
          <w:rFonts w:ascii="David" w:hAnsi="David"/>
          <w:color w:val="000000"/>
        </w:rPr>
      </w:pPr>
    </w:p>
    <w:p w14:paraId="5FBC8E62" w14:textId="77777777" w:rsidR="00F66A34" w:rsidRDefault="00F66A34" w:rsidP="00F66A34">
      <w:pPr>
        <w:spacing w:line="360" w:lineRule="auto"/>
        <w:ind w:firstLine="360"/>
        <w:jc w:val="both"/>
        <w:rPr>
          <w:rFonts w:ascii="David" w:hAnsi="David"/>
          <w:b/>
          <w:bCs/>
          <w:u w:val="single"/>
        </w:rPr>
      </w:pPr>
      <w:r>
        <w:rPr>
          <w:rFonts w:ascii="David" w:hAnsi="David"/>
          <w:b/>
          <w:bCs/>
          <w:u w:val="single"/>
          <w:rtl/>
        </w:rPr>
        <w:t>גזירת העונש המתאים לנאשם</w:t>
      </w:r>
    </w:p>
    <w:p w14:paraId="5FAF2189" w14:textId="77777777" w:rsidR="00F66A34" w:rsidRDefault="00F66A34" w:rsidP="00F66A34">
      <w:pPr>
        <w:ind w:left="360"/>
        <w:contextualSpacing/>
        <w:jc w:val="both"/>
        <w:rPr>
          <w:rFonts w:ascii="David" w:eastAsia="Calibri" w:hAnsi="David"/>
        </w:rPr>
      </w:pPr>
    </w:p>
    <w:p w14:paraId="5CA6801A" w14:textId="77777777" w:rsidR="00F66A34" w:rsidRDefault="00F66A34" w:rsidP="00F66A34">
      <w:pPr>
        <w:numPr>
          <w:ilvl w:val="0"/>
          <w:numId w:val="1"/>
        </w:numPr>
        <w:spacing w:line="360" w:lineRule="auto"/>
        <w:contextualSpacing/>
        <w:jc w:val="both"/>
        <w:rPr>
          <w:rFonts w:ascii="David" w:eastAsia="Calibri" w:hAnsi="David"/>
        </w:rPr>
      </w:pPr>
      <w:r>
        <w:rPr>
          <w:rFonts w:ascii="David" w:eastAsia="Calibri" w:hAnsi="David"/>
          <w:rtl/>
        </w:rPr>
        <w:t>בקביעת העונש בגדרי המתחם שקלתי לקולא את העובדה שהנאשם ללא עבר פלילי, את הודאתו בתחילת ההליך, החרטה ולקיחת האחר</w:t>
      </w:r>
      <w:r>
        <w:rPr>
          <w:rFonts w:ascii="David" w:eastAsia="Calibri" w:hAnsi="David" w:hint="cs"/>
          <w:rtl/>
        </w:rPr>
        <w:t>י</w:t>
      </w:r>
      <w:r>
        <w:rPr>
          <w:rFonts w:ascii="David" w:eastAsia="Calibri" w:hAnsi="David"/>
          <w:rtl/>
        </w:rPr>
        <w:t>ות שהביע וגם את נסיבותיו האישיות.</w:t>
      </w:r>
    </w:p>
    <w:p w14:paraId="7A8D3E88" w14:textId="77777777" w:rsidR="00F66A34" w:rsidRDefault="00F66A34" w:rsidP="00F66A34">
      <w:pPr>
        <w:pStyle w:val="a9"/>
        <w:rPr>
          <w:rFonts w:ascii="David" w:hAnsi="David" w:cs="David"/>
          <w:sz w:val="24"/>
          <w:szCs w:val="24"/>
        </w:rPr>
      </w:pPr>
    </w:p>
    <w:p w14:paraId="17A4E67D" w14:textId="77777777" w:rsidR="00F66A34" w:rsidRDefault="00F66A34" w:rsidP="00F66A34">
      <w:pPr>
        <w:numPr>
          <w:ilvl w:val="0"/>
          <w:numId w:val="1"/>
        </w:numPr>
        <w:spacing w:line="360" w:lineRule="auto"/>
        <w:contextualSpacing/>
        <w:jc w:val="both"/>
        <w:rPr>
          <w:rFonts w:ascii="David" w:hAnsi="David"/>
          <w:rtl/>
        </w:rPr>
      </w:pPr>
      <w:r>
        <w:rPr>
          <w:rFonts w:ascii="David" w:eastAsia="Calibri" w:hAnsi="David"/>
          <w:rtl/>
        </w:rPr>
        <w:t>מנגד, יש ליתן משקל להתרשמותו של שירות המבחן כי קיים סיכון להישנות מעורבותו של הנאשם  בעבירות על רקע התמכרותו לסמים וסיכויי השיקום הנמוכים; ריבוי העבירות בהן הורשע ומספר הקורבנות של עבירות אלו.</w:t>
      </w:r>
    </w:p>
    <w:p w14:paraId="2C2AFF49" w14:textId="77777777" w:rsidR="00F66A34" w:rsidRDefault="00F66A34" w:rsidP="00F66A34">
      <w:pPr>
        <w:spacing w:line="360" w:lineRule="auto"/>
        <w:contextualSpacing/>
        <w:jc w:val="both"/>
        <w:rPr>
          <w:rFonts w:ascii="David" w:hAnsi="David"/>
        </w:rPr>
      </w:pPr>
      <w:r>
        <w:rPr>
          <w:rFonts w:ascii="David" w:eastAsia="Calibri" w:hAnsi="David"/>
          <w:rtl/>
        </w:rPr>
        <w:t xml:space="preserve">  </w:t>
      </w:r>
    </w:p>
    <w:p w14:paraId="08905E01" w14:textId="77777777" w:rsidR="00F66A34" w:rsidRDefault="00F66A34" w:rsidP="00F66A34">
      <w:pPr>
        <w:numPr>
          <w:ilvl w:val="0"/>
          <w:numId w:val="1"/>
        </w:numPr>
        <w:spacing w:line="360" w:lineRule="auto"/>
        <w:contextualSpacing/>
        <w:jc w:val="both"/>
        <w:rPr>
          <w:rFonts w:ascii="David" w:eastAsia="Calibri" w:hAnsi="David"/>
        </w:rPr>
      </w:pPr>
      <w:r>
        <w:rPr>
          <w:rFonts w:ascii="David" w:eastAsia="Calibri" w:hAnsi="David"/>
          <w:rtl/>
        </w:rPr>
        <w:t>לאור כל האמור לעיל, אני גוזר על הנאשם את העונשים הבאים:</w:t>
      </w:r>
    </w:p>
    <w:p w14:paraId="2572EE9C" w14:textId="77777777" w:rsidR="00F66A34" w:rsidRDefault="00F66A34" w:rsidP="00F66A34">
      <w:pPr>
        <w:spacing w:line="252" w:lineRule="auto"/>
        <w:ind w:left="720"/>
        <w:contextualSpacing/>
        <w:rPr>
          <w:rFonts w:ascii="David" w:eastAsia="Calibri" w:hAnsi="David"/>
        </w:rPr>
      </w:pPr>
    </w:p>
    <w:p w14:paraId="45388A86" w14:textId="77777777" w:rsidR="00F66A34" w:rsidRDefault="00F66A34" w:rsidP="00F66A34">
      <w:pPr>
        <w:numPr>
          <w:ilvl w:val="0"/>
          <w:numId w:val="3"/>
        </w:numPr>
        <w:spacing w:line="360" w:lineRule="auto"/>
        <w:contextualSpacing/>
        <w:jc w:val="both"/>
        <w:rPr>
          <w:rFonts w:ascii="David" w:eastAsia="Calibri" w:hAnsi="David"/>
        </w:rPr>
      </w:pPr>
      <w:r>
        <w:rPr>
          <w:rFonts w:ascii="David" w:eastAsia="Calibri" w:hAnsi="David"/>
          <w:rtl/>
        </w:rPr>
        <w:t>45 חודשי מאסר בפועל שתחילתם מיום מעצרו.</w:t>
      </w:r>
    </w:p>
    <w:p w14:paraId="252704D5" w14:textId="77777777" w:rsidR="00F66A34" w:rsidRDefault="00F66A34" w:rsidP="00F66A34">
      <w:pPr>
        <w:ind w:left="720"/>
        <w:contextualSpacing/>
        <w:jc w:val="both"/>
        <w:rPr>
          <w:rFonts w:ascii="David" w:eastAsia="Calibri" w:hAnsi="David"/>
        </w:rPr>
      </w:pPr>
    </w:p>
    <w:p w14:paraId="64F12429" w14:textId="77777777" w:rsidR="00F66A34" w:rsidRDefault="00F66A34" w:rsidP="00F66A34">
      <w:pPr>
        <w:numPr>
          <w:ilvl w:val="0"/>
          <w:numId w:val="3"/>
        </w:numPr>
        <w:spacing w:line="360" w:lineRule="auto"/>
        <w:contextualSpacing/>
        <w:jc w:val="both"/>
        <w:rPr>
          <w:rFonts w:ascii="David" w:eastAsia="Calibri" w:hAnsi="David"/>
          <w:rtl/>
        </w:rPr>
      </w:pPr>
      <w:r>
        <w:rPr>
          <w:rFonts w:ascii="David" w:eastAsia="Calibri" w:hAnsi="David"/>
          <w:rtl/>
        </w:rPr>
        <w:t>12 חודשי מאסר על תנאי למשך 3 שנים מיום שחרורו ממאסר, והתנאי הוא שלא יעבור כל עבירת רכוש או אלימות מסוג פשע לרבות עבירת שוד.</w:t>
      </w:r>
    </w:p>
    <w:p w14:paraId="12052F5C" w14:textId="77777777" w:rsidR="00F66A34" w:rsidRDefault="00F66A34" w:rsidP="00F66A34">
      <w:pPr>
        <w:spacing w:line="360" w:lineRule="auto"/>
        <w:ind w:left="720"/>
        <w:contextualSpacing/>
        <w:jc w:val="both"/>
        <w:rPr>
          <w:rFonts w:ascii="David" w:eastAsia="Calibri" w:hAnsi="David"/>
        </w:rPr>
      </w:pPr>
    </w:p>
    <w:p w14:paraId="6BF69690" w14:textId="77777777" w:rsidR="00F66A34" w:rsidRDefault="00F66A34" w:rsidP="00F66A34">
      <w:pPr>
        <w:numPr>
          <w:ilvl w:val="0"/>
          <w:numId w:val="3"/>
        </w:numPr>
        <w:spacing w:line="360" w:lineRule="auto"/>
        <w:contextualSpacing/>
        <w:jc w:val="both"/>
        <w:rPr>
          <w:rFonts w:ascii="David" w:eastAsia="Calibri" w:hAnsi="David"/>
        </w:rPr>
      </w:pPr>
      <w:r>
        <w:rPr>
          <w:rFonts w:ascii="David" w:eastAsia="Calibri" w:hAnsi="David"/>
          <w:rtl/>
        </w:rPr>
        <w:t>6 חודשי מאסר על תנאי למשך 3 שנים מיום שחרורו ממאסר, והתנאי הוא שלא יעבור כל עבירת אלימות או רכוש מסוג עוון או עבירה של החזקת סם מסוכן שלא לצריכה עצמית.</w:t>
      </w:r>
    </w:p>
    <w:p w14:paraId="6DFB10B7" w14:textId="77777777" w:rsidR="00F66A34" w:rsidRDefault="00F66A34" w:rsidP="00F66A34">
      <w:pPr>
        <w:spacing w:line="360" w:lineRule="auto"/>
        <w:ind w:left="720"/>
        <w:contextualSpacing/>
        <w:jc w:val="both"/>
        <w:rPr>
          <w:rFonts w:ascii="David" w:eastAsia="Calibri" w:hAnsi="David"/>
        </w:rPr>
      </w:pPr>
    </w:p>
    <w:p w14:paraId="53BD26CE" w14:textId="77777777" w:rsidR="00F66A34" w:rsidRDefault="00F66A34" w:rsidP="00F66A34">
      <w:pPr>
        <w:numPr>
          <w:ilvl w:val="0"/>
          <w:numId w:val="3"/>
        </w:numPr>
        <w:spacing w:line="360" w:lineRule="auto"/>
        <w:contextualSpacing/>
        <w:jc w:val="both"/>
        <w:rPr>
          <w:rFonts w:ascii="David" w:eastAsia="Calibri" w:hAnsi="David"/>
        </w:rPr>
      </w:pPr>
      <w:r>
        <w:rPr>
          <w:rFonts w:ascii="David" w:eastAsia="Calibri" w:hAnsi="David"/>
          <w:rtl/>
        </w:rPr>
        <w:t xml:space="preserve">פיצוי בסך 5,000 ₪ למתלוננת באישום הראשון, וסך 10,000 ₪ לכל אחד מנהגי המוניות המתלוננים  באישומים 2 ו-3. הפיצוי יופקד בקופת ביהמ"ש עד ליום 1.1.22 ויועבר לנפגעי העבירה לפי פרטים שהמאשימה תמסור. </w:t>
      </w:r>
    </w:p>
    <w:p w14:paraId="1A867D16" w14:textId="77777777" w:rsidR="00F66A34" w:rsidRDefault="00F66A34" w:rsidP="00F66A34">
      <w:pPr>
        <w:spacing w:line="360" w:lineRule="auto"/>
        <w:jc w:val="both"/>
        <w:rPr>
          <w:rFonts w:ascii="David" w:hAnsi="David"/>
        </w:rPr>
      </w:pPr>
    </w:p>
    <w:p w14:paraId="34797D13" w14:textId="77777777" w:rsidR="00F66A34" w:rsidRDefault="00F66A34" w:rsidP="00F66A34">
      <w:pPr>
        <w:spacing w:line="360" w:lineRule="auto"/>
        <w:ind w:left="360" w:firstLine="360"/>
        <w:contextualSpacing/>
        <w:jc w:val="both"/>
        <w:rPr>
          <w:rFonts w:ascii="David" w:eastAsia="Calibri" w:hAnsi="David"/>
          <w:b/>
          <w:bCs/>
          <w:u w:val="single"/>
          <w:rtl/>
        </w:rPr>
      </w:pPr>
      <w:r>
        <w:rPr>
          <w:rFonts w:ascii="David" w:eastAsia="Calibri" w:hAnsi="David"/>
          <w:b/>
          <w:bCs/>
          <w:u w:val="single"/>
          <w:rtl/>
        </w:rPr>
        <w:t>זכות ערעור לבית-המשפט העליון תוך 45 ימים.</w:t>
      </w:r>
    </w:p>
    <w:p w14:paraId="33C011B4" w14:textId="77777777" w:rsidR="00F66A34" w:rsidRPr="00BF46FA" w:rsidRDefault="00BF46FA" w:rsidP="00F66A34">
      <w:pPr>
        <w:spacing w:line="360" w:lineRule="auto"/>
        <w:ind w:left="360" w:firstLine="360"/>
        <w:contextualSpacing/>
        <w:jc w:val="both"/>
        <w:rPr>
          <w:rFonts w:ascii="David" w:eastAsia="Calibri" w:hAnsi="David"/>
          <w:b/>
          <w:bCs/>
          <w:color w:val="FFFFFF"/>
          <w:sz w:val="2"/>
          <w:szCs w:val="2"/>
          <w:u w:val="single"/>
          <w:rtl/>
        </w:rPr>
      </w:pPr>
      <w:r w:rsidRPr="00BF46FA">
        <w:rPr>
          <w:rFonts w:ascii="David" w:eastAsia="Calibri" w:hAnsi="David"/>
          <w:b/>
          <w:bCs/>
          <w:color w:val="FFFFFF"/>
          <w:sz w:val="2"/>
          <w:szCs w:val="2"/>
          <w:u w:val="single"/>
          <w:rtl/>
        </w:rPr>
        <w:t>5129371</w:t>
      </w:r>
    </w:p>
    <w:p w14:paraId="6A73EB06" w14:textId="77777777" w:rsidR="00F66A34" w:rsidRPr="00CC3B69" w:rsidRDefault="00BF46FA" w:rsidP="00F66A34">
      <w:pPr>
        <w:spacing w:line="360" w:lineRule="auto"/>
        <w:jc w:val="both"/>
        <w:rPr>
          <w:rFonts w:ascii="Arial" w:hAnsi="Arial"/>
          <w:rtl/>
        </w:rPr>
      </w:pPr>
      <w:bookmarkStart w:id="8" w:name="Nitan"/>
      <w:r w:rsidRPr="00BF46FA">
        <w:rPr>
          <w:rFonts w:ascii="Arial" w:hAnsi="Arial"/>
          <w:color w:val="FFFFFF"/>
          <w:sz w:val="2"/>
          <w:szCs w:val="2"/>
          <w:rtl/>
        </w:rPr>
        <w:t>54678313</w:t>
      </w:r>
      <w:r>
        <w:rPr>
          <w:rFonts w:ascii="Arial" w:hAnsi="Arial"/>
          <w:rtl/>
        </w:rPr>
        <w:t xml:space="preserve">ניתן היום,  ב' חשוון תשפ"א, 20 אוקטובר 2020, בנוכחות ב"כ המאשימה עו"ד פמלה בנימין, </w:t>
      </w:r>
      <w:bookmarkEnd w:id="8"/>
      <w:r w:rsidR="00F66A34">
        <w:rPr>
          <w:rFonts w:ascii="Arial" w:hAnsi="Arial" w:hint="cs"/>
          <w:rtl/>
        </w:rPr>
        <w:t xml:space="preserve">הנאשם (באמצעות </w:t>
      </w:r>
      <w:r w:rsidR="00F66A34">
        <w:rPr>
          <w:rFonts w:ascii="Arial" w:hAnsi="Arial" w:hint="cs"/>
        </w:rPr>
        <w:t>VC</w:t>
      </w:r>
      <w:r w:rsidR="00F66A34">
        <w:rPr>
          <w:rFonts w:ascii="Arial" w:hAnsi="Arial" w:hint="cs"/>
          <w:rtl/>
        </w:rPr>
        <w:t xml:space="preserve">) והסנגור עו"ד אולג פרגין. </w:t>
      </w:r>
    </w:p>
    <w:p w14:paraId="7C0C2DB4" w14:textId="77777777" w:rsidR="00BF46FA" w:rsidRDefault="00BF46FA" w:rsidP="00BF46FA">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7A423B23" w14:textId="77777777" w:rsidR="00843170" w:rsidRPr="00843170" w:rsidRDefault="00843170" w:rsidP="00843170">
      <w:pPr>
        <w:keepNext/>
        <w:rPr>
          <w:rFonts w:ascii="David" w:hAnsi="David"/>
          <w:color w:val="000000"/>
          <w:sz w:val="22"/>
          <w:szCs w:val="22"/>
          <w:rtl/>
        </w:rPr>
      </w:pPr>
    </w:p>
    <w:p w14:paraId="59E3AB85" w14:textId="77777777" w:rsidR="00843170" w:rsidRPr="00843170" w:rsidRDefault="00843170" w:rsidP="00843170">
      <w:pPr>
        <w:keepNext/>
        <w:rPr>
          <w:rFonts w:ascii="David" w:hAnsi="David"/>
          <w:color w:val="000000"/>
          <w:sz w:val="22"/>
          <w:szCs w:val="22"/>
          <w:rtl/>
        </w:rPr>
      </w:pPr>
      <w:r w:rsidRPr="00843170">
        <w:rPr>
          <w:rFonts w:ascii="David" w:hAnsi="David"/>
          <w:color w:val="000000"/>
          <w:sz w:val="22"/>
          <w:szCs w:val="22"/>
          <w:rtl/>
        </w:rPr>
        <w:t>אברהים בולוס 54678313-/</w:t>
      </w:r>
    </w:p>
    <w:p w14:paraId="0E37E642" w14:textId="77777777" w:rsidR="00BF46FA" w:rsidRPr="00BF46FA" w:rsidRDefault="00843170" w:rsidP="00843170">
      <w:pPr>
        <w:rPr>
          <w:rFonts w:hint="cs"/>
          <w:color w:val="0000FF"/>
          <w:u w:val="single"/>
        </w:rPr>
      </w:pPr>
      <w:r w:rsidRPr="00843170">
        <w:rPr>
          <w:color w:val="000000"/>
          <w:u w:val="single"/>
          <w:rtl/>
        </w:rPr>
        <w:t>נוסח מסמך זה כפוף לשינויי ניסוח ועריכה</w:t>
      </w:r>
      <w:r w:rsidR="00DE67E6">
        <w:rPr>
          <w:rFonts w:hint="cs"/>
          <w:color w:val="0000FF"/>
          <w:u w:val="single"/>
          <w:rtl/>
        </w:rPr>
        <w:t xml:space="preserve"> </w:t>
      </w:r>
    </w:p>
    <w:sectPr w:rsidR="00BF46FA" w:rsidRPr="00BF46FA" w:rsidSect="00843170">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8194D" w14:textId="77777777" w:rsidR="00BD30CC" w:rsidRDefault="00BD30CC" w:rsidP="00A3116D">
      <w:r>
        <w:separator/>
      </w:r>
    </w:p>
  </w:endnote>
  <w:endnote w:type="continuationSeparator" w:id="0">
    <w:p w14:paraId="1ACCFEE1" w14:textId="77777777" w:rsidR="00BD30CC" w:rsidRDefault="00BD30CC" w:rsidP="00A31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5C54E" w14:textId="77777777" w:rsidR="00843170" w:rsidRDefault="00843170" w:rsidP="008431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3F1435" w14:textId="77777777" w:rsidR="006277D3" w:rsidRPr="00843170" w:rsidRDefault="00843170" w:rsidP="00843170">
    <w:pPr>
      <w:pStyle w:val="a5"/>
      <w:pBdr>
        <w:top w:val="single" w:sz="4" w:space="1" w:color="auto"/>
        <w:between w:val="single" w:sz="4" w:space="0" w:color="auto"/>
      </w:pBdr>
      <w:spacing w:after="60"/>
      <w:jc w:val="center"/>
      <w:rPr>
        <w:rFonts w:ascii="FrankRuehl" w:hAnsi="FrankRuehl" w:cs="FrankRuehl"/>
        <w:color w:val="000000"/>
      </w:rPr>
    </w:pPr>
    <w:r w:rsidRPr="008431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FA461" w14:textId="77777777" w:rsidR="00843170" w:rsidRDefault="00843170" w:rsidP="008431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74B2">
      <w:rPr>
        <w:rFonts w:ascii="FrankRuehl" w:hAnsi="FrankRuehl" w:cs="FrankRuehl"/>
        <w:noProof/>
        <w:rtl/>
      </w:rPr>
      <w:t>1</w:t>
    </w:r>
    <w:r>
      <w:rPr>
        <w:rFonts w:ascii="FrankRuehl" w:hAnsi="FrankRuehl" w:cs="FrankRuehl"/>
        <w:rtl/>
      </w:rPr>
      <w:fldChar w:fldCharType="end"/>
    </w:r>
  </w:p>
  <w:p w14:paraId="2701C8A0" w14:textId="77777777" w:rsidR="006277D3" w:rsidRPr="00843170" w:rsidRDefault="00843170" w:rsidP="00843170">
    <w:pPr>
      <w:pStyle w:val="a5"/>
      <w:pBdr>
        <w:top w:val="single" w:sz="4" w:space="1" w:color="auto"/>
        <w:between w:val="single" w:sz="4" w:space="0" w:color="auto"/>
      </w:pBdr>
      <w:spacing w:after="60"/>
      <w:jc w:val="center"/>
      <w:rPr>
        <w:rFonts w:ascii="FrankRuehl" w:hAnsi="FrankRuehl" w:cs="FrankRuehl"/>
        <w:color w:val="000000"/>
      </w:rPr>
    </w:pPr>
    <w:r w:rsidRPr="00843170">
      <w:rPr>
        <w:rFonts w:ascii="FrankRuehl" w:hAnsi="FrankRuehl" w:cs="FrankRuehl"/>
        <w:color w:val="000000"/>
      </w:rPr>
      <w:pict w14:anchorId="3AE8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C9C97" w14:textId="77777777" w:rsidR="00BD30CC" w:rsidRDefault="00BD30CC" w:rsidP="00A3116D">
      <w:r>
        <w:separator/>
      </w:r>
    </w:p>
  </w:footnote>
  <w:footnote w:type="continuationSeparator" w:id="0">
    <w:p w14:paraId="236F05EE" w14:textId="77777777" w:rsidR="00BD30CC" w:rsidRDefault="00BD30CC" w:rsidP="00A31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0365F" w14:textId="77777777" w:rsidR="00BF46FA" w:rsidRPr="00843170" w:rsidRDefault="00843170" w:rsidP="008431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32815-03-20</w:t>
    </w:r>
    <w:r>
      <w:rPr>
        <w:rFonts w:ascii="David" w:hAnsi="David"/>
        <w:color w:val="000000"/>
        <w:sz w:val="22"/>
        <w:szCs w:val="22"/>
        <w:rtl/>
      </w:rPr>
      <w:tab/>
      <w:t xml:space="preserve"> מדינת ישראל נ' דויטי גוגילשוילי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65B1" w14:textId="77777777" w:rsidR="00BF46FA" w:rsidRPr="00843170" w:rsidRDefault="00843170" w:rsidP="008431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32815-03-20</w:t>
    </w:r>
    <w:r>
      <w:rPr>
        <w:rFonts w:ascii="David" w:hAnsi="David"/>
        <w:color w:val="000000"/>
        <w:sz w:val="22"/>
        <w:szCs w:val="22"/>
        <w:rtl/>
      </w:rPr>
      <w:tab/>
      <w:t xml:space="preserve"> מדינת ישראל נ' דויטי גוגילשוילי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26E16"/>
    <w:multiLevelType w:val="hybridMultilevel"/>
    <w:tmpl w:val="DF08FB66"/>
    <w:lvl w:ilvl="0" w:tplc="1458DC9C">
      <w:start w:val="1"/>
      <w:numFmt w:val="decimal"/>
      <w:lvlText w:val="%1."/>
      <w:lvlJc w:val="left"/>
      <w:pPr>
        <w:ind w:left="360" w:hanging="360"/>
      </w:pPr>
      <w:rPr>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77A0D0C"/>
    <w:multiLevelType w:val="hybridMultilevel"/>
    <w:tmpl w:val="F4FA9CF4"/>
    <w:lvl w:ilvl="0" w:tplc="CE0414A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816885"/>
    <w:multiLevelType w:val="hybridMultilevel"/>
    <w:tmpl w:val="F65019CA"/>
    <w:lvl w:ilvl="0" w:tplc="99665F9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0726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4842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31345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A34"/>
    <w:rsid w:val="00072F90"/>
    <w:rsid w:val="00266CED"/>
    <w:rsid w:val="0034053D"/>
    <w:rsid w:val="003A33AF"/>
    <w:rsid w:val="004C5514"/>
    <w:rsid w:val="00622601"/>
    <w:rsid w:val="006277D3"/>
    <w:rsid w:val="00843170"/>
    <w:rsid w:val="009E1D42"/>
    <w:rsid w:val="00A3116D"/>
    <w:rsid w:val="00BD30CC"/>
    <w:rsid w:val="00BF46FA"/>
    <w:rsid w:val="00DA3F8B"/>
    <w:rsid w:val="00DB2255"/>
    <w:rsid w:val="00DE67E6"/>
    <w:rsid w:val="00F374B2"/>
    <w:rsid w:val="00F66A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8E5888"/>
  <w15:chartTrackingRefBased/>
  <w15:docId w15:val="{793FAB1D-D53A-4786-B7F4-D3722200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6A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6A34"/>
    <w:pPr>
      <w:tabs>
        <w:tab w:val="center" w:pos="4153"/>
        <w:tab w:val="right" w:pos="8306"/>
      </w:tabs>
    </w:pPr>
  </w:style>
  <w:style w:type="character" w:customStyle="1" w:styleId="a4">
    <w:name w:val="כותרת עליונה תו"/>
    <w:link w:val="a3"/>
    <w:rsid w:val="00F66A34"/>
    <w:rPr>
      <w:rFonts w:ascii="Times New Roman" w:eastAsia="Times New Roman" w:hAnsi="Times New Roman" w:cs="David"/>
      <w:sz w:val="24"/>
      <w:szCs w:val="24"/>
    </w:rPr>
  </w:style>
  <w:style w:type="paragraph" w:styleId="a5">
    <w:name w:val="footer"/>
    <w:basedOn w:val="a"/>
    <w:link w:val="a6"/>
    <w:rsid w:val="00F66A34"/>
    <w:pPr>
      <w:tabs>
        <w:tab w:val="center" w:pos="4153"/>
        <w:tab w:val="right" w:pos="8306"/>
      </w:tabs>
    </w:pPr>
  </w:style>
  <w:style w:type="character" w:customStyle="1" w:styleId="a6">
    <w:name w:val="כותרת תחתונה תו"/>
    <w:link w:val="a5"/>
    <w:rsid w:val="00F66A34"/>
    <w:rPr>
      <w:rFonts w:ascii="Times New Roman" w:eastAsia="Times New Roman" w:hAnsi="Times New Roman" w:cs="David"/>
      <w:sz w:val="24"/>
      <w:szCs w:val="24"/>
    </w:rPr>
  </w:style>
  <w:style w:type="table" w:styleId="a7">
    <w:name w:val="Table Grid"/>
    <w:basedOn w:val="a1"/>
    <w:rsid w:val="00F66A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6A34"/>
  </w:style>
  <w:style w:type="character" w:styleId="Hyperlink">
    <w:name w:val="Hyperlink"/>
    <w:rsid w:val="00F66A34"/>
    <w:rPr>
      <w:color w:val="0000FF"/>
      <w:u w:val="single"/>
    </w:rPr>
  </w:style>
  <w:style w:type="paragraph" w:styleId="a9">
    <w:name w:val="List Paragraph"/>
    <w:basedOn w:val="a"/>
    <w:qFormat/>
    <w:rsid w:val="00F66A34"/>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case/5707464" TargetMode="External"/><Relationship Id="rId21" Type="http://schemas.openxmlformats.org/officeDocument/2006/relationships/hyperlink" Target="http://www.nevo.co.il/law/70301/402.b" TargetMode="External"/><Relationship Id="rId34" Type="http://schemas.openxmlformats.org/officeDocument/2006/relationships/hyperlink" Target="http://www.nevo.co.il/case/21015135" TargetMode="External"/><Relationship Id="rId42" Type="http://schemas.openxmlformats.org/officeDocument/2006/relationships/hyperlink" Target="http://www.nevo.co.il/case/17932979" TargetMode="External"/><Relationship Id="rId47" Type="http://schemas.openxmlformats.org/officeDocument/2006/relationships/hyperlink" Target="http://www.nevo.co.il/case/5819158" TargetMode="External"/><Relationship Id="rId50" Type="http://schemas.openxmlformats.org/officeDocument/2006/relationships/hyperlink" Target="http://www.nevo.co.il/case/22341757"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17954235" TargetMode="External"/><Relationship Id="rId11" Type="http://schemas.openxmlformats.org/officeDocument/2006/relationships/hyperlink" Target="http://www.nevo.co.il/law/70301/384"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5594268" TargetMode="External"/><Relationship Id="rId37" Type="http://schemas.openxmlformats.org/officeDocument/2006/relationships/hyperlink" Target="http://www.nevo.co.il/case/6244848" TargetMode="External"/><Relationship Id="rId40" Type="http://schemas.openxmlformats.org/officeDocument/2006/relationships/hyperlink" Target="http://www.nevo.co.il/case/5719101" TargetMode="External"/><Relationship Id="rId45" Type="http://schemas.openxmlformats.org/officeDocument/2006/relationships/hyperlink" Target="http://www.nevo.co.il/case/21015135" TargetMode="External"/><Relationship Id="rId53" Type="http://schemas.openxmlformats.org/officeDocument/2006/relationships/hyperlink" Target="http://www.nevo.co.il/case/8433790"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383.a.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17954235" TargetMode="External"/><Relationship Id="rId30" Type="http://schemas.openxmlformats.org/officeDocument/2006/relationships/hyperlink" Target="http://www.nevo.co.il/case/7958246" TargetMode="External"/><Relationship Id="rId35" Type="http://schemas.openxmlformats.org/officeDocument/2006/relationships/hyperlink" Target="http://www.nevo.co.il/case/5797523" TargetMode="External"/><Relationship Id="rId43" Type="http://schemas.openxmlformats.org/officeDocument/2006/relationships/hyperlink" Target="http://www.nevo.co.il/case/5726579" TargetMode="External"/><Relationship Id="rId48" Type="http://schemas.openxmlformats.org/officeDocument/2006/relationships/hyperlink" Target="http://www.nevo.co.il/case/5733869"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1552284" TargetMode="External"/><Relationship Id="rId3" Type="http://schemas.openxmlformats.org/officeDocument/2006/relationships/settings" Target="settings.xml"/><Relationship Id="rId12" Type="http://schemas.openxmlformats.org/officeDocument/2006/relationships/hyperlink" Target="http://www.nevo.co.il/law/70301/402.b" TargetMode="External"/><Relationship Id="rId17" Type="http://schemas.openxmlformats.org/officeDocument/2006/relationships/hyperlink" Target="http://www.nevo.co.il/law/70301/381.a.2" TargetMode="External"/><Relationship Id="rId25" Type="http://schemas.openxmlformats.org/officeDocument/2006/relationships/hyperlink" Target="http://www.nevo.co.il/law/4216" TargetMode="External"/><Relationship Id="rId33" Type="http://schemas.openxmlformats.org/officeDocument/2006/relationships/hyperlink" Target="http://www.nevo.co.il/case/6245997" TargetMode="External"/><Relationship Id="rId38" Type="http://schemas.openxmlformats.org/officeDocument/2006/relationships/hyperlink" Target="http://www.nevo.co.il/case/5585899" TargetMode="External"/><Relationship Id="rId46" Type="http://schemas.openxmlformats.org/officeDocument/2006/relationships/hyperlink" Target="http://www.nevo.co.il/case/6244848" TargetMode="External"/><Relationship Id="rId59" Type="http://schemas.openxmlformats.org/officeDocument/2006/relationships/footer" Target="footer1.xml"/><Relationship Id="rId20" Type="http://schemas.openxmlformats.org/officeDocument/2006/relationships/hyperlink" Target="http://www.nevo.co.il/law/70301/384" TargetMode="External"/><Relationship Id="rId41" Type="http://schemas.openxmlformats.org/officeDocument/2006/relationships/hyperlink" Target="http://www.nevo.co.il/case/5841695" TargetMode="External"/><Relationship Id="rId54" Type="http://schemas.openxmlformats.org/officeDocument/2006/relationships/hyperlink" Target="http://www.nevo.co.il/law/70301/40jc.c"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033641" TargetMode="External"/><Relationship Id="rId36" Type="http://schemas.openxmlformats.org/officeDocument/2006/relationships/hyperlink" Target="http://www.nevo.co.il/case/6175290" TargetMode="External"/><Relationship Id="rId49" Type="http://schemas.openxmlformats.org/officeDocument/2006/relationships/hyperlink" Target="http://www.nevo.co.il/case/25885523" TargetMode="External"/><Relationship Id="rId57" Type="http://schemas.openxmlformats.org/officeDocument/2006/relationships/header" Target="header1.xml"/><Relationship Id="rId10" Type="http://schemas.openxmlformats.org/officeDocument/2006/relationships/hyperlink" Target="http://www.nevo.co.il/law/70301/383.a.1" TargetMode="External"/><Relationship Id="rId31" Type="http://schemas.openxmlformats.org/officeDocument/2006/relationships/hyperlink" Target="http://www.nevo.co.il/case/17015920" TargetMode="External"/><Relationship Id="rId44" Type="http://schemas.openxmlformats.org/officeDocument/2006/relationships/hyperlink" Target="http://www.nevo.co.il/case/22824309" TargetMode="External"/><Relationship Id="rId52" Type="http://schemas.openxmlformats.org/officeDocument/2006/relationships/hyperlink" Target="http://www.nevo.co.il/case/21546864"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81.a.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4679</Words>
  <Characters>23397</Characters>
  <Application>Microsoft Office Word</Application>
  <DocSecurity>0</DocSecurity>
  <Lines>194</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28020</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6619173</vt:i4>
      </vt:variant>
      <vt:variant>
        <vt:i4>141</vt:i4>
      </vt:variant>
      <vt:variant>
        <vt:i4>0</vt:i4>
      </vt:variant>
      <vt:variant>
        <vt:i4>5</vt:i4>
      </vt:variant>
      <vt:variant>
        <vt:lpwstr>http://www.nevo.co.il/law/70301/40jc.c</vt:lpwstr>
      </vt:variant>
      <vt:variant>
        <vt:lpwstr/>
      </vt:variant>
      <vt:variant>
        <vt:i4>3932282</vt:i4>
      </vt:variant>
      <vt:variant>
        <vt:i4>138</vt:i4>
      </vt:variant>
      <vt:variant>
        <vt:i4>0</vt:i4>
      </vt:variant>
      <vt:variant>
        <vt:i4>5</vt:i4>
      </vt:variant>
      <vt:variant>
        <vt:lpwstr>http://www.nevo.co.il/case/8433790</vt:lpwstr>
      </vt:variant>
      <vt:variant>
        <vt:lpwstr/>
      </vt:variant>
      <vt:variant>
        <vt:i4>3604601</vt:i4>
      </vt:variant>
      <vt:variant>
        <vt:i4>135</vt:i4>
      </vt:variant>
      <vt:variant>
        <vt:i4>0</vt:i4>
      </vt:variant>
      <vt:variant>
        <vt:i4>5</vt:i4>
      </vt:variant>
      <vt:variant>
        <vt:lpwstr>http://www.nevo.co.il/case/21546864</vt:lpwstr>
      </vt:variant>
      <vt:variant>
        <vt:lpwstr/>
      </vt:variant>
      <vt:variant>
        <vt:i4>3997810</vt:i4>
      </vt:variant>
      <vt:variant>
        <vt:i4>132</vt:i4>
      </vt:variant>
      <vt:variant>
        <vt:i4>0</vt:i4>
      </vt:variant>
      <vt:variant>
        <vt:i4>5</vt:i4>
      </vt:variant>
      <vt:variant>
        <vt:lpwstr>http://www.nevo.co.il/case/21552284</vt:lpwstr>
      </vt:variant>
      <vt:variant>
        <vt:lpwstr/>
      </vt:variant>
      <vt:variant>
        <vt:i4>3473525</vt:i4>
      </vt:variant>
      <vt:variant>
        <vt:i4>129</vt:i4>
      </vt:variant>
      <vt:variant>
        <vt:i4>0</vt:i4>
      </vt:variant>
      <vt:variant>
        <vt:i4>5</vt:i4>
      </vt:variant>
      <vt:variant>
        <vt:lpwstr>http://www.nevo.co.il/case/22341757</vt:lpwstr>
      </vt:variant>
      <vt:variant>
        <vt:lpwstr/>
      </vt:variant>
      <vt:variant>
        <vt:i4>3997820</vt:i4>
      </vt:variant>
      <vt:variant>
        <vt:i4>126</vt:i4>
      </vt:variant>
      <vt:variant>
        <vt:i4>0</vt:i4>
      </vt:variant>
      <vt:variant>
        <vt:i4>5</vt:i4>
      </vt:variant>
      <vt:variant>
        <vt:lpwstr>http://www.nevo.co.il/case/25885523</vt:lpwstr>
      </vt:variant>
      <vt:variant>
        <vt:lpwstr/>
      </vt:variant>
      <vt:variant>
        <vt:i4>3604598</vt:i4>
      </vt:variant>
      <vt:variant>
        <vt:i4>123</vt:i4>
      </vt:variant>
      <vt:variant>
        <vt:i4>0</vt:i4>
      </vt:variant>
      <vt:variant>
        <vt:i4>5</vt:i4>
      </vt:variant>
      <vt:variant>
        <vt:lpwstr>http://www.nevo.co.il/case/5733869</vt:lpwstr>
      </vt:variant>
      <vt:variant>
        <vt:lpwstr/>
      </vt:variant>
      <vt:variant>
        <vt:i4>3997808</vt:i4>
      </vt:variant>
      <vt:variant>
        <vt:i4>120</vt:i4>
      </vt:variant>
      <vt:variant>
        <vt:i4>0</vt:i4>
      </vt:variant>
      <vt:variant>
        <vt:i4>5</vt:i4>
      </vt:variant>
      <vt:variant>
        <vt:lpwstr>http://www.nevo.co.il/case/5819158</vt:lpwstr>
      </vt:variant>
      <vt:variant>
        <vt:lpwstr/>
      </vt:variant>
      <vt:variant>
        <vt:i4>3276918</vt:i4>
      </vt:variant>
      <vt:variant>
        <vt:i4>117</vt:i4>
      </vt:variant>
      <vt:variant>
        <vt:i4>0</vt:i4>
      </vt:variant>
      <vt:variant>
        <vt:i4>5</vt:i4>
      </vt:variant>
      <vt:variant>
        <vt:lpwstr>http://www.nevo.co.il/case/6244848</vt:lpwstr>
      </vt:variant>
      <vt:variant>
        <vt:lpwstr/>
      </vt:variant>
      <vt:variant>
        <vt:i4>3407989</vt:i4>
      </vt:variant>
      <vt:variant>
        <vt:i4>114</vt:i4>
      </vt:variant>
      <vt:variant>
        <vt:i4>0</vt:i4>
      </vt:variant>
      <vt:variant>
        <vt:i4>5</vt:i4>
      </vt:variant>
      <vt:variant>
        <vt:lpwstr>http://www.nevo.co.il/case/21015135</vt:lpwstr>
      </vt:variant>
      <vt:variant>
        <vt:lpwstr/>
      </vt:variant>
      <vt:variant>
        <vt:i4>4063351</vt:i4>
      </vt:variant>
      <vt:variant>
        <vt:i4>111</vt:i4>
      </vt:variant>
      <vt:variant>
        <vt:i4>0</vt:i4>
      </vt:variant>
      <vt:variant>
        <vt:i4>5</vt:i4>
      </vt:variant>
      <vt:variant>
        <vt:lpwstr>http://www.nevo.co.il/case/22824309</vt:lpwstr>
      </vt:variant>
      <vt:variant>
        <vt:lpwstr/>
      </vt:variant>
      <vt:variant>
        <vt:i4>3866738</vt:i4>
      </vt:variant>
      <vt:variant>
        <vt:i4>108</vt:i4>
      </vt:variant>
      <vt:variant>
        <vt:i4>0</vt:i4>
      </vt:variant>
      <vt:variant>
        <vt:i4>5</vt:i4>
      </vt:variant>
      <vt:variant>
        <vt:lpwstr>http://www.nevo.co.il/case/5726579</vt:lpwstr>
      </vt:variant>
      <vt:variant>
        <vt:lpwstr/>
      </vt:variant>
      <vt:variant>
        <vt:i4>3997817</vt:i4>
      </vt:variant>
      <vt:variant>
        <vt:i4>105</vt:i4>
      </vt:variant>
      <vt:variant>
        <vt:i4>0</vt:i4>
      </vt:variant>
      <vt:variant>
        <vt:i4>5</vt:i4>
      </vt:variant>
      <vt:variant>
        <vt:lpwstr>http://www.nevo.co.il/case/17932979</vt:lpwstr>
      </vt:variant>
      <vt:variant>
        <vt:lpwstr/>
      </vt:variant>
      <vt:variant>
        <vt:i4>3276916</vt:i4>
      </vt:variant>
      <vt:variant>
        <vt:i4>102</vt:i4>
      </vt:variant>
      <vt:variant>
        <vt:i4>0</vt:i4>
      </vt:variant>
      <vt:variant>
        <vt:i4>5</vt:i4>
      </vt:variant>
      <vt:variant>
        <vt:lpwstr>http://www.nevo.co.il/case/5841695</vt:lpwstr>
      </vt:variant>
      <vt:variant>
        <vt:lpwstr/>
      </vt:variant>
      <vt:variant>
        <vt:i4>3407994</vt:i4>
      </vt:variant>
      <vt:variant>
        <vt:i4>99</vt:i4>
      </vt:variant>
      <vt:variant>
        <vt:i4>0</vt:i4>
      </vt:variant>
      <vt:variant>
        <vt:i4>5</vt:i4>
      </vt:variant>
      <vt:variant>
        <vt:lpwstr>http://www.nevo.co.il/case/5719101</vt:lpwstr>
      </vt:variant>
      <vt:variant>
        <vt:lpwstr/>
      </vt:variant>
      <vt:variant>
        <vt:i4>3473522</vt:i4>
      </vt:variant>
      <vt:variant>
        <vt:i4>96</vt:i4>
      </vt:variant>
      <vt:variant>
        <vt:i4>0</vt:i4>
      </vt:variant>
      <vt:variant>
        <vt:i4>5</vt:i4>
      </vt:variant>
      <vt:variant>
        <vt:lpwstr>http://www.nevo.co.il/case/5707464</vt:lpwstr>
      </vt:variant>
      <vt:variant>
        <vt:lpwstr/>
      </vt:variant>
      <vt:variant>
        <vt:i4>3932285</vt:i4>
      </vt:variant>
      <vt:variant>
        <vt:i4>93</vt:i4>
      </vt:variant>
      <vt:variant>
        <vt:i4>0</vt:i4>
      </vt:variant>
      <vt:variant>
        <vt:i4>5</vt:i4>
      </vt:variant>
      <vt:variant>
        <vt:lpwstr>http://www.nevo.co.il/case/5585899</vt:lpwstr>
      </vt:variant>
      <vt:variant>
        <vt:lpwstr/>
      </vt:variant>
      <vt:variant>
        <vt:i4>3276918</vt:i4>
      </vt:variant>
      <vt:variant>
        <vt:i4>90</vt:i4>
      </vt:variant>
      <vt:variant>
        <vt:i4>0</vt:i4>
      </vt:variant>
      <vt:variant>
        <vt:i4>5</vt:i4>
      </vt:variant>
      <vt:variant>
        <vt:lpwstr>http://www.nevo.co.il/case/6244848</vt:lpwstr>
      </vt:variant>
      <vt:variant>
        <vt:lpwstr/>
      </vt:variant>
      <vt:variant>
        <vt:i4>3342457</vt:i4>
      </vt:variant>
      <vt:variant>
        <vt:i4>87</vt:i4>
      </vt:variant>
      <vt:variant>
        <vt:i4>0</vt:i4>
      </vt:variant>
      <vt:variant>
        <vt:i4>5</vt:i4>
      </vt:variant>
      <vt:variant>
        <vt:lpwstr>http://www.nevo.co.il/case/6175290</vt:lpwstr>
      </vt:variant>
      <vt:variant>
        <vt:lpwstr/>
      </vt:variant>
      <vt:variant>
        <vt:i4>3801206</vt:i4>
      </vt:variant>
      <vt:variant>
        <vt:i4>84</vt:i4>
      </vt:variant>
      <vt:variant>
        <vt:i4>0</vt:i4>
      </vt:variant>
      <vt:variant>
        <vt:i4>5</vt:i4>
      </vt:variant>
      <vt:variant>
        <vt:lpwstr>http://www.nevo.co.il/case/5797523</vt:lpwstr>
      </vt:variant>
      <vt:variant>
        <vt:lpwstr/>
      </vt:variant>
      <vt:variant>
        <vt:i4>3407989</vt:i4>
      </vt:variant>
      <vt:variant>
        <vt:i4>81</vt:i4>
      </vt:variant>
      <vt:variant>
        <vt:i4>0</vt:i4>
      </vt:variant>
      <vt:variant>
        <vt:i4>5</vt:i4>
      </vt:variant>
      <vt:variant>
        <vt:lpwstr>http://www.nevo.co.il/case/21015135</vt:lpwstr>
      </vt:variant>
      <vt:variant>
        <vt:lpwstr/>
      </vt:variant>
      <vt:variant>
        <vt:i4>3932282</vt:i4>
      </vt:variant>
      <vt:variant>
        <vt:i4>78</vt:i4>
      </vt:variant>
      <vt:variant>
        <vt:i4>0</vt:i4>
      </vt:variant>
      <vt:variant>
        <vt:i4>5</vt:i4>
      </vt:variant>
      <vt:variant>
        <vt:lpwstr>http://www.nevo.co.il/case/6245997</vt:lpwstr>
      </vt:variant>
      <vt:variant>
        <vt:lpwstr/>
      </vt:variant>
      <vt:variant>
        <vt:i4>3539059</vt:i4>
      </vt:variant>
      <vt:variant>
        <vt:i4>75</vt:i4>
      </vt:variant>
      <vt:variant>
        <vt:i4>0</vt:i4>
      </vt:variant>
      <vt:variant>
        <vt:i4>5</vt:i4>
      </vt:variant>
      <vt:variant>
        <vt:lpwstr>http://www.nevo.co.il/case/5594268</vt:lpwstr>
      </vt:variant>
      <vt:variant>
        <vt:lpwstr/>
      </vt:variant>
      <vt:variant>
        <vt:i4>3539067</vt:i4>
      </vt:variant>
      <vt:variant>
        <vt:i4>72</vt:i4>
      </vt:variant>
      <vt:variant>
        <vt:i4>0</vt:i4>
      </vt:variant>
      <vt:variant>
        <vt:i4>5</vt:i4>
      </vt:variant>
      <vt:variant>
        <vt:lpwstr>http://www.nevo.co.il/case/17015920</vt:lpwstr>
      </vt:variant>
      <vt:variant>
        <vt:lpwstr/>
      </vt:variant>
      <vt:variant>
        <vt:i4>3539057</vt:i4>
      </vt:variant>
      <vt:variant>
        <vt:i4>69</vt:i4>
      </vt:variant>
      <vt:variant>
        <vt:i4>0</vt:i4>
      </vt:variant>
      <vt:variant>
        <vt:i4>5</vt:i4>
      </vt:variant>
      <vt:variant>
        <vt:lpwstr>http://www.nevo.co.il/case/7958246</vt:lpwstr>
      </vt:variant>
      <vt:variant>
        <vt:lpwstr/>
      </vt:variant>
      <vt:variant>
        <vt:i4>4128884</vt:i4>
      </vt:variant>
      <vt:variant>
        <vt:i4>66</vt:i4>
      </vt:variant>
      <vt:variant>
        <vt:i4>0</vt:i4>
      </vt:variant>
      <vt:variant>
        <vt:i4>5</vt:i4>
      </vt:variant>
      <vt:variant>
        <vt:lpwstr>http://www.nevo.co.il/case/17954235</vt:lpwstr>
      </vt:variant>
      <vt:variant>
        <vt:lpwstr/>
      </vt:variant>
      <vt:variant>
        <vt:i4>3473521</vt:i4>
      </vt:variant>
      <vt:variant>
        <vt:i4>63</vt:i4>
      </vt:variant>
      <vt:variant>
        <vt:i4>0</vt:i4>
      </vt:variant>
      <vt:variant>
        <vt:i4>5</vt:i4>
      </vt:variant>
      <vt:variant>
        <vt:lpwstr>http://www.nevo.co.il/case/20033641</vt:lpwstr>
      </vt:variant>
      <vt:variant>
        <vt:lpwstr/>
      </vt:variant>
      <vt:variant>
        <vt:i4>4128884</vt:i4>
      </vt:variant>
      <vt:variant>
        <vt:i4>60</vt:i4>
      </vt:variant>
      <vt:variant>
        <vt:i4>0</vt:i4>
      </vt:variant>
      <vt:variant>
        <vt:i4>5</vt:i4>
      </vt:variant>
      <vt:variant>
        <vt:lpwstr>http://www.nevo.co.il/case/17954235</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4915283</vt:i4>
      </vt:variant>
      <vt:variant>
        <vt:i4>42</vt:i4>
      </vt:variant>
      <vt:variant>
        <vt:i4>0</vt:i4>
      </vt:variant>
      <vt:variant>
        <vt:i4>5</vt:i4>
      </vt:variant>
      <vt:variant>
        <vt:lpwstr>http://www.nevo.co.il/law/70301/402.b</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7143476</vt:i4>
      </vt:variant>
      <vt:variant>
        <vt:i4>36</vt:i4>
      </vt:variant>
      <vt:variant>
        <vt:i4>0</vt:i4>
      </vt:variant>
      <vt:variant>
        <vt:i4>5</vt:i4>
      </vt:variant>
      <vt:variant>
        <vt:lpwstr>http://www.nevo.co.il/law/70301/383.a.1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7143478</vt:i4>
      </vt:variant>
      <vt:variant>
        <vt:i4>30</vt:i4>
      </vt:variant>
      <vt:variant>
        <vt:i4>0</vt:i4>
      </vt:variant>
      <vt:variant>
        <vt:i4>5</vt:i4>
      </vt:variant>
      <vt:variant>
        <vt:lpwstr>http://www.nevo.co.il/law/70301/381.a.2</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6619173</vt:i4>
      </vt:variant>
      <vt:variant>
        <vt:i4>18</vt:i4>
      </vt:variant>
      <vt:variant>
        <vt:i4>0</vt:i4>
      </vt:variant>
      <vt:variant>
        <vt:i4>5</vt:i4>
      </vt:variant>
      <vt:variant>
        <vt:lpwstr>http://www.nevo.co.il/law/70301/40jc.c</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7143476</vt:i4>
      </vt:variant>
      <vt:variant>
        <vt:i4>9</vt:i4>
      </vt:variant>
      <vt:variant>
        <vt:i4>0</vt:i4>
      </vt:variant>
      <vt:variant>
        <vt:i4>5</vt:i4>
      </vt:variant>
      <vt:variant>
        <vt:lpwstr>http://www.nevo.co.il/law/70301/383.a.1</vt:lpwstr>
      </vt:variant>
      <vt:variant>
        <vt:lpwstr/>
      </vt:variant>
      <vt:variant>
        <vt:i4>7143478</vt:i4>
      </vt:variant>
      <vt:variant>
        <vt:i4>6</vt:i4>
      </vt:variant>
      <vt:variant>
        <vt:i4>0</vt:i4>
      </vt:variant>
      <vt:variant>
        <vt:i4>5</vt:i4>
      </vt:variant>
      <vt:variant>
        <vt:lpwstr>http://www.nevo.co.il/law/70301/381.a.2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32815</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דויטי גוגילשוילי</vt:lpwstr>
  </property>
  <property fmtid="{D5CDD505-2E9C-101B-9397-08002B2CF9AE}" pid="10" name="LAWYER">
    <vt:lpwstr>אולג פרגין</vt:lpwstr>
  </property>
  <property fmtid="{D5CDD505-2E9C-101B-9397-08002B2CF9AE}" pid="11" name="JUDGE">
    <vt:lpwstr>אברהים בולוס</vt:lpwstr>
  </property>
  <property fmtid="{D5CDD505-2E9C-101B-9397-08002B2CF9AE}" pid="12" name="CITY">
    <vt:lpwstr>חי'</vt:lpwstr>
  </property>
  <property fmtid="{D5CDD505-2E9C-101B-9397-08002B2CF9AE}" pid="13" name="DATE">
    <vt:lpwstr>20201020</vt:lpwstr>
  </property>
  <property fmtid="{D5CDD505-2E9C-101B-9397-08002B2CF9AE}" pid="14" name="TYPE_N_DATE">
    <vt:lpwstr>39020201020</vt:lpwstr>
  </property>
  <property fmtid="{D5CDD505-2E9C-101B-9397-08002B2CF9AE}" pid="15" name="WORDNUMPAGES">
    <vt:lpwstr>14</vt:lpwstr>
  </property>
  <property fmtid="{D5CDD505-2E9C-101B-9397-08002B2CF9AE}" pid="16" name="TYPE_ABS_DATE">
    <vt:lpwstr>390020201020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13093721;17954235:2;20033641;7958246;17015920;5594268;6245997;21015135:2;5797523;6175290;6244848:2;5585899;5707464;5719101;5841695;17932979;5726579;22824309;5819158;5733869;25885523;22341757;21552284;21546864;8433790</vt:lpwstr>
  </property>
  <property fmtid="{D5CDD505-2E9C-101B-9397-08002B2CF9AE}" pid="36" name="LAWLISTTMP1">
    <vt:lpwstr>70301/381.a.2;383.a.1;384;402.b;029;40jc.c</vt:lpwstr>
  </property>
  <property fmtid="{D5CDD505-2E9C-101B-9397-08002B2CF9AE}" pid="37" name="LAWLISTTMP2">
    <vt:lpwstr>4216/007.a;007.c</vt:lpwstr>
  </property>
</Properties>
</file>