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224A87" w:rsidRPr="0000212C" w14:paraId="0E8F61A3" w14:textId="77777777" w:rsidTr="008135D2">
        <w:trPr>
          <w:trHeight w:hRule="exact" w:val="418"/>
          <w:jc w:val="center"/>
        </w:trPr>
        <w:tc>
          <w:tcPr>
            <w:tcW w:w="8861" w:type="dxa"/>
            <w:gridSpan w:val="2"/>
          </w:tcPr>
          <w:p w14:paraId="766151E3" w14:textId="77777777" w:rsidR="00224A87" w:rsidRPr="0000212C" w:rsidRDefault="00224A87" w:rsidP="008135D2">
            <w:pPr>
              <w:pStyle w:val="a3"/>
              <w:jc w:val="center"/>
              <w:rPr>
                <w:rFonts w:ascii="Tahoma" w:hAnsi="Tahoma"/>
                <w:color w:val="000080"/>
                <w:sz w:val="32"/>
                <w:szCs w:val="32"/>
                <w:rtl/>
              </w:rPr>
            </w:pPr>
            <w:bookmarkStart w:id="0" w:name="LastJudge"/>
            <w:r w:rsidRPr="0000212C">
              <w:rPr>
                <w:rFonts w:ascii="Tahoma" w:hAnsi="Tahoma"/>
                <w:b/>
                <w:bCs/>
                <w:color w:val="000080"/>
                <w:sz w:val="32"/>
                <w:szCs w:val="32"/>
                <w:rtl/>
              </w:rPr>
              <w:t>בית המשפט המחוזי בתל אביב - יפו</w:t>
            </w:r>
          </w:p>
        </w:tc>
      </w:tr>
      <w:tr w:rsidR="00224A87" w:rsidRPr="0000212C" w14:paraId="45E42F8A" w14:textId="77777777" w:rsidTr="008135D2">
        <w:trPr>
          <w:trHeight w:val="337"/>
          <w:jc w:val="center"/>
        </w:trPr>
        <w:tc>
          <w:tcPr>
            <w:tcW w:w="5131" w:type="dxa"/>
          </w:tcPr>
          <w:p w14:paraId="2DA15A8C" w14:textId="77777777" w:rsidR="00224A87" w:rsidRPr="0000212C" w:rsidRDefault="00224A87" w:rsidP="008135D2">
            <w:pPr>
              <w:rPr>
                <w:rFonts w:ascii="David" w:hAnsi="David"/>
                <w:sz w:val="26"/>
                <w:szCs w:val="26"/>
                <w:rtl/>
              </w:rPr>
            </w:pPr>
            <w:r w:rsidRPr="0000212C">
              <w:rPr>
                <w:rFonts w:ascii="David" w:hAnsi="David"/>
                <w:sz w:val="26"/>
                <w:szCs w:val="26"/>
                <w:rtl/>
              </w:rPr>
              <w:t>ת"פ 37454-03-20 מדינת ישראל נ' רחימי(עציר)</w:t>
            </w:r>
          </w:p>
          <w:p w14:paraId="221B6668" w14:textId="77777777" w:rsidR="00224A87" w:rsidRPr="0000212C" w:rsidRDefault="00224A87" w:rsidP="008135D2">
            <w:pPr>
              <w:pStyle w:val="a3"/>
              <w:rPr>
                <w:rFonts w:ascii="David" w:hAnsi="David"/>
                <w:sz w:val="28"/>
                <w:szCs w:val="28"/>
                <w:rtl/>
              </w:rPr>
            </w:pPr>
          </w:p>
        </w:tc>
        <w:tc>
          <w:tcPr>
            <w:tcW w:w="3730" w:type="dxa"/>
          </w:tcPr>
          <w:p w14:paraId="10346A71" w14:textId="77777777" w:rsidR="00224A87" w:rsidRPr="0000212C" w:rsidRDefault="00224A87" w:rsidP="008135D2">
            <w:pPr>
              <w:pStyle w:val="a3"/>
              <w:jc w:val="right"/>
              <w:rPr>
                <w:rFonts w:ascii="David" w:hAnsi="David"/>
                <w:sz w:val="28"/>
                <w:szCs w:val="28"/>
                <w:rtl/>
              </w:rPr>
            </w:pPr>
            <w:r w:rsidRPr="0000212C">
              <w:rPr>
                <w:rFonts w:ascii="David" w:hAnsi="David"/>
                <w:sz w:val="28"/>
                <w:szCs w:val="28"/>
                <w:rtl/>
              </w:rPr>
              <w:t>6 ספטמבר 2020</w:t>
            </w:r>
          </w:p>
        </w:tc>
      </w:tr>
    </w:tbl>
    <w:p w14:paraId="5E00ADB4" w14:textId="77777777" w:rsidR="00224A87" w:rsidRPr="0000212C" w:rsidRDefault="00224A87" w:rsidP="00224A87">
      <w:pPr>
        <w:pStyle w:val="a3"/>
        <w:rPr>
          <w:rtl/>
        </w:rPr>
      </w:pPr>
      <w:r w:rsidRPr="0000212C">
        <w:rPr>
          <w:rFonts w:hint="cs"/>
          <w:rtl/>
        </w:rPr>
        <w:t xml:space="preserve"> </w:t>
      </w:r>
    </w:p>
    <w:p w14:paraId="5B14B3CC" w14:textId="77777777" w:rsidR="00224A87" w:rsidRPr="0000212C" w:rsidRDefault="00224A87" w:rsidP="00224A87">
      <w:pPr>
        <w:rPr>
          <w:rtl/>
        </w:rPr>
      </w:pPr>
    </w:p>
    <w:p w14:paraId="4442780B" w14:textId="77777777" w:rsidR="00224A87" w:rsidRPr="0000212C" w:rsidRDefault="00224A87" w:rsidP="00224A8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7625"/>
      </w:tblGrid>
      <w:tr w:rsidR="00224A87" w:rsidRPr="0000212C" w14:paraId="17D5A023" w14:textId="77777777" w:rsidTr="00224A87">
        <w:trPr>
          <w:trHeight w:val="295"/>
          <w:jc w:val="center"/>
        </w:trPr>
        <w:tc>
          <w:tcPr>
            <w:tcW w:w="8820" w:type="dxa"/>
            <w:gridSpan w:val="2"/>
            <w:tcBorders>
              <w:top w:val="nil"/>
              <w:left w:val="nil"/>
              <w:bottom w:val="nil"/>
              <w:right w:val="nil"/>
            </w:tcBorders>
            <w:shd w:val="clear" w:color="auto" w:fill="auto"/>
          </w:tcPr>
          <w:p w14:paraId="45041D28" w14:textId="77777777" w:rsidR="00224A87" w:rsidRPr="0000212C" w:rsidRDefault="00224A87" w:rsidP="00224A87">
            <w:pPr>
              <w:jc w:val="both"/>
              <w:rPr>
                <w:rFonts w:ascii="David" w:hAnsi="David"/>
                <w:b/>
                <w:bCs/>
                <w:sz w:val="26"/>
                <w:szCs w:val="26"/>
              </w:rPr>
            </w:pPr>
            <w:r w:rsidRPr="0000212C">
              <w:rPr>
                <w:rFonts w:ascii="David" w:hAnsi="David"/>
                <w:b/>
                <w:bCs/>
                <w:sz w:val="26"/>
                <w:szCs w:val="26"/>
                <w:rtl/>
              </w:rPr>
              <w:t>לפני</w:t>
            </w:r>
            <w:r w:rsidRPr="0000212C">
              <w:rPr>
                <w:rFonts w:ascii="David" w:hAnsi="David" w:hint="cs"/>
                <w:b/>
                <w:bCs/>
                <w:sz w:val="26"/>
                <w:szCs w:val="26"/>
                <w:rtl/>
              </w:rPr>
              <w:t xml:space="preserve"> </w:t>
            </w:r>
            <w:r w:rsidRPr="0000212C">
              <w:rPr>
                <w:rFonts w:ascii="David" w:hAnsi="David"/>
                <w:b/>
                <w:bCs/>
                <w:sz w:val="26"/>
                <w:szCs w:val="26"/>
                <w:rtl/>
              </w:rPr>
              <w:t>כבוד ה</w:t>
            </w:r>
            <w:r w:rsidRPr="0000212C">
              <w:rPr>
                <w:rFonts w:ascii="David" w:hAnsi="David" w:hint="cs"/>
                <w:b/>
                <w:bCs/>
                <w:sz w:val="26"/>
                <w:szCs w:val="26"/>
                <w:rtl/>
              </w:rPr>
              <w:t>ש</w:t>
            </w:r>
            <w:r w:rsidRPr="0000212C">
              <w:rPr>
                <w:rFonts w:ascii="David" w:hAnsi="David"/>
                <w:b/>
                <w:bCs/>
                <w:sz w:val="26"/>
                <w:szCs w:val="26"/>
                <w:rtl/>
              </w:rPr>
              <w:t>ופט  בני שגיא</w:t>
            </w:r>
          </w:p>
          <w:p w14:paraId="49DF553B" w14:textId="77777777" w:rsidR="00224A87" w:rsidRPr="0000212C" w:rsidRDefault="00224A87" w:rsidP="008135D2">
            <w:pPr>
              <w:rPr>
                <w:rFonts w:ascii="David" w:hAnsi="David"/>
                <w:sz w:val="26"/>
                <w:szCs w:val="26"/>
              </w:rPr>
            </w:pPr>
          </w:p>
        </w:tc>
      </w:tr>
      <w:tr w:rsidR="009B7383" w:rsidRPr="0000212C" w14:paraId="6A9E999B" w14:textId="77777777" w:rsidTr="00224A87">
        <w:trPr>
          <w:gridAfter w:val="1"/>
          <w:wAfter w:w="7625" w:type="dxa"/>
          <w:trHeight w:val="80"/>
          <w:jc w:val="center"/>
        </w:trPr>
        <w:tc>
          <w:tcPr>
            <w:tcW w:w="1195" w:type="dxa"/>
            <w:tcBorders>
              <w:top w:val="nil"/>
              <w:left w:val="nil"/>
              <w:bottom w:val="nil"/>
              <w:right w:val="nil"/>
            </w:tcBorders>
            <w:shd w:val="clear" w:color="auto" w:fill="auto"/>
          </w:tcPr>
          <w:p w14:paraId="796D212C" w14:textId="77777777" w:rsidR="009B7383" w:rsidRPr="0000212C" w:rsidRDefault="009B7383" w:rsidP="00224A87">
            <w:pPr>
              <w:jc w:val="both"/>
              <w:rPr>
                <w:rFonts w:ascii="David" w:hAnsi="David"/>
                <w:b/>
                <w:bCs/>
                <w:sz w:val="32"/>
                <w:szCs w:val="32"/>
                <w:rtl/>
              </w:rPr>
            </w:pPr>
          </w:p>
        </w:tc>
      </w:tr>
    </w:tbl>
    <w:p w14:paraId="6177BCA1" w14:textId="77777777" w:rsidR="00224A87" w:rsidRPr="0000212C" w:rsidRDefault="00224A87" w:rsidP="00224A87">
      <w:pPr>
        <w:rPr>
          <w:vanish/>
        </w:rPr>
      </w:pPr>
    </w:p>
    <w:tbl>
      <w:tblPr>
        <w:bidiVisual/>
        <w:tblW w:w="8460" w:type="dxa"/>
        <w:tblInd w:w="447" w:type="dxa"/>
        <w:tblLook w:val="01E0" w:firstRow="1" w:lastRow="1" w:firstColumn="1" w:lastColumn="1" w:noHBand="0" w:noVBand="0"/>
      </w:tblPr>
      <w:tblGrid>
        <w:gridCol w:w="2538"/>
        <w:gridCol w:w="5922"/>
      </w:tblGrid>
      <w:tr w:rsidR="00224A87" w:rsidRPr="0000212C" w14:paraId="1F0B68DC" w14:textId="77777777" w:rsidTr="00224A87">
        <w:trPr>
          <w:cantSplit/>
          <w:trHeight w:val="724"/>
        </w:trPr>
        <w:tc>
          <w:tcPr>
            <w:tcW w:w="2538" w:type="dxa"/>
            <w:shd w:val="clear" w:color="auto" w:fill="auto"/>
          </w:tcPr>
          <w:p w14:paraId="498C46DA" w14:textId="77777777" w:rsidR="00224A87" w:rsidRPr="0000212C" w:rsidRDefault="00224A87" w:rsidP="00224A87">
            <w:pPr>
              <w:ind w:left="1267" w:hanging="1267"/>
              <w:jc w:val="both"/>
              <w:rPr>
                <w:rFonts w:ascii="David" w:eastAsia="David" w:hAnsi="David"/>
                <w:b/>
                <w:bCs/>
              </w:rPr>
            </w:pPr>
            <w:bookmarkStart w:id="1" w:name="FirstAppellant"/>
            <w:bookmarkStart w:id="2" w:name="FirstLawyer"/>
            <w:r w:rsidRPr="0000212C">
              <w:rPr>
                <w:rFonts w:ascii="David" w:hAnsi="David"/>
                <w:b/>
                <w:bCs/>
                <w:rtl/>
              </w:rPr>
              <w:t>המאשימה</w:t>
            </w:r>
          </w:p>
        </w:tc>
        <w:tc>
          <w:tcPr>
            <w:tcW w:w="5922" w:type="dxa"/>
            <w:shd w:val="clear" w:color="auto" w:fill="auto"/>
          </w:tcPr>
          <w:p w14:paraId="2586F549" w14:textId="77777777" w:rsidR="00224A87" w:rsidRPr="0000212C" w:rsidRDefault="00224A87" w:rsidP="00224A87">
            <w:pPr>
              <w:spacing w:line="360" w:lineRule="auto"/>
              <w:ind w:left="1267" w:hanging="1267"/>
              <w:jc w:val="both"/>
              <w:rPr>
                <w:rFonts w:ascii="David" w:hAnsi="David"/>
                <w:b/>
                <w:bCs/>
              </w:rPr>
            </w:pPr>
            <w:r w:rsidRPr="0000212C">
              <w:rPr>
                <w:rFonts w:ascii="David" w:hAnsi="David"/>
                <w:b/>
                <w:bCs/>
                <w:rtl/>
              </w:rPr>
              <w:t>מדינת ישראל</w:t>
            </w:r>
          </w:p>
          <w:p w14:paraId="457CAE10" w14:textId="77777777" w:rsidR="00224A87" w:rsidRPr="0000212C" w:rsidRDefault="00224A87" w:rsidP="00224A87">
            <w:pPr>
              <w:spacing w:line="360" w:lineRule="auto"/>
              <w:ind w:left="1267" w:hanging="1267"/>
              <w:jc w:val="both"/>
              <w:rPr>
                <w:rFonts w:ascii="David" w:hAnsi="David"/>
                <w:rtl/>
              </w:rPr>
            </w:pPr>
            <w:r w:rsidRPr="0000212C">
              <w:rPr>
                <w:rFonts w:ascii="David" w:hAnsi="David"/>
                <w:rtl/>
              </w:rPr>
              <w:t>על-ידי ב"כ עו"ד רוזי כבאז</w:t>
            </w:r>
          </w:p>
          <w:p w14:paraId="5B2E6CA9" w14:textId="77777777" w:rsidR="00224A87" w:rsidRPr="0000212C" w:rsidRDefault="00224A87" w:rsidP="00224A87">
            <w:pPr>
              <w:spacing w:line="360" w:lineRule="auto"/>
              <w:ind w:left="1267" w:hanging="1267"/>
              <w:jc w:val="both"/>
              <w:rPr>
                <w:rFonts w:ascii="David" w:hAnsi="David"/>
                <w:rtl/>
              </w:rPr>
            </w:pPr>
            <w:r w:rsidRPr="0000212C">
              <w:rPr>
                <w:rFonts w:ascii="David" w:hAnsi="David"/>
                <w:rtl/>
              </w:rPr>
              <w:t>באמצעות פרקליטות מחוז תל-אביב (פלילי)</w:t>
            </w:r>
          </w:p>
        </w:tc>
      </w:tr>
      <w:bookmarkEnd w:id="1"/>
      <w:bookmarkEnd w:id="2"/>
      <w:tr w:rsidR="00224A87" w:rsidRPr="0000212C" w14:paraId="54FD2305" w14:textId="77777777" w:rsidTr="00224A87">
        <w:tc>
          <w:tcPr>
            <w:tcW w:w="8460" w:type="dxa"/>
            <w:gridSpan w:val="2"/>
            <w:shd w:val="clear" w:color="auto" w:fill="auto"/>
            <w:vAlign w:val="center"/>
          </w:tcPr>
          <w:p w14:paraId="13C2951E" w14:textId="77777777" w:rsidR="00224A87" w:rsidRPr="0000212C" w:rsidRDefault="00224A87" w:rsidP="00224A87">
            <w:pPr>
              <w:ind w:left="1267" w:hanging="1267"/>
              <w:jc w:val="both"/>
              <w:rPr>
                <w:rFonts w:ascii="David" w:hAnsi="David"/>
                <w:b/>
                <w:bCs/>
                <w:rtl/>
              </w:rPr>
            </w:pPr>
          </w:p>
          <w:p w14:paraId="2ADF6788" w14:textId="77777777" w:rsidR="00224A87" w:rsidRPr="0000212C" w:rsidRDefault="00224A87" w:rsidP="00224A87">
            <w:pPr>
              <w:ind w:left="1267" w:hanging="1267"/>
              <w:jc w:val="center"/>
              <w:rPr>
                <w:rFonts w:ascii="David" w:hAnsi="David"/>
                <w:b/>
                <w:bCs/>
                <w:rtl/>
              </w:rPr>
            </w:pPr>
            <w:r w:rsidRPr="0000212C">
              <w:rPr>
                <w:rFonts w:ascii="David" w:hAnsi="David"/>
                <w:b/>
                <w:bCs/>
                <w:rtl/>
              </w:rPr>
              <w:t>נגד</w:t>
            </w:r>
          </w:p>
          <w:p w14:paraId="579398C2" w14:textId="77777777" w:rsidR="00224A87" w:rsidRPr="0000212C" w:rsidRDefault="00224A87" w:rsidP="00224A87">
            <w:pPr>
              <w:ind w:left="1267" w:hanging="1267"/>
              <w:jc w:val="both"/>
              <w:rPr>
                <w:rFonts w:ascii="David" w:hAnsi="David"/>
                <w:b/>
                <w:bCs/>
              </w:rPr>
            </w:pPr>
          </w:p>
          <w:p w14:paraId="545827D6" w14:textId="77777777" w:rsidR="00224A87" w:rsidRPr="0000212C" w:rsidRDefault="00224A87" w:rsidP="00224A87">
            <w:pPr>
              <w:ind w:left="1267" w:hanging="1267"/>
              <w:jc w:val="both"/>
              <w:rPr>
                <w:rFonts w:ascii="David" w:hAnsi="David"/>
                <w:b/>
                <w:bCs/>
              </w:rPr>
            </w:pPr>
          </w:p>
        </w:tc>
      </w:tr>
      <w:tr w:rsidR="00224A87" w:rsidRPr="0000212C" w14:paraId="08D4AB7E" w14:textId="77777777" w:rsidTr="00224A87">
        <w:tc>
          <w:tcPr>
            <w:tcW w:w="2538" w:type="dxa"/>
            <w:shd w:val="clear" w:color="auto" w:fill="auto"/>
          </w:tcPr>
          <w:p w14:paraId="0E354E56" w14:textId="77777777" w:rsidR="00224A87" w:rsidRPr="0000212C" w:rsidRDefault="00224A87" w:rsidP="00224A87">
            <w:pPr>
              <w:ind w:left="1267" w:hanging="1267"/>
              <w:jc w:val="both"/>
              <w:rPr>
                <w:rFonts w:ascii="David" w:hAnsi="David"/>
                <w:b/>
                <w:bCs/>
                <w:rtl/>
              </w:rPr>
            </w:pPr>
            <w:r w:rsidRPr="0000212C">
              <w:rPr>
                <w:rFonts w:ascii="David" w:hAnsi="David"/>
                <w:b/>
                <w:bCs/>
                <w:rtl/>
              </w:rPr>
              <w:t>הנאשם</w:t>
            </w:r>
          </w:p>
        </w:tc>
        <w:tc>
          <w:tcPr>
            <w:tcW w:w="5922" w:type="dxa"/>
            <w:shd w:val="clear" w:color="auto" w:fill="auto"/>
          </w:tcPr>
          <w:p w14:paraId="2E0AF2B7" w14:textId="77777777" w:rsidR="00224A87" w:rsidRPr="0000212C" w:rsidRDefault="00224A87" w:rsidP="00224A87">
            <w:pPr>
              <w:spacing w:line="360" w:lineRule="auto"/>
              <w:ind w:left="1267" w:hanging="1267"/>
              <w:jc w:val="both"/>
              <w:rPr>
                <w:rFonts w:ascii="David" w:hAnsi="David"/>
                <w:b/>
                <w:bCs/>
              </w:rPr>
            </w:pPr>
            <w:r w:rsidRPr="0000212C">
              <w:rPr>
                <w:rFonts w:ascii="David" w:hAnsi="David"/>
                <w:b/>
                <w:bCs/>
                <w:rtl/>
              </w:rPr>
              <w:t xml:space="preserve">יצחק רחימי ת"ז </w:t>
            </w:r>
            <w:r w:rsidR="0000212C">
              <w:rPr>
                <w:rFonts w:ascii="David" w:hAnsi="David"/>
                <w:b/>
                <w:bCs/>
              </w:rPr>
              <w:t>xxxxxxxxx</w:t>
            </w:r>
          </w:p>
          <w:p w14:paraId="750E162B" w14:textId="77777777" w:rsidR="00224A87" w:rsidRPr="0000212C" w:rsidRDefault="00224A87" w:rsidP="00224A87">
            <w:pPr>
              <w:ind w:left="1267" w:hanging="1267"/>
              <w:jc w:val="both"/>
              <w:rPr>
                <w:rFonts w:ascii="David" w:hAnsi="David"/>
              </w:rPr>
            </w:pPr>
            <w:r w:rsidRPr="0000212C">
              <w:rPr>
                <w:rFonts w:ascii="David" w:hAnsi="David"/>
                <w:rtl/>
              </w:rPr>
              <w:t>על-ידי ב"כ עו"ד ציון אמיר</w:t>
            </w:r>
          </w:p>
          <w:p w14:paraId="38755899" w14:textId="77777777" w:rsidR="00224A87" w:rsidRPr="0000212C" w:rsidRDefault="00224A87" w:rsidP="00224A87">
            <w:pPr>
              <w:ind w:left="1267" w:hanging="1267"/>
              <w:jc w:val="both"/>
              <w:rPr>
                <w:rFonts w:ascii="David" w:hAnsi="David"/>
                <w:b/>
                <w:bCs/>
                <w:rtl/>
              </w:rPr>
            </w:pPr>
          </w:p>
        </w:tc>
      </w:tr>
    </w:tbl>
    <w:p w14:paraId="61C3C64E" w14:textId="77777777" w:rsidR="009B7383" w:rsidRDefault="009B7383" w:rsidP="00224A87">
      <w:pPr>
        <w:spacing w:line="360" w:lineRule="auto"/>
        <w:rPr>
          <w:rFonts w:ascii="David" w:hAnsi="David"/>
          <w:sz w:val="28"/>
          <w:szCs w:val="28"/>
          <w:rtl/>
        </w:rPr>
      </w:pPr>
    </w:p>
    <w:p w14:paraId="2E9B8DC1" w14:textId="77777777" w:rsidR="009B7383" w:rsidRPr="009B7383" w:rsidRDefault="009B7383" w:rsidP="009B7383">
      <w:pPr>
        <w:spacing w:after="120" w:line="240" w:lineRule="exact"/>
        <w:ind w:left="283" w:hanging="283"/>
        <w:jc w:val="both"/>
        <w:rPr>
          <w:rFonts w:ascii="FrankRuehl" w:hAnsi="FrankRuehl" w:cs="FrankRuehl"/>
          <w:rtl/>
        </w:rPr>
      </w:pPr>
    </w:p>
    <w:p w14:paraId="209A02C7" w14:textId="77777777" w:rsidR="00514193" w:rsidRDefault="00514193" w:rsidP="00514193">
      <w:pPr>
        <w:spacing w:line="360" w:lineRule="auto"/>
        <w:jc w:val="center"/>
        <w:rPr>
          <w:rFonts w:ascii="David" w:hAnsi="David"/>
          <w:sz w:val="32"/>
          <w:szCs w:val="32"/>
          <w:rtl/>
        </w:rPr>
      </w:pPr>
      <w:bookmarkStart w:id="3" w:name="LawTable"/>
      <w:bookmarkEnd w:id="3"/>
    </w:p>
    <w:p w14:paraId="4F6941B7" w14:textId="77777777" w:rsidR="00514193" w:rsidRPr="00514193" w:rsidRDefault="00514193" w:rsidP="00514193">
      <w:pPr>
        <w:spacing w:before="120" w:after="120" w:line="240" w:lineRule="exact"/>
        <w:ind w:left="283" w:hanging="283"/>
        <w:jc w:val="both"/>
        <w:rPr>
          <w:rFonts w:ascii="FrankRuehl" w:hAnsi="FrankRuehl" w:cs="FrankRuehl"/>
          <w:rtl/>
        </w:rPr>
      </w:pPr>
    </w:p>
    <w:p w14:paraId="140AF6E1" w14:textId="77777777" w:rsidR="00514193" w:rsidRPr="00514193" w:rsidRDefault="00514193" w:rsidP="00514193">
      <w:pPr>
        <w:spacing w:before="120" w:after="120" w:line="240" w:lineRule="exact"/>
        <w:ind w:left="283" w:hanging="283"/>
        <w:jc w:val="both"/>
        <w:rPr>
          <w:rFonts w:ascii="FrankRuehl" w:hAnsi="FrankRuehl" w:cs="FrankRuehl"/>
          <w:rtl/>
        </w:rPr>
      </w:pPr>
    </w:p>
    <w:p w14:paraId="03ADD0B6" w14:textId="77777777" w:rsidR="00514193" w:rsidRPr="00514193" w:rsidRDefault="00514193" w:rsidP="00514193">
      <w:pPr>
        <w:spacing w:before="120" w:after="120" w:line="240" w:lineRule="exact"/>
        <w:ind w:left="283" w:hanging="283"/>
        <w:jc w:val="both"/>
        <w:rPr>
          <w:rFonts w:ascii="FrankRuehl" w:hAnsi="FrankRuehl" w:cs="FrankRuehl"/>
          <w:rtl/>
        </w:rPr>
      </w:pPr>
      <w:r w:rsidRPr="00514193">
        <w:rPr>
          <w:rFonts w:ascii="FrankRuehl" w:hAnsi="FrankRuehl" w:cs="FrankRuehl"/>
          <w:rtl/>
        </w:rPr>
        <w:t xml:space="preserve">חקיקה שאוזכרה: </w:t>
      </w:r>
    </w:p>
    <w:p w14:paraId="3E2C87B8" w14:textId="77777777" w:rsidR="00514193" w:rsidRPr="00514193" w:rsidRDefault="00514193" w:rsidP="00514193">
      <w:pPr>
        <w:spacing w:before="120" w:after="120" w:line="240" w:lineRule="exact"/>
        <w:ind w:left="283" w:hanging="283"/>
        <w:jc w:val="both"/>
        <w:rPr>
          <w:rFonts w:ascii="FrankRuehl" w:hAnsi="FrankRuehl" w:cs="FrankRuehl"/>
          <w:rtl/>
        </w:rPr>
      </w:pPr>
      <w:hyperlink r:id="rId7" w:history="1">
        <w:r w:rsidRPr="00514193">
          <w:rPr>
            <w:rFonts w:ascii="FrankRuehl" w:hAnsi="FrankRuehl" w:cs="FrankRuehl"/>
            <w:color w:val="0000FF"/>
            <w:rtl/>
          </w:rPr>
          <w:t>פקודת הסמים המסוכנים [נוסח חדש], תשל"ג-1973</w:t>
        </w:r>
      </w:hyperlink>
      <w:r w:rsidRPr="00514193">
        <w:rPr>
          <w:rFonts w:ascii="FrankRuehl" w:hAnsi="FrankRuehl" w:cs="FrankRuehl"/>
          <w:rtl/>
        </w:rPr>
        <w:t xml:space="preserve">: סע'  </w:t>
      </w:r>
      <w:hyperlink r:id="rId8" w:history="1">
        <w:r w:rsidRPr="00514193">
          <w:rPr>
            <w:rFonts w:ascii="FrankRuehl" w:hAnsi="FrankRuehl" w:cs="FrankRuehl"/>
            <w:color w:val="0000FF"/>
            <w:rtl/>
          </w:rPr>
          <w:t>7.א.</w:t>
        </w:r>
      </w:hyperlink>
      <w:r w:rsidRPr="00514193">
        <w:rPr>
          <w:rFonts w:ascii="FrankRuehl" w:hAnsi="FrankRuehl" w:cs="FrankRuehl"/>
          <w:rtl/>
        </w:rPr>
        <w:t xml:space="preserve">, </w:t>
      </w:r>
      <w:hyperlink r:id="rId9" w:history="1">
        <w:r w:rsidRPr="00514193">
          <w:rPr>
            <w:rFonts w:ascii="FrankRuehl" w:hAnsi="FrankRuehl" w:cs="FrankRuehl"/>
            <w:color w:val="0000FF"/>
            <w:rtl/>
          </w:rPr>
          <w:t>7.ג</w:t>
        </w:r>
      </w:hyperlink>
      <w:r w:rsidRPr="00514193">
        <w:rPr>
          <w:rFonts w:ascii="FrankRuehl" w:hAnsi="FrankRuehl" w:cs="FrankRuehl"/>
          <w:rtl/>
        </w:rPr>
        <w:t xml:space="preserve">, </w:t>
      </w:r>
      <w:hyperlink r:id="rId10" w:history="1">
        <w:r w:rsidRPr="00514193">
          <w:rPr>
            <w:rFonts w:ascii="FrankRuehl" w:hAnsi="FrankRuehl" w:cs="FrankRuehl"/>
            <w:color w:val="0000FF"/>
            <w:rtl/>
          </w:rPr>
          <w:t>13</w:t>
        </w:r>
      </w:hyperlink>
      <w:r w:rsidRPr="00514193">
        <w:rPr>
          <w:rFonts w:ascii="FrankRuehl" w:hAnsi="FrankRuehl" w:cs="FrankRuehl"/>
          <w:rtl/>
        </w:rPr>
        <w:t xml:space="preserve">, </w:t>
      </w:r>
      <w:hyperlink r:id="rId11" w:history="1">
        <w:r w:rsidRPr="00514193">
          <w:rPr>
            <w:rFonts w:ascii="FrankRuehl" w:hAnsi="FrankRuehl" w:cs="FrankRuehl"/>
            <w:color w:val="0000FF"/>
            <w:rtl/>
          </w:rPr>
          <w:t>19.א</w:t>
        </w:r>
      </w:hyperlink>
    </w:p>
    <w:p w14:paraId="4D5F8120" w14:textId="77777777" w:rsidR="00514193" w:rsidRPr="00514193" w:rsidRDefault="00514193" w:rsidP="00514193">
      <w:pPr>
        <w:spacing w:line="360" w:lineRule="auto"/>
        <w:jc w:val="center"/>
        <w:rPr>
          <w:rFonts w:ascii="David" w:hAnsi="David"/>
          <w:sz w:val="32"/>
          <w:szCs w:val="32"/>
          <w:rtl/>
        </w:rPr>
      </w:pPr>
      <w:bookmarkStart w:id="4" w:name="LawTable_End"/>
      <w:bookmarkEnd w:id="4"/>
    </w:p>
    <w:p w14:paraId="63E975F3" w14:textId="77777777" w:rsidR="0000212C" w:rsidRPr="0000212C" w:rsidRDefault="0000212C" w:rsidP="00224A87">
      <w:pPr>
        <w:spacing w:line="360" w:lineRule="auto"/>
        <w:jc w:val="center"/>
        <w:rPr>
          <w:rFonts w:ascii="David" w:hAnsi="David"/>
          <w:b/>
          <w:bCs/>
          <w:sz w:val="32"/>
          <w:szCs w:val="32"/>
          <w:rtl/>
        </w:rPr>
      </w:pPr>
    </w:p>
    <w:p w14:paraId="0E5ED681" w14:textId="77777777" w:rsidR="0000212C" w:rsidRPr="0000212C" w:rsidRDefault="0000212C" w:rsidP="0000212C">
      <w:pPr>
        <w:pStyle w:val="a9"/>
        <w:spacing w:before="240" w:after="240" w:line="360" w:lineRule="auto"/>
        <w:ind w:left="360"/>
        <w:contextualSpacing w:val="0"/>
        <w:jc w:val="center"/>
        <w:rPr>
          <w:rFonts w:ascii="David" w:eastAsia="Times New Roman" w:hAnsi="David" w:cs="David"/>
          <w:b/>
          <w:bCs/>
          <w:sz w:val="32"/>
          <w:szCs w:val="32"/>
          <w:u w:val="single"/>
          <w:rtl/>
        </w:rPr>
      </w:pPr>
      <w:bookmarkStart w:id="5" w:name="PsakDin"/>
      <w:bookmarkEnd w:id="0"/>
      <w:r w:rsidRPr="0000212C">
        <w:rPr>
          <w:rFonts w:ascii="David" w:eastAsia="Times New Roman" w:hAnsi="David" w:cs="David"/>
          <w:b/>
          <w:bCs/>
          <w:sz w:val="32"/>
          <w:szCs w:val="32"/>
          <w:u w:val="single"/>
          <w:rtl/>
        </w:rPr>
        <w:t>גזר דין</w:t>
      </w:r>
    </w:p>
    <w:bookmarkEnd w:id="5"/>
    <w:p w14:paraId="6757C391" w14:textId="77777777" w:rsidR="00224A87" w:rsidRPr="00FD72E7" w:rsidRDefault="00224A87" w:rsidP="00224A87">
      <w:pPr>
        <w:pStyle w:val="a9"/>
        <w:spacing w:before="240" w:after="240" w:line="360" w:lineRule="auto"/>
        <w:ind w:left="360"/>
        <w:contextualSpacing w:val="0"/>
        <w:jc w:val="both"/>
        <w:rPr>
          <w:rFonts w:ascii="David" w:hAnsi="David" w:cs="David"/>
          <w:b/>
          <w:bCs/>
          <w:sz w:val="24"/>
          <w:szCs w:val="24"/>
          <w:u w:val="single"/>
        </w:rPr>
      </w:pPr>
      <w:r>
        <w:rPr>
          <w:rFonts w:ascii="David" w:hAnsi="David" w:cs="David" w:hint="cs"/>
          <w:b/>
          <w:bCs/>
          <w:sz w:val="24"/>
          <w:szCs w:val="24"/>
          <w:u w:val="single"/>
          <w:rtl/>
        </w:rPr>
        <w:t>כללי</w:t>
      </w:r>
    </w:p>
    <w:p w14:paraId="2CF66E10" w14:textId="77777777" w:rsidR="00224A87" w:rsidRDefault="00224A87" w:rsidP="00224A87">
      <w:pPr>
        <w:pStyle w:val="a9"/>
        <w:numPr>
          <w:ilvl w:val="0"/>
          <w:numId w:val="1"/>
        </w:numPr>
        <w:spacing w:before="240" w:after="240" w:line="360" w:lineRule="auto"/>
        <w:contextualSpacing w:val="0"/>
        <w:jc w:val="both"/>
        <w:rPr>
          <w:rFonts w:ascii="David" w:hAnsi="David" w:cs="David"/>
          <w:sz w:val="24"/>
          <w:szCs w:val="24"/>
        </w:rPr>
      </w:pPr>
      <w:bookmarkStart w:id="6" w:name="ABSTRACT_START"/>
      <w:bookmarkEnd w:id="6"/>
      <w:r>
        <w:rPr>
          <w:rFonts w:ascii="David" w:hAnsi="David" w:cs="David"/>
          <w:sz w:val="24"/>
          <w:szCs w:val="24"/>
          <w:rtl/>
        </w:rPr>
        <w:t xml:space="preserve">הנאשם הורשע על יסוד הודאתו בעובדות כתב האישום המתוקן בעבירות של החזקת סם מסוכן שלא לצריכה עצמית, לפי סעיף </w:t>
      </w:r>
      <w:hyperlink r:id="rId12" w:history="1">
        <w:r w:rsidR="009B7383" w:rsidRPr="009B7383">
          <w:rPr>
            <w:rStyle w:val="Hyperlink"/>
            <w:rFonts w:ascii="David" w:hAnsi="David" w:cs="David"/>
            <w:sz w:val="24"/>
            <w:szCs w:val="24"/>
            <w:rtl/>
          </w:rPr>
          <w:t>7(א) ו- (ג)</w:t>
        </w:r>
      </w:hyperlink>
      <w:r>
        <w:rPr>
          <w:rFonts w:ascii="David" w:hAnsi="David" w:cs="David"/>
          <w:sz w:val="24"/>
          <w:szCs w:val="24"/>
          <w:rtl/>
        </w:rPr>
        <w:t xml:space="preserve"> רישא ל</w:t>
      </w:r>
      <w:hyperlink r:id="rId13" w:history="1">
        <w:r w:rsidR="0000212C" w:rsidRPr="0000212C">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תשל"ג-1973 (להלן - </w:t>
      </w:r>
      <w:r>
        <w:rPr>
          <w:rFonts w:ascii="David" w:hAnsi="David" w:cs="David"/>
          <w:b/>
          <w:bCs/>
          <w:sz w:val="24"/>
          <w:szCs w:val="24"/>
          <w:rtl/>
        </w:rPr>
        <w:t>פקודת הסמים</w:t>
      </w:r>
      <w:r>
        <w:rPr>
          <w:rFonts w:ascii="David" w:hAnsi="David" w:cs="David"/>
          <w:sz w:val="24"/>
          <w:szCs w:val="24"/>
          <w:rtl/>
        </w:rPr>
        <w:t xml:space="preserve">), וייבוא סם מסוכן, לפי סעיפים </w:t>
      </w:r>
      <w:hyperlink r:id="rId14" w:history="1">
        <w:r w:rsidR="009B7383" w:rsidRPr="009B7383">
          <w:rPr>
            <w:rStyle w:val="Hyperlink"/>
            <w:rFonts w:ascii="David" w:hAnsi="David" w:cs="David"/>
            <w:sz w:val="24"/>
            <w:szCs w:val="24"/>
            <w:rtl/>
          </w:rPr>
          <w:t>13 ו- 19א</w:t>
        </w:r>
      </w:hyperlink>
      <w:r>
        <w:rPr>
          <w:rFonts w:ascii="David" w:hAnsi="David" w:cs="David"/>
          <w:sz w:val="24"/>
          <w:szCs w:val="24"/>
          <w:rtl/>
        </w:rPr>
        <w:t xml:space="preserve"> רישא לפקודת הסמים.</w:t>
      </w:r>
    </w:p>
    <w:p w14:paraId="04E9343B" w14:textId="77777777" w:rsidR="00224A87" w:rsidRDefault="00224A87" w:rsidP="00224A87">
      <w:pPr>
        <w:pStyle w:val="a9"/>
        <w:spacing w:before="240" w:after="240" w:line="360" w:lineRule="auto"/>
        <w:ind w:left="360"/>
        <w:contextualSpacing w:val="0"/>
        <w:jc w:val="both"/>
        <w:rPr>
          <w:rFonts w:ascii="David" w:hAnsi="David" w:cs="David"/>
          <w:sz w:val="24"/>
          <w:szCs w:val="24"/>
        </w:rPr>
      </w:pPr>
      <w:bookmarkStart w:id="7" w:name="ABSTRACT_END"/>
      <w:bookmarkEnd w:id="7"/>
      <w:r>
        <w:rPr>
          <w:rFonts w:ascii="David" w:hAnsi="David" w:cs="David"/>
          <w:sz w:val="24"/>
          <w:szCs w:val="24"/>
          <w:rtl/>
        </w:rPr>
        <w:t>על פי הסדר הטיעון</w:t>
      </w:r>
      <w:r>
        <w:rPr>
          <w:rFonts w:ascii="David" w:hAnsi="David" w:cs="David" w:hint="cs"/>
          <w:sz w:val="24"/>
          <w:szCs w:val="24"/>
          <w:rtl/>
        </w:rPr>
        <w:t xml:space="preserve"> שגובש, הגבילה התביעה </w:t>
      </w:r>
      <w:r>
        <w:rPr>
          <w:rFonts w:ascii="David" w:hAnsi="David" w:cs="David"/>
          <w:sz w:val="24"/>
          <w:szCs w:val="24"/>
          <w:rtl/>
        </w:rPr>
        <w:t>טיעוניה לעונש מאסר בפועל של 4 שנים לצד עונשים נלווים, ו</w:t>
      </w:r>
      <w:r>
        <w:rPr>
          <w:rFonts w:ascii="David" w:hAnsi="David" w:cs="David" w:hint="cs"/>
          <w:sz w:val="24"/>
          <w:szCs w:val="24"/>
          <w:rtl/>
        </w:rPr>
        <w:t xml:space="preserve">סוכם כי </w:t>
      </w:r>
      <w:r>
        <w:rPr>
          <w:rFonts w:ascii="David" w:hAnsi="David" w:cs="David"/>
          <w:sz w:val="24"/>
          <w:szCs w:val="24"/>
          <w:rtl/>
        </w:rPr>
        <w:t xml:space="preserve">הסניגור יהיה  חופשי בטיעוניו. </w:t>
      </w:r>
    </w:p>
    <w:p w14:paraId="01857BCD" w14:textId="77777777" w:rsidR="00224A87" w:rsidRDefault="00224A87" w:rsidP="00224A87">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hint="cs"/>
          <w:sz w:val="24"/>
          <w:szCs w:val="24"/>
          <w:rtl/>
        </w:rPr>
        <w:t xml:space="preserve">כפי שיפורט בהמשך, העבירות בהן הורשע הנאשם בוצעו יחד עם שניים נוספים: אדם בשם מנוצ'הר יעקובי (להלן </w:t>
      </w:r>
      <w:r>
        <w:rPr>
          <w:rFonts w:ascii="David" w:hAnsi="David" w:cs="David"/>
          <w:sz w:val="24"/>
          <w:szCs w:val="24"/>
          <w:rtl/>
        </w:rPr>
        <w:t>–</w:t>
      </w:r>
      <w:r>
        <w:rPr>
          <w:rFonts w:ascii="David" w:hAnsi="David" w:cs="David" w:hint="cs"/>
          <w:sz w:val="24"/>
          <w:szCs w:val="24"/>
          <w:rtl/>
        </w:rPr>
        <w:t xml:space="preserve"> </w:t>
      </w:r>
      <w:r w:rsidRPr="00B010ED">
        <w:rPr>
          <w:rFonts w:ascii="David" w:hAnsi="David" w:cs="David" w:hint="cs"/>
          <w:b/>
          <w:bCs/>
          <w:sz w:val="24"/>
          <w:szCs w:val="24"/>
          <w:rtl/>
        </w:rPr>
        <w:t>מנוצ'הר</w:t>
      </w:r>
      <w:r>
        <w:rPr>
          <w:rFonts w:ascii="David" w:hAnsi="David" w:cs="David" w:hint="cs"/>
          <w:sz w:val="24"/>
          <w:szCs w:val="24"/>
          <w:rtl/>
        </w:rPr>
        <w:t xml:space="preserve">) ומכרה בשם סוזן עזיזיאן (להלן  - </w:t>
      </w:r>
      <w:r w:rsidRPr="00B010ED">
        <w:rPr>
          <w:rFonts w:ascii="David" w:hAnsi="David" w:cs="David" w:hint="cs"/>
          <w:b/>
          <w:bCs/>
          <w:sz w:val="24"/>
          <w:szCs w:val="24"/>
          <w:rtl/>
        </w:rPr>
        <w:t>סוזן</w:t>
      </w:r>
      <w:r>
        <w:rPr>
          <w:rFonts w:ascii="David" w:hAnsi="David" w:cs="David" w:hint="cs"/>
          <w:sz w:val="24"/>
          <w:szCs w:val="24"/>
          <w:rtl/>
        </w:rPr>
        <w:t xml:space="preserve">). מנוצ'הר, שותפו של הנאשם ברשת הסמים, הורשע </w:t>
      </w:r>
      <w:r>
        <w:rPr>
          <w:rFonts w:ascii="David" w:hAnsi="David" w:cs="David" w:hint="cs"/>
          <w:sz w:val="24"/>
          <w:szCs w:val="24"/>
          <w:rtl/>
        </w:rPr>
        <w:lastRenderedPageBreak/>
        <w:t>בעבירות של קשירת קשר לפשע, ה</w:t>
      </w:r>
      <w:r>
        <w:rPr>
          <w:rFonts w:ascii="David" w:hAnsi="David" w:cs="David"/>
          <w:sz w:val="24"/>
          <w:szCs w:val="24"/>
          <w:rtl/>
        </w:rPr>
        <w:t>חזקת סם מסוכן שלא לצריכה עצמית</w:t>
      </w:r>
      <w:r>
        <w:rPr>
          <w:rFonts w:ascii="David" w:hAnsi="David" w:cs="David" w:hint="cs"/>
          <w:sz w:val="24"/>
          <w:szCs w:val="24"/>
          <w:rtl/>
        </w:rPr>
        <w:t xml:space="preserve">, </w:t>
      </w:r>
      <w:r>
        <w:rPr>
          <w:rFonts w:ascii="David" w:hAnsi="David" w:cs="David"/>
          <w:sz w:val="24"/>
          <w:szCs w:val="24"/>
          <w:rtl/>
        </w:rPr>
        <w:t>ייבוא סם מסוכן</w:t>
      </w:r>
      <w:r>
        <w:rPr>
          <w:rFonts w:ascii="David" w:hAnsi="David" w:cs="David" w:hint="cs"/>
          <w:sz w:val="24"/>
          <w:szCs w:val="24"/>
          <w:rtl/>
        </w:rPr>
        <w:t xml:space="preserve">, עשיית עסקה בסם מסוכן וניסיון לייבוא סם מסוכן, וביום 25.5.2011 נדון ל- 12 שנות מאסר בפועל. סוזן, ששימשה כבלדרית ברשת הסמים, נעצרה בנמל התעופה בניו יורק כשברשותה שתי מזוודות ובהן כ- 14 ק"ג סם מסוכן מסוג קודאין, מורפין ותבאין, נשפטה והורשעה בניו יורק, וביום 30.10.2009 נדונה ל- 10 שנות מאסר בפועל.  </w:t>
      </w:r>
    </w:p>
    <w:p w14:paraId="78EB1C12" w14:textId="77777777" w:rsidR="00224A87" w:rsidRDefault="00224A87" w:rsidP="00224A87">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sz w:val="24"/>
          <w:szCs w:val="24"/>
          <w:rtl/>
        </w:rPr>
        <w:t xml:space="preserve">פער הזמנים המשמעותי בין מועד ביצוע העבירות (11.3.2007) לבין המועד בו הוגש כתב האישום (6.3.2020) נבע מעונש מאסר ממושך שהושת על המערער ביום 7.12.2010 על ידי בית משפט בתורכיה בגין עבירות של ייבוא וייצוא 12.5 ק"ג סם מסוכן מסוג אופיום, אשר בוצעו במועד מאוחר לעבירות המיוחסות לנאשם בהליך שבפניי. </w:t>
      </w:r>
    </w:p>
    <w:p w14:paraId="6EA0CC02" w14:textId="77777777" w:rsidR="00224A87" w:rsidRDefault="00224A87" w:rsidP="00224A87">
      <w:pPr>
        <w:spacing w:before="240" w:after="240" w:line="360" w:lineRule="auto"/>
        <w:jc w:val="both"/>
        <w:rPr>
          <w:rFonts w:ascii="David" w:hAnsi="David"/>
          <w:rtl/>
        </w:rPr>
      </w:pPr>
    </w:p>
    <w:p w14:paraId="29BF5CA4" w14:textId="77777777" w:rsidR="00224A87" w:rsidRDefault="00224A87" w:rsidP="00224A87">
      <w:pPr>
        <w:spacing w:before="240" w:after="240" w:line="360" w:lineRule="auto"/>
        <w:jc w:val="both"/>
        <w:rPr>
          <w:rFonts w:ascii="David" w:hAnsi="David"/>
          <w:rtl/>
        </w:rPr>
      </w:pPr>
    </w:p>
    <w:p w14:paraId="2D51D96B" w14:textId="77777777" w:rsidR="00224A87" w:rsidRPr="00665C39" w:rsidRDefault="00224A87" w:rsidP="00224A87">
      <w:pPr>
        <w:spacing w:before="240" w:after="240" w:line="360" w:lineRule="auto"/>
        <w:jc w:val="both"/>
        <w:rPr>
          <w:rFonts w:ascii="David" w:hAnsi="David"/>
        </w:rPr>
      </w:pPr>
    </w:p>
    <w:p w14:paraId="380EAF8B" w14:textId="77777777" w:rsidR="00224A87" w:rsidRDefault="00224A87" w:rsidP="00224A87">
      <w:pPr>
        <w:pStyle w:val="a9"/>
        <w:spacing w:before="240" w:after="240" w:line="360" w:lineRule="auto"/>
        <w:ind w:left="360"/>
        <w:contextualSpacing w:val="0"/>
        <w:jc w:val="both"/>
        <w:rPr>
          <w:rFonts w:ascii="David" w:hAnsi="David" w:cs="David"/>
          <w:sz w:val="24"/>
          <w:szCs w:val="24"/>
          <w:rtl/>
        </w:rPr>
      </w:pPr>
      <w:r>
        <w:rPr>
          <w:rFonts w:ascii="David" w:hAnsi="David" w:cs="David" w:hint="cs"/>
          <w:b/>
          <w:bCs/>
          <w:sz w:val="24"/>
          <w:szCs w:val="24"/>
          <w:u w:val="single"/>
          <w:rtl/>
        </w:rPr>
        <w:t>עובדות כתב האישום</w:t>
      </w:r>
      <w:r>
        <w:rPr>
          <w:rFonts w:ascii="David" w:hAnsi="David" w:cs="David"/>
          <w:sz w:val="24"/>
          <w:szCs w:val="24"/>
          <w:rtl/>
        </w:rPr>
        <w:t xml:space="preserve">  </w:t>
      </w:r>
    </w:p>
    <w:p w14:paraId="267140E3" w14:textId="77777777" w:rsidR="00224A87" w:rsidRDefault="00224A87" w:rsidP="00224A87">
      <w:pPr>
        <w:pStyle w:val="a9"/>
        <w:numPr>
          <w:ilvl w:val="0"/>
          <w:numId w:val="1"/>
        </w:numPr>
        <w:spacing w:before="240" w:after="240" w:line="360" w:lineRule="auto"/>
        <w:contextualSpacing w:val="0"/>
        <w:jc w:val="both"/>
        <w:rPr>
          <w:rFonts w:ascii="David" w:hAnsi="David" w:cs="David"/>
          <w:sz w:val="24"/>
          <w:szCs w:val="24"/>
          <w:rtl/>
        </w:rPr>
      </w:pPr>
      <w:r>
        <w:rPr>
          <w:rFonts w:ascii="David" w:hAnsi="David" w:cs="David"/>
          <w:sz w:val="24"/>
          <w:szCs w:val="24"/>
          <w:rtl/>
        </w:rPr>
        <w:t xml:space="preserve">על פי עובדות כתב האישום המתוקן, בשנת 2007 קשר הנאשם קשר עם מנוצ'הר יעקובי, לייבא סם מסוכן מתורכיה לארצות הברית, מוסלק במזוודות. במסגרת הקשר העבירו הנאשם ומנוצ'הר לאדם ממוצא אירני בשם עלי סך של 40,000 דולר על מנת שזה יספק להם מזוודות ובהן סם מסוכן. ביום 8.3.2007 טסו הנאשם, מנוצ'הר וסוזן עזיזיאן, </w:t>
      </w:r>
      <w:r>
        <w:rPr>
          <w:rFonts w:ascii="David" w:hAnsi="David" w:cs="David" w:hint="cs"/>
          <w:sz w:val="24"/>
          <w:szCs w:val="24"/>
          <w:rtl/>
        </w:rPr>
        <w:t>מכרה</w:t>
      </w:r>
      <w:r>
        <w:rPr>
          <w:rFonts w:ascii="David" w:hAnsi="David" w:cs="David"/>
          <w:sz w:val="24"/>
          <w:szCs w:val="24"/>
          <w:rtl/>
        </w:rPr>
        <w:t xml:space="preserve"> של הנאשם, לאיסטנבול. הנאשם רכש כרטיסי טיסה עבור השלושה במשרד נסיעות השוכן בתל-אביב. בהגיעם לשדה התעופה בישראל, מסר הנאשם למנוצ'הר חבילות שהכילו שטרות בדולרים וביקש ממנו להסתיר אותן בין בגדיו.   </w:t>
      </w:r>
    </w:p>
    <w:p w14:paraId="61D312B0" w14:textId="77777777" w:rsidR="00224A87" w:rsidRDefault="00224A87" w:rsidP="00224A87">
      <w:pPr>
        <w:pStyle w:val="a9"/>
        <w:spacing w:before="240" w:after="240" w:line="360" w:lineRule="auto"/>
        <w:ind w:left="360"/>
        <w:contextualSpacing w:val="0"/>
        <w:jc w:val="both"/>
        <w:rPr>
          <w:rFonts w:ascii="David" w:hAnsi="David" w:cs="David"/>
          <w:sz w:val="24"/>
          <w:szCs w:val="24"/>
        </w:rPr>
      </w:pPr>
      <w:r>
        <w:rPr>
          <w:rFonts w:ascii="David" w:hAnsi="David" w:cs="David"/>
          <w:sz w:val="24"/>
          <w:szCs w:val="24"/>
          <w:rtl/>
        </w:rPr>
        <w:t xml:space="preserve">ביום 9.3.2007, במסגרת פגישה שנערכה בין הנאשם, מנוצ'הר ועלי באיסטנבול, העבירו השניים לעלי סך של 20,000 דולר על מנת לזרז את קבלת המזוודות. </w:t>
      </w:r>
    </w:p>
    <w:p w14:paraId="7980DC0D" w14:textId="77777777" w:rsidR="00224A87" w:rsidRDefault="00224A87" w:rsidP="00224A87">
      <w:pPr>
        <w:pStyle w:val="a9"/>
        <w:spacing w:before="240" w:after="240" w:line="360" w:lineRule="auto"/>
        <w:ind w:left="360"/>
        <w:contextualSpacing w:val="0"/>
        <w:jc w:val="both"/>
        <w:rPr>
          <w:rFonts w:ascii="David" w:hAnsi="David" w:cs="David"/>
          <w:sz w:val="24"/>
          <w:szCs w:val="24"/>
          <w:rtl/>
        </w:rPr>
      </w:pPr>
      <w:r>
        <w:rPr>
          <w:rFonts w:ascii="David" w:hAnsi="David" w:cs="David"/>
          <w:sz w:val="24"/>
          <w:szCs w:val="24"/>
          <w:rtl/>
        </w:rPr>
        <w:t xml:space="preserve">למחרת, רכש הנאשם עבור סוזן כרטיס טיסה מתורכיה לאמסטרדם ומשם לניו יורק. הנאשם ומנוצ'הר סיכמו, כי לאחר שסוזן תעזוב את תורכיה עם מזוודות הסמים, יישאר מנוצ'הר באיסטנבול וימתין עד להגעתן של שתי מזוודות נוספות המכילות אף הן סמים מסוכנים.  </w:t>
      </w:r>
    </w:p>
    <w:p w14:paraId="5F86D110" w14:textId="77777777" w:rsidR="00224A87" w:rsidRDefault="00224A87" w:rsidP="00224A87">
      <w:pPr>
        <w:pStyle w:val="a9"/>
        <w:spacing w:before="240" w:after="240" w:line="360" w:lineRule="auto"/>
        <w:ind w:left="360"/>
        <w:contextualSpacing w:val="0"/>
        <w:jc w:val="both"/>
        <w:rPr>
          <w:rFonts w:ascii="David" w:hAnsi="David" w:cs="David"/>
          <w:sz w:val="24"/>
          <w:szCs w:val="24"/>
        </w:rPr>
      </w:pPr>
      <w:r>
        <w:rPr>
          <w:rFonts w:ascii="David" w:hAnsi="David" w:cs="David"/>
          <w:sz w:val="24"/>
          <w:szCs w:val="24"/>
          <w:rtl/>
        </w:rPr>
        <w:t xml:space="preserve">בחצות יום 10.3.2007, הביא עלי לחדר המלון בו שהו הנאשם, מנוצ'הר וסוזן שתי מזוודות אשר כל אחת מהן הכילה שתי חבילות מוסלקות ובהן סמים מסוכנים מסוג קודאין, מורפין ותבאין במשקל כולל של כ- 14 ק"ג. הנאשם, מנוצ'הר וסוזן ידעו על קיומם של הסמים במזוודות. </w:t>
      </w:r>
    </w:p>
    <w:p w14:paraId="520F33D8" w14:textId="77777777" w:rsidR="00224A87" w:rsidRDefault="00224A87" w:rsidP="00224A87">
      <w:pPr>
        <w:pStyle w:val="a9"/>
        <w:spacing w:before="240" w:after="240" w:line="360" w:lineRule="auto"/>
        <w:ind w:left="360"/>
        <w:contextualSpacing w:val="0"/>
        <w:jc w:val="both"/>
        <w:rPr>
          <w:rFonts w:ascii="David" w:hAnsi="David" w:cs="David"/>
          <w:sz w:val="24"/>
          <w:szCs w:val="24"/>
        </w:rPr>
      </w:pPr>
      <w:r>
        <w:rPr>
          <w:rFonts w:ascii="David" w:hAnsi="David" w:cs="David"/>
          <w:sz w:val="24"/>
          <w:szCs w:val="24"/>
          <w:rtl/>
        </w:rPr>
        <w:t xml:space="preserve">ביום 11.3.2017, ליוו הנאשם ומנוצ'הר את סוזן לשדה התעופה באיסטנבול. בהגיעם לשדה התעופה, הנאשם מסר לסוזן כתובת בניו יורק אליה עליה להגיע עם המזוודות, והודיע כי יצטרף אליה יומיים לאחר מכן, ואילו מנוצ'הר יחבור אליהם לאחר שיקבל את שתי המזוודות הנוספות באיסטנבול. בהמשך לאמור, טסה סוזן לאמסטרדם ומשם לניו יורק. בשדה התעופה בניו יורק נתפסו על ידי הרשויות האמריקאיות הסמים המוסלקים במזוודות.  </w:t>
      </w:r>
    </w:p>
    <w:p w14:paraId="2C44C7ED" w14:textId="77777777" w:rsidR="00224A87" w:rsidRDefault="00224A87" w:rsidP="00224A87">
      <w:pPr>
        <w:spacing w:before="240" w:after="240" w:line="360" w:lineRule="auto"/>
        <w:ind w:firstLine="360"/>
        <w:jc w:val="both"/>
        <w:rPr>
          <w:rFonts w:ascii="David" w:hAnsi="David"/>
          <w:b/>
          <w:bCs/>
          <w:u w:val="single"/>
          <w:rtl/>
        </w:rPr>
      </w:pPr>
      <w:r>
        <w:rPr>
          <w:rFonts w:ascii="David" w:hAnsi="David"/>
          <w:b/>
          <w:bCs/>
          <w:u w:val="single"/>
          <w:rtl/>
        </w:rPr>
        <w:lastRenderedPageBreak/>
        <w:t>ראיות לעונש</w:t>
      </w:r>
    </w:p>
    <w:p w14:paraId="65B69C7F" w14:textId="77777777" w:rsidR="00224A87" w:rsidRDefault="00224A87" w:rsidP="00224A87">
      <w:pPr>
        <w:pStyle w:val="a9"/>
        <w:numPr>
          <w:ilvl w:val="0"/>
          <w:numId w:val="1"/>
        </w:numPr>
        <w:spacing w:before="240" w:after="240" w:line="360" w:lineRule="auto"/>
        <w:contextualSpacing w:val="0"/>
        <w:jc w:val="both"/>
        <w:rPr>
          <w:rFonts w:ascii="David" w:hAnsi="David" w:cs="David"/>
          <w:sz w:val="24"/>
          <w:szCs w:val="24"/>
          <w:rtl/>
        </w:rPr>
      </w:pPr>
      <w:r>
        <w:rPr>
          <w:rFonts w:ascii="David" w:hAnsi="David" w:cs="David"/>
          <w:sz w:val="24"/>
          <w:szCs w:val="24"/>
          <w:rtl/>
        </w:rPr>
        <w:t>מטעם התביעה הוגשה אסופת מסמכים בעניינו של הנאשם: מסמכים משפטיים מהליך החילוט האזרחי של הנאשם (תע</w:t>
      </w:r>
      <w:r>
        <w:rPr>
          <w:rFonts w:ascii="David" w:hAnsi="David" w:cs="David"/>
          <w:sz w:val="24"/>
          <w:szCs w:val="24"/>
        </w:rPr>
        <w:t>/</w:t>
      </w:r>
      <w:r>
        <w:rPr>
          <w:rFonts w:ascii="David" w:hAnsi="David" w:cs="David"/>
          <w:sz w:val="24"/>
          <w:szCs w:val="24"/>
          <w:rtl/>
        </w:rPr>
        <w:t>1); רישומו הפלילי של הנאשם (תע/2); כתב האישום וגזר הדין בגין העבירות שביצע בתורכיה (תע</w:t>
      </w:r>
      <w:r>
        <w:rPr>
          <w:rFonts w:ascii="David" w:hAnsi="David" w:cs="David"/>
          <w:sz w:val="24"/>
          <w:szCs w:val="24"/>
        </w:rPr>
        <w:t>/</w:t>
      </w:r>
      <w:r>
        <w:rPr>
          <w:rFonts w:ascii="David" w:hAnsi="David" w:cs="David"/>
          <w:sz w:val="24"/>
          <w:szCs w:val="24"/>
          <w:rtl/>
        </w:rPr>
        <w:t>3); וכתבי האישום וגזרי הדין בעניינם של מנוצ'הר (תע</w:t>
      </w:r>
      <w:r>
        <w:rPr>
          <w:rFonts w:ascii="David" w:hAnsi="David" w:cs="David"/>
          <w:sz w:val="24"/>
          <w:szCs w:val="24"/>
        </w:rPr>
        <w:t>/</w:t>
      </w:r>
      <w:r>
        <w:rPr>
          <w:rFonts w:ascii="David" w:hAnsi="David" w:cs="David"/>
          <w:sz w:val="24"/>
          <w:szCs w:val="24"/>
          <w:rtl/>
        </w:rPr>
        <w:t>4) וסוזן (תע</w:t>
      </w:r>
      <w:r>
        <w:rPr>
          <w:rFonts w:ascii="David" w:hAnsi="David" w:cs="David"/>
          <w:sz w:val="24"/>
          <w:szCs w:val="24"/>
        </w:rPr>
        <w:t>/</w:t>
      </w:r>
      <w:r>
        <w:rPr>
          <w:rFonts w:ascii="David" w:hAnsi="David" w:cs="David"/>
          <w:sz w:val="24"/>
          <w:szCs w:val="24"/>
          <w:rtl/>
        </w:rPr>
        <w:t xml:space="preserve">5). </w:t>
      </w:r>
    </w:p>
    <w:p w14:paraId="299EA654" w14:textId="77777777" w:rsidR="00224A87" w:rsidRDefault="00224A87" w:rsidP="00224A87">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sz w:val="24"/>
          <w:szCs w:val="24"/>
          <w:rtl/>
        </w:rPr>
        <w:t>מטעם ההגנה הוגשו מסמכים המתעדים את חילופי הדברים בין הצדדים בקשר להליך ההסגרה של הנאשם מתורכיה (נע</w:t>
      </w:r>
      <w:r>
        <w:rPr>
          <w:rFonts w:ascii="David" w:hAnsi="David" w:cs="David"/>
          <w:sz w:val="24"/>
          <w:szCs w:val="24"/>
        </w:rPr>
        <w:t>/</w:t>
      </w:r>
      <w:r>
        <w:rPr>
          <w:rFonts w:ascii="David" w:hAnsi="David" w:cs="David"/>
          <w:sz w:val="24"/>
          <w:szCs w:val="24"/>
          <w:rtl/>
        </w:rPr>
        <w:t>1); דו"ח אמנסטי המפרט את תנאי הכליאה בתורכיה (נע</w:t>
      </w:r>
      <w:r>
        <w:rPr>
          <w:rFonts w:ascii="David" w:hAnsi="David" w:cs="David"/>
          <w:sz w:val="24"/>
          <w:szCs w:val="24"/>
        </w:rPr>
        <w:t>/</w:t>
      </w:r>
      <w:r>
        <w:rPr>
          <w:rFonts w:ascii="David" w:hAnsi="David" w:cs="David"/>
          <w:sz w:val="24"/>
          <w:szCs w:val="24"/>
          <w:rtl/>
        </w:rPr>
        <w:t>2); מכתב שכתב הנאשם המגולל את נסיבות חייו (נע</w:t>
      </w:r>
      <w:r>
        <w:rPr>
          <w:rFonts w:ascii="David" w:hAnsi="David" w:cs="David"/>
          <w:sz w:val="24"/>
          <w:szCs w:val="24"/>
        </w:rPr>
        <w:t>/</w:t>
      </w:r>
      <w:r>
        <w:rPr>
          <w:rFonts w:ascii="David" w:hAnsi="David" w:cs="David"/>
          <w:sz w:val="24"/>
          <w:szCs w:val="24"/>
          <w:rtl/>
        </w:rPr>
        <w:t>3); וגיליון רפואי בעניינו של הנאשם (נע</w:t>
      </w:r>
      <w:r>
        <w:rPr>
          <w:rFonts w:ascii="David" w:hAnsi="David" w:cs="David"/>
          <w:sz w:val="24"/>
          <w:szCs w:val="24"/>
        </w:rPr>
        <w:t>/</w:t>
      </w:r>
      <w:r>
        <w:rPr>
          <w:rFonts w:ascii="David" w:hAnsi="David" w:cs="David"/>
          <w:sz w:val="24"/>
          <w:szCs w:val="24"/>
          <w:rtl/>
        </w:rPr>
        <w:t>4).</w:t>
      </w:r>
    </w:p>
    <w:p w14:paraId="465FB776" w14:textId="77777777" w:rsidR="00224A87" w:rsidRDefault="00224A87" w:rsidP="00224A87">
      <w:pPr>
        <w:spacing w:before="240" w:after="240" w:line="360" w:lineRule="auto"/>
        <w:jc w:val="both"/>
        <w:rPr>
          <w:rFonts w:ascii="David" w:hAnsi="David"/>
          <w:rtl/>
        </w:rPr>
      </w:pPr>
    </w:p>
    <w:p w14:paraId="610E06A0" w14:textId="77777777" w:rsidR="00224A87" w:rsidRDefault="00224A87" w:rsidP="00224A87">
      <w:pPr>
        <w:spacing w:before="240" w:after="240" w:line="360" w:lineRule="auto"/>
        <w:jc w:val="both"/>
        <w:rPr>
          <w:rFonts w:ascii="David" w:hAnsi="David"/>
          <w:rtl/>
        </w:rPr>
      </w:pPr>
    </w:p>
    <w:p w14:paraId="72212361" w14:textId="77777777" w:rsidR="00224A87" w:rsidRPr="00665C39" w:rsidRDefault="00224A87" w:rsidP="00224A87">
      <w:pPr>
        <w:spacing w:before="240" w:after="240" w:line="360" w:lineRule="auto"/>
        <w:jc w:val="both"/>
        <w:rPr>
          <w:rFonts w:ascii="David" w:hAnsi="David"/>
        </w:rPr>
      </w:pPr>
    </w:p>
    <w:p w14:paraId="7C5738B8" w14:textId="77777777" w:rsidR="00224A87" w:rsidRPr="00E127BC" w:rsidRDefault="00224A87" w:rsidP="00224A87">
      <w:pPr>
        <w:spacing w:before="240" w:after="240" w:line="360" w:lineRule="auto"/>
        <w:ind w:firstLine="360"/>
        <w:jc w:val="both"/>
        <w:rPr>
          <w:rFonts w:ascii="David" w:hAnsi="David"/>
          <w:b/>
          <w:bCs/>
          <w:u w:val="single"/>
        </w:rPr>
      </w:pPr>
      <w:r>
        <w:rPr>
          <w:rFonts w:ascii="David" w:hAnsi="David"/>
          <w:b/>
          <w:bCs/>
          <w:u w:val="single"/>
          <w:rtl/>
        </w:rPr>
        <w:t>טענות הצדדים לעונש</w:t>
      </w:r>
    </w:p>
    <w:p w14:paraId="3927EE0B" w14:textId="77777777" w:rsidR="00224A87" w:rsidRDefault="00224A87" w:rsidP="00224A87">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hint="cs"/>
          <w:sz w:val="24"/>
          <w:szCs w:val="24"/>
          <w:rtl/>
        </w:rPr>
        <w:t xml:space="preserve">כאמור, הצדדים הגיעו להסדר טיעון בעל טווח ענישה מוסכם (4-0 שנים), כשהם ערים לכך שהרף העליון עליו הסכימו, נמוך מהרף התחתון של מתחם העונש ההולם בעבירות מהסוג בו עסקינן נוכח קיומה של מסכת עובדתית ייחודית ומורכבת, ועל כן סברו כי ניתן לגזור את דינו של הנאשם בגדרו של הסדר הטיעון, גם מבלי להידרש למתחם הענישה. </w:t>
      </w:r>
    </w:p>
    <w:p w14:paraId="4BE3F7EF" w14:textId="77777777" w:rsidR="00224A87" w:rsidRPr="00656C61" w:rsidRDefault="00224A87" w:rsidP="00224A87">
      <w:pPr>
        <w:pStyle w:val="a9"/>
        <w:numPr>
          <w:ilvl w:val="0"/>
          <w:numId w:val="1"/>
        </w:numPr>
        <w:spacing w:before="240" w:after="240" w:line="360" w:lineRule="auto"/>
        <w:contextualSpacing w:val="0"/>
        <w:jc w:val="both"/>
        <w:rPr>
          <w:rFonts w:ascii="David" w:hAnsi="David" w:cs="David"/>
          <w:sz w:val="24"/>
          <w:szCs w:val="24"/>
          <w:rtl/>
        </w:rPr>
      </w:pPr>
      <w:r>
        <w:rPr>
          <w:rFonts w:ascii="David" w:hAnsi="David" w:cs="David" w:hint="cs"/>
          <w:b/>
          <w:bCs/>
          <w:sz w:val="24"/>
          <w:szCs w:val="24"/>
          <w:rtl/>
        </w:rPr>
        <w:t>התובעת</w:t>
      </w:r>
      <w:r>
        <w:rPr>
          <w:rFonts w:ascii="David" w:hAnsi="David" w:cs="David" w:hint="cs"/>
          <w:sz w:val="24"/>
          <w:szCs w:val="24"/>
          <w:rtl/>
        </w:rPr>
        <w:t xml:space="preserve">, עו"ד רוזי כבאז, עתרה לאימוץ הרף העליון של טווח הענישה המוסכם, תוך שהבהירה בטיעוניה כי מורכבות המקרה הצריכה התחשבות משמעותית לעניין העונש, שבאה לידי ביטוי בהסדר שגובש. </w:t>
      </w:r>
      <w:r>
        <w:rPr>
          <w:rFonts w:ascii="David" w:hAnsi="David" w:cs="David" w:hint="cs"/>
          <w:b/>
          <w:bCs/>
          <w:sz w:val="24"/>
          <w:szCs w:val="24"/>
          <w:rtl/>
        </w:rPr>
        <w:t xml:space="preserve"> </w:t>
      </w:r>
    </w:p>
    <w:p w14:paraId="03AB60CC" w14:textId="77777777" w:rsidR="00224A87" w:rsidRPr="005B1B36" w:rsidRDefault="00224A87" w:rsidP="00224A87">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התובעת </w:t>
      </w:r>
      <w:r w:rsidRPr="005B1B36">
        <w:rPr>
          <w:rFonts w:ascii="David" w:hAnsi="David" w:cs="David"/>
          <w:sz w:val="24"/>
          <w:szCs w:val="24"/>
          <w:rtl/>
        </w:rPr>
        <w:t>עמדה בטיעוניה על חומרת מעשיו של הנאשם, לרבות כמות וסוג הסמים שייבא; הפגיעה בערכים המוגנים; חלקו המשמעותי של הנאשם בביצוע העבירות בבחינת שותף פעיל ברשת סמים בינלאומית; התכנון המוקדם שכלל קשירת קשר עם אחרים ורכישה מוקדמת של כרטיסי טיסה; הנזקים שהיו צפויים להיגרם כתוצאה מביצוע העבירות</w:t>
      </w:r>
      <w:r>
        <w:rPr>
          <w:rFonts w:ascii="David" w:hAnsi="David" w:cs="David" w:hint="cs"/>
          <w:sz w:val="24"/>
          <w:szCs w:val="24"/>
          <w:rtl/>
        </w:rPr>
        <w:t xml:space="preserve">, ועברו הפלילי המכביד של הנאשם. </w:t>
      </w:r>
      <w:r w:rsidRPr="005B1B36">
        <w:rPr>
          <w:rFonts w:ascii="David" w:hAnsi="David" w:cs="David"/>
          <w:sz w:val="24"/>
          <w:szCs w:val="24"/>
          <w:rtl/>
        </w:rPr>
        <w:t xml:space="preserve">  </w:t>
      </w:r>
    </w:p>
    <w:p w14:paraId="60AD24D6" w14:textId="77777777" w:rsidR="00224A87" w:rsidRDefault="00224A87" w:rsidP="00224A87">
      <w:pPr>
        <w:pStyle w:val="a9"/>
        <w:spacing w:before="240" w:after="240" w:line="360" w:lineRule="auto"/>
        <w:ind w:left="360"/>
        <w:contextualSpacing w:val="0"/>
        <w:jc w:val="both"/>
        <w:rPr>
          <w:rFonts w:ascii="David" w:hAnsi="David" w:cs="David"/>
          <w:sz w:val="24"/>
          <w:szCs w:val="24"/>
        </w:rPr>
      </w:pPr>
      <w:r>
        <w:rPr>
          <w:rFonts w:ascii="David" w:hAnsi="David" w:cs="David" w:hint="cs"/>
          <w:sz w:val="24"/>
          <w:szCs w:val="24"/>
          <w:rtl/>
        </w:rPr>
        <w:t xml:space="preserve">לצד הנסיבות לחומרה, התייחסה התובעת גם לשיקולים שהם בעלי פוטנציאל ממתן בענישה אשר נשקלו במסגרת הסדר הטיעון: </w:t>
      </w:r>
      <w:r>
        <w:rPr>
          <w:rFonts w:ascii="David" w:hAnsi="David" w:cs="David"/>
          <w:sz w:val="24"/>
          <w:szCs w:val="24"/>
          <w:rtl/>
        </w:rPr>
        <w:t>הודאתו של הנאשם;</w:t>
      </w:r>
      <w:r>
        <w:rPr>
          <w:rFonts w:ascii="David" w:hAnsi="David" w:cs="David" w:hint="cs"/>
          <w:sz w:val="24"/>
          <w:szCs w:val="24"/>
          <w:rtl/>
        </w:rPr>
        <w:t xml:space="preserve"> ה</w:t>
      </w:r>
      <w:r>
        <w:rPr>
          <w:rFonts w:ascii="David" w:hAnsi="David" w:cs="David"/>
          <w:sz w:val="24"/>
          <w:szCs w:val="24"/>
          <w:rtl/>
        </w:rPr>
        <w:t>זמן הרב שחלף מאז בוצעו העבירות ועד מועד הגשת כתב האישום; קיומם של קשיים ראייתיים בתיק</w:t>
      </w:r>
      <w:r>
        <w:rPr>
          <w:rFonts w:ascii="David" w:hAnsi="David" w:cs="David" w:hint="cs"/>
          <w:sz w:val="24"/>
          <w:szCs w:val="24"/>
          <w:rtl/>
        </w:rPr>
        <w:t>, לרבות מורכבות בהעדת עדים ממדינות זרות</w:t>
      </w:r>
      <w:r>
        <w:rPr>
          <w:rFonts w:ascii="David" w:hAnsi="David" w:cs="David"/>
          <w:sz w:val="24"/>
          <w:szCs w:val="24"/>
          <w:rtl/>
        </w:rPr>
        <w:t xml:space="preserve">; נסיבות חייו האישיות </w:t>
      </w:r>
      <w:r>
        <w:rPr>
          <w:rFonts w:ascii="David" w:hAnsi="David" w:cs="David" w:hint="cs"/>
          <w:sz w:val="24"/>
          <w:szCs w:val="24"/>
          <w:rtl/>
        </w:rPr>
        <w:t>של הנאשם ונתוניו הרפואיים</w:t>
      </w:r>
      <w:r>
        <w:rPr>
          <w:rFonts w:ascii="David" w:hAnsi="David" w:cs="David"/>
          <w:sz w:val="24"/>
          <w:szCs w:val="24"/>
          <w:rtl/>
        </w:rPr>
        <w:t>.</w:t>
      </w:r>
    </w:p>
    <w:p w14:paraId="6D6AFE74" w14:textId="77777777" w:rsidR="00224A87" w:rsidRDefault="00224A87" w:rsidP="00224A87">
      <w:pPr>
        <w:pStyle w:val="a9"/>
        <w:spacing w:before="240" w:after="240" w:line="360" w:lineRule="auto"/>
        <w:ind w:left="360"/>
        <w:contextualSpacing w:val="0"/>
        <w:jc w:val="both"/>
        <w:rPr>
          <w:rFonts w:ascii="David" w:hAnsi="David" w:cs="David"/>
          <w:sz w:val="24"/>
          <w:szCs w:val="24"/>
          <w:rtl/>
        </w:rPr>
      </w:pPr>
      <w:r>
        <w:rPr>
          <w:rFonts w:ascii="David" w:hAnsi="David" w:cs="David"/>
          <w:sz w:val="24"/>
          <w:szCs w:val="24"/>
          <w:rtl/>
        </w:rPr>
        <w:t xml:space="preserve">עוד עמדה התובעת על </w:t>
      </w:r>
      <w:r>
        <w:rPr>
          <w:rFonts w:ascii="David" w:hAnsi="David" w:cs="David" w:hint="cs"/>
          <w:sz w:val="24"/>
          <w:szCs w:val="24"/>
          <w:rtl/>
        </w:rPr>
        <w:t>המורכבות הכרוכה</w:t>
      </w:r>
      <w:r>
        <w:rPr>
          <w:rFonts w:ascii="David" w:hAnsi="David" w:cs="David"/>
          <w:sz w:val="24"/>
          <w:szCs w:val="24"/>
          <w:rtl/>
        </w:rPr>
        <w:t xml:space="preserve"> בחקירות בינלאומיות מסוג זה; הקשיים שעמדו בפני מדינת ישראל לזכות בשיתוף פעולה מצד שלטונות תורכיה לאחר אירועי משט 'המרמרה' שעה שהנאשם מרצה עונש מאסר ארוך וממושך בכלא בתורכיה; הפעולות שביצעו גורמי האכיפה במרוצת השנים במספר מישורים, שיש בהן כדי לעצור את מרוץ ההתיישנות; והעובדה שהנאשם השתחרר מהכלא בשנת 2016 וחרף זאת בחר שלא להגיע לישראל, דבר ש</w:t>
      </w:r>
      <w:r>
        <w:rPr>
          <w:rFonts w:ascii="David" w:hAnsi="David" w:cs="David" w:hint="cs"/>
          <w:sz w:val="24"/>
          <w:szCs w:val="24"/>
          <w:rtl/>
        </w:rPr>
        <w:t>ה</w:t>
      </w:r>
      <w:r>
        <w:rPr>
          <w:rFonts w:ascii="David" w:hAnsi="David" w:cs="David"/>
          <w:sz w:val="24"/>
          <w:szCs w:val="24"/>
          <w:rtl/>
        </w:rPr>
        <w:t xml:space="preserve">עמיד אותו בסטטוס 'נמלט'.      </w:t>
      </w:r>
    </w:p>
    <w:p w14:paraId="3CB0AABE" w14:textId="77777777" w:rsidR="00224A87" w:rsidRDefault="00224A87" w:rsidP="00224A87">
      <w:pPr>
        <w:pStyle w:val="a9"/>
        <w:numPr>
          <w:ilvl w:val="0"/>
          <w:numId w:val="1"/>
        </w:numPr>
        <w:spacing w:before="240" w:after="240" w:line="360" w:lineRule="auto"/>
        <w:contextualSpacing w:val="0"/>
        <w:jc w:val="both"/>
        <w:rPr>
          <w:rFonts w:ascii="David" w:hAnsi="David" w:cs="David"/>
          <w:sz w:val="24"/>
          <w:szCs w:val="24"/>
          <w:rtl/>
        </w:rPr>
      </w:pPr>
      <w:r>
        <w:rPr>
          <w:rFonts w:ascii="David" w:hAnsi="David" w:cs="David" w:hint="cs"/>
          <w:b/>
          <w:bCs/>
          <w:sz w:val="24"/>
          <w:szCs w:val="24"/>
          <w:rtl/>
        </w:rPr>
        <w:t>הסנגור</w:t>
      </w:r>
      <w:r>
        <w:rPr>
          <w:rFonts w:ascii="David" w:hAnsi="David" w:cs="David"/>
          <w:sz w:val="24"/>
          <w:szCs w:val="24"/>
          <w:rtl/>
        </w:rPr>
        <w:t xml:space="preserve">, עו"ד ציון אמיר, </w:t>
      </w:r>
      <w:r>
        <w:rPr>
          <w:rFonts w:ascii="David" w:hAnsi="David" w:cs="David" w:hint="cs"/>
          <w:sz w:val="24"/>
          <w:szCs w:val="24"/>
          <w:rtl/>
        </w:rPr>
        <w:t>התייחס ל</w:t>
      </w:r>
      <w:r>
        <w:rPr>
          <w:rFonts w:ascii="David" w:hAnsi="David" w:cs="David"/>
          <w:sz w:val="24"/>
          <w:szCs w:val="24"/>
          <w:rtl/>
        </w:rPr>
        <w:t xml:space="preserve">התנהלות הרשות לאורך השנים, </w:t>
      </w:r>
      <w:r>
        <w:rPr>
          <w:rFonts w:ascii="David" w:hAnsi="David" w:cs="David" w:hint="cs"/>
          <w:sz w:val="24"/>
          <w:szCs w:val="24"/>
          <w:rtl/>
        </w:rPr>
        <w:t>ל</w:t>
      </w:r>
      <w:r>
        <w:rPr>
          <w:rFonts w:ascii="David" w:hAnsi="David" w:cs="David"/>
          <w:sz w:val="24"/>
          <w:szCs w:val="24"/>
          <w:rtl/>
        </w:rPr>
        <w:t xml:space="preserve">חוסר הצלחתה לפעול להסגרתו של הנאשם מתורכיה לישראל, </w:t>
      </w:r>
      <w:r>
        <w:rPr>
          <w:rFonts w:ascii="David" w:hAnsi="David" w:cs="David" w:hint="cs"/>
          <w:sz w:val="24"/>
          <w:szCs w:val="24"/>
          <w:rtl/>
        </w:rPr>
        <w:t>ל</w:t>
      </w:r>
      <w:r>
        <w:rPr>
          <w:rFonts w:ascii="David" w:hAnsi="David" w:cs="David"/>
          <w:sz w:val="24"/>
          <w:szCs w:val="24"/>
          <w:rtl/>
        </w:rPr>
        <w:t>שיהוי הניכר בהגשת כתב האישום, ו</w:t>
      </w:r>
      <w:r>
        <w:rPr>
          <w:rFonts w:ascii="David" w:hAnsi="David" w:cs="David" w:hint="cs"/>
          <w:sz w:val="24"/>
          <w:szCs w:val="24"/>
          <w:rtl/>
        </w:rPr>
        <w:t>ל</w:t>
      </w:r>
      <w:r>
        <w:rPr>
          <w:rFonts w:ascii="David" w:hAnsi="David" w:cs="David"/>
          <w:sz w:val="24"/>
          <w:szCs w:val="24"/>
          <w:rtl/>
        </w:rPr>
        <w:t xml:space="preserve">נסיבותיו האישיות והמורכבות של הנאשם. </w:t>
      </w:r>
    </w:p>
    <w:p w14:paraId="60930593" w14:textId="77777777" w:rsidR="00224A87" w:rsidRDefault="00224A87" w:rsidP="00224A87">
      <w:pPr>
        <w:pStyle w:val="a9"/>
        <w:spacing w:before="240" w:after="240" w:line="360" w:lineRule="auto"/>
        <w:ind w:left="360"/>
        <w:contextualSpacing w:val="0"/>
        <w:jc w:val="both"/>
        <w:rPr>
          <w:rFonts w:ascii="David" w:hAnsi="David" w:cs="David"/>
          <w:sz w:val="24"/>
          <w:szCs w:val="24"/>
        </w:rPr>
      </w:pPr>
      <w:r>
        <w:rPr>
          <w:rFonts w:ascii="David" w:hAnsi="David" w:cs="David" w:hint="cs"/>
          <w:sz w:val="24"/>
          <w:szCs w:val="24"/>
          <w:rtl/>
        </w:rPr>
        <w:t>נטען</w:t>
      </w:r>
      <w:r>
        <w:rPr>
          <w:rFonts w:ascii="David" w:hAnsi="David" w:cs="David"/>
          <w:sz w:val="24"/>
          <w:szCs w:val="24"/>
          <w:rtl/>
        </w:rPr>
        <w:t xml:space="preserve">, </w:t>
      </w:r>
      <w:r>
        <w:rPr>
          <w:rFonts w:ascii="David" w:hAnsi="David" w:cs="David" w:hint="cs"/>
          <w:sz w:val="24"/>
          <w:szCs w:val="24"/>
          <w:rtl/>
        </w:rPr>
        <w:t xml:space="preserve">כי </w:t>
      </w:r>
      <w:r>
        <w:rPr>
          <w:rFonts w:ascii="David" w:hAnsi="David" w:cs="David"/>
          <w:sz w:val="24"/>
          <w:szCs w:val="24"/>
          <w:rtl/>
        </w:rPr>
        <w:t xml:space="preserve">חרף מורכבות הנסיבות ועל אף הקשיים שהיו כרוכים ביחסים שבין ישראל לתורכיה, היה על המדינה לעשות כל </w:t>
      </w:r>
      <w:r>
        <w:rPr>
          <w:rFonts w:ascii="David" w:hAnsi="David" w:cs="David" w:hint="cs"/>
          <w:sz w:val="24"/>
          <w:szCs w:val="24"/>
          <w:rtl/>
        </w:rPr>
        <w:t>שבידה</w:t>
      </w:r>
      <w:r>
        <w:rPr>
          <w:rFonts w:ascii="David" w:hAnsi="David" w:cs="David"/>
          <w:sz w:val="24"/>
          <w:szCs w:val="24"/>
          <w:rtl/>
        </w:rPr>
        <w:t xml:space="preserve"> בכדי לפעול להסגרתו של הנאשם לישראל. בהקשר זה ציין הסניגור כי לאורך השנים התקיימו שיתופי פעולה בין המדינות וזאת על אף המתיחות שנוצרה בעקבות אירועי משט 'המרמרה'. </w:t>
      </w:r>
    </w:p>
    <w:p w14:paraId="0349CE58" w14:textId="77777777" w:rsidR="00224A87" w:rsidRDefault="00224A87" w:rsidP="00224A87">
      <w:pPr>
        <w:pStyle w:val="a9"/>
        <w:spacing w:before="240" w:after="240" w:line="360" w:lineRule="auto"/>
        <w:ind w:left="360"/>
        <w:contextualSpacing w:val="0"/>
        <w:jc w:val="both"/>
        <w:rPr>
          <w:rFonts w:ascii="David" w:hAnsi="David" w:cs="David"/>
          <w:sz w:val="24"/>
          <w:szCs w:val="24"/>
          <w:rtl/>
        </w:rPr>
      </w:pPr>
      <w:r>
        <w:rPr>
          <w:rFonts w:ascii="David" w:hAnsi="David" w:cs="David"/>
          <w:sz w:val="24"/>
          <w:szCs w:val="24"/>
          <w:rtl/>
        </w:rPr>
        <w:t xml:space="preserve">הסנגור </w:t>
      </w:r>
      <w:r>
        <w:rPr>
          <w:rFonts w:ascii="David" w:hAnsi="David" w:cs="David" w:hint="cs"/>
          <w:sz w:val="24"/>
          <w:szCs w:val="24"/>
          <w:rtl/>
        </w:rPr>
        <w:t>סבר כי יש לזקוף לזכותו של הנאשם את הודאתו ו</w:t>
      </w:r>
      <w:r>
        <w:rPr>
          <w:rFonts w:ascii="David" w:hAnsi="David" w:cs="David"/>
          <w:sz w:val="24"/>
          <w:szCs w:val="24"/>
          <w:rtl/>
        </w:rPr>
        <w:t xml:space="preserve">קבלת האחריות, וביקש ליתן לנתונים אלה משקל מוגבר נוכח חלוף הזמן (13 שנים ממועד ביצוע העבירות) וקיומם של קשיים ראייתיים משמעותיים שהיה בהם, לשיטתו, פוטנציאל מזכה במידה והתיק היה מנוהל.  </w:t>
      </w:r>
    </w:p>
    <w:p w14:paraId="417DB5B3" w14:textId="77777777" w:rsidR="00224A87" w:rsidRDefault="00224A87" w:rsidP="00224A87">
      <w:pPr>
        <w:pStyle w:val="a9"/>
        <w:spacing w:before="240" w:after="240" w:line="360" w:lineRule="auto"/>
        <w:ind w:left="360"/>
        <w:contextualSpacing w:val="0"/>
        <w:jc w:val="both"/>
        <w:rPr>
          <w:rFonts w:ascii="David" w:hAnsi="David" w:cs="David"/>
          <w:sz w:val="24"/>
          <w:szCs w:val="24"/>
          <w:rtl/>
        </w:rPr>
      </w:pPr>
      <w:r>
        <w:rPr>
          <w:rFonts w:ascii="David" w:hAnsi="David" w:cs="David"/>
          <w:sz w:val="24"/>
          <w:szCs w:val="24"/>
          <w:rtl/>
        </w:rPr>
        <w:t xml:space="preserve">עוד עמד הסנגור על נתוניו האישיים של הנאשם, לרבות גילו המתקדם (75), מצבו הרפואי המורכב, ריחוקו הממושך ממשפחתו, ותנאי הכליאה הקשים בהם היה נתון במהלך ריצוי מאסרו בתורכיה.  </w:t>
      </w:r>
    </w:p>
    <w:p w14:paraId="0EB0628F" w14:textId="77777777" w:rsidR="00224A87" w:rsidRDefault="00224A87" w:rsidP="00224A87">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על יסוד כלל טיעוניו</w:t>
      </w:r>
      <w:r>
        <w:rPr>
          <w:rFonts w:ascii="David" w:hAnsi="David" w:cs="David"/>
          <w:sz w:val="24"/>
          <w:szCs w:val="24"/>
          <w:rtl/>
        </w:rPr>
        <w:t xml:space="preserve">, </w:t>
      </w:r>
      <w:r>
        <w:rPr>
          <w:rFonts w:ascii="David" w:hAnsi="David" w:cs="David" w:hint="cs"/>
          <w:sz w:val="24"/>
          <w:szCs w:val="24"/>
          <w:rtl/>
        </w:rPr>
        <w:t xml:space="preserve">סבר הסניגור כי אין מקום להשית על הנאשם עונש מאסר, או לחילופין </w:t>
      </w:r>
      <w:r>
        <w:rPr>
          <w:rFonts w:ascii="David" w:hAnsi="David" w:cs="David"/>
          <w:sz w:val="24"/>
          <w:szCs w:val="24"/>
          <w:rtl/>
        </w:rPr>
        <w:t>–</w:t>
      </w:r>
      <w:r>
        <w:rPr>
          <w:rFonts w:ascii="David" w:hAnsi="David" w:cs="David" w:hint="cs"/>
          <w:sz w:val="24"/>
          <w:szCs w:val="24"/>
          <w:rtl/>
        </w:rPr>
        <w:t xml:space="preserve"> ניתן להסתפק בהשתת תקופת מאסר התואמת את ימי מעצרו.</w:t>
      </w:r>
    </w:p>
    <w:p w14:paraId="1FC1B9DB" w14:textId="77777777" w:rsidR="00224A87" w:rsidRDefault="00224A87" w:rsidP="00224A87">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sz w:val="24"/>
          <w:szCs w:val="24"/>
          <w:rtl/>
        </w:rPr>
        <w:t>הנאשם בדבר</w:t>
      </w:r>
      <w:r>
        <w:rPr>
          <w:rFonts w:ascii="David" w:hAnsi="David" w:cs="David" w:hint="cs"/>
          <w:sz w:val="24"/>
          <w:szCs w:val="24"/>
          <w:rtl/>
        </w:rPr>
        <w:t>ו</w:t>
      </w:r>
      <w:r>
        <w:rPr>
          <w:rFonts w:ascii="David" w:hAnsi="David" w:cs="David"/>
          <w:sz w:val="24"/>
          <w:szCs w:val="24"/>
          <w:rtl/>
        </w:rPr>
        <w:t xml:space="preserve"> האחרו</w:t>
      </w:r>
      <w:r>
        <w:rPr>
          <w:rFonts w:ascii="David" w:hAnsi="David" w:cs="David" w:hint="cs"/>
          <w:sz w:val="24"/>
          <w:szCs w:val="24"/>
          <w:rtl/>
        </w:rPr>
        <w:t>ן</w:t>
      </w:r>
      <w:r>
        <w:rPr>
          <w:rFonts w:ascii="David" w:hAnsi="David" w:cs="David"/>
          <w:sz w:val="24"/>
          <w:szCs w:val="24"/>
          <w:rtl/>
        </w:rPr>
        <w:t xml:space="preserve">, הביע חרטה על מעשיו ולקח אחריות, עמד על נסיבות חייו המורכבות, הגעגועים למשפחתו, והקשיים בהם היה נתון במהלך ריצוי מאסרו בתורכיה. </w:t>
      </w:r>
    </w:p>
    <w:p w14:paraId="6603B8FC" w14:textId="77777777" w:rsidR="00224A87" w:rsidRPr="00F9686C" w:rsidRDefault="00224A87" w:rsidP="00224A87">
      <w:pPr>
        <w:spacing w:before="240" w:after="240" w:line="360" w:lineRule="auto"/>
        <w:ind w:firstLine="360"/>
        <w:jc w:val="both"/>
        <w:rPr>
          <w:rFonts w:ascii="David" w:hAnsi="David"/>
          <w:b/>
          <w:bCs/>
          <w:sz w:val="28"/>
          <w:szCs w:val="28"/>
          <w:u w:val="single"/>
          <w:rtl/>
        </w:rPr>
      </w:pPr>
      <w:r>
        <w:rPr>
          <w:rFonts w:ascii="David" w:hAnsi="David" w:hint="cs"/>
          <w:b/>
          <w:bCs/>
          <w:sz w:val="28"/>
          <w:szCs w:val="28"/>
          <w:u w:val="single"/>
          <w:rtl/>
        </w:rPr>
        <w:t>ד</w:t>
      </w:r>
      <w:r w:rsidRPr="00F9686C">
        <w:rPr>
          <w:rFonts w:ascii="David" w:hAnsi="David"/>
          <w:b/>
          <w:bCs/>
          <w:sz w:val="28"/>
          <w:szCs w:val="28"/>
          <w:u w:val="single"/>
          <w:rtl/>
        </w:rPr>
        <w:t>יון והכרעה</w:t>
      </w:r>
    </w:p>
    <w:p w14:paraId="37DC7EC1" w14:textId="77777777" w:rsidR="00224A87" w:rsidRPr="00C013C8" w:rsidRDefault="00224A87" w:rsidP="00224A87">
      <w:pPr>
        <w:pStyle w:val="a9"/>
        <w:numPr>
          <w:ilvl w:val="0"/>
          <w:numId w:val="1"/>
        </w:numPr>
        <w:spacing w:before="240" w:after="240" w:line="360" w:lineRule="auto"/>
        <w:ind w:left="357"/>
        <w:contextualSpacing w:val="0"/>
        <w:jc w:val="both"/>
        <w:rPr>
          <w:rFonts w:ascii="David" w:hAnsi="David" w:cs="David"/>
          <w:sz w:val="24"/>
          <w:szCs w:val="24"/>
        </w:rPr>
      </w:pPr>
      <w:r>
        <w:rPr>
          <w:rFonts w:ascii="David" w:hAnsi="David" w:cs="David" w:hint="cs"/>
          <w:sz w:val="24"/>
          <w:szCs w:val="24"/>
          <w:rtl/>
        </w:rPr>
        <w:t xml:space="preserve">אקדים מסקנה להנמקה ואציין כי </w:t>
      </w:r>
      <w:r w:rsidRPr="00C013C8">
        <w:rPr>
          <w:rFonts w:ascii="David" w:hAnsi="David" w:cs="David" w:hint="cs"/>
          <w:sz w:val="24"/>
          <w:szCs w:val="24"/>
          <w:rtl/>
        </w:rPr>
        <w:t xml:space="preserve">לאחר שבחנתי את טענות הצדדים, </w:t>
      </w:r>
      <w:r w:rsidRPr="00F15479">
        <w:rPr>
          <w:rFonts w:ascii="David" w:hAnsi="David" w:cs="David" w:hint="cs"/>
          <w:b/>
          <w:bCs/>
          <w:sz w:val="24"/>
          <w:szCs w:val="24"/>
          <w:rtl/>
        </w:rPr>
        <w:t>ובעיקר</w:t>
      </w:r>
      <w:r>
        <w:rPr>
          <w:rFonts w:ascii="David" w:hAnsi="David" w:cs="David" w:hint="cs"/>
          <w:sz w:val="24"/>
          <w:szCs w:val="24"/>
          <w:rtl/>
        </w:rPr>
        <w:t xml:space="preserve"> </w:t>
      </w:r>
      <w:r w:rsidRPr="00C013C8">
        <w:rPr>
          <w:rFonts w:ascii="David" w:hAnsi="David" w:cs="David" w:hint="cs"/>
          <w:sz w:val="24"/>
          <w:szCs w:val="24"/>
          <w:rtl/>
        </w:rPr>
        <w:t xml:space="preserve">בהינתן המורכבות העובדתית והייחודית של המקרה, סבורני כי הסדר הטווח אליו הגיעו הצדדים הוא סביר בנסיבות העניין הגם שהרף העליון אליו הגיעו הצדדים נמוך מהרף התחתון של מתחם העונש ההולם הנהוג בעבירות מן הסוג בו הורשע הנאשם. </w:t>
      </w:r>
      <w:r>
        <w:rPr>
          <w:rFonts w:ascii="David" w:hAnsi="David" w:cs="David" w:hint="cs"/>
          <w:sz w:val="24"/>
          <w:szCs w:val="24"/>
          <w:rtl/>
        </w:rPr>
        <w:t xml:space="preserve">עמדתי זו מביאה בחשבון גם את אינטרס ההסתמכות של הנאשם עת נכרת הסדר הטיעון בין הצדדים. </w:t>
      </w:r>
    </w:p>
    <w:p w14:paraId="20F77879" w14:textId="77777777" w:rsidR="00224A87" w:rsidRDefault="00224A87" w:rsidP="00224A87">
      <w:pPr>
        <w:pStyle w:val="a9"/>
        <w:numPr>
          <w:ilvl w:val="0"/>
          <w:numId w:val="1"/>
        </w:numPr>
        <w:spacing w:before="240" w:after="240" w:line="360" w:lineRule="auto"/>
        <w:ind w:left="357"/>
        <w:contextualSpacing w:val="0"/>
        <w:jc w:val="both"/>
        <w:rPr>
          <w:rFonts w:ascii="David" w:hAnsi="David" w:cs="David"/>
          <w:sz w:val="24"/>
          <w:szCs w:val="24"/>
        </w:rPr>
      </w:pPr>
      <w:r>
        <w:rPr>
          <w:rFonts w:ascii="David" w:hAnsi="David" w:cs="David"/>
          <w:sz w:val="24"/>
          <w:szCs w:val="24"/>
          <w:rtl/>
        </w:rPr>
        <w:t xml:space="preserve">בתי המשפט עמדו פעמים רבות על החומרה הטמונה בעבירות מן הסוג שביצע הנאשם, במיוחד כאשר מדובר בסמים קשים ובכמות כה גדולה. </w:t>
      </w:r>
    </w:p>
    <w:p w14:paraId="50D582F0" w14:textId="77777777" w:rsidR="00224A87" w:rsidRDefault="00224A87" w:rsidP="00224A87">
      <w:pPr>
        <w:pStyle w:val="a9"/>
        <w:spacing w:before="240" w:after="240" w:line="360" w:lineRule="auto"/>
        <w:ind w:left="357"/>
        <w:contextualSpacing w:val="0"/>
        <w:jc w:val="both"/>
        <w:rPr>
          <w:rFonts w:ascii="David" w:hAnsi="David" w:cs="David"/>
          <w:sz w:val="24"/>
          <w:szCs w:val="24"/>
        </w:rPr>
      </w:pPr>
      <w:r>
        <w:rPr>
          <w:rFonts w:ascii="David" w:hAnsi="David" w:cs="David"/>
          <w:sz w:val="24"/>
          <w:szCs w:val="24"/>
          <w:rtl/>
        </w:rPr>
        <w:t xml:space="preserve">מעשיו של הנאשם חמורים, והיה בהם כדי לפגוע בכל </w:t>
      </w:r>
      <w:r w:rsidRPr="00B62A47">
        <w:rPr>
          <w:rFonts w:ascii="David" w:hAnsi="David" w:cs="David"/>
          <w:sz w:val="24"/>
          <w:szCs w:val="24"/>
          <w:rtl/>
        </w:rPr>
        <w:t>אותם ערכים מוגנים</w:t>
      </w:r>
      <w:r>
        <w:rPr>
          <w:rFonts w:ascii="David" w:hAnsi="David" w:cs="David"/>
          <w:sz w:val="24"/>
          <w:szCs w:val="24"/>
          <w:rtl/>
        </w:rPr>
        <w:t xml:space="preserve"> שנועדו להגן על הציבור מפני הנזקים הנלווים לשימוש בסמים מסוכנים. הכוונה היא לנזקים ישירים לגופם של הצרכנים הפוטנציאליים, ולנזקים עקיפים שנגרמים כתוצאה מביצוע עבירות רכוש ואלימות הקשורות לצריכת הסם (</w:t>
      </w:r>
      <w:hyperlink r:id="rId15" w:history="1">
        <w:r w:rsidR="0000212C" w:rsidRPr="0000212C">
          <w:rPr>
            <w:rFonts w:ascii="David" w:hAnsi="David" w:cs="David"/>
            <w:color w:val="0000FF"/>
            <w:sz w:val="24"/>
            <w:szCs w:val="24"/>
            <w:u w:val="single"/>
            <w:rtl/>
          </w:rPr>
          <w:t>ע"פ 100/14</w:t>
        </w:r>
      </w:hyperlink>
      <w:r>
        <w:rPr>
          <w:rFonts w:ascii="David" w:hAnsi="David" w:cs="David"/>
          <w:sz w:val="24"/>
          <w:szCs w:val="24"/>
          <w:rtl/>
        </w:rPr>
        <w:t xml:space="preserve"> </w:t>
      </w:r>
      <w:r>
        <w:rPr>
          <w:rFonts w:ascii="David" w:hAnsi="David" w:cs="David"/>
          <w:b/>
          <w:bCs/>
          <w:sz w:val="24"/>
          <w:szCs w:val="24"/>
          <w:rtl/>
        </w:rPr>
        <w:t>מדינת ישראל נ' מחטייב</w:t>
      </w:r>
      <w:r>
        <w:rPr>
          <w:rFonts w:ascii="David" w:hAnsi="David" w:cs="David"/>
          <w:sz w:val="24"/>
          <w:szCs w:val="24"/>
          <w:rtl/>
        </w:rPr>
        <w:t xml:space="preserve">, פס' 3 (10.12.2014)). </w:t>
      </w:r>
    </w:p>
    <w:p w14:paraId="2A0D07E2" w14:textId="77777777" w:rsidR="00224A87" w:rsidRDefault="00224A87" w:rsidP="00224A87">
      <w:pPr>
        <w:pStyle w:val="a9"/>
        <w:spacing w:before="240" w:after="240" w:line="360" w:lineRule="auto"/>
        <w:ind w:left="357"/>
        <w:contextualSpacing w:val="0"/>
        <w:jc w:val="both"/>
        <w:rPr>
          <w:rFonts w:ascii="David" w:hAnsi="David" w:cs="David"/>
          <w:sz w:val="24"/>
          <w:szCs w:val="24"/>
        </w:rPr>
      </w:pPr>
      <w:r>
        <w:rPr>
          <w:rFonts w:ascii="David" w:hAnsi="David" w:cs="David"/>
          <w:sz w:val="24"/>
          <w:szCs w:val="24"/>
          <w:rtl/>
        </w:rPr>
        <w:t>בענייננו</w:t>
      </w:r>
      <w:r w:rsidRPr="00B62A47">
        <w:rPr>
          <w:rFonts w:ascii="David" w:hAnsi="David" w:cs="David"/>
          <w:sz w:val="24"/>
          <w:szCs w:val="24"/>
          <w:rtl/>
        </w:rPr>
        <w:t>, מידת הפגיעה בערכים</w:t>
      </w:r>
      <w:r>
        <w:rPr>
          <w:rFonts w:ascii="David" w:hAnsi="David" w:cs="David"/>
          <w:sz w:val="24"/>
          <w:szCs w:val="24"/>
          <w:rtl/>
        </w:rPr>
        <w:t xml:space="preserve"> אלו היא בינונית-גבוהה. הנאשם אמנם ייבא סמים מסוכנים מסוג קודאין, מורפין ותבאין במשקל כולל של כ- 14 ק"ג, אלא שהסמים נתפסו בשדה התעופה בניו יורק, ומשכך נמנעה הפצתם למשתמשי הקצה.  </w:t>
      </w:r>
    </w:p>
    <w:p w14:paraId="50F422A5" w14:textId="77777777" w:rsidR="00224A87" w:rsidRDefault="00224A87" w:rsidP="00224A87">
      <w:pPr>
        <w:pStyle w:val="a9"/>
        <w:numPr>
          <w:ilvl w:val="0"/>
          <w:numId w:val="1"/>
        </w:numPr>
        <w:spacing w:before="240" w:after="240" w:line="360" w:lineRule="auto"/>
        <w:contextualSpacing w:val="0"/>
        <w:jc w:val="both"/>
        <w:rPr>
          <w:rFonts w:ascii="David" w:hAnsi="David" w:cs="David"/>
          <w:sz w:val="24"/>
          <w:szCs w:val="24"/>
          <w:rtl/>
        </w:rPr>
      </w:pPr>
      <w:r>
        <w:rPr>
          <w:rFonts w:ascii="David" w:hAnsi="David" w:cs="David" w:hint="cs"/>
          <w:sz w:val="24"/>
          <w:szCs w:val="24"/>
          <w:rtl/>
        </w:rPr>
        <w:t xml:space="preserve">כאמור, </w:t>
      </w:r>
      <w:r>
        <w:rPr>
          <w:rFonts w:ascii="David" w:hAnsi="David" w:cs="David"/>
          <w:sz w:val="24"/>
          <w:szCs w:val="24"/>
          <w:rtl/>
        </w:rPr>
        <w:t xml:space="preserve">העבירות שביצע הנאשם </w:t>
      </w:r>
      <w:r>
        <w:rPr>
          <w:rFonts w:ascii="David" w:hAnsi="David" w:cs="David" w:hint="cs"/>
          <w:sz w:val="24"/>
          <w:szCs w:val="24"/>
          <w:rtl/>
        </w:rPr>
        <w:t>בוצעו בצוותא ו</w:t>
      </w:r>
      <w:r>
        <w:rPr>
          <w:rFonts w:ascii="David" w:hAnsi="David" w:cs="David"/>
          <w:sz w:val="24"/>
          <w:szCs w:val="24"/>
          <w:rtl/>
        </w:rPr>
        <w:t>תוכננו היטב</w:t>
      </w:r>
      <w:r w:rsidRPr="00B62A47">
        <w:rPr>
          <w:rFonts w:ascii="David" w:hAnsi="David" w:cs="David"/>
          <w:sz w:val="24"/>
          <w:szCs w:val="24"/>
          <w:rtl/>
        </w:rPr>
        <w:t>. התכנון שקדם לביצוע העבירות</w:t>
      </w:r>
      <w:r>
        <w:rPr>
          <w:rFonts w:ascii="David" w:hAnsi="David" w:cs="David"/>
          <w:sz w:val="24"/>
          <w:szCs w:val="24"/>
          <w:rtl/>
        </w:rPr>
        <w:t xml:space="preserve"> כלל את קשירת הקשר עם מנוצ'הר, סוזן ועלי לייבוא הסמים; העברת סכומי כסף לטובת קבלת המזוודות עם הסמים; תכנון מסלול טיסות, הזמנת בתי מלון, ורכישת כרטיסי טיסה מבעוד מועד.  </w:t>
      </w:r>
    </w:p>
    <w:p w14:paraId="40E200F6" w14:textId="77777777" w:rsidR="00224A87" w:rsidRDefault="00224A87" w:rsidP="00224A87">
      <w:pPr>
        <w:pStyle w:val="a9"/>
        <w:spacing w:before="240" w:after="240" w:line="360" w:lineRule="auto"/>
        <w:ind w:left="360"/>
        <w:contextualSpacing w:val="0"/>
        <w:jc w:val="both"/>
        <w:rPr>
          <w:rFonts w:ascii="David" w:hAnsi="David" w:cs="David"/>
          <w:sz w:val="24"/>
          <w:szCs w:val="24"/>
        </w:rPr>
      </w:pPr>
      <w:r w:rsidRPr="00B62A47">
        <w:rPr>
          <w:rFonts w:ascii="David" w:hAnsi="David" w:cs="David"/>
          <w:sz w:val="24"/>
          <w:szCs w:val="24"/>
          <w:rtl/>
        </w:rPr>
        <w:t>חלקו של הנאשם</w:t>
      </w:r>
      <w:r>
        <w:rPr>
          <w:rFonts w:ascii="David" w:hAnsi="David" w:cs="David"/>
          <w:sz w:val="24"/>
          <w:szCs w:val="24"/>
          <w:rtl/>
        </w:rPr>
        <w:t xml:space="preserve"> בביצוע העבירות הוא משמעותי ודומיננטי: הוא היה שותף מלא בהגיית התכנית העבריינית, התווה את דרך הפעולה, רכש את כרטיסי הטיסה, ושילם יחד עם מנוצ'הר עבור הסמים. מכאן, שהנאשם היווה חוליה חיונית, מרכזית ובלתי נפרדת בשרשרת הפצת הסם. </w:t>
      </w:r>
    </w:p>
    <w:p w14:paraId="394BC239" w14:textId="77777777" w:rsidR="00224A87" w:rsidRDefault="00224A87" w:rsidP="00224A87">
      <w:pPr>
        <w:pStyle w:val="a9"/>
        <w:spacing w:before="240" w:after="240" w:line="360" w:lineRule="auto"/>
        <w:ind w:left="360"/>
        <w:contextualSpacing w:val="0"/>
        <w:jc w:val="both"/>
        <w:rPr>
          <w:rFonts w:ascii="David" w:hAnsi="David" w:cs="David"/>
          <w:sz w:val="24"/>
          <w:szCs w:val="24"/>
        </w:rPr>
      </w:pPr>
      <w:r w:rsidRPr="00564643">
        <w:rPr>
          <w:rFonts w:ascii="David" w:hAnsi="David" w:cs="David"/>
          <w:sz w:val="24"/>
          <w:szCs w:val="24"/>
          <w:rtl/>
        </w:rPr>
        <w:t>כאמור, הנזק הקונקרטי במקרה דנא נמנע מאחר שהסמים נתפסו בשדה התעופה בניו יורק, טרם הפצתם. עם זאת, הנזק הפוטנציאלי שהיה עלול</w:t>
      </w:r>
      <w:r>
        <w:rPr>
          <w:rFonts w:ascii="David" w:hAnsi="David" w:cs="David"/>
          <w:sz w:val="24"/>
          <w:szCs w:val="24"/>
          <w:rtl/>
        </w:rPr>
        <w:t xml:space="preserve"> להיגרם מהפצת הסם הוא גדול ומשמעותי בשל הכמות הגדולה וסוג הסמים הקשים שיובאו לארצות הברית, שעלולים היו לשמש להכנת מנות סם רבות. </w:t>
      </w:r>
    </w:p>
    <w:p w14:paraId="2A66CAEB" w14:textId="77777777" w:rsidR="00224A87" w:rsidRDefault="00224A87" w:rsidP="00224A87">
      <w:pPr>
        <w:pStyle w:val="a9"/>
        <w:numPr>
          <w:ilvl w:val="0"/>
          <w:numId w:val="1"/>
        </w:numPr>
        <w:spacing w:before="240" w:after="240" w:line="360" w:lineRule="auto"/>
        <w:ind w:left="357"/>
        <w:contextualSpacing w:val="0"/>
        <w:jc w:val="both"/>
        <w:rPr>
          <w:rFonts w:ascii="David" w:hAnsi="David" w:cs="David"/>
          <w:sz w:val="24"/>
          <w:szCs w:val="24"/>
          <w:u w:val="single"/>
          <w:rtl/>
        </w:rPr>
      </w:pPr>
      <w:r>
        <w:rPr>
          <w:rFonts w:ascii="David" w:hAnsi="David" w:cs="David"/>
          <w:sz w:val="24"/>
          <w:szCs w:val="24"/>
          <w:rtl/>
        </w:rPr>
        <w:t xml:space="preserve">במקרים דומים </w:t>
      </w:r>
      <w:r>
        <w:rPr>
          <w:rFonts w:ascii="David" w:hAnsi="David" w:cs="David" w:hint="cs"/>
          <w:sz w:val="24"/>
          <w:szCs w:val="24"/>
          <w:rtl/>
        </w:rPr>
        <w:t xml:space="preserve">אשר עסקו </w:t>
      </w:r>
      <w:r>
        <w:rPr>
          <w:rFonts w:ascii="David" w:hAnsi="David" w:cs="David"/>
          <w:sz w:val="24"/>
          <w:szCs w:val="24"/>
          <w:rtl/>
        </w:rPr>
        <w:t xml:space="preserve">בעבירות שתכליתן החדרת סמים קשים ובכמויות גדולות למדינה - אף אם לא לתוך מדינת ישראל </w:t>
      </w:r>
      <w:r>
        <w:rPr>
          <w:rFonts w:ascii="David" w:hAnsi="David" w:cs="David" w:hint="cs"/>
          <w:sz w:val="24"/>
          <w:szCs w:val="24"/>
          <w:rtl/>
        </w:rPr>
        <w:t>-</w:t>
      </w:r>
      <w:r>
        <w:rPr>
          <w:rFonts w:ascii="David" w:hAnsi="David" w:cs="David"/>
          <w:sz w:val="24"/>
          <w:szCs w:val="24"/>
          <w:rtl/>
        </w:rPr>
        <w:t xml:space="preserve"> </w:t>
      </w:r>
      <w:r>
        <w:rPr>
          <w:rFonts w:ascii="David" w:hAnsi="David" w:cs="David" w:hint="cs"/>
          <w:sz w:val="24"/>
          <w:szCs w:val="24"/>
          <w:rtl/>
        </w:rPr>
        <w:t>התחייב</w:t>
      </w:r>
      <w:r>
        <w:rPr>
          <w:rFonts w:ascii="David" w:hAnsi="David" w:cs="David"/>
          <w:sz w:val="24"/>
          <w:szCs w:val="24"/>
          <w:rtl/>
        </w:rPr>
        <w:t xml:space="preserve"> רף ענישה מחמיר ומרתיע, הכולל מאסר משמעותי בפועל (</w:t>
      </w:r>
      <w:hyperlink r:id="rId16" w:history="1">
        <w:r w:rsidR="0000212C" w:rsidRPr="0000212C">
          <w:rPr>
            <w:rFonts w:ascii="David" w:hAnsi="David" w:cs="David"/>
            <w:color w:val="0000FF"/>
            <w:sz w:val="24"/>
            <w:szCs w:val="24"/>
            <w:u w:val="single"/>
            <w:rtl/>
          </w:rPr>
          <w:t>ע"פ 6876/17</w:t>
        </w:r>
      </w:hyperlink>
      <w:r>
        <w:rPr>
          <w:rFonts w:ascii="David" w:hAnsi="David" w:cs="David"/>
          <w:sz w:val="24"/>
          <w:szCs w:val="24"/>
          <w:rtl/>
        </w:rPr>
        <w:t xml:space="preserve"> </w:t>
      </w:r>
      <w:r>
        <w:rPr>
          <w:rFonts w:ascii="David" w:hAnsi="David" w:cs="David"/>
          <w:b/>
          <w:bCs/>
          <w:sz w:val="24"/>
          <w:szCs w:val="24"/>
          <w:rtl/>
        </w:rPr>
        <w:t>אזולאי נ' מדינת ישראל</w:t>
      </w:r>
      <w:r>
        <w:rPr>
          <w:rFonts w:ascii="David" w:hAnsi="David" w:cs="David"/>
          <w:sz w:val="24"/>
          <w:szCs w:val="24"/>
          <w:rtl/>
        </w:rPr>
        <w:t xml:space="preserve">, פס' 25 (20.4.2020)). באשר לפסיקה הנוהגת, ראיתי את פסקי הדין הבאים כרלוונטיים: </w:t>
      </w:r>
    </w:p>
    <w:p w14:paraId="4483546A" w14:textId="77777777" w:rsidR="00224A87" w:rsidRPr="00150BF4" w:rsidRDefault="001567EB" w:rsidP="00224A87">
      <w:pPr>
        <w:pStyle w:val="a9"/>
        <w:spacing w:before="240" w:after="240" w:line="360" w:lineRule="auto"/>
        <w:ind w:left="357"/>
        <w:contextualSpacing w:val="0"/>
        <w:jc w:val="both"/>
        <w:rPr>
          <w:rFonts w:ascii="David" w:hAnsi="David" w:cs="David"/>
          <w:sz w:val="24"/>
          <w:szCs w:val="24"/>
        </w:rPr>
      </w:pPr>
      <w:hyperlink r:id="rId17" w:history="1">
        <w:r w:rsidRPr="001567EB">
          <w:rPr>
            <w:rFonts w:ascii="David" w:hAnsi="David" w:cs="David"/>
            <w:color w:val="0000FF"/>
            <w:sz w:val="24"/>
            <w:szCs w:val="24"/>
            <w:u w:val="single"/>
            <w:rtl/>
          </w:rPr>
          <w:t>ע"פ 671/19‏</w:t>
        </w:r>
      </w:hyperlink>
      <w:r w:rsidR="00224A87">
        <w:rPr>
          <w:rFonts w:ascii="David" w:hAnsi="David" w:cs="David"/>
          <w:sz w:val="24"/>
          <w:szCs w:val="24"/>
          <w:rtl/>
        </w:rPr>
        <w:t xml:space="preserve"> </w:t>
      </w:r>
      <w:r w:rsidR="00224A87">
        <w:rPr>
          <w:rFonts w:ascii="David" w:hAnsi="David" w:cs="David"/>
          <w:b/>
          <w:bCs/>
          <w:sz w:val="24"/>
          <w:szCs w:val="24"/>
          <w:rtl/>
        </w:rPr>
        <w:t>אבוטבול</w:t>
      </w:r>
      <w:r w:rsidR="00224A87">
        <w:rPr>
          <w:rFonts w:ascii="David" w:hAnsi="David" w:cs="David"/>
          <w:sz w:val="24"/>
          <w:szCs w:val="24"/>
          <w:rtl/>
        </w:rPr>
        <w:t xml:space="preserve"> </w:t>
      </w:r>
      <w:r w:rsidR="00224A87">
        <w:rPr>
          <w:rFonts w:ascii="David" w:hAnsi="David" w:cs="David"/>
          <w:b/>
          <w:bCs/>
          <w:sz w:val="24"/>
          <w:szCs w:val="24"/>
          <w:rtl/>
        </w:rPr>
        <w:t xml:space="preserve">נ' </w:t>
      </w:r>
      <w:r w:rsidR="00224A87">
        <w:rPr>
          <w:rFonts w:ascii="David" w:hAnsi="David" w:cs="David"/>
          <w:sz w:val="24"/>
          <w:szCs w:val="24"/>
          <w:rtl/>
        </w:rPr>
        <w:t>‏</w:t>
      </w:r>
      <w:r w:rsidR="00224A87">
        <w:rPr>
          <w:rFonts w:ascii="David" w:hAnsi="David" w:cs="David"/>
          <w:b/>
          <w:bCs/>
          <w:sz w:val="24"/>
          <w:szCs w:val="24"/>
          <w:rtl/>
        </w:rPr>
        <w:t xml:space="preserve">מדינת ישראל </w:t>
      </w:r>
      <w:r w:rsidR="00224A87">
        <w:rPr>
          <w:rFonts w:ascii="David" w:hAnsi="David" w:cs="David" w:hint="cs"/>
          <w:sz w:val="24"/>
          <w:szCs w:val="24"/>
          <w:rtl/>
        </w:rPr>
        <w:t>(7.10.2019)</w:t>
      </w:r>
      <w:r w:rsidR="00224A87">
        <w:rPr>
          <w:rFonts w:ascii="David" w:hAnsi="David" w:cs="David"/>
          <w:sz w:val="24"/>
          <w:szCs w:val="24"/>
          <w:rtl/>
        </w:rPr>
        <w:t xml:space="preserve"> </w:t>
      </w:r>
      <w:r w:rsidR="00224A87">
        <w:rPr>
          <w:rFonts w:ascii="David" w:hAnsi="David" w:cs="David" w:hint="cs"/>
          <w:sz w:val="24"/>
          <w:szCs w:val="24"/>
          <w:rtl/>
        </w:rPr>
        <w:t xml:space="preserve">- המערער </w:t>
      </w:r>
      <w:r w:rsidR="00224A87">
        <w:rPr>
          <w:rFonts w:ascii="David" w:hAnsi="David" w:cs="David"/>
          <w:sz w:val="24"/>
          <w:szCs w:val="24"/>
          <w:rtl/>
        </w:rPr>
        <w:t xml:space="preserve">הורשע </w:t>
      </w:r>
      <w:r w:rsidR="00224A87">
        <w:rPr>
          <w:rFonts w:ascii="David" w:hAnsi="David" w:cs="David" w:hint="cs"/>
          <w:sz w:val="24"/>
          <w:szCs w:val="24"/>
          <w:rtl/>
        </w:rPr>
        <w:t xml:space="preserve">בביצוע עבירות של ייבוא סם מסוכן והחזקת סם מסוכן שלא לשימוש עצמי בכך שהביא עמו לארץ באמצעות מזוודה בעלת דופן כפולה קוקאין במשקל 6.98 ק"ג בשווי של כ- 2.45 מיליון ₪. </w:t>
      </w:r>
      <w:r w:rsidR="00224A87" w:rsidRPr="00150BF4">
        <w:rPr>
          <w:rFonts w:ascii="David" w:hAnsi="David" w:cs="David"/>
          <w:sz w:val="24"/>
          <w:szCs w:val="24"/>
          <w:rtl/>
        </w:rPr>
        <w:t xml:space="preserve">בית המשפט המחוזי קבע </w:t>
      </w:r>
      <w:r w:rsidR="00224A87" w:rsidRPr="00150BF4">
        <w:rPr>
          <w:rFonts w:ascii="David" w:hAnsi="David" w:cs="David"/>
          <w:b/>
          <w:bCs/>
          <w:sz w:val="24"/>
          <w:szCs w:val="24"/>
          <w:rtl/>
        </w:rPr>
        <w:t>מתחם הנע בין 4.5 ל- 7.5 שנות מאסר</w:t>
      </w:r>
      <w:r w:rsidR="00224A87">
        <w:rPr>
          <w:rFonts w:ascii="David" w:hAnsi="David" w:cs="David" w:hint="cs"/>
          <w:sz w:val="24"/>
          <w:szCs w:val="24"/>
          <w:rtl/>
        </w:rPr>
        <w:t xml:space="preserve">, והשית על המערער עונש של 50 חודשי מאסר בפועל לצד עונשים נלווים, לאחר שסטה מהמתחם בשל שיקולי שיקום. </w:t>
      </w:r>
      <w:r w:rsidR="00224A87" w:rsidRPr="00150BF4">
        <w:rPr>
          <w:rFonts w:ascii="David" w:hAnsi="David" w:cs="David"/>
          <w:sz w:val="24"/>
          <w:szCs w:val="24"/>
          <w:rtl/>
        </w:rPr>
        <w:t xml:space="preserve"> בית המשפט העליון דחה ערעור על חומרת העונש. </w:t>
      </w:r>
    </w:p>
    <w:p w14:paraId="7D4A4570" w14:textId="77777777" w:rsidR="00224A87" w:rsidRDefault="0000212C" w:rsidP="00224A87">
      <w:pPr>
        <w:pStyle w:val="a9"/>
        <w:spacing w:before="240" w:after="240" w:line="360" w:lineRule="auto"/>
        <w:ind w:left="357"/>
        <w:contextualSpacing w:val="0"/>
        <w:jc w:val="both"/>
        <w:rPr>
          <w:rFonts w:ascii="David" w:hAnsi="David" w:cs="David"/>
          <w:sz w:val="24"/>
          <w:szCs w:val="24"/>
          <w:rtl/>
        </w:rPr>
      </w:pPr>
      <w:hyperlink r:id="rId18" w:history="1">
        <w:r w:rsidRPr="0000212C">
          <w:rPr>
            <w:rFonts w:ascii="David" w:hAnsi="David" w:cs="David"/>
            <w:color w:val="0000FF"/>
            <w:sz w:val="24"/>
            <w:szCs w:val="24"/>
            <w:u w:val="single"/>
            <w:rtl/>
          </w:rPr>
          <w:t>ע"פ 1256/18</w:t>
        </w:r>
      </w:hyperlink>
      <w:r w:rsidR="00224A87">
        <w:rPr>
          <w:rFonts w:ascii="David" w:hAnsi="David" w:cs="David"/>
          <w:sz w:val="24"/>
          <w:szCs w:val="24"/>
          <w:rtl/>
        </w:rPr>
        <w:t xml:space="preserve"> </w:t>
      </w:r>
      <w:r w:rsidR="00224A87">
        <w:rPr>
          <w:rFonts w:ascii="David" w:hAnsi="David" w:cs="David"/>
          <w:b/>
          <w:bCs/>
          <w:sz w:val="24"/>
          <w:szCs w:val="24"/>
          <w:rtl/>
        </w:rPr>
        <w:t>זאודי נ' מדינת ישראל</w:t>
      </w:r>
      <w:r w:rsidR="00224A87">
        <w:rPr>
          <w:rFonts w:ascii="David" w:hAnsi="David" w:cs="David"/>
          <w:sz w:val="24"/>
          <w:szCs w:val="24"/>
          <w:rtl/>
        </w:rPr>
        <w:t xml:space="preserve"> (7.</w:t>
      </w:r>
      <w:r w:rsidR="00224A87">
        <w:rPr>
          <w:rFonts w:ascii="David" w:hAnsi="David" w:cs="David" w:hint="cs"/>
          <w:sz w:val="24"/>
          <w:szCs w:val="24"/>
          <w:rtl/>
        </w:rPr>
        <w:t>6.2018)</w:t>
      </w:r>
      <w:r w:rsidR="00224A87">
        <w:rPr>
          <w:rFonts w:ascii="David" w:hAnsi="David" w:cs="David"/>
          <w:sz w:val="24"/>
          <w:szCs w:val="24"/>
          <w:rtl/>
        </w:rPr>
        <w:t xml:space="preserve"> </w:t>
      </w:r>
      <w:r w:rsidR="00224A87">
        <w:rPr>
          <w:rFonts w:ascii="David" w:hAnsi="David" w:cs="David" w:hint="cs"/>
          <w:sz w:val="24"/>
          <w:szCs w:val="24"/>
          <w:rtl/>
        </w:rPr>
        <w:t>- ה</w:t>
      </w:r>
      <w:r w:rsidR="00224A87">
        <w:rPr>
          <w:rFonts w:ascii="David" w:hAnsi="David" w:cs="David"/>
          <w:sz w:val="24"/>
          <w:szCs w:val="24"/>
          <w:rtl/>
        </w:rPr>
        <w:t xml:space="preserve">מערער הורשע בביצוע עבירה של יבוא </w:t>
      </w:r>
      <w:r w:rsidR="00224A87">
        <w:rPr>
          <w:rFonts w:ascii="David" w:hAnsi="David" w:cs="David" w:hint="cs"/>
          <w:sz w:val="24"/>
          <w:szCs w:val="24"/>
          <w:rtl/>
        </w:rPr>
        <w:t xml:space="preserve">סם מסוכן בכך שהביא עמו לארץ באמצעות מזוודה בעלת בטנה נסתרת 8 חבילות ובהן קוקאין במשקל של </w:t>
      </w:r>
      <w:r w:rsidR="00224A87">
        <w:rPr>
          <w:rFonts w:ascii="David" w:hAnsi="David" w:cs="David"/>
          <w:sz w:val="24"/>
          <w:szCs w:val="24"/>
          <w:rtl/>
        </w:rPr>
        <w:t xml:space="preserve">7 ק"ג. בית המשפט המחוזי קבע </w:t>
      </w:r>
      <w:r w:rsidR="00224A87">
        <w:rPr>
          <w:rFonts w:ascii="David" w:hAnsi="David" w:cs="David"/>
          <w:b/>
          <w:bCs/>
          <w:sz w:val="24"/>
          <w:szCs w:val="24"/>
          <w:rtl/>
        </w:rPr>
        <w:t>מתחם שנע בין 5.5 ל-8.5 שנות מאסר</w:t>
      </w:r>
      <w:r w:rsidR="00224A87">
        <w:rPr>
          <w:rFonts w:ascii="David" w:hAnsi="David" w:cs="David"/>
          <w:sz w:val="24"/>
          <w:szCs w:val="24"/>
          <w:rtl/>
        </w:rPr>
        <w:t xml:space="preserve">, </w:t>
      </w:r>
      <w:r w:rsidR="00224A87">
        <w:rPr>
          <w:rFonts w:ascii="David" w:hAnsi="David" w:cs="David" w:hint="cs"/>
          <w:sz w:val="24"/>
          <w:szCs w:val="24"/>
          <w:rtl/>
        </w:rPr>
        <w:t>בציינו כי אלמלא דובר "רק" בבלדר, המתחם היה גבוה בצורה ניכרת. על המערער הושתו 7 שנות מאסר:</w:t>
      </w:r>
      <w:r w:rsidR="00224A87" w:rsidRPr="00DD5191">
        <w:rPr>
          <w:rFonts w:ascii="David" w:hAnsi="David" w:cs="David"/>
          <w:sz w:val="24"/>
          <w:szCs w:val="24"/>
          <w:rtl/>
        </w:rPr>
        <w:t xml:space="preserve"> 6.5 </w:t>
      </w:r>
      <w:r w:rsidR="00224A87">
        <w:rPr>
          <w:rFonts w:ascii="David" w:hAnsi="David" w:cs="David" w:hint="cs"/>
          <w:sz w:val="24"/>
          <w:szCs w:val="24"/>
          <w:rtl/>
        </w:rPr>
        <w:t xml:space="preserve">שנים </w:t>
      </w:r>
      <w:r w:rsidR="00224A87" w:rsidRPr="00DD5191">
        <w:rPr>
          <w:rFonts w:ascii="David" w:hAnsi="David" w:cs="David" w:hint="cs"/>
          <w:sz w:val="24"/>
          <w:szCs w:val="24"/>
          <w:rtl/>
        </w:rPr>
        <w:t>בגין העבירה מושא תיק זה,</w:t>
      </w:r>
      <w:r w:rsidR="00224A87">
        <w:rPr>
          <w:rFonts w:ascii="David" w:hAnsi="David" w:cs="David" w:hint="cs"/>
          <w:sz w:val="24"/>
          <w:szCs w:val="24"/>
          <w:rtl/>
        </w:rPr>
        <w:t xml:space="preserve"> ומאסר מותנה בן 6 חודשים במצטבר, לצד עונשים נלווים. בית המשפט </w:t>
      </w:r>
      <w:r w:rsidR="00224A87" w:rsidRPr="00DD5191">
        <w:rPr>
          <w:rFonts w:ascii="David" w:hAnsi="David" w:cs="David"/>
          <w:sz w:val="24"/>
          <w:szCs w:val="24"/>
          <w:rtl/>
        </w:rPr>
        <w:t xml:space="preserve">העליון </w:t>
      </w:r>
      <w:r w:rsidR="00224A87">
        <w:rPr>
          <w:rFonts w:ascii="David" w:hAnsi="David" w:cs="David" w:hint="cs"/>
          <w:sz w:val="24"/>
          <w:szCs w:val="24"/>
          <w:rtl/>
        </w:rPr>
        <w:t xml:space="preserve">קיבל את הערעור על חומרת העונש, והפחית את העונש ל- </w:t>
      </w:r>
      <w:r w:rsidR="00224A87">
        <w:rPr>
          <w:rFonts w:ascii="David" w:hAnsi="David" w:cs="David"/>
          <w:sz w:val="24"/>
          <w:szCs w:val="24"/>
          <w:rtl/>
        </w:rPr>
        <w:t>6 שנות מ</w:t>
      </w:r>
      <w:r w:rsidR="00224A87">
        <w:rPr>
          <w:rFonts w:ascii="David" w:hAnsi="David" w:cs="David" w:hint="cs"/>
          <w:sz w:val="24"/>
          <w:szCs w:val="24"/>
          <w:rtl/>
        </w:rPr>
        <w:t xml:space="preserve">אסר, כולל התנאי שהופעל. </w:t>
      </w:r>
      <w:r w:rsidR="00224A87" w:rsidRPr="00DD5191">
        <w:rPr>
          <w:rFonts w:ascii="David" w:hAnsi="David" w:cs="David" w:hint="cs"/>
          <w:sz w:val="24"/>
          <w:szCs w:val="24"/>
          <w:rtl/>
        </w:rPr>
        <w:t xml:space="preserve"> </w:t>
      </w:r>
    </w:p>
    <w:p w14:paraId="2556DF36" w14:textId="77777777" w:rsidR="00224A87" w:rsidRDefault="0000212C" w:rsidP="00224A87">
      <w:pPr>
        <w:pStyle w:val="a9"/>
        <w:spacing w:before="240" w:after="240" w:line="360" w:lineRule="auto"/>
        <w:ind w:left="357"/>
        <w:contextualSpacing w:val="0"/>
        <w:jc w:val="both"/>
        <w:rPr>
          <w:rFonts w:ascii="David" w:hAnsi="David" w:cs="David"/>
          <w:sz w:val="24"/>
          <w:szCs w:val="24"/>
        </w:rPr>
      </w:pPr>
      <w:hyperlink r:id="rId19" w:history="1">
        <w:r w:rsidRPr="0000212C">
          <w:rPr>
            <w:rFonts w:ascii="David" w:hAnsi="David" w:cs="David"/>
            <w:color w:val="0000FF"/>
            <w:sz w:val="24"/>
            <w:szCs w:val="24"/>
            <w:u w:val="single"/>
            <w:rtl/>
          </w:rPr>
          <w:t>ע"פ 6886/17</w:t>
        </w:r>
      </w:hyperlink>
      <w:r w:rsidR="00224A87">
        <w:rPr>
          <w:rFonts w:ascii="David" w:hAnsi="David" w:cs="David"/>
          <w:sz w:val="24"/>
          <w:szCs w:val="24"/>
          <w:rtl/>
        </w:rPr>
        <w:t xml:space="preserve"> </w:t>
      </w:r>
      <w:r w:rsidR="00224A87">
        <w:rPr>
          <w:rFonts w:ascii="David" w:hAnsi="David" w:cs="David"/>
          <w:b/>
          <w:bCs/>
          <w:sz w:val="24"/>
          <w:szCs w:val="24"/>
          <w:rtl/>
        </w:rPr>
        <w:t xml:space="preserve">מרסל נ' מדינת ישראל </w:t>
      </w:r>
      <w:r w:rsidR="00224A87">
        <w:rPr>
          <w:rFonts w:ascii="David" w:hAnsi="David" w:cs="David"/>
          <w:sz w:val="24"/>
          <w:szCs w:val="24"/>
          <w:rtl/>
        </w:rPr>
        <w:t xml:space="preserve">(24.4.2018) </w:t>
      </w:r>
      <w:r w:rsidR="00224A87">
        <w:rPr>
          <w:rFonts w:ascii="David" w:hAnsi="David" w:cs="David" w:hint="cs"/>
          <w:sz w:val="24"/>
          <w:szCs w:val="24"/>
          <w:rtl/>
        </w:rPr>
        <w:t>-</w:t>
      </w:r>
      <w:r w:rsidR="00224A87">
        <w:rPr>
          <w:rFonts w:ascii="David" w:hAnsi="David" w:cs="David"/>
          <w:sz w:val="24"/>
          <w:szCs w:val="24"/>
          <w:rtl/>
        </w:rPr>
        <w:t xml:space="preserve"> </w:t>
      </w:r>
      <w:r w:rsidR="00224A87">
        <w:rPr>
          <w:rFonts w:ascii="David" w:hAnsi="David" w:cs="David" w:hint="cs"/>
          <w:sz w:val="24"/>
          <w:szCs w:val="24"/>
          <w:rtl/>
        </w:rPr>
        <w:t>ה</w:t>
      </w:r>
      <w:r w:rsidR="00224A87">
        <w:rPr>
          <w:rFonts w:ascii="David" w:hAnsi="David" w:cs="David"/>
          <w:sz w:val="24"/>
          <w:szCs w:val="24"/>
          <w:rtl/>
        </w:rPr>
        <w:t xml:space="preserve">מערער </w:t>
      </w:r>
      <w:r w:rsidR="00224A87">
        <w:rPr>
          <w:rFonts w:ascii="David" w:hAnsi="David" w:cs="David" w:hint="cs"/>
          <w:sz w:val="24"/>
          <w:szCs w:val="24"/>
          <w:rtl/>
        </w:rPr>
        <w:t>ה</w:t>
      </w:r>
      <w:r w:rsidR="00224A87">
        <w:rPr>
          <w:rFonts w:ascii="David" w:hAnsi="David" w:cs="David"/>
          <w:sz w:val="24"/>
          <w:szCs w:val="24"/>
          <w:rtl/>
        </w:rPr>
        <w:t>ורשע בביצוע עבירות של קשירת קשר לביצוע פשע, י</w:t>
      </w:r>
      <w:r w:rsidR="00224A87">
        <w:rPr>
          <w:rFonts w:ascii="David" w:hAnsi="David" w:cs="David" w:hint="cs"/>
          <w:sz w:val="24"/>
          <w:szCs w:val="24"/>
          <w:rtl/>
        </w:rPr>
        <w:t>י</w:t>
      </w:r>
      <w:r w:rsidR="00224A87">
        <w:rPr>
          <w:rFonts w:ascii="David" w:hAnsi="David" w:cs="David"/>
          <w:sz w:val="24"/>
          <w:szCs w:val="24"/>
          <w:rtl/>
        </w:rPr>
        <w:t>בוא סם מסוכן והחזקת סם מסוכן שלא לצריכה עצמית</w:t>
      </w:r>
      <w:r w:rsidR="00224A87">
        <w:rPr>
          <w:rFonts w:ascii="David" w:hAnsi="David" w:cs="David" w:hint="cs"/>
          <w:sz w:val="24"/>
          <w:szCs w:val="24"/>
          <w:rtl/>
        </w:rPr>
        <w:t>, בכך שה</w:t>
      </w:r>
      <w:r w:rsidR="00224A87">
        <w:rPr>
          <w:rFonts w:ascii="David" w:hAnsi="David" w:cs="David"/>
          <w:sz w:val="24"/>
          <w:szCs w:val="24"/>
          <w:rtl/>
        </w:rPr>
        <w:t xml:space="preserve">ביא עמו מברזיל לישראל מזוודה בעלת דופן נסתרת ובתוכה כ- 3 ק"ג קוקאין. בית המשפט המחוזי קבע </w:t>
      </w:r>
      <w:r w:rsidR="00224A87">
        <w:rPr>
          <w:rFonts w:ascii="David" w:hAnsi="David" w:cs="David"/>
          <w:b/>
          <w:bCs/>
          <w:sz w:val="24"/>
          <w:szCs w:val="24"/>
          <w:rtl/>
        </w:rPr>
        <w:t>מתחם שנע בין 4 ל- 7 שנות מאסר</w:t>
      </w:r>
      <w:r w:rsidR="00224A87">
        <w:rPr>
          <w:rFonts w:ascii="David" w:hAnsi="David" w:cs="David"/>
          <w:sz w:val="24"/>
          <w:szCs w:val="24"/>
          <w:rtl/>
        </w:rPr>
        <w:t>, והשית על המערער</w:t>
      </w:r>
      <w:r w:rsidR="00224A87">
        <w:rPr>
          <w:rFonts w:ascii="David" w:hAnsi="David" w:cs="David" w:hint="cs"/>
          <w:sz w:val="24"/>
          <w:szCs w:val="24"/>
          <w:rtl/>
        </w:rPr>
        <w:t xml:space="preserve"> עונש של</w:t>
      </w:r>
      <w:r w:rsidR="00224A87">
        <w:rPr>
          <w:rFonts w:ascii="David" w:hAnsi="David" w:cs="David"/>
          <w:sz w:val="24"/>
          <w:szCs w:val="24"/>
          <w:rtl/>
        </w:rPr>
        <w:t xml:space="preserve"> 56 חודשי מאסר בפועל</w:t>
      </w:r>
      <w:r w:rsidR="00224A87">
        <w:rPr>
          <w:rFonts w:ascii="David" w:hAnsi="David" w:cs="David" w:hint="cs"/>
          <w:sz w:val="24"/>
          <w:szCs w:val="24"/>
          <w:rtl/>
        </w:rPr>
        <w:t>, לצד עונשים נלווים</w:t>
      </w:r>
      <w:r w:rsidR="00224A87">
        <w:rPr>
          <w:rFonts w:ascii="David" w:hAnsi="David" w:cs="David"/>
          <w:sz w:val="24"/>
          <w:szCs w:val="24"/>
          <w:rtl/>
        </w:rPr>
        <w:t xml:space="preserve">. בית המשפט העליון דחה ערעור על חומרת העונש. </w:t>
      </w:r>
    </w:p>
    <w:p w14:paraId="10BDE879" w14:textId="77777777" w:rsidR="00224A87" w:rsidRDefault="0000212C" w:rsidP="00224A87">
      <w:pPr>
        <w:pStyle w:val="a9"/>
        <w:spacing w:before="240" w:after="240" w:line="360" w:lineRule="auto"/>
        <w:ind w:left="357"/>
        <w:contextualSpacing w:val="0"/>
        <w:jc w:val="both"/>
        <w:rPr>
          <w:rFonts w:ascii="David" w:hAnsi="David" w:cs="David"/>
          <w:sz w:val="24"/>
          <w:szCs w:val="24"/>
        </w:rPr>
      </w:pPr>
      <w:hyperlink r:id="rId20" w:history="1">
        <w:r w:rsidRPr="0000212C">
          <w:rPr>
            <w:rFonts w:ascii="David" w:hAnsi="David" w:cs="David"/>
            <w:color w:val="0000FF"/>
            <w:sz w:val="24"/>
            <w:szCs w:val="24"/>
            <w:u w:val="single"/>
            <w:rtl/>
          </w:rPr>
          <w:t>ע"פ 10101/17</w:t>
        </w:r>
      </w:hyperlink>
      <w:r w:rsidR="00224A87">
        <w:rPr>
          <w:rFonts w:ascii="David" w:hAnsi="David" w:cs="David"/>
          <w:sz w:val="24"/>
          <w:szCs w:val="24"/>
          <w:rtl/>
        </w:rPr>
        <w:t xml:space="preserve"> </w:t>
      </w:r>
      <w:r w:rsidR="00224A87">
        <w:rPr>
          <w:rFonts w:ascii="David" w:hAnsi="David" w:cs="David"/>
          <w:b/>
          <w:bCs/>
          <w:sz w:val="24"/>
          <w:szCs w:val="24"/>
          <w:rtl/>
        </w:rPr>
        <w:t xml:space="preserve">טאקץ נ' מדינת ישראל </w:t>
      </w:r>
      <w:r w:rsidR="00224A87">
        <w:rPr>
          <w:rFonts w:ascii="David" w:hAnsi="David" w:cs="David" w:hint="cs"/>
          <w:sz w:val="24"/>
          <w:szCs w:val="24"/>
          <w:rtl/>
        </w:rPr>
        <w:t>(23.4.2018)</w:t>
      </w:r>
      <w:r w:rsidR="00224A87">
        <w:rPr>
          <w:rFonts w:ascii="David" w:hAnsi="David" w:cs="David"/>
          <w:sz w:val="24"/>
          <w:szCs w:val="24"/>
          <w:rtl/>
        </w:rPr>
        <w:t xml:space="preserve"> </w:t>
      </w:r>
      <w:r w:rsidR="00224A87">
        <w:rPr>
          <w:rFonts w:ascii="David" w:hAnsi="David" w:cs="David" w:hint="cs"/>
          <w:sz w:val="24"/>
          <w:szCs w:val="24"/>
          <w:rtl/>
        </w:rPr>
        <w:t>-</w:t>
      </w:r>
      <w:r w:rsidR="00224A87">
        <w:rPr>
          <w:rFonts w:ascii="David" w:hAnsi="David" w:cs="David"/>
          <w:sz w:val="24"/>
          <w:szCs w:val="24"/>
          <w:rtl/>
        </w:rPr>
        <w:t xml:space="preserve"> </w:t>
      </w:r>
      <w:r w:rsidR="00224A87">
        <w:rPr>
          <w:rFonts w:ascii="David" w:hAnsi="David" w:cs="David" w:hint="cs"/>
          <w:sz w:val="24"/>
          <w:szCs w:val="24"/>
          <w:rtl/>
        </w:rPr>
        <w:t>ה</w:t>
      </w:r>
      <w:r w:rsidR="00224A87">
        <w:rPr>
          <w:rFonts w:ascii="David" w:hAnsi="David" w:cs="David"/>
          <w:sz w:val="24"/>
          <w:szCs w:val="24"/>
          <w:rtl/>
        </w:rPr>
        <w:t xml:space="preserve">מערער הורשע </w:t>
      </w:r>
      <w:r w:rsidR="00224A87">
        <w:rPr>
          <w:rFonts w:ascii="David" w:hAnsi="David" w:cs="David" w:hint="cs"/>
          <w:sz w:val="24"/>
          <w:szCs w:val="24"/>
          <w:rtl/>
        </w:rPr>
        <w:t xml:space="preserve">בביצוע </w:t>
      </w:r>
      <w:r w:rsidR="00224A87">
        <w:rPr>
          <w:rFonts w:ascii="David" w:hAnsi="David" w:cs="David"/>
          <w:sz w:val="24"/>
          <w:szCs w:val="24"/>
          <w:rtl/>
        </w:rPr>
        <w:t>עבירה של י</w:t>
      </w:r>
      <w:r w:rsidR="00224A87">
        <w:rPr>
          <w:rFonts w:ascii="David" w:hAnsi="David" w:cs="David" w:hint="cs"/>
          <w:sz w:val="24"/>
          <w:szCs w:val="24"/>
          <w:rtl/>
        </w:rPr>
        <w:t>י</w:t>
      </w:r>
      <w:r w:rsidR="00224A87">
        <w:rPr>
          <w:rFonts w:ascii="David" w:hAnsi="David" w:cs="David"/>
          <w:sz w:val="24"/>
          <w:szCs w:val="24"/>
          <w:rtl/>
        </w:rPr>
        <w:t xml:space="preserve">בוא סם מסוכן </w:t>
      </w:r>
      <w:r w:rsidR="00224A87">
        <w:rPr>
          <w:rFonts w:ascii="David" w:hAnsi="David" w:cs="David" w:hint="cs"/>
          <w:sz w:val="24"/>
          <w:szCs w:val="24"/>
          <w:rtl/>
        </w:rPr>
        <w:t xml:space="preserve">בכך שהביא עמו מברלין לישראל מזוודה בעלת בטנה נסתרת ובה 6 חבילות של קוקאין במשקל של כ- 6 ק"ג. </w:t>
      </w:r>
      <w:r w:rsidR="00224A87">
        <w:rPr>
          <w:rFonts w:ascii="David" w:hAnsi="David" w:cs="David"/>
          <w:sz w:val="24"/>
          <w:szCs w:val="24"/>
          <w:rtl/>
        </w:rPr>
        <w:t xml:space="preserve">בית המשפט המחוזי קבע </w:t>
      </w:r>
      <w:r w:rsidR="00224A87">
        <w:rPr>
          <w:rFonts w:ascii="David" w:hAnsi="David" w:cs="David"/>
          <w:b/>
          <w:bCs/>
          <w:sz w:val="24"/>
          <w:szCs w:val="24"/>
          <w:rtl/>
        </w:rPr>
        <w:t>מתחם שנע בין 5.5 ל- 9 שנות מאסר</w:t>
      </w:r>
      <w:r w:rsidR="00224A87">
        <w:rPr>
          <w:rFonts w:ascii="David" w:hAnsi="David" w:cs="David"/>
          <w:sz w:val="24"/>
          <w:szCs w:val="24"/>
          <w:rtl/>
        </w:rPr>
        <w:t>, ו</w:t>
      </w:r>
      <w:r w:rsidR="00224A87">
        <w:rPr>
          <w:rFonts w:ascii="David" w:hAnsi="David" w:cs="David" w:hint="cs"/>
          <w:sz w:val="24"/>
          <w:szCs w:val="24"/>
          <w:rtl/>
        </w:rPr>
        <w:t>השית</w:t>
      </w:r>
      <w:r w:rsidR="00224A87">
        <w:rPr>
          <w:rFonts w:ascii="David" w:hAnsi="David" w:cs="David"/>
          <w:sz w:val="24"/>
          <w:szCs w:val="24"/>
          <w:rtl/>
        </w:rPr>
        <w:t xml:space="preserve"> על</w:t>
      </w:r>
      <w:r w:rsidR="00224A87">
        <w:rPr>
          <w:rFonts w:ascii="David" w:hAnsi="David" w:cs="David" w:hint="cs"/>
          <w:sz w:val="24"/>
          <w:szCs w:val="24"/>
          <w:rtl/>
        </w:rPr>
        <w:t xml:space="preserve"> הנאשם עונש של</w:t>
      </w:r>
      <w:r w:rsidR="00224A87">
        <w:rPr>
          <w:rFonts w:ascii="David" w:hAnsi="David" w:cs="David"/>
          <w:sz w:val="24"/>
          <w:szCs w:val="24"/>
          <w:rtl/>
        </w:rPr>
        <w:t xml:space="preserve"> 6.5 שנות מאסר בפועל</w:t>
      </w:r>
      <w:r w:rsidR="00224A87">
        <w:rPr>
          <w:rFonts w:ascii="David" w:hAnsi="David" w:cs="David" w:hint="cs"/>
          <w:sz w:val="24"/>
          <w:szCs w:val="24"/>
          <w:rtl/>
        </w:rPr>
        <w:t>, לצד עונשים נלווים</w:t>
      </w:r>
      <w:r w:rsidR="00224A87">
        <w:rPr>
          <w:rFonts w:ascii="David" w:hAnsi="David" w:cs="David"/>
          <w:sz w:val="24"/>
          <w:szCs w:val="24"/>
          <w:rtl/>
        </w:rPr>
        <w:t xml:space="preserve">. בית המשפט העליון דחה </w:t>
      </w:r>
      <w:r w:rsidR="00224A87">
        <w:rPr>
          <w:rFonts w:ascii="David" w:hAnsi="David" w:cs="David" w:hint="cs"/>
          <w:sz w:val="24"/>
          <w:szCs w:val="24"/>
          <w:rtl/>
        </w:rPr>
        <w:t xml:space="preserve">ערעור על חומרת העונש.  </w:t>
      </w:r>
    </w:p>
    <w:p w14:paraId="608C12DE" w14:textId="77777777" w:rsidR="00224A87" w:rsidRDefault="0000212C" w:rsidP="00224A87">
      <w:pPr>
        <w:pStyle w:val="a9"/>
        <w:spacing w:before="240" w:after="240" w:line="360" w:lineRule="auto"/>
        <w:ind w:left="357"/>
        <w:contextualSpacing w:val="0"/>
        <w:jc w:val="both"/>
        <w:rPr>
          <w:rFonts w:ascii="David" w:hAnsi="David" w:cs="David"/>
          <w:sz w:val="24"/>
          <w:szCs w:val="24"/>
          <w:u w:val="single"/>
          <w:rtl/>
        </w:rPr>
      </w:pPr>
      <w:hyperlink r:id="rId21" w:history="1">
        <w:r w:rsidRPr="0000212C">
          <w:rPr>
            <w:rFonts w:ascii="David" w:hAnsi="David" w:cs="David"/>
            <w:color w:val="0000FF"/>
            <w:sz w:val="24"/>
            <w:szCs w:val="24"/>
            <w:u w:val="single"/>
            <w:rtl/>
          </w:rPr>
          <w:t>ת"פ (מרכז) 22679-09-16</w:t>
        </w:r>
      </w:hyperlink>
      <w:r w:rsidR="00224A87">
        <w:rPr>
          <w:rFonts w:ascii="David" w:hAnsi="David" w:cs="David"/>
          <w:sz w:val="24"/>
          <w:szCs w:val="24"/>
          <w:rtl/>
        </w:rPr>
        <w:t xml:space="preserve"> </w:t>
      </w:r>
      <w:r w:rsidR="00224A87">
        <w:rPr>
          <w:rFonts w:ascii="David" w:hAnsi="David" w:cs="David"/>
          <w:b/>
          <w:bCs/>
          <w:sz w:val="24"/>
          <w:szCs w:val="24"/>
          <w:rtl/>
        </w:rPr>
        <w:t>מדינת ישראל נ' קליין</w:t>
      </w:r>
      <w:r w:rsidR="00224A87">
        <w:rPr>
          <w:rFonts w:ascii="David" w:hAnsi="David" w:cs="David"/>
          <w:sz w:val="24"/>
          <w:szCs w:val="24"/>
          <w:rtl/>
        </w:rPr>
        <w:t xml:space="preserve"> (4.7.2019) </w:t>
      </w:r>
      <w:r w:rsidR="00224A87">
        <w:rPr>
          <w:rFonts w:ascii="David" w:hAnsi="David" w:cs="David" w:hint="cs"/>
          <w:sz w:val="24"/>
          <w:szCs w:val="24"/>
          <w:rtl/>
        </w:rPr>
        <w:t>- ה</w:t>
      </w:r>
      <w:r w:rsidR="00224A87">
        <w:rPr>
          <w:rFonts w:ascii="David" w:hAnsi="David" w:cs="David"/>
          <w:sz w:val="24"/>
          <w:szCs w:val="24"/>
          <w:rtl/>
        </w:rPr>
        <w:t>נאשם הורשע בביצוע עבירות של קשירת קשר לביצוע פשע ויבוא סם מסוכן</w:t>
      </w:r>
      <w:r w:rsidR="00224A87">
        <w:rPr>
          <w:rFonts w:ascii="David" w:hAnsi="David" w:cs="David" w:hint="cs"/>
          <w:sz w:val="24"/>
          <w:szCs w:val="24"/>
          <w:rtl/>
        </w:rPr>
        <w:t xml:space="preserve"> בכך שהביא</w:t>
      </w:r>
      <w:r w:rsidR="00224A87">
        <w:rPr>
          <w:rFonts w:ascii="David" w:hAnsi="David" w:cs="David"/>
          <w:sz w:val="24"/>
          <w:szCs w:val="24"/>
          <w:rtl/>
        </w:rPr>
        <w:t xml:space="preserve"> עמו </w:t>
      </w:r>
      <w:r w:rsidR="00224A87">
        <w:rPr>
          <w:rFonts w:ascii="David" w:hAnsi="David" w:cs="David" w:hint="cs"/>
          <w:sz w:val="24"/>
          <w:szCs w:val="24"/>
          <w:rtl/>
        </w:rPr>
        <w:t xml:space="preserve">מבריסל לישראל </w:t>
      </w:r>
      <w:r w:rsidR="00224A87">
        <w:rPr>
          <w:rFonts w:ascii="David" w:hAnsi="David" w:cs="David"/>
          <w:sz w:val="24"/>
          <w:szCs w:val="24"/>
          <w:rtl/>
        </w:rPr>
        <w:t xml:space="preserve">מזוודה בעלת דופן כפולה </w:t>
      </w:r>
      <w:r w:rsidR="00224A87">
        <w:rPr>
          <w:rFonts w:ascii="David" w:hAnsi="David" w:cs="David" w:hint="cs"/>
          <w:sz w:val="24"/>
          <w:szCs w:val="24"/>
          <w:rtl/>
        </w:rPr>
        <w:t>ו</w:t>
      </w:r>
      <w:r w:rsidR="00224A87">
        <w:rPr>
          <w:rFonts w:ascii="David" w:hAnsi="David" w:cs="David"/>
          <w:sz w:val="24"/>
          <w:szCs w:val="24"/>
          <w:rtl/>
        </w:rPr>
        <w:t xml:space="preserve">בה </w:t>
      </w:r>
      <w:r w:rsidR="00224A87">
        <w:rPr>
          <w:rFonts w:ascii="David" w:hAnsi="David" w:cs="David" w:hint="cs"/>
          <w:sz w:val="24"/>
          <w:szCs w:val="24"/>
          <w:rtl/>
        </w:rPr>
        <w:t xml:space="preserve">10 חבילות קוקאין במשקל של </w:t>
      </w:r>
      <w:r w:rsidR="00224A87">
        <w:rPr>
          <w:rFonts w:ascii="David" w:hAnsi="David" w:cs="David"/>
          <w:sz w:val="24"/>
          <w:szCs w:val="24"/>
          <w:rtl/>
        </w:rPr>
        <w:t xml:space="preserve">כ- 7 ק"ג. בית המשפט המחוזי קבע </w:t>
      </w:r>
      <w:r w:rsidR="00224A87">
        <w:rPr>
          <w:rFonts w:ascii="David" w:hAnsi="David" w:cs="David"/>
          <w:b/>
          <w:bCs/>
          <w:sz w:val="24"/>
          <w:szCs w:val="24"/>
          <w:rtl/>
        </w:rPr>
        <w:t>מתחם הנע בין 5.5 ל- 8.5 שנות מאסר</w:t>
      </w:r>
      <w:r w:rsidR="00224A87">
        <w:rPr>
          <w:rFonts w:ascii="David" w:hAnsi="David" w:cs="David"/>
          <w:sz w:val="24"/>
          <w:szCs w:val="24"/>
          <w:rtl/>
        </w:rPr>
        <w:t>, והשית על הנאשם 4 שנות מאס</w:t>
      </w:r>
      <w:r w:rsidR="00224A87">
        <w:rPr>
          <w:rFonts w:ascii="David" w:hAnsi="David" w:cs="David" w:hint="cs"/>
          <w:sz w:val="24"/>
          <w:szCs w:val="24"/>
          <w:rtl/>
        </w:rPr>
        <w:t>ר</w:t>
      </w:r>
      <w:r w:rsidR="00224A87">
        <w:rPr>
          <w:rFonts w:ascii="David" w:hAnsi="David" w:cs="David"/>
          <w:sz w:val="24"/>
          <w:szCs w:val="24"/>
          <w:rtl/>
        </w:rPr>
        <w:t xml:space="preserve"> לאחר שחרג מהמתחם </w:t>
      </w:r>
      <w:r w:rsidR="00224A87">
        <w:rPr>
          <w:rFonts w:ascii="David" w:hAnsi="David" w:cs="David" w:hint="cs"/>
          <w:sz w:val="24"/>
          <w:szCs w:val="24"/>
          <w:rtl/>
        </w:rPr>
        <w:t>בשל</w:t>
      </w:r>
      <w:r w:rsidR="00224A87">
        <w:rPr>
          <w:rFonts w:ascii="David" w:hAnsi="David" w:cs="David"/>
          <w:sz w:val="24"/>
          <w:szCs w:val="24"/>
          <w:rtl/>
        </w:rPr>
        <w:t xml:space="preserve"> שיקולי שיקום</w:t>
      </w:r>
      <w:r w:rsidR="00224A87">
        <w:rPr>
          <w:rFonts w:ascii="David" w:hAnsi="David" w:cs="David" w:hint="cs"/>
          <w:sz w:val="24"/>
          <w:szCs w:val="24"/>
          <w:rtl/>
        </w:rPr>
        <w:t>, לצד עונשים נלווים</w:t>
      </w:r>
      <w:r w:rsidR="00224A87">
        <w:rPr>
          <w:rFonts w:ascii="David" w:hAnsi="David" w:cs="David"/>
          <w:sz w:val="24"/>
          <w:szCs w:val="24"/>
          <w:rtl/>
        </w:rPr>
        <w:t>.</w:t>
      </w:r>
      <w:r w:rsidR="00224A87">
        <w:rPr>
          <w:rFonts w:ascii="David" w:hAnsi="David" w:cs="David" w:hint="cs"/>
          <w:sz w:val="24"/>
          <w:szCs w:val="24"/>
          <w:rtl/>
        </w:rPr>
        <w:t xml:space="preserve"> </w:t>
      </w:r>
    </w:p>
    <w:p w14:paraId="78BCAF3A" w14:textId="77777777" w:rsidR="00224A87" w:rsidRPr="00964871" w:rsidRDefault="0000212C" w:rsidP="00224A87">
      <w:pPr>
        <w:pStyle w:val="a9"/>
        <w:spacing w:before="240" w:after="240" w:line="360" w:lineRule="auto"/>
        <w:ind w:left="357"/>
        <w:contextualSpacing w:val="0"/>
        <w:jc w:val="both"/>
        <w:rPr>
          <w:rFonts w:ascii="David" w:hAnsi="David" w:cs="David"/>
          <w:sz w:val="24"/>
          <w:szCs w:val="24"/>
          <w:rtl/>
        </w:rPr>
      </w:pPr>
      <w:hyperlink r:id="rId22" w:history="1">
        <w:r w:rsidRPr="0000212C">
          <w:rPr>
            <w:rFonts w:ascii="David" w:hAnsi="David" w:cs="David"/>
            <w:color w:val="0000FF"/>
            <w:sz w:val="24"/>
            <w:szCs w:val="24"/>
            <w:u w:val="single"/>
            <w:rtl/>
          </w:rPr>
          <w:t>ת"פ (מרכז) 620-01-17</w:t>
        </w:r>
      </w:hyperlink>
      <w:r w:rsidR="00224A87">
        <w:rPr>
          <w:rFonts w:ascii="David" w:hAnsi="David" w:cs="David"/>
          <w:sz w:val="24"/>
          <w:szCs w:val="24"/>
          <w:rtl/>
        </w:rPr>
        <w:t xml:space="preserve"> </w:t>
      </w:r>
      <w:r w:rsidR="00224A87">
        <w:rPr>
          <w:rFonts w:ascii="David" w:hAnsi="David" w:cs="David"/>
          <w:b/>
          <w:bCs/>
          <w:sz w:val="24"/>
          <w:szCs w:val="24"/>
          <w:rtl/>
        </w:rPr>
        <w:t>מדינת ישראל נ' גיולה</w:t>
      </w:r>
      <w:r w:rsidR="00224A87">
        <w:rPr>
          <w:rFonts w:ascii="David" w:hAnsi="David" w:cs="David"/>
          <w:sz w:val="24"/>
          <w:szCs w:val="24"/>
          <w:rtl/>
        </w:rPr>
        <w:t xml:space="preserve"> (26.04.2018) </w:t>
      </w:r>
      <w:r w:rsidR="00224A87">
        <w:rPr>
          <w:rFonts w:ascii="David" w:hAnsi="David" w:cs="David" w:hint="cs"/>
          <w:sz w:val="24"/>
          <w:szCs w:val="24"/>
          <w:rtl/>
        </w:rPr>
        <w:t>- ה</w:t>
      </w:r>
      <w:r w:rsidR="00224A87">
        <w:rPr>
          <w:rFonts w:ascii="David" w:hAnsi="David" w:cs="David"/>
          <w:sz w:val="24"/>
          <w:szCs w:val="24"/>
          <w:rtl/>
        </w:rPr>
        <w:t xml:space="preserve">נאשם הורשע </w:t>
      </w:r>
      <w:r w:rsidR="00224A87">
        <w:rPr>
          <w:rFonts w:ascii="David" w:hAnsi="David" w:cs="David" w:hint="cs"/>
          <w:sz w:val="24"/>
          <w:szCs w:val="24"/>
          <w:rtl/>
        </w:rPr>
        <w:t>בביצוע עבירות של י</w:t>
      </w:r>
      <w:r w:rsidR="00224A87">
        <w:rPr>
          <w:rFonts w:ascii="David" w:hAnsi="David" w:cs="David"/>
          <w:sz w:val="24"/>
          <w:szCs w:val="24"/>
          <w:rtl/>
        </w:rPr>
        <w:t>בוא סם מסוכן והחזקת סם מסוכן שלא לצריכה עצמית</w:t>
      </w:r>
      <w:r w:rsidR="00224A87">
        <w:rPr>
          <w:rFonts w:ascii="David" w:hAnsi="David" w:cs="David" w:hint="cs"/>
          <w:sz w:val="24"/>
          <w:szCs w:val="24"/>
          <w:rtl/>
        </w:rPr>
        <w:t xml:space="preserve"> בכך שהביא עמו מפריז לישראל מזוודה ובה קוקאים במשקל של כ- 5 ק"ג.</w:t>
      </w:r>
      <w:r w:rsidR="00224A87">
        <w:rPr>
          <w:rFonts w:ascii="David" w:hAnsi="David" w:cs="David"/>
          <w:sz w:val="24"/>
          <w:szCs w:val="24"/>
          <w:rtl/>
        </w:rPr>
        <w:t xml:space="preserve"> </w:t>
      </w:r>
      <w:r w:rsidR="00224A87">
        <w:rPr>
          <w:rFonts w:ascii="David" w:hAnsi="David" w:cs="David" w:hint="cs"/>
          <w:sz w:val="24"/>
          <w:szCs w:val="24"/>
          <w:rtl/>
        </w:rPr>
        <w:t xml:space="preserve">בין הצדדים גובש הסדר טווח, שהרף העליון שלו עמד על 73 חודשי מאסר בפועל. </w:t>
      </w:r>
      <w:r w:rsidR="00224A87">
        <w:rPr>
          <w:rFonts w:ascii="David" w:hAnsi="David" w:cs="David"/>
          <w:sz w:val="24"/>
          <w:szCs w:val="24"/>
          <w:rtl/>
        </w:rPr>
        <w:t xml:space="preserve">בית המשפט המחוזי קבע </w:t>
      </w:r>
      <w:r w:rsidR="00224A87">
        <w:rPr>
          <w:rFonts w:ascii="David" w:hAnsi="David" w:cs="David"/>
          <w:b/>
          <w:bCs/>
          <w:sz w:val="24"/>
          <w:szCs w:val="24"/>
          <w:rtl/>
        </w:rPr>
        <w:t>מתחם הנע בין 4.5 ל- 7.5 שנות מאסר בפועל</w:t>
      </w:r>
      <w:r w:rsidR="00224A87">
        <w:rPr>
          <w:rFonts w:ascii="David" w:hAnsi="David" w:cs="David"/>
          <w:sz w:val="24"/>
          <w:szCs w:val="24"/>
          <w:rtl/>
        </w:rPr>
        <w:t>, ו</w:t>
      </w:r>
      <w:r w:rsidR="00224A87">
        <w:rPr>
          <w:rFonts w:ascii="David" w:hAnsi="David" w:cs="David" w:hint="cs"/>
          <w:sz w:val="24"/>
          <w:szCs w:val="24"/>
          <w:rtl/>
        </w:rPr>
        <w:t>השית</w:t>
      </w:r>
      <w:r w:rsidR="00224A87">
        <w:rPr>
          <w:rFonts w:ascii="David" w:hAnsi="David" w:cs="David"/>
          <w:sz w:val="24"/>
          <w:szCs w:val="24"/>
          <w:rtl/>
        </w:rPr>
        <w:t xml:space="preserve"> על הנאשם </w:t>
      </w:r>
      <w:r w:rsidR="00224A87">
        <w:rPr>
          <w:rFonts w:ascii="David" w:hAnsi="David" w:cs="David" w:hint="cs"/>
          <w:sz w:val="24"/>
          <w:szCs w:val="24"/>
          <w:rtl/>
        </w:rPr>
        <w:t>עונש של</w:t>
      </w:r>
      <w:r w:rsidR="00224A87">
        <w:rPr>
          <w:rFonts w:ascii="David" w:hAnsi="David" w:cs="David"/>
          <w:sz w:val="24"/>
          <w:szCs w:val="24"/>
          <w:rtl/>
        </w:rPr>
        <w:t xml:space="preserve"> 66 חודשי</w:t>
      </w:r>
      <w:r w:rsidR="00224A87">
        <w:rPr>
          <w:rFonts w:ascii="David" w:hAnsi="David" w:cs="David" w:hint="cs"/>
          <w:sz w:val="24"/>
          <w:szCs w:val="24"/>
          <w:rtl/>
        </w:rPr>
        <w:t xml:space="preserve"> מאסר בפועל, לצד עונשים נלווים</w:t>
      </w:r>
      <w:r w:rsidR="00224A87">
        <w:rPr>
          <w:rFonts w:ascii="David" w:hAnsi="David" w:cs="David"/>
          <w:sz w:val="24"/>
          <w:szCs w:val="24"/>
          <w:rtl/>
        </w:rPr>
        <w:t>.</w:t>
      </w:r>
    </w:p>
    <w:p w14:paraId="799B4971" w14:textId="77777777" w:rsidR="00224A87" w:rsidRPr="00906B97" w:rsidRDefault="00224A87" w:rsidP="00224A87">
      <w:pPr>
        <w:pStyle w:val="a9"/>
        <w:numPr>
          <w:ilvl w:val="0"/>
          <w:numId w:val="1"/>
        </w:numPr>
        <w:spacing w:before="240" w:after="240" w:line="360" w:lineRule="auto"/>
        <w:ind w:left="357"/>
        <w:contextualSpacing w:val="0"/>
        <w:jc w:val="both"/>
        <w:rPr>
          <w:rFonts w:ascii="David" w:hAnsi="David" w:cs="David"/>
          <w:b/>
          <w:sz w:val="24"/>
          <w:szCs w:val="24"/>
          <w:rtl/>
        </w:rPr>
      </w:pPr>
      <w:r>
        <w:rPr>
          <w:rFonts w:ascii="David" w:hAnsi="David" w:cs="David" w:hint="cs"/>
          <w:b/>
          <w:sz w:val="24"/>
          <w:szCs w:val="24"/>
          <w:rtl/>
        </w:rPr>
        <w:t xml:space="preserve">מעבר לשיקולים הכלליים ואלה הרלוונטיים לרמת הענישה הנהוגה, ניתן </w:t>
      </w:r>
      <w:r w:rsidRPr="00906B97">
        <w:rPr>
          <w:rFonts w:ascii="David" w:eastAsia="Times New Roman" w:hAnsi="David" w:cs="David"/>
          <w:sz w:val="24"/>
          <w:szCs w:val="24"/>
          <w:rtl/>
        </w:rPr>
        <w:t>להצביע על שתי קבוצות שיקולים</w:t>
      </w:r>
      <w:r w:rsidRPr="00906B97">
        <w:rPr>
          <w:rFonts w:ascii="David" w:eastAsia="Times New Roman" w:hAnsi="David" w:cs="David" w:hint="cs"/>
          <w:sz w:val="24"/>
          <w:szCs w:val="24"/>
          <w:rtl/>
        </w:rPr>
        <w:t xml:space="preserve"> שיש בהם כדי להשפיע על קביעת העונש במסגרת טווח הענישה המוסכם</w:t>
      </w:r>
      <w:r w:rsidRPr="00906B97">
        <w:rPr>
          <w:rFonts w:ascii="David" w:eastAsia="Times New Roman" w:hAnsi="David" w:cs="David"/>
          <w:sz w:val="24"/>
          <w:szCs w:val="24"/>
          <w:rtl/>
        </w:rPr>
        <w:t>:</w:t>
      </w:r>
    </w:p>
    <w:p w14:paraId="555D5A2D" w14:textId="77777777" w:rsidR="00224A87" w:rsidRPr="00B24E98" w:rsidRDefault="00224A87" w:rsidP="00224A87">
      <w:pPr>
        <w:pStyle w:val="a9"/>
        <w:spacing w:before="240" w:after="240" w:line="360" w:lineRule="auto"/>
        <w:ind w:left="360"/>
        <w:contextualSpacing w:val="0"/>
        <w:jc w:val="both"/>
        <w:rPr>
          <w:rFonts w:ascii="David" w:eastAsia="Times New Roman" w:hAnsi="David" w:cs="David"/>
          <w:sz w:val="24"/>
          <w:szCs w:val="24"/>
        </w:rPr>
      </w:pPr>
      <w:r w:rsidRPr="00906B97">
        <w:rPr>
          <w:rFonts w:ascii="David" w:eastAsia="Times New Roman" w:hAnsi="David" w:cs="David"/>
          <w:sz w:val="24"/>
          <w:szCs w:val="24"/>
          <w:rtl/>
        </w:rPr>
        <w:t>בקבוצת השיקולים הפועלים לחובת הנאשם</w:t>
      </w:r>
      <w:r>
        <w:rPr>
          <w:rFonts w:ascii="David" w:eastAsia="Times New Roman" w:hAnsi="David" w:cs="David"/>
          <w:sz w:val="24"/>
          <w:szCs w:val="24"/>
          <w:rtl/>
        </w:rPr>
        <w:t xml:space="preserve"> ניתן להצביע, בעיקר,</w:t>
      </w:r>
      <w:r>
        <w:rPr>
          <w:rFonts w:ascii="David" w:eastAsia="Times New Roman" w:hAnsi="David" w:cs="David" w:hint="cs"/>
          <w:sz w:val="24"/>
          <w:szCs w:val="24"/>
          <w:rtl/>
        </w:rPr>
        <w:t xml:space="preserve"> על עברו הפלילי המכביד. עיון בגיליון הרשעותיו (תע/2) מלמד, כי לנאשם 6 הרשעות קודמות, בגינן ריצה 5 עונשי מאסר, כש-3 מאסרים מתוכם היו בגין ביצוע עבירות של ייבוא סם מסוכן. הלכה למעשה, מדובר במי שריצה במצטבר כ-22 שנות מאסר בגין עבירות סמים. </w:t>
      </w:r>
      <w:r w:rsidRPr="00B24E98">
        <w:rPr>
          <w:rFonts w:ascii="David" w:eastAsia="Times New Roman" w:hAnsi="David" w:cs="David"/>
          <w:sz w:val="24"/>
          <w:szCs w:val="24"/>
          <w:rtl/>
        </w:rPr>
        <w:t xml:space="preserve">אף שאין עסקינן בעבר פלילי "טרי", ומאז שחרורו מהכלא בתורכיה בשנת 2016 לא ביצע עבירות נוספות, עדיין יש לראות בהרשעותיו הקודמות של הנאשם כנתון בעל משקל בקביעת העונש המתאים. </w:t>
      </w:r>
    </w:p>
    <w:p w14:paraId="7959605D" w14:textId="77777777" w:rsidR="00224A87" w:rsidRDefault="00224A87" w:rsidP="00224A87">
      <w:pPr>
        <w:pStyle w:val="a9"/>
        <w:spacing w:before="240" w:after="240" w:line="360" w:lineRule="auto"/>
        <w:ind w:left="360"/>
        <w:contextualSpacing w:val="0"/>
        <w:jc w:val="both"/>
        <w:rPr>
          <w:rFonts w:ascii="David" w:eastAsia="Times New Roman" w:hAnsi="David" w:cs="David"/>
          <w:sz w:val="24"/>
          <w:szCs w:val="24"/>
          <w:rtl/>
        </w:rPr>
      </w:pPr>
      <w:r>
        <w:rPr>
          <w:rFonts w:ascii="David" w:eastAsia="Times New Roman" w:hAnsi="David" w:cs="David" w:hint="cs"/>
          <w:sz w:val="24"/>
          <w:szCs w:val="24"/>
          <w:rtl/>
        </w:rPr>
        <w:t xml:space="preserve">מנגד, </w:t>
      </w:r>
      <w:r w:rsidRPr="00906B97">
        <w:rPr>
          <w:rFonts w:ascii="David" w:eastAsia="Times New Roman" w:hAnsi="David" w:cs="David"/>
          <w:sz w:val="24"/>
          <w:szCs w:val="24"/>
          <w:rtl/>
        </w:rPr>
        <w:t>בקבוצת השיקולים בעלי הפוטנציאל הממתן</w:t>
      </w:r>
      <w:r>
        <w:rPr>
          <w:rFonts w:ascii="David" w:eastAsia="Times New Roman" w:hAnsi="David" w:cs="David" w:hint="cs"/>
          <w:sz w:val="24"/>
          <w:szCs w:val="24"/>
          <w:rtl/>
        </w:rPr>
        <w:t>,</w:t>
      </w:r>
      <w:r>
        <w:rPr>
          <w:rFonts w:ascii="David" w:eastAsia="Times New Roman" w:hAnsi="David" w:cs="David"/>
          <w:sz w:val="24"/>
          <w:szCs w:val="24"/>
          <w:rtl/>
        </w:rPr>
        <w:t xml:space="preserve"> ניתן למנות את אלה הקשורים לקבלת האחריות ולנסיבותיו האישיות. הנאשם הודה במיוחס לו ולקח אחריות על מעשיו. לצד ההיבט הכרוך בחסכון הזמן ציבורי, קיי</w:t>
      </w:r>
      <w:r>
        <w:rPr>
          <w:rFonts w:ascii="David" w:eastAsia="Times New Roman" w:hAnsi="David" w:cs="David" w:hint="cs"/>
          <w:sz w:val="24"/>
          <w:szCs w:val="24"/>
          <w:rtl/>
        </w:rPr>
        <w:t>ם</w:t>
      </w:r>
      <w:r>
        <w:rPr>
          <w:rFonts w:ascii="David" w:eastAsia="Times New Roman" w:hAnsi="David" w:cs="David"/>
          <w:sz w:val="24"/>
          <w:szCs w:val="24"/>
          <w:rtl/>
        </w:rPr>
        <w:t xml:space="preserve"> היבט חשוב לא פחות הקשור להפנמת הפסול במעשים, במיוחד שעה שקיימים בתיק קשיים ראייתיים שהצדדים ערים להם. על כן מצאתי ליתן משקל מוגבר לנתונים אלה</w:t>
      </w:r>
      <w:r>
        <w:rPr>
          <w:rFonts w:ascii="David" w:eastAsia="Times New Roman" w:hAnsi="David" w:cs="David" w:hint="cs"/>
          <w:sz w:val="24"/>
          <w:szCs w:val="24"/>
          <w:rtl/>
        </w:rPr>
        <w:t>, אף שברור כי אלה נשקלו גם על ידי התביעה עת הסכימה להגביל טיעונה ל-4 שנות מאסר</w:t>
      </w:r>
      <w:r>
        <w:rPr>
          <w:rFonts w:ascii="David" w:eastAsia="Times New Roman" w:hAnsi="David" w:cs="David"/>
          <w:sz w:val="24"/>
          <w:szCs w:val="24"/>
          <w:rtl/>
        </w:rPr>
        <w:t>.</w:t>
      </w:r>
    </w:p>
    <w:p w14:paraId="74D2BED3" w14:textId="77777777" w:rsidR="00224A87" w:rsidRDefault="00224A87" w:rsidP="00224A87">
      <w:pPr>
        <w:spacing w:before="240" w:after="240" w:line="360" w:lineRule="auto"/>
        <w:ind w:left="360"/>
        <w:jc w:val="both"/>
        <w:rPr>
          <w:rFonts w:ascii="David" w:hAnsi="David"/>
          <w:rtl/>
        </w:rPr>
      </w:pPr>
      <w:r>
        <w:rPr>
          <w:rFonts w:ascii="David" w:hAnsi="David"/>
          <w:rtl/>
        </w:rPr>
        <w:t xml:space="preserve">נתתי דעתי לגילו המתקדם של הנאשם; למצבו הבריאותי המפורט בגיליון הרפואי שהוגש בעניינו; ולנסיבותיו האישיות המורכבות כפי שבאו לידי ביטוי בטיעוני ההגנה. לא נעלם מעיני גם הקושי הרב הכרוך בריצוי תקופת מאסר ממושכת במדינה זרה, והתנאים הקשים בהם היה נתון, כפי שעולה מדו"ח אמנסטי שהוגש על ידי ההגנה. </w:t>
      </w:r>
      <w:r>
        <w:rPr>
          <w:rFonts w:ascii="David" w:hAnsi="David" w:hint="cs"/>
          <w:rtl/>
        </w:rPr>
        <w:t xml:space="preserve">הלכה למעשה, ראיתי בנתון זה כנתון המצדיק התחשבות מיוחדת המאפשרת הטלת עונש שאינו משקף את הרף העליון של טווח הענישה. </w:t>
      </w:r>
    </w:p>
    <w:p w14:paraId="53EFAC59" w14:textId="77777777" w:rsidR="00224A87" w:rsidRDefault="00224A87" w:rsidP="00224A87">
      <w:pPr>
        <w:pStyle w:val="a9"/>
        <w:numPr>
          <w:ilvl w:val="0"/>
          <w:numId w:val="1"/>
        </w:numPr>
        <w:spacing w:before="240" w:after="240" w:line="360" w:lineRule="auto"/>
        <w:contextualSpacing w:val="0"/>
        <w:jc w:val="both"/>
        <w:rPr>
          <w:rFonts w:ascii="David" w:hAnsi="David" w:cs="David"/>
          <w:sz w:val="24"/>
          <w:szCs w:val="24"/>
          <w:rtl/>
        </w:rPr>
      </w:pPr>
      <w:r>
        <w:rPr>
          <w:rFonts w:ascii="David" w:hAnsi="David" w:cs="David"/>
          <w:sz w:val="24"/>
          <w:szCs w:val="24"/>
          <w:rtl/>
        </w:rPr>
        <w:t>הסניגור טען כי התנהגות רשויות האכיפה בתיק דנא מצדיקה</w:t>
      </w:r>
      <w:r>
        <w:rPr>
          <w:rFonts w:ascii="David" w:hAnsi="David" w:cs="David" w:hint="cs"/>
          <w:sz w:val="24"/>
          <w:szCs w:val="24"/>
          <w:rtl/>
        </w:rPr>
        <w:t xml:space="preserve">, כשלעצמה, </w:t>
      </w:r>
      <w:r>
        <w:rPr>
          <w:rFonts w:ascii="David" w:hAnsi="David" w:cs="David"/>
          <w:sz w:val="24"/>
          <w:szCs w:val="24"/>
          <w:rtl/>
        </w:rPr>
        <w:t>הקלה בעונש</w:t>
      </w:r>
      <w:r>
        <w:rPr>
          <w:rFonts w:ascii="David" w:hAnsi="David" w:cs="David" w:hint="cs"/>
          <w:sz w:val="24"/>
          <w:szCs w:val="24"/>
          <w:rtl/>
        </w:rPr>
        <w:t xml:space="preserve">, אלא שאינני סבור כי ניתן לראות בכך כנימוק בעל משקל משמעותי להקלה בעונש. הסגרה לישראל אינה זכות מוקנית של נאשם, כאשר במקרה דנן, הנאשם לא הביע רצון לרצות בישראל את העונש שהושת עליו בתורכיה, ואף לא פנה לגורמים הרלוונטיים בבקשה לקדם הליך של הסגרה. יתרה מכך, גם לאחר סיום תקופת מאסרו בכלא התורכי, חלפו מספר שנים עד ששב לישראל. בנסיבות אלה, ושעה שהוכח כי רשויות המדינה ביצעו פעולות מסוימות לטובת קידום הסגרתו (גם אם לא באינטנסיביות המצופה על ידו נוכח הנסיבות) אין עסקינן בטיעון בעל משקל משמעותי.  </w:t>
      </w:r>
    </w:p>
    <w:p w14:paraId="2CB3AA60" w14:textId="77777777" w:rsidR="00224A87" w:rsidRDefault="00224A87" w:rsidP="00224A87">
      <w:pPr>
        <w:pStyle w:val="a9"/>
        <w:numPr>
          <w:ilvl w:val="0"/>
          <w:numId w:val="1"/>
        </w:numPr>
        <w:spacing w:before="240" w:after="240" w:line="360" w:lineRule="auto"/>
        <w:contextualSpacing w:val="0"/>
        <w:jc w:val="both"/>
        <w:rPr>
          <w:rFonts w:ascii="David" w:hAnsi="David" w:cs="David"/>
          <w:sz w:val="24"/>
          <w:szCs w:val="24"/>
          <w:rtl/>
        </w:rPr>
      </w:pPr>
      <w:r>
        <w:rPr>
          <w:rFonts w:ascii="David" w:hAnsi="David" w:cs="David"/>
          <w:sz w:val="24"/>
          <w:szCs w:val="24"/>
          <w:rtl/>
        </w:rPr>
        <w:t xml:space="preserve">עוד נטען, כי פער הזמנים בין מועד ביצוע העבירות למועד הגשת כתב האישום מצדיק אף הוא הקלה משמעותית בעונשו של הנאשם. סבורני, כי לא ניתן להתעלם מנסיבות השיהוי הנעוצות בנאשם ונובעות מתקופת הריצוי הממושכת שהושתה עליו בתורכיה, כמו גם מבחירתו להישאר בתורכיה לאחר שחרורו מתוך החשש שמא יאלץ לתת את הדין אם ישוב לישראל. אשר על כן, לא מצאתי מקום להתחשבות </w:t>
      </w:r>
      <w:r>
        <w:rPr>
          <w:rFonts w:ascii="David" w:hAnsi="David" w:cs="David" w:hint="cs"/>
          <w:sz w:val="24"/>
          <w:szCs w:val="24"/>
          <w:rtl/>
        </w:rPr>
        <w:t xml:space="preserve">גם </w:t>
      </w:r>
      <w:r>
        <w:rPr>
          <w:rFonts w:ascii="David" w:hAnsi="David" w:cs="David"/>
          <w:sz w:val="24"/>
          <w:szCs w:val="24"/>
          <w:rtl/>
        </w:rPr>
        <w:t xml:space="preserve">בנתון זה </w:t>
      </w:r>
      <w:r>
        <w:rPr>
          <w:rFonts w:ascii="David" w:hAnsi="David" w:cs="David" w:hint="cs"/>
          <w:sz w:val="24"/>
          <w:szCs w:val="24"/>
          <w:rtl/>
        </w:rPr>
        <w:t>לעניין ה</w:t>
      </w:r>
      <w:r>
        <w:rPr>
          <w:rFonts w:ascii="David" w:hAnsi="David" w:cs="David"/>
          <w:sz w:val="24"/>
          <w:szCs w:val="24"/>
          <w:rtl/>
        </w:rPr>
        <w:t>עונש.</w:t>
      </w:r>
    </w:p>
    <w:p w14:paraId="039BE8C4" w14:textId="77777777" w:rsidR="00224A87" w:rsidRPr="00D20C08" w:rsidRDefault="00224A87" w:rsidP="00224A87">
      <w:pPr>
        <w:pStyle w:val="a9"/>
        <w:numPr>
          <w:ilvl w:val="0"/>
          <w:numId w:val="1"/>
        </w:numPr>
        <w:spacing w:before="240" w:after="240" w:line="360" w:lineRule="auto"/>
        <w:contextualSpacing w:val="0"/>
        <w:jc w:val="both"/>
        <w:rPr>
          <w:rFonts w:ascii="David" w:hAnsi="David" w:cs="David"/>
          <w:sz w:val="24"/>
          <w:szCs w:val="24"/>
          <w:rtl/>
        </w:rPr>
      </w:pPr>
      <w:r>
        <w:rPr>
          <w:rFonts w:ascii="David" w:hAnsi="David" w:cs="David"/>
          <w:sz w:val="24"/>
          <w:szCs w:val="24"/>
          <w:rtl/>
        </w:rPr>
        <w:t xml:space="preserve">הסניגור </w:t>
      </w:r>
      <w:r>
        <w:rPr>
          <w:rFonts w:ascii="David" w:hAnsi="David" w:cs="David" w:hint="cs"/>
          <w:sz w:val="24"/>
          <w:szCs w:val="24"/>
          <w:rtl/>
        </w:rPr>
        <w:t xml:space="preserve">התבסס בעתירתו להימנע </w:t>
      </w:r>
      <w:r>
        <w:rPr>
          <w:rFonts w:ascii="David" w:hAnsi="David" w:cs="David"/>
          <w:sz w:val="24"/>
          <w:szCs w:val="24"/>
          <w:rtl/>
        </w:rPr>
        <w:t xml:space="preserve">מהשתת עונש מאסר בפועל על </w:t>
      </w:r>
      <w:hyperlink r:id="rId23" w:history="1">
        <w:r w:rsidR="0000212C" w:rsidRPr="0000212C">
          <w:rPr>
            <w:rFonts w:ascii="David" w:hAnsi="David" w:cs="David"/>
            <w:color w:val="0000FF"/>
            <w:sz w:val="24"/>
            <w:szCs w:val="24"/>
            <w:u w:val="single"/>
            <w:rtl/>
          </w:rPr>
          <w:t>ע"פ 2848/90</w:t>
        </w:r>
      </w:hyperlink>
      <w:r>
        <w:rPr>
          <w:rFonts w:ascii="David" w:hAnsi="David" w:cs="David"/>
          <w:sz w:val="24"/>
          <w:szCs w:val="24"/>
          <w:rtl/>
        </w:rPr>
        <w:t xml:space="preserve"> </w:t>
      </w:r>
      <w:r>
        <w:rPr>
          <w:rFonts w:ascii="David" w:hAnsi="David" w:cs="David"/>
          <w:b/>
          <w:bCs/>
          <w:sz w:val="24"/>
          <w:szCs w:val="24"/>
          <w:rtl/>
        </w:rPr>
        <w:t>אסא נ' מדינת ישראל</w:t>
      </w:r>
      <w:r>
        <w:rPr>
          <w:rFonts w:ascii="David" w:hAnsi="David" w:cs="David"/>
          <w:sz w:val="24"/>
          <w:szCs w:val="24"/>
          <w:rtl/>
        </w:rPr>
        <w:t xml:space="preserve"> (19.11.1990). אלא שאין הנדון דומה לראיה. בעניינו של אסא, התביעה ביקשה להשית עונש מאסר של </w:t>
      </w:r>
      <w:r w:rsidRPr="004B264E">
        <w:rPr>
          <w:rFonts w:ascii="David" w:hAnsi="David" w:cs="David"/>
          <w:sz w:val="24"/>
          <w:szCs w:val="24"/>
          <w:u w:val="single"/>
          <w:rtl/>
        </w:rPr>
        <w:t>מספר חודשים</w:t>
      </w:r>
      <w:r>
        <w:rPr>
          <w:rFonts w:ascii="David" w:hAnsi="David" w:cs="David"/>
          <w:sz w:val="24"/>
          <w:szCs w:val="24"/>
          <w:rtl/>
        </w:rPr>
        <w:t xml:space="preserve"> בגין עבירה של קבלת דבר במרמה, בחלוף עשור שנים בהן לא עבר כל עבירה נוספת</w:t>
      </w:r>
      <w:r>
        <w:rPr>
          <w:rFonts w:ascii="David" w:hAnsi="David" w:cs="David" w:hint="cs"/>
          <w:sz w:val="24"/>
          <w:szCs w:val="24"/>
          <w:rtl/>
        </w:rPr>
        <w:t>. ב</w:t>
      </w:r>
      <w:r>
        <w:rPr>
          <w:rFonts w:ascii="David" w:hAnsi="David" w:cs="David"/>
          <w:sz w:val="24"/>
          <w:szCs w:val="24"/>
          <w:rtl/>
        </w:rPr>
        <w:t>ית המשפט העליון קבע שבנסיבות המקרה אין תועלת בהשתת עונש מאסר בפועל. לעומת זאת, בענייננו, הנאשם המשיך לבצע עבירות סמים גם לאחר מועד ביצוע העבירות נשוא ההליך שבפניי</w:t>
      </w:r>
      <w:r>
        <w:rPr>
          <w:rFonts w:ascii="David" w:hAnsi="David" w:cs="David" w:hint="cs"/>
          <w:sz w:val="24"/>
          <w:szCs w:val="24"/>
          <w:rtl/>
        </w:rPr>
        <w:t>,</w:t>
      </w:r>
      <w:r>
        <w:rPr>
          <w:rFonts w:ascii="David" w:hAnsi="David" w:cs="David"/>
          <w:sz w:val="24"/>
          <w:szCs w:val="24"/>
          <w:rtl/>
        </w:rPr>
        <w:t xml:space="preserve"> בגינן נדון לעונש מאסר ממושך במדינה זרה, וכאמור לאחר שחרורו אף נמנע מלשוב לישראל על מנת שלא לתת את הדין על העבירות שביצע בשנת 2007. זאת ועוד, בשונה </w:t>
      </w:r>
      <w:r>
        <w:rPr>
          <w:rFonts w:ascii="David" w:hAnsi="David" w:cs="David" w:hint="cs"/>
          <w:sz w:val="24"/>
          <w:szCs w:val="24"/>
          <w:rtl/>
        </w:rPr>
        <w:t xml:space="preserve">מעבירת המרמה בה הורשע אותו אסא שהצדיקה, לשיטת התביעה, מאסר בן מספר חודשים בלבד, הרי העבירות בהן הורשע הנאשם בענייננו מצדיקות, על פי הפסיקה שפורטה לעיל, עונש של מספר שנות מאסר. </w:t>
      </w:r>
    </w:p>
    <w:p w14:paraId="0F3D4A0C" w14:textId="77777777" w:rsidR="00224A87" w:rsidRPr="00D20C08" w:rsidRDefault="00224A87" w:rsidP="00224A87">
      <w:pPr>
        <w:pStyle w:val="a9"/>
        <w:numPr>
          <w:ilvl w:val="0"/>
          <w:numId w:val="1"/>
        </w:numPr>
        <w:spacing w:before="240" w:after="240" w:line="360" w:lineRule="auto"/>
        <w:contextualSpacing w:val="0"/>
        <w:jc w:val="both"/>
        <w:rPr>
          <w:rFonts w:ascii="David" w:hAnsi="David" w:cs="David"/>
          <w:sz w:val="24"/>
          <w:szCs w:val="24"/>
          <w:u w:val="single"/>
        </w:rPr>
      </w:pPr>
      <w:r>
        <w:rPr>
          <w:rFonts w:ascii="David" w:hAnsi="David" w:cs="David"/>
          <w:sz w:val="24"/>
          <w:szCs w:val="24"/>
          <w:rtl/>
        </w:rPr>
        <w:t xml:space="preserve">לאחר שקילת כלל הנתונים הרלוונטיים, ובשים לב לנסיבות הייחודיות אשר מתקיימות במקרה דנא, כמו גם לעובדה כי סכום החילוט בהליך האזרחי הוא משמעותי ועומד על כ- 480,000 ₪, </w:t>
      </w:r>
      <w:r>
        <w:rPr>
          <w:rFonts w:ascii="David" w:hAnsi="David" w:cs="David" w:hint="cs"/>
          <w:sz w:val="24"/>
          <w:szCs w:val="24"/>
          <w:rtl/>
        </w:rPr>
        <w:t xml:space="preserve">ראיתי לכבד את הסדר הטיעון ולגזור על הנאשם את העונשים הבאים: </w:t>
      </w:r>
    </w:p>
    <w:p w14:paraId="3D4E7398" w14:textId="77777777" w:rsidR="00224A87" w:rsidRDefault="00224A87" w:rsidP="00224A87">
      <w:pPr>
        <w:pStyle w:val="a9"/>
        <w:spacing w:before="240" w:after="240" w:line="360" w:lineRule="auto"/>
        <w:ind w:left="360"/>
        <w:contextualSpacing w:val="0"/>
        <w:jc w:val="both"/>
        <w:rPr>
          <w:rFonts w:ascii="David" w:hAnsi="David" w:cs="David"/>
          <w:sz w:val="24"/>
          <w:szCs w:val="24"/>
          <w:rtl/>
        </w:rPr>
      </w:pPr>
      <w:r>
        <w:rPr>
          <w:rFonts w:ascii="David" w:hAnsi="David" w:cs="David"/>
          <w:sz w:val="24"/>
          <w:szCs w:val="24"/>
          <w:rtl/>
        </w:rPr>
        <w:t>40 חודשי מאסר לריצוי בפועל החל מיום מעצרו -  6.3.2020.</w:t>
      </w:r>
      <w:r w:rsidRPr="00D20C08">
        <w:rPr>
          <w:rFonts w:ascii="David" w:hAnsi="David" w:cs="David"/>
          <w:sz w:val="24"/>
          <w:szCs w:val="24"/>
          <w:rtl/>
        </w:rPr>
        <w:t xml:space="preserve"> </w:t>
      </w:r>
    </w:p>
    <w:p w14:paraId="05B561C5" w14:textId="77777777" w:rsidR="00224A87" w:rsidRPr="00D20C08" w:rsidRDefault="00224A87" w:rsidP="00224A87">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8 </w:t>
      </w:r>
      <w:r w:rsidRPr="00D20C08">
        <w:rPr>
          <w:rFonts w:ascii="David" w:hAnsi="David" w:cs="David"/>
          <w:sz w:val="24"/>
          <w:szCs w:val="24"/>
          <w:rtl/>
        </w:rPr>
        <w:t xml:space="preserve">חודשי מאסר, אולם הנאשם לא יישא עונש זה, אלא אם יעבור תוך 3 שנים מיום שחרורו עבירה על פקודת הסמים מסוג פשע. </w:t>
      </w:r>
    </w:p>
    <w:p w14:paraId="1A7463FD" w14:textId="77777777" w:rsidR="00224A87" w:rsidRDefault="00224A87" w:rsidP="00224A87">
      <w:pPr>
        <w:spacing w:before="240" w:after="240" w:line="360" w:lineRule="auto"/>
        <w:ind w:firstLine="360"/>
        <w:jc w:val="both"/>
        <w:rPr>
          <w:rFonts w:ascii="David" w:hAnsi="David"/>
        </w:rPr>
      </w:pPr>
      <w:r>
        <w:rPr>
          <w:rFonts w:ascii="David" w:hAnsi="David"/>
          <w:rtl/>
        </w:rPr>
        <w:t>זכות ערעור כחוק.</w:t>
      </w:r>
    </w:p>
    <w:p w14:paraId="7E2C94D5" w14:textId="77777777" w:rsidR="00224A87" w:rsidRPr="00250B83" w:rsidRDefault="00224A87" w:rsidP="00224A87">
      <w:pPr>
        <w:rPr>
          <w:rtl/>
        </w:rPr>
      </w:pPr>
    </w:p>
    <w:p w14:paraId="0F56AADD" w14:textId="77777777" w:rsidR="00224A87" w:rsidRDefault="0000212C" w:rsidP="00224A87">
      <w:pPr>
        <w:rPr>
          <w:rtl/>
        </w:rPr>
      </w:pPr>
      <w:bookmarkStart w:id="8" w:name="Nitan"/>
      <w:r>
        <w:rPr>
          <w:b/>
          <w:bCs/>
          <w:rtl/>
        </w:rPr>
        <w:t xml:space="preserve">ניתן והודע היום י"ז אלול תש"פ, 06/09/2020 במעמד הנוכחים. </w:t>
      </w:r>
      <w:bookmarkEnd w:id="8"/>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24A87" w14:paraId="401254BD" w14:textId="77777777" w:rsidTr="00224A87">
        <w:trPr>
          <w:trHeight w:val="316"/>
          <w:jc w:val="right"/>
        </w:trPr>
        <w:tc>
          <w:tcPr>
            <w:tcW w:w="3936" w:type="dxa"/>
            <w:tcBorders>
              <w:top w:val="nil"/>
              <w:left w:val="nil"/>
              <w:bottom w:val="single" w:sz="4" w:space="0" w:color="auto"/>
              <w:right w:val="nil"/>
            </w:tcBorders>
            <w:shd w:val="clear" w:color="auto" w:fill="auto"/>
            <w:vAlign w:val="bottom"/>
          </w:tcPr>
          <w:p w14:paraId="0AE5A0F4" w14:textId="77777777" w:rsidR="00224A87" w:rsidRDefault="00224A87" w:rsidP="00224A87">
            <w:pPr>
              <w:jc w:val="center"/>
              <w:rPr>
                <w:rtl/>
              </w:rPr>
            </w:pPr>
          </w:p>
          <w:p w14:paraId="265C5AC1" w14:textId="77777777" w:rsidR="00224A87" w:rsidRDefault="00224A87" w:rsidP="00224A87">
            <w:pPr>
              <w:jc w:val="center"/>
            </w:pPr>
          </w:p>
        </w:tc>
      </w:tr>
      <w:tr w:rsidR="00224A87" w14:paraId="14A976D8" w14:textId="77777777" w:rsidTr="00224A87">
        <w:trPr>
          <w:trHeight w:val="361"/>
          <w:jc w:val="right"/>
        </w:trPr>
        <w:tc>
          <w:tcPr>
            <w:tcW w:w="3936" w:type="dxa"/>
            <w:tcBorders>
              <w:top w:val="single" w:sz="4" w:space="0" w:color="auto"/>
              <w:left w:val="nil"/>
              <w:bottom w:val="nil"/>
              <w:right w:val="nil"/>
            </w:tcBorders>
            <w:shd w:val="clear" w:color="auto" w:fill="auto"/>
          </w:tcPr>
          <w:p w14:paraId="1A499A19" w14:textId="77777777" w:rsidR="00224A87" w:rsidRPr="00224A87" w:rsidRDefault="00224A87" w:rsidP="00224A87">
            <w:pPr>
              <w:jc w:val="center"/>
              <w:rPr>
                <w:b/>
                <w:bCs/>
                <w:rtl/>
              </w:rPr>
            </w:pPr>
            <w:r w:rsidRPr="00224A87">
              <w:rPr>
                <w:rFonts w:hint="cs"/>
                <w:b/>
                <w:bCs/>
                <w:rtl/>
              </w:rPr>
              <w:t>בני שגיא, שופט</w:t>
            </w:r>
          </w:p>
        </w:tc>
      </w:tr>
    </w:tbl>
    <w:p w14:paraId="4440F411" w14:textId="77777777" w:rsidR="00224A87" w:rsidRPr="0000212C" w:rsidRDefault="0000212C" w:rsidP="00224A87">
      <w:pPr>
        <w:rPr>
          <w:rFonts w:ascii="David" w:hAnsi="David"/>
          <w:color w:val="FFFFFF"/>
          <w:sz w:val="2"/>
          <w:szCs w:val="2"/>
          <w:rtl/>
        </w:rPr>
      </w:pPr>
      <w:r w:rsidRPr="0000212C">
        <w:rPr>
          <w:rFonts w:ascii="David" w:hAnsi="David"/>
          <w:color w:val="FFFFFF"/>
          <w:sz w:val="2"/>
          <w:szCs w:val="2"/>
          <w:rtl/>
        </w:rPr>
        <w:t>5129371</w:t>
      </w:r>
    </w:p>
    <w:p w14:paraId="0AE0017A" w14:textId="77777777" w:rsidR="00224A87" w:rsidRPr="0000212C" w:rsidRDefault="0000212C" w:rsidP="00224A87">
      <w:pPr>
        <w:rPr>
          <w:color w:val="FFFFFF"/>
          <w:sz w:val="2"/>
          <w:szCs w:val="2"/>
          <w:rtl/>
        </w:rPr>
      </w:pPr>
      <w:r w:rsidRPr="0000212C">
        <w:rPr>
          <w:color w:val="FFFFFF"/>
          <w:sz w:val="2"/>
          <w:szCs w:val="2"/>
          <w:rtl/>
        </w:rPr>
        <w:t>54678313</w:t>
      </w:r>
    </w:p>
    <w:p w14:paraId="4EA55BDE" w14:textId="77777777" w:rsidR="00224A87" w:rsidRDefault="00224A87" w:rsidP="00224A87">
      <w:pPr>
        <w:spacing w:line="360" w:lineRule="auto"/>
        <w:jc w:val="center"/>
        <w:rPr>
          <w:rtl/>
        </w:rPr>
      </w:pPr>
    </w:p>
    <w:p w14:paraId="38C2367B" w14:textId="77777777" w:rsidR="00224A87" w:rsidRDefault="00224A87" w:rsidP="00224A87">
      <w:pPr>
        <w:spacing w:line="360" w:lineRule="auto"/>
        <w:jc w:val="both"/>
        <w:rPr>
          <w:rtl/>
        </w:rPr>
      </w:pPr>
      <w:r>
        <w:rPr>
          <w:rFonts w:hint="cs"/>
          <w:rtl/>
        </w:rPr>
        <w:t xml:space="preserve"> </w:t>
      </w:r>
    </w:p>
    <w:p w14:paraId="0DB0D691" w14:textId="77777777" w:rsidR="00224A87" w:rsidRDefault="00224A87" w:rsidP="00224A87">
      <w:pPr>
        <w:spacing w:line="360" w:lineRule="auto"/>
      </w:pPr>
    </w:p>
    <w:p w14:paraId="54242FE6" w14:textId="77777777" w:rsidR="00224A87" w:rsidRPr="009B7383" w:rsidRDefault="009B7383" w:rsidP="00224A87">
      <w:pPr>
        <w:pStyle w:val="a3"/>
        <w:jc w:val="center"/>
        <w:rPr>
          <w:color w:val="FFFFFF"/>
          <w:sz w:val="2"/>
          <w:szCs w:val="2"/>
          <w:rtl/>
        </w:rPr>
      </w:pPr>
      <w:r w:rsidRPr="009B7383">
        <w:rPr>
          <w:color w:val="FFFFFF"/>
          <w:sz w:val="2"/>
          <w:szCs w:val="2"/>
          <w:rtl/>
        </w:rPr>
        <w:t>5129371</w:t>
      </w:r>
    </w:p>
    <w:p w14:paraId="0B4E5F61" w14:textId="77777777" w:rsidR="0000212C" w:rsidRPr="009B7383" w:rsidRDefault="009B7383" w:rsidP="009B7383">
      <w:pPr>
        <w:keepNext/>
        <w:rPr>
          <w:rFonts w:ascii="David" w:hAnsi="David" w:hint="cs"/>
          <w:color w:val="FFFFFF"/>
          <w:sz w:val="2"/>
          <w:szCs w:val="2"/>
        </w:rPr>
      </w:pPr>
      <w:r w:rsidRPr="009B7383">
        <w:rPr>
          <w:rFonts w:ascii="David" w:hAnsi="David"/>
          <w:color w:val="FFFFFF"/>
          <w:sz w:val="2"/>
          <w:szCs w:val="2"/>
          <w:rtl/>
        </w:rPr>
        <w:t>54678313</w:t>
      </w:r>
    </w:p>
    <w:p w14:paraId="58ADB107" w14:textId="77777777" w:rsidR="0000212C" w:rsidRDefault="0000212C" w:rsidP="0000212C">
      <w:pPr>
        <w:rPr>
          <w:rtl/>
        </w:rPr>
      </w:pPr>
    </w:p>
    <w:p w14:paraId="1A6D3A81" w14:textId="77777777" w:rsidR="0000212C" w:rsidRDefault="0000212C" w:rsidP="0000212C">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6B6A1BFC" w14:textId="77777777" w:rsidR="009B7383" w:rsidRPr="009B7383" w:rsidRDefault="009B7383" w:rsidP="009B7383">
      <w:pPr>
        <w:keepNext/>
        <w:rPr>
          <w:rFonts w:ascii="David" w:hAnsi="David"/>
          <w:color w:val="000000"/>
          <w:sz w:val="22"/>
          <w:szCs w:val="22"/>
          <w:rtl/>
        </w:rPr>
      </w:pPr>
    </w:p>
    <w:p w14:paraId="60C08A6E" w14:textId="77777777" w:rsidR="009B7383" w:rsidRPr="009B7383" w:rsidRDefault="009B7383" w:rsidP="009B7383">
      <w:pPr>
        <w:keepNext/>
        <w:rPr>
          <w:rFonts w:ascii="David" w:hAnsi="David"/>
          <w:color w:val="000000"/>
          <w:sz w:val="22"/>
          <w:szCs w:val="22"/>
          <w:rtl/>
        </w:rPr>
      </w:pPr>
      <w:r w:rsidRPr="009B7383">
        <w:rPr>
          <w:rFonts w:ascii="David" w:hAnsi="David"/>
          <w:color w:val="000000"/>
          <w:sz w:val="22"/>
          <w:szCs w:val="22"/>
          <w:rtl/>
        </w:rPr>
        <w:t>בני שגיא 54678313-/</w:t>
      </w:r>
    </w:p>
    <w:p w14:paraId="558B8FC7" w14:textId="77777777" w:rsidR="0000212C" w:rsidRPr="0000212C" w:rsidRDefault="009B7383" w:rsidP="009B7383">
      <w:pPr>
        <w:rPr>
          <w:rFonts w:hint="cs"/>
          <w:color w:val="0000FF"/>
          <w:u w:val="single"/>
        </w:rPr>
      </w:pPr>
      <w:r w:rsidRPr="009B7383">
        <w:rPr>
          <w:color w:val="000000"/>
          <w:u w:val="single"/>
          <w:rtl/>
        </w:rPr>
        <w:t>נוסח מסמך זה כפוף לשינויי ניסוח ועריכה</w:t>
      </w:r>
      <w:r w:rsidR="001567EB">
        <w:rPr>
          <w:rFonts w:hint="cs"/>
          <w:color w:val="0000FF"/>
          <w:u w:val="single"/>
          <w:rtl/>
        </w:rPr>
        <w:t xml:space="preserve"> </w:t>
      </w:r>
    </w:p>
    <w:sectPr w:rsidR="0000212C" w:rsidRPr="0000212C" w:rsidSect="009B7383">
      <w:headerReference w:type="even" r:id="rId25"/>
      <w:headerReference w:type="default" r:id="rId26"/>
      <w:footerReference w:type="even" r:id="rId27"/>
      <w:footerReference w:type="default" r:id="rId28"/>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3C5CA3" w14:textId="77777777" w:rsidR="00286014" w:rsidRDefault="00286014" w:rsidP="00375781">
      <w:r>
        <w:separator/>
      </w:r>
    </w:p>
  </w:endnote>
  <w:endnote w:type="continuationSeparator" w:id="0">
    <w:p w14:paraId="46CFED9F" w14:textId="77777777" w:rsidR="00286014" w:rsidRDefault="00286014" w:rsidP="00375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7CD2A" w14:textId="77777777" w:rsidR="009B7383" w:rsidRDefault="009B7383" w:rsidP="009B738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D06C9A1" w14:textId="77777777" w:rsidR="008135D2" w:rsidRPr="009B7383" w:rsidRDefault="009B7383" w:rsidP="009B7383">
    <w:pPr>
      <w:pStyle w:val="a5"/>
      <w:pBdr>
        <w:top w:val="single" w:sz="4" w:space="1" w:color="auto"/>
        <w:between w:val="single" w:sz="4" w:space="0" w:color="auto"/>
      </w:pBdr>
      <w:spacing w:after="60"/>
      <w:jc w:val="center"/>
      <w:rPr>
        <w:rFonts w:ascii="FrankRuehl" w:hAnsi="FrankRuehl" w:cs="FrankRuehl"/>
        <w:color w:val="000000"/>
      </w:rPr>
    </w:pPr>
    <w:r w:rsidRPr="009B738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4760E" w14:textId="77777777" w:rsidR="009B7383" w:rsidRDefault="009B7383" w:rsidP="009B738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C2997">
      <w:rPr>
        <w:rFonts w:ascii="FrankRuehl" w:hAnsi="FrankRuehl" w:cs="FrankRuehl"/>
        <w:noProof/>
        <w:rtl/>
      </w:rPr>
      <w:t>1</w:t>
    </w:r>
    <w:r>
      <w:rPr>
        <w:rFonts w:ascii="FrankRuehl" w:hAnsi="FrankRuehl" w:cs="FrankRuehl"/>
        <w:rtl/>
      </w:rPr>
      <w:fldChar w:fldCharType="end"/>
    </w:r>
  </w:p>
  <w:p w14:paraId="19A1BFC5" w14:textId="77777777" w:rsidR="008135D2" w:rsidRPr="009B7383" w:rsidRDefault="009B7383" w:rsidP="009B7383">
    <w:pPr>
      <w:pStyle w:val="a5"/>
      <w:pBdr>
        <w:top w:val="single" w:sz="4" w:space="1" w:color="auto"/>
        <w:between w:val="single" w:sz="4" w:space="0" w:color="auto"/>
      </w:pBdr>
      <w:spacing w:after="60"/>
      <w:jc w:val="center"/>
      <w:rPr>
        <w:rFonts w:ascii="FrankRuehl" w:hAnsi="FrankRuehl" w:cs="FrankRuehl"/>
        <w:color w:val="000000"/>
      </w:rPr>
    </w:pPr>
    <w:r w:rsidRPr="009B7383">
      <w:rPr>
        <w:rFonts w:ascii="FrankRuehl" w:hAnsi="FrankRuehl" w:cs="FrankRuehl"/>
        <w:color w:val="000000"/>
      </w:rPr>
      <w:pict w14:anchorId="1DA2B9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BF52D8" w14:textId="77777777" w:rsidR="00286014" w:rsidRDefault="00286014" w:rsidP="00375781">
      <w:r>
        <w:separator/>
      </w:r>
    </w:p>
  </w:footnote>
  <w:footnote w:type="continuationSeparator" w:id="0">
    <w:p w14:paraId="7591CE23" w14:textId="77777777" w:rsidR="00286014" w:rsidRDefault="00286014" w:rsidP="003757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9B15C" w14:textId="77777777" w:rsidR="0000212C" w:rsidRPr="009B7383" w:rsidRDefault="009B7383" w:rsidP="009B738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37454-03-20</w:t>
    </w:r>
    <w:r>
      <w:rPr>
        <w:rFonts w:ascii="David" w:hAnsi="David"/>
        <w:color w:val="000000"/>
        <w:sz w:val="22"/>
        <w:szCs w:val="22"/>
        <w:rtl/>
      </w:rPr>
      <w:tab/>
      <w:t xml:space="preserve"> מדינת ישראל נ' יצחק רחימי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E5DF8" w14:textId="77777777" w:rsidR="0000212C" w:rsidRPr="009B7383" w:rsidRDefault="009B7383" w:rsidP="009B738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37454-03-20</w:t>
    </w:r>
    <w:r>
      <w:rPr>
        <w:rFonts w:ascii="David" w:hAnsi="David"/>
        <w:color w:val="000000"/>
        <w:sz w:val="22"/>
        <w:szCs w:val="22"/>
        <w:rtl/>
      </w:rPr>
      <w:tab/>
      <w:t xml:space="preserve"> מדינת ישראל נ' יצחק רחימי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982721"/>
    <w:multiLevelType w:val="hybridMultilevel"/>
    <w:tmpl w:val="6A4EC130"/>
    <w:lvl w:ilvl="0" w:tplc="EE28351C">
      <w:start w:val="1"/>
      <w:numFmt w:val="decimal"/>
      <w:lvlText w:val="%1."/>
      <w:lvlJc w:val="left"/>
      <w:pPr>
        <w:ind w:left="360" w:hanging="360"/>
      </w:pPr>
      <w:rPr>
        <w:rFonts w:ascii="David" w:hAnsi="David" w:cs="David" w:hint="default"/>
        <w:b w:val="0"/>
        <w:bCs w:val="0"/>
        <w:lang w:val="en-U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0402833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24A87"/>
    <w:rsid w:val="0000212C"/>
    <w:rsid w:val="00126A77"/>
    <w:rsid w:val="001567EB"/>
    <w:rsid w:val="00220693"/>
    <w:rsid w:val="00224A87"/>
    <w:rsid w:val="00286014"/>
    <w:rsid w:val="002E1744"/>
    <w:rsid w:val="00375781"/>
    <w:rsid w:val="004328F5"/>
    <w:rsid w:val="00514193"/>
    <w:rsid w:val="00720F3B"/>
    <w:rsid w:val="008135D2"/>
    <w:rsid w:val="00890837"/>
    <w:rsid w:val="009B7383"/>
    <w:rsid w:val="00C25D74"/>
    <w:rsid w:val="00C501AB"/>
    <w:rsid w:val="00DC29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3492D7"/>
  <w15:chartTrackingRefBased/>
  <w15:docId w15:val="{8945A4BC-9A60-44AE-8EE7-021C24598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24A8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24A87"/>
    <w:pPr>
      <w:tabs>
        <w:tab w:val="center" w:pos="4153"/>
        <w:tab w:val="right" w:pos="8306"/>
      </w:tabs>
    </w:pPr>
  </w:style>
  <w:style w:type="character" w:customStyle="1" w:styleId="a4">
    <w:name w:val="כותרת עליונה תו"/>
    <w:link w:val="a3"/>
    <w:rsid w:val="00224A87"/>
    <w:rPr>
      <w:rFonts w:ascii="Times New Roman" w:eastAsia="Times New Roman" w:hAnsi="Times New Roman" w:cs="David"/>
      <w:sz w:val="24"/>
      <w:szCs w:val="24"/>
    </w:rPr>
  </w:style>
  <w:style w:type="paragraph" w:styleId="a5">
    <w:name w:val="footer"/>
    <w:basedOn w:val="a"/>
    <w:link w:val="a6"/>
    <w:rsid w:val="00224A87"/>
    <w:pPr>
      <w:tabs>
        <w:tab w:val="center" w:pos="4153"/>
        <w:tab w:val="right" w:pos="8306"/>
      </w:tabs>
    </w:pPr>
  </w:style>
  <w:style w:type="character" w:customStyle="1" w:styleId="a6">
    <w:name w:val="כותרת תחתונה תו"/>
    <w:link w:val="a5"/>
    <w:rsid w:val="00224A87"/>
    <w:rPr>
      <w:rFonts w:ascii="Times New Roman" w:eastAsia="Times New Roman" w:hAnsi="Times New Roman" w:cs="David"/>
      <w:sz w:val="24"/>
      <w:szCs w:val="24"/>
    </w:rPr>
  </w:style>
  <w:style w:type="table" w:styleId="a7">
    <w:name w:val="Table Grid"/>
    <w:basedOn w:val="a1"/>
    <w:rsid w:val="00224A8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24A87"/>
  </w:style>
  <w:style w:type="paragraph" w:styleId="a9">
    <w:name w:val="List Paragraph"/>
    <w:basedOn w:val="a"/>
    <w:qFormat/>
    <w:rsid w:val="00224A87"/>
    <w:pPr>
      <w:spacing w:after="160" w:line="256" w:lineRule="auto"/>
      <w:ind w:left="720"/>
      <w:contextualSpacing/>
    </w:pPr>
    <w:rPr>
      <w:rFonts w:ascii="Calibri" w:eastAsia="Calibri" w:hAnsi="Calibri" w:cs="Arial"/>
      <w:sz w:val="22"/>
      <w:szCs w:val="22"/>
    </w:rPr>
  </w:style>
  <w:style w:type="table" w:customStyle="1" w:styleId="1">
    <w:name w:val="רשת טבלה1"/>
    <w:basedOn w:val="a1"/>
    <w:rsid w:val="00224A87"/>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021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 TargetMode="External"/><Relationship Id="rId18" Type="http://schemas.openxmlformats.org/officeDocument/2006/relationships/hyperlink" Target="http://www.nevo.co.il/case/23750885"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case/21566413"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7.a.;7.c" TargetMode="External"/><Relationship Id="rId17" Type="http://schemas.openxmlformats.org/officeDocument/2006/relationships/hyperlink" Target="http://www.nevo.co.il/case/25386231"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case/22961879" TargetMode="External"/><Relationship Id="rId20" Type="http://schemas.openxmlformats.org/officeDocument/2006/relationships/hyperlink" Target="http://www.nevo.co.il/case/2375129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case/11204005" TargetMode="External"/><Relationship Id="rId23" Type="http://schemas.openxmlformats.org/officeDocument/2006/relationships/hyperlink" Target="http://www.nevo.co.il/case/17917535" TargetMode="External"/><Relationship Id="rId28" Type="http://schemas.openxmlformats.org/officeDocument/2006/relationships/footer" Target="footer2.xml"/><Relationship Id="rId10" Type="http://schemas.openxmlformats.org/officeDocument/2006/relationships/hyperlink" Target="http://www.nevo.co.il/law/4216/13" TargetMode="External"/><Relationship Id="rId19" Type="http://schemas.openxmlformats.org/officeDocument/2006/relationships/hyperlink" Target="http://www.nevo.co.il/case/22961884"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19.a" TargetMode="External"/><Relationship Id="rId22" Type="http://schemas.openxmlformats.org/officeDocument/2006/relationships/hyperlink" Target="http://www.nevo.co.il/case/21947072"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2580</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15455</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3932279</vt:i4>
      </vt:variant>
      <vt:variant>
        <vt:i4>48</vt:i4>
      </vt:variant>
      <vt:variant>
        <vt:i4>0</vt:i4>
      </vt:variant>
      <vt:variant>
        <vt:i4>5</vt:i4>
      </vt:variant>
      <vt:variant>
        <vt:lpwstr>http://www.nevo.co.il/case/17917535</vt:lpwstr>
      </vt:variant>
      <vt:variant>
        <vt:lpwstr/>
      </vt:variant>
      <vt:variant>
        <vt:i4>3866737</vt:i4>
      </vt:variant>
      <vt:variant>
        <vt:i4>45</vt:i4>
      </vt:variant>
      <vt:variant>
        <vt:i4>0</vt:i4>
      </vt:variant>
      <vt:variant>
        <vt:i4>5</vt:i4>
      </vt:variant>
      <vt:variant>
        <vt:lpwstr>http://www.nevo.co.il/case/21947072</vt:lpwstr>
      </vt:variant>
      <vt:variant>
        <vt:lpwstr/>
      </vt:variant>
      <vt:variant>
        <vt:i4>3145847</vt:i4>
      </vt:variant>
      <vt:variant>
        <vt:i4>42</vt:i4>
      </vt:variant>
      <vt:variant>
        <vt:i4>0</vt:i4>
      </vt:variant>
      <vt:variant>
        <vt:i4>5</vt:i4>
      </vt:variant>
      <vt:variant>
        <vt:lpwstr>http://www.nevo.co.il/case/21566413</vt:lpwstr>
      </vt:variant>
      <vt:variant>
        <vt:lpwstr/>
      </vt:variant>
      <vt:variant>
        <vt:i4>3997808</vt:i4>
      </vt:variant>
      <vt:variant>
        <vt:i4>39</vt:i4>
      </vt:variant>
      <vt:variant>
        <vt:i4>0</vt:i4>
      </vt:variant>
      <vt:variant>
        <vt:i4>5</vt:i4>
      </vt:variant>
      <vt:variant>
        <vt:lpwstr>http://www.nevo.co.il/case/23751299</vt:lpwstr>
      </vt:variant>
      <vt:variant>
        <vt:lpwstr/>
      </vt:variant>
      <vt:variant>
        <vt:i4>3276920</vt:i4>
      </vt:variant>
      <vt:variant>
        <vt:i4>36</vt:i4>
      </vt:variant>
      <vt:variant>
        <vt:i4>0</vt:i4>
      </vt:variant>
      <vt:variant>
        <vt:i4>5</vt:i4>
      </vt:variant>
      <vt:variant>
        <vt:lpwstr>http://www.nevo.co.il/case/22961884</vt:lpwstr>
      </vt:variant>
      <vt:variant>
        <vt:lpwstr/>
      </vt:variant>
      <vt:variant>
        <vt:i4>3997818</vt:i4>
      </vt:variant>
      <vt:variant>
        <vt:i4>33</vt:i4>
      </vt:variant>
      <vt:variant>
        <vt:i4>0</vt:i4>
      </vt:variant>
      <vt:variant>
        <vt:i4>5</vt:i4>
      </vt:variant>
      <vt:variant>
        <vt:lpwstr>http://www.nevo.co.il/case/23750885</vt:lpwstr>
      </vt:variant>
      <vt:variant>
        <vt:lpwstr/>
      </vt:variant>
      <vt:variant>
        <vt:i4>3407995</vt:i4>
      </vt:variant>
      <vt:variant>
        <vt:i4>30</vt:i4>
      </vt:variant>
      <vt:variant>
        <vt:i4>0</vt:i4>
      </vt:variant>
      <vt:variant>
        <vt:i4>5</vt:i4>
      </vt:variant>
      <vt:variant>
        <vt:lpwstr>http://www.nevo.co.il/case/25386231</vt:lpwstr>
      </vt:variant>
      <vt:variant>
        <vt:lpwstr/>
      </vt:variant>
      <vt:variant>
        <vt:i4>3997816</vt:i4>
      </vt:variant>
      <vt:variant>
        <vt:i4>27</vt:i4>
      </vt:variant>
      <vt:variant>
        <vt:i4>0</vt:i4>
      </vt:variant>
      <vt:variant>
        <vt:i4>5</vt:i4>
      </vt:variant>
      <vt:variant>
        <vt:lpwstr>http://www.nevo.co.il/case/22961879</vt:lpwstr>
      </vt:variant>
      <vt:variant>
        <vt:lpwstr/>
      </vt:variant>
      <vt:variant>
        <vt:i4>3604597</vt:i4>
      </vt:variant>
      <vt:variant>
        <vt:i4>24</vt:i4>
      </vt:variant>
      <vt:variant>
        <vt:i4>0</vt:i4>
      </vt:variant>
      <vt:variant>
        <vt:i4>5</vt:i4>
      </vt:variant>
      <vt:variant>
        <vt:lpwstr>http://www.nevo.co.il/case/11204005</vt:lpwstr>
      </vt:variant>
      <vt:variant>
        <vt:lpwstr/>
      </vt:variant>
      <vt:variant>
        <vt:i4>2883686</vt:i4>
      </vt:variant>
      <vt:variant>
        <vt:i4>21</vt:i4>
      </vt:variant>
      <vt:variant>
        <vt:i4>0</vt:i4>
      </vt:variant>
      <vt:variant>
        <vt:i4>5</vt:i4>
      </vt:variant>
      <vt:variant>
        <vt:lpwstr>http://www.nevo.co.il/law/4216/13;19.a</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2025-04-22T21:04:00Z</dcterms:created>
  <dcterms:modified xsi:type="dcterms:W3CDTF">2025-04-22T21:04:00Z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37454</vt:lpwstr>
  </property>
  <property fmtid="{D5CDD505-2E9C-101B-9397-08002B2CF9AE}" pid="6" name="NEWPARTB">
    <vt:lpwstr>03</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יצחק רחימי</vt:lpwstr>
  </property>
  <property fmtid="{D5CDD505-2E9C-101B-9397-08002B2CF9AE}" pid="10" name="LAWYER">
    <vt:lpwstr>רוזי כבאז;ציון אמיר</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20200906</vt:lpwstr>
  </property>
  <property fmtid="{D5CDD505-2E9C-101B-9397-08002B2CF9AE}" pid="14" name="TYPE_N_DATE">
    <vt:lpwstr>39020200906</vt:lpwstr>
  </property>
  <property fmtid="{D5CDD505-2E9C-101B-9397-08002B2CF9AE}" pid="15" name="WORDNUMPAGES">
    <vt:lpwstr>7</vt:lpwstr>
  </property>
  <property fmtid="{D5CDD505-2E9C-101B-9397-08002B2CF9AE}" pid="16" name="TYPE_ABS_DATE">
    <vt:lpwstr>390020200906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11204005;22961879;25386231;23750885;22961884;23751299;21566413;21947072;17917535</vt:lpwstr>
  </property>
  <property fmtid="{D5CDD505-2E9C-101B-9397-08002B2CF9AE}" pid="36" name="LAWLISTTMP1">
    <vt:lpwstr>4216/007.a;007.c;013;019.a</vt:lpwstr>
  </property>
</Properties>
</file>