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0629EC" w:rsidRPr="009255F1" w14:paraId="0DD0DAD5" w14:textId="77777777" w:rsidTr="00992F28">
        <w:trPr>
          <w:trHeight w:hRule="exact" w:val="418"/>
          <w:jc w:val="center"/>
        </w:trPr>
        <w:tc>
          <w:tcPr>
            <w:tcW w:w="8861" w:type="dxa"/>
            <w:gridSpan w:val="2"/>
          </w:tcPr>
          <w:p w14:paraId="020ED367" w14:textId="77777777" w:rsidR="000629EC" w:rsidRPr="009255F1" w:rsidRDefault="000629EC" w:rsidP="00992F28">
            <w:pPr>
              <w:pStyle w:val="a3"/>
              <w:jc w:val="center"/>
              <w:rPr>
                <w:rFonts w:ascii="Tahoma" w:hAnsi="Tahoma"/>
                <w:color w:val="000080"/>
                <w:sz w:val="32"/>
                <w:szCs w:val="32"/>
                <w:rtl/>
              </w:rPr>
            </w:pPr>
            <w:bookmarkStart w:id="0" w:name="LastJudge"/>
            <w:r w:rsidRPr="009255F1">
              <w:rPr>
                <w:rFonts w:ascii="Tahoma" w:hAnsi="Tahoma"/>
                <w:b/>
                <w:bCs/>
                <w:color w:val="000080"/>
                <w:sz w:val="32"/>
                <w:szCs w:val="32"/>
                <w:rtl/>
              </w:rPr>
              <w:t>בית המשפט המחוזי בתל אביב - יפו</w:t>
            </w:r>
          </w:p>
        </w:tc>
      </w:tr>
      <w:tr w:rsidR="000629EC" w:rsidRPr="009255F1" w14:paraId="65F381C6" w14:textId="77777777" w:rsidTr="00992F28">
        <w:trPr>
          <w:trHeight w:val="337"/>
          <w:jc w:val="center"/>
        </w:trPr>
        <w:tc>
          <w:tcPr>
            <w:tcW w:w="5131" w:type="dxa"/>
          </w:tcPr>
          <w:p w14:paraId="2067D623" w14:textId="77777777" w:rsidR="000629EC" w:rsidRPr="009255F1" w:rsidRDefault="000629EC" w:rsidP="00992F28">
            <w:pPr>
              <w:rPr>
                <w:sz w:val="26"/>
                <w:szCs w:val="26"/>
                <w:rtl/>
              </w:rPr>
            </w:pPr>
            <w:r w:rsidRPr="009255F1">
              <w:rPr>
                <w:sz w:val="26"/>
                <w:szCs w:val="26"/>
                <w:rtl/>
              </w:rPr>
              <w:t>ת"פ</w:t>
            </w:r>
            <w:r w:rsidRPr="009255F1">
              <w:rPr>
                <w:rFonts w:hint="cs"/>
                <w:sz w:val="26"/>
                <w:szCs w:val="26"/>
                <w:rtl/>
              </w:rPr>
              <w:t xml:space="preserve"> </w:t>
            </w:r>
            <w:r w:rsidRPr="009255F1">
              <w:rPr>
                <w:sz w:val="26"/>
                <w:szCs w:val="26"/>
                <w:rtl/>
              </w:rPr>
              <w:t>45012-03-20</w:t>
            </w:r>
            <w:r w:rsidRPr="009255F1">
              <w:rPr>
                <w:rFonts w:hint="cs"/>
                <w:sz w:val="26"/>
                <w:szCs w:val="26"/>
                <w:rtl/>
              </w:rPr>
              <w:t xml:space="preserve"> </w:t>
            </w:r>
            <w:r w:rsidRPr="009255F1">
              <w:rPr>
                <w:sz w:val="26"/>
                <w:szCs w:val="26"/>
                <w:rtl/>
              </w:rPr>
              <w:t>מדינת ישראל נ' חן(עציר)</w:t>
            </w:r>
          </w:p>
          <w:p w14:paraId="4A8EC31C" w14:textId="77777777" w:rsidR="000629EC" w:rsidRPr="009255F1" w:rsidRDefault="000629EC" w:rsidP="00992F28">
            <w:pPr>
              <w:pStyle w:val="a3"/>
              <w:rPr>
                <w:rFonts w:cs="FrankRuehl"/>
                <w:sz w:val="28"/>
                <w:szCs w:val="28"/>
                <w:rtl/>
              </w:rPr>
            </w:pPr>
          </w:p>
        </w:tc>
        <w:tc>
          <w:tcPr>
            <w:tcW w:w="3730" w:type="dxa"/>
          </w:tcPr>
          <w:p w14:paraId="61DFE8D1" w14:textId="77777777" w:rsidR="000629EC" w:rsidRPr="009255F1" w:rsidRDefault="000629EC" w:rsidP="00992F28">
            <w:pPr>
              <w:pStyle w:val="a3"/>
              <w:jc w:val="right"/>
              <w:rPr>
                <w:rFonts w:cs="FrankRuehl"/>
                <w:sz w:val="28"/>
                <w:szCs w:val="28"/>
                <w:rtl/>
              </w:rPr>
            </w:pPr>
          </w:p>
        </w:tc>
      </w:tr>
    </w:tbl>
    <w:p w14:paraId="49C67FB1" w14:textId="77777777" w:rsidR="000629EC" w:rsidRPr="009255F1" w:rsidRDefault="000629EC" w:rsidP="000629EC">
      <w:pPr>
        <w:pStyle w:val="a3"/>
        <w:rPr>
          <w:rtl/>
        </w:rPr>
      </w:pPr>
      <w:r w:rsidRPr="009255F1">
        <w:rPr>
          <w:rFonts w:hint="cs"/>
          <w:rtl/>
        </w:rPr>
        <w:t xml:space="preserve"> </w:t>
      </w:r>
    </w:p>
    <w:tbl>
      <w:tblPr>
        <w:bidiVisual/>
        <w:tblW w:w="8219" w:type="dxa"/>
        <w:tblInd w:w="555" w:type="dxa"/>
        <w:tblLook w:val="01E0" w:firstRow="1" w:lastRow="1" w:firstColumn="1" w:lastColumn="1" w:noHBand="0" w:noVBand="0"/>
      </w:tblPr>
      <w:tblGrid>
        <w:gridCol w:w="2297"/>
        <w:gridCol w:w="5866"/>
        <w:gridCol w:w="56"/>
      </w:tblGrid>
      <w:tr w:rsidR="000629EC" w:rsidRPr="009255F1" w14:paraId="09AA3459" w14:textId="77777777" w:rsidTr="000629EC">
        <w:trPr>
          <w:gridAfter w:val="1"/>
          <w:wAfter w:w="56" w:type="dxa"/>
        </w:trPr>
        <w:tc>
          <w:tcPr>
            <w:tcW w:w="8163" w:type="dxa"/>
            <w:gridSpan w:val="2"/>
            <w:shd w:val="clear" w:color="auto" w:fill="auto"/>
          </w:tcPr>
          <w:p w14:paraId="5F1D7F51" w14:textId="77777777" w:rsidR="000629EC" w:rsidRPr="009255F1" w:rsidRDefault="000629EC" w:rsidP="000629EC">
            <w:pPr>
              <w:spacing w:line="360" w:lineRule="auto"/>
              <w:jc w:val="both"/>
              <w:rPr>
                <w:b/>
                <w:bCs/>
              </w:rPr>
            </w:pPr>
            <w:r w:rsidRPr="009255F1">
              <w:rPr>
                <w:b/>
                <w:bCs/>
                <w:rtl/>
              </w:rPr>
              <w:t>לפני כבוד השופט בני שגיא</w:t>
            </w:r>
          </w:p>
        </w:tc>
      </w:tr>
      <w:tr w:rsidR="000629EC" w:rsidRPr="009255F1" w14:paraId="3F48961E" w14:textId="77777777" w:rsidTr="000629EC">
        <w:trPr>
          <w:cantSplit/>
          <w:trHeight w:val="724"/>
        </w:trPr>
        <w:tc>
          <w:tcPr>
            <w:tcW w:w="2297" w:type="dxa"/>
            <w:shd w:val="clear" w:color="auto" w:fill="auto"/>
          </w:tcPr>
          <w:p w14:paraId="61A6FFB7" w14:textId="77777777" w:rsidR="000629EC" w:rsidRPr="009255F1" w:rsidRDefault="000629EC" w:rsidP="000629EC">
            <w:pPr>
              <w:ind w:left="26"/>
              <w:jc w:val="right"/>
              <w:rPr>
                <w:b/>
                <w:bCs/>
                <w:rtl/>
              </w:rPr>
            </w:pPr>
            <w:bookmarkStart w:id="1" w:name="FirstAppellant"/>
            <w:bookmarkStart w:id="2" w:name="FirstLawyer"/>
          </w:p>
          <w:p w14:paraId="5EACF0F6" w14:textId="77777777" w:rsidR="000629EC" w:rsidRPr="009255F1" w:rsidRDefault="000629EC" w:rsidP="000629EC">
            <w:pPr>
              <w:ind w:left="26"/>
              <w:rPr>
                <w:b/>
                <w:bCs/>
                <w:rtl/>
              </w:rPr>
            </w:pPr>
            <w:r w:rsidRPr="009255F1">
              <w:rPr>
                <w:b/>
                <w:bCs/>
                <w:rtl/>
              </w:rPr>
              <w:t>המאשימה</w:t>
            </w:r>
            <w:r w:rsidRPr="009255F1">
              <w:rPr>
                <w:rFonts w:hint="cs"/>
                <w:b/>
                <w:bCs/>
                <w:rtl/>
              </w:rPr>
              <w:t>:</w:t>
            </w:r>
          </w:p>
        </w:tc>
        <w:tc>
          <w:tcPr>
            <w:tcW w:w="5922" w:type="dxa"/>
            <w:gridSpan w:val="2"/>
            <w:shd w:val="clear" w:color="auto" w:fill="auto"/>
          </w:tcPr>
          <w:p w14:paraId="2BA4F345" w14:textId="77777777" w:rsidR="000629EC" w:rsidRPr="009255F1" w:rsidRDefault="000629EC" w:rsidP="000629EC">
            <w:pPr>
              <w:jc w:val="right"/>
              <w:rPr>
                <w:rtl/>
              </w:rPr>
            </w:pPr>
          </w:p>
          <w:p w14:paraId="7215791A" w14:textId="77777777" w:rsidR="000629EC" w:rsidRPr="009255F1" w:rsidRDefault="000629EC" w:rsidP="000629EC">
            <w:pPr>
              <w:spacing w:line="360" w:lineRule="auto"/>
              <w:rPr>
                <w:b/>
                <w:bCs/>
                <w:rtl/>
              </w:rPr>
            </w:pPr>
            <w:r w:rsidRPr="009255F1">
              <w:rPr>
                <w:b/>
                <w:bCs/>
                <w:rtl/>
              </w:rPr>
              <w:t>מדינת ישראל</w:t>
            </w:r>
          </w:p>
          <w:p w14:paraId="3CD3CEE2" w14:textId="77777777" w:rsidR="000629EC" w:rsidRPr="009255F1" w:rsidRDefault="000629EC" w:rsidP="000629EC">
            <w:pPr>
              <w:spacing w:line="360" w:lineRule="auto"/>
              <w:rPr>
                <w:rtl/>
              </w:rPr>
            </w:pPr>
            <w:r w:rsidRPr="009255F1">
              <w:rPr>
                <w:rFonts w:hint="cs"/>
                <w:rtl/>
              </w:rPr>
              <w:t>באמצעות פרקליטות מחוז תל-אביב (פלילי)</w:t>
            </w:r>
          </w:p>
          <w:p w14:paraId="24B4986F" w14:textId="77777777" w:rsidR="000629EC" w:rsidRPr="009255F1" w:rsidRDefault="000629EC" w:rsidP="000629EC">
            <w:pPr>
              <w:spacing w:line="360" w:lineRule="auto"/>
              <w:rPr>
                <w:rtl/>
              </w:rPr>
            </w:pPr>
            <w:r w:rsidRPr="009255F1">
              <w:rPr>
                <w:rtl/>
              </w:rPr>
              <w:t xml:space="preserve">על-ידי ב"כ עו"ד </w:t>
            </w:r>
            <w:r w:rsidRPr="009255F1">
              <w:rPr>
                <w:rFonts w:hint="cs"/>
                <w:rtl/>
              </w:rPr>
              <w:t>ענת בן זאב ועו"ד שלי קוטין</w:t>
            </w:r>
          </w:p>
        </w:tc>
      </w:tr>
      <w:bookmarkEnd w:id="1"/>
      <w:bookmarkEnd w:id="2"/>
      <w:tr w:rsidR="000629EC" w:rsidRPr="009255F1" w14:paraId="337AF005" w14:textId="77777777" w:rsidTr="000629EC">
        <w:tc>
          <w:tcPr>
            <w:tcW w:w="8219" w:type="dxa"/>
            <w:gridSpan w:val="3"/>
            <w:shd w:val="clear" w:color="auto" w:fill="auto"/>
            <w:vAlign w:val="center"/>
          </w:tcPr>
          <w:p w14:paraId="5EB3D4CA" w14:textId="77777777" w:rsidR="000629EC" w:rsidRPr="009255F1" w:rsidRDefault="000629EC" w:rsidP="000629EC">
            <w:pPr>
              <w:jc w:val="center"/>
              <w:rPr>
                <w:rFonts w:ascii="Arial" w:hAnsi="Arial"/>
                <w:b/>
                <w:bCs/>
                <w:rtl/>
              </w:rPr>
            </w:pPr>
          </w:p>
          <w:p w14:paraId="33F725B2" w14:textId="77777777" w:rsidR="000629EC" w:rsidRPr="009255F1" w:rsidRDefault="000629EC" w:rsidP="000629EC">
            <w:pPr>
              <w:jc w:val="center"/>
              <w:rPr>
                <w:rFonts w:ascii="Arial" w:hAnsi="Arial"/>
                <w:b/>
                <w:bCs/>
                <w:rtl/>
              </w:rPr>
            </w:pPr>
            <w:r w:rsidRPr="009255F1">
              <w:rPr>
                <w:rFonts w:ascii="Arial" w:hAnsi="Arial"/>
                <w:b/>
                <w:bCs/>
                <w:rtl/>
              </w:rPr>
              <w:t>נגד</w:t>
            </w:r>
          </w:p>
          <w:p w14:paraId="2B6DEF1D" w14:textId="77777777" w:rsidR="000629EC" w:rsidRPr="009255F1" w:rsidRDefault="000629EC" w:rsidP="000629EC">
            <w:pPr>
              <w:jc w:val="right"/>
              <w:rPr>
                <w:rFonts w:ascii="Arial" w:hAnsi="Arial"/>
                <w:b/>
                <w:bCs/>
                <w:rtl/>
              </w:rPr>
            </w:pPr>
          </w:p>
        </w:tc>
      </w:tr>
      <w:tr w:rsidR="000629EC" w:rsidRPr="009255F1" w14:paraId="21DD8DE9" w14:textId="77777777" w:rsidTr="000629EC">
        <w:tc>
          <w:tcPr>
            <w:tcW w:w="2297" w:type="dxa"/>
            <w:shd w:val="clear" w:color="auto" w:fill="auto"/>
          </w:tcPr>
          <w:p w14:paraId="0E56CA68" w14:textId="77777777" w:rsidR="000629EC" w:rsidRPr="009255F1" w:rsidRDefault="000629EC" w:rsidP="000629EC">
            <w:pPr>
              <w:ind w:left="26"/>
              <w:rPr>
                <w:b/>
                <w:bCs/>
                <w:rtl/>
              </w:rPr>
            </w:pPr>
            <w:r w:rsidRPr="009255F1">
              <w:rPr>
                <w:b/>
                <w:bCs/>
                <w:rtl/>
              </w:rPr>
              <w:t>הנאשם</w:t>
            </w:r>
            <w:r w:rsidRPr="009255F1">
              <w:rPr>
                <w:rFonts w:hint="cs"/>
                <w:b/>
                <w:bCs/>
                <w:rtl/>
              </w:rPr>
              <w:t>:</w:t>
            </w:r>
          </w:p>
        </w:tc>
        <w:tc>
          <w:tcPr>
            <w:tcW w:w="5922" w:type="dxa"/>
            <w:gridSpan w:val="2"/>
            <w:shd w:val="clear" w:color="auto" w:fill="auto"/>
          </w:tcPr>
          <w:p w14:paraId="329FC269" w14:textId="77777777" w:rsidR="000629EC" w:rsidRPr="009255F1" w:rsidRDefault="000629EC" w:rsidP="000629EC">
            <w:pPr>
              <w:spacing w:line="360" w:lineRule="auto"/>
              <w:rPr>
                <w:b/>
                <w:bCs/>
                <w:rtl/>
              </w:rPr>
            </w:pPr>
            <w:r w:rsidRPr="009255F1">
              <w:rPr>
                <w:rFonts w:hint="cs"/>
                <w:b/>
                <w:bCs/>
                <w:rtl/>
              </w:rPr>
              <w:t>שחר חן</w:t>
            </w:r>
            <w:r w:rsidRPr="009255F1">
              <w:rPr>
                <w:b/>
                <w:bCs/>
                <w:rtl/>
              </w:rPr>
              <w:t xml:space="preserve"> ת.ז. </w:t>
            </w:r>
            <w:r w:rsidR="009255F1">
              <w:rPr>
                <w:b/>
                <w:bCs/>
              </w:rPr>
              <w:t>xxxxxxxxxx</w:t>
            </w:r>
          </w:p>
          <w:p w14:paraId="35F20CB0" w14:textId="77777777" w:rsidR="000629EC" w:rsidRPr="009255F1" w:rsidRDefault="000629EC" w:rsidP="00992F28">
            <w:pPr>
              <w:rPr>
                <w:rtl/>
              </w:rPr>
            </w:pPr>
            <w:r w:rsidRPr="009255F1">
              <w:rPr>
                <w:rtl/>
              </w:rPr>
              <w:t xml:space="preserve">על-ידי ב"כ עו"ד </w:t>
            </w:r>
            <w:r w:rsidRPr="009255F1">
              <w:rPr>
                <w:rFonts w:hint="cs"/>
                <w:rtl/>
              </w:rPr>
              <w:t>אלעד רט</w:t>
            </w:r>
          </w:p>
        </w:tc>
      </w:tr>
    </w:tbl>
    <w:p w14:paraId="4B99F28B" w14:textId="77777777" w:rsidR="000629EC" w:rsidRPr="009255F1" w:rsidRDefault="000629EC" w:rsidP="000629EC">
      <w:pPr>
        <w:pStyle w:val="12"/>
        <w:spacing w:line="360" w:lineRule="auto"/>
        <w:rPr>
          <w:u w:val="none"/>
          <w:rtl/>
        </w:rPr>
      </w:pPr>
    </w:p>
    <w:p w14:paraId="6BFAA299" w14:textId="77777777" w:rsidR="002802BB" w:rsidRPr="002802BB" w:rsidRDefault="002802BB" w:rsidP="002802BB">
      <w:pPr>
        <w:pStyle w:val="12"/>
        <w:spacing w:before="120" w:after="120" w:line="240" w:lineRule="exact"/>
        <w:ind w:left="283" w:hanging="283"/>
        <w:jc w:val="both"/>
        <w:rPr>
          <w:rFonts w:ascii="FrankRuehl" w:hAnsi="FrankRuehl" w:cs="FrankRuehl"/>
          <w:b w:val="0"/>
          <w:bCs w:val="0"/>
          <w:u w:val="none"/>
          <w:rtl/>
        </w:rPr>
      </w:pPr>
      <w:bookmarkStart w:id="3" w:name="LawTable"/>
      <w:bookmarkEnd w:id="3"/>
      <w:r w:rsidRPr="002802BB">
        <w:rPr>
          <w:rFonts w:ascii="FrankRuehl" w:hAnsi="FrankRuehl" w:cs="FrankRuehl"/>
          <w:b w:val="0"/>
          <w:bCs w:val="0"/>
          <w:u w:val="none"/>
          <w:rtl/>
        </w:rPr>
        <w:t xml:space="preserve">חקיקה שאוזכרה: </w:t>
      </w:r>
    </w:p>
    <w:p w14:paraId="093CBB33" w14:textId="77777777" w:rsidR="002802BB" w:rsidRPr="002802BB" w:rsidRDefault="002802BB" w:rsidP="002802BB">
      <w:pPr>
        <w:pStyle w:val="12"/>
        <w:spacing w:before="120" w:after="120" w:line="240" w:lineRule="exact"/>
        <w:ind w:left="283" w:hanging="283"/>
        <w:jc w:val="both"/>
        <w:rPr>
          <w:rFonts w:ascii="FrankRuehl" w:hAnsi="FrankRuehl" w:cs="FrankRuehl"/>
          <w:b w:val="0"/>
          <w:bCs w:val="0"/>
          <w:color w:val="0000FF"/>
          <w:u w:val="none"/>
          <w:rtl/>
        </w:rPr>
      </w:pPr>
      <w:hyperlink r:id="rId7" w:history="1">
        <w:r w:rsidRPr="002802BB">
          <w:rPr>
            <w:rStyle w:val="Hyperlink"/>
            <w:rFonts w:ascii="FrankRuehl" w:hAnsi="FrankRuehl" w:cs="FrankRuehl"/>
            <w:b w:val="0"/>
            <w:bCs w:val="0"/>
            <w:rtl/>
          </w:rPr>
          <w:t>פקודת הסמים המסוכנים [נוסח חדש], תשל"ג-1973</w:t>
        </w:r>
      </w:hyperlink>
      <w:r w:rsidRPr="002802BB">
        <w:rPr>
          <w:rFonts w:ascii="FrankRuehl" w:hAnsi="FrankRuehl" w:cs="FrankRuehl"/>
          <w:b w:val="0"/>
          <w:bCs w:val="0"/>
          <w:color w:val="0000FF"/>
          <w:rtl/>
        </w:rPr>
        <w:t xml:space="preserve">: סע'  </w:t>
      </w:r>
      <w:hyperlink r:id="rId8" w:history="1">
        <w:r w:rsidRPr="002802BB">
          <w:rPr>
            <w:rStyle w:val="Hyperlink"/>
            <w:rFonts w:ascii="FrankRuehl" w:hAnsi="FrankRuehl" w:cs="FrankRuehl"/>
            <w:b w:val="0"/>
            <w:bCs w:val="0"/>
          </w:rPr>
          <w:t>6</w:t>
        </w:r>
      </w:hyperlink>
      <w:r w:rsidRPr="002802BB">
        <w:rPr>
          <w:rFonts w:ascii="FrankRuehl" w:hAnsi="FrankRuehl" w:cs="FrankRuehl"/>
          <w:b w:val="0"/>
          <w:bCs w:val="0"/>
          <w:color w:val="0000FF"/>
          <w:rtl/>
        </w:rPr>
        <w:t xml:space="preserve">, </w:t>
      </w:r>
      <w:hyperlink r:id="rId9" w:history="1">
        <w:r w:rsidRPr="002802BB">
          <w:rPr>
            <w:rStyle w:val="Hyperlink"/>
            <w:rFonts w:ascii="FrankRuehl" w:hAnsi="FrankRuehl" w:cs="FrankRuehl"/>
            <w:b w:val="0"/>
            <w:bCs w:val="0"/>
          </w:rPr>
          <w:t>7</w:t>
        </w:r>
      </w:hyperlink>
      <w:r w:rsidRPr="002802BB">
        <w:rPr>
          <w:rFonts w:ascii="FrankRuehl" w:hAnsi="FrankRuehl" w:cs="FrankRuehl"/>
          <w:b w:val="0"/>
          <w:bCs w:val="0"/>
          <w:color w:val="0000FF"/>
          <w:u w:val="none"/>
          <w:rtl/>
        </w:rPr>
        <w:t xml:space="preserve">(א), </w:t>
      </w:r>
      <w:hyperlink r:id="rId10" w:history="1">
        <w:r w:rsidRPr="002802BB">
          <w:rPr>
            <w:rStyle w:val="Hyperlink"/>
            <w:rFonts w:ascii="FrankRuehl" w:hAnsi="FrankRuehl" w:cs="FrankRuehl"/>
            <w:b w:val="0"/>
            <w:bCs w:val="0"/>
          </w:rPr>
          <w:t>(</w:t>
        </w:r>
        <w:r w:rsidRPr="002802BB">
          <w:rPr>
            <w:rStyle w:val="Hyperlink"/>
            <w:rFonts w:ascii="FrankRuehl" w:hAnsi="FrankRuehl" w:cs="FrankRuehl"/>
            <w:b w:val="0"/>
            <w:bCs w:val="0"/>
            <w:rtl/>
          </w:rPr>
          <w:t>ג</w:t>
        </w:r>
        <w:r w:rsidRPr="002802BB">
          <w:rPr>
            <w:rStyle w:val="Hyperlink"/>
            <w:rFonts w:ascii="FrankRuehl" w:hAnsi="FrankRuehl" w:cs="FrankRuehl"/>
            <w:b w:val="0"/>
            <w:bCs w:val="0"/>
          </w:rPr>
          <w:t>)</w:t>
        </w:r>
      </w:hyperlink>
      <w:r w:rsidRPr="002802BB">
        <w:rPr>
          <w:rFonts w:ascii="FrankRuehl" w:hAnsi="FrankRuehl" w:cs="FrankRuehl"/>
          <w:b w:val="0"/>
          <w:bCs w:val="0"/>
          <w:color w:val="0000FF"/>
          <w:u w:val="none"/>
          <w:rtl/>
        </w:rPr>
        <w:t xml:space="preserve">, </w:t>
      </w:r>
      <w:hyperlink r:id="rId11" w:history="1">
        <w:r w:rsidRPr="002802BB">
          <w:rPr>
            <w:rStyle w:val="Hyperlink"/>
            <w:rFonts w:ascii="FrankRuehl" w:hAnsi="FrankRuehl" w:cs="FrankRuehl"/>
            <w:b w:val="0"/>
            <w:bCs w:val="0"/>
          </w:rPr>
          <w:t>9</w:t>
        </w:r>
      </w:hyperlink>
      <w:r w:rsidRPr="002802BB">
        <w:rPr>
          <w:rFonts w:ascii="FrankRuehl" w:hAnsi="FrankRuehl" w:cs="FrankRuehl"/>
          <w:b w:val="0"/>
          <w:bCs w:val="0"/>
          <w:color w:val="0000FF"/>
          <w:u w:val="none"/>
          <w:rtl/>
        </w:rPr>
        <w:t xml:space="preserve">(א), </w:t>
      </w:r>
      <w:hyperlink r:id="rId12" w:history="1">
        <w:r w:rsidRPr="002802BB">
          <w:rPr>
            <w:rStyle w:val="Hyperlink"/>
            <w:rFonts w:ascii="FrankRuehl" w:hAnsi="FrankRuehl" w:cs="FrankRuehl"/>
            <w:b w:val="0"/>
            <w:bCs w:val="0"/>
          </w:rPr>
          <w:t>(</w:t>
        </w:r>
        <w:r w:rsidRPr="002802BB">
          <w:rPr>
            <w:rStyle w:val="Hyperlink"/>
            <w:rFonts w:ascii="FrankRuehl" w:hAnsi="FrankRuehl" w:cs="FrankRuehl"/>
            <w:b w:val="0"/>
            <w:bCs w:val="0"/>
            <w:rtl/>
          </w:rPr>
          <w:t>ד</w:t>
        </w:r>
        <w:r w:rsidRPr="002802BB">
          <w:rPr>
            <w:rStyle w:val="Hyperlink"/>
            <w:rFonts w:ascii="FrankRuehl" w:hAnsi="FrankRuehl" w:cs="FrankRuehl"/>
            <w:b w:val="0"/>
            <w:bCs w:val="0"/>
          </w:rPr>
          <w:t>)</w:t>
        </w:r>
      </w:hyperlink>
      <w:r w:rsidRPr="002802BB">
        <w:rPr>
          <w:rFonts w:ascii="FrankRuehl" w:hAnsi="FrankRuehl" w:cs="FrankRuehl"/>
          <w:b w:val="0"/>
          <w:bCs w:val="0"/>
          <w:color w:val="0000FF"/>
          <w:u w:val="none"/>
          <w:rtl/>
        </w:rPr>
        <w:t xml:space="preserve">, </w:t>
      </w:r>
      <w:hyperlink r:id="rId13" w:history="1">
        <w:r w:rsidRPr="002802BB">
          <w:rPr>
            <w:rStyle w:val="Hyperlink"/>
            <w:rFonts w:ascii="FrankRuehl" w:hAnsi="FrankRuehl" w:cs="FrankRuehl"/>
            <w:b w:val="0"/>
            <w:bCs w:val="0"/>
          </w:rPr>
          <w:t>10</w:t>
        </w:r>
      </w:hyperlink>
    </w:p>
    <w:p w14:paraId="79E6517D" w14:textId="77777777" w:rsidR="002802BB" w:rsidRPr="002802BB" w:rsidRDefault="002802BB" w:rsidP="002802BB">
      <w:pPr>
        <w:pStyle w:val="12"/>
        <w:spacing w:before="120" w:after="120" w:line="240" w:lineRule="exact"/>
        <w:ind w:left="283" w:hanging="283"/>
        <w:jc w:val="both"/>
        <w:rPr>
          <w:rFonts w:ascii="FrankRuehl" w:hAnsi="FrankRuehl" w:cs="FrankRuehl"/>
          <w:b w:val="0"/>
          <w:bCs w:val="0"/>
          <w:color w:val="0000FF"/>
          <w:rtl/>
        </w:rPr>
      </w:pPr>
      <w:hyperlink r:id="rId14" w:history="1">
        <w:r w:rsidRPr="002802BB">
          <w:rPr>
            <w:rStyle w:val="Hyperlink"/>
            <w:rFonts w:ascii="FrankRuehl" w:hAnsi="FrankRuehl" w:cs="FrankRuehl"/>
            <w:b w:val="0"/>
            <w:bCs w:val="0"/>
            <w:rtl/>
          </w:rPr>
          <w:t>חוק העונשין, תשל"ז-1977</w:t>
        </w:r>
      </w:hyperlink>
      <w:r w:rsidRPr="002802BB">
        <w:rPr>
          <w:rFonts w:ascii="FrankRuehl" w:hAnsi="FrankRuehl" w:cs="FrankRuehl"/>
          <w:b w:val="0"/>
          <w:bCs w:val="0"/>
          <w:color w:val="0000FF"/>
          <w:rtl/>
        </w:rPr>
        <w:t xml:space="preserve">: סע'  </w:t>
      </w:r>
      <w:hyperlink r:id="rId15" w:history="1">
        <w:r w:rsidRPr="002802BB">
          <w:rPr>
            <w:rStyle w:val="Hyperlink"/>
            <w:rFonts w:ascii="FrankRuehl" w:hAnsi="FrankRuehl" w:cs="FrankRuehl"/>
            <w:b w:val="0"/>
            <w:bCs w:val="0"/>
          </w:rPr>
          <w:t>400</w:t>
        </w:r>
      </w:hyperlink>
    </w:p>
    <w:p w14:paraId="13D130EF" w14:textId="77777777" w:rsidR="009255F1" w:rsidRPr="002802BB" w:rsidRDefault="009255F1" w:rsidP="002802BB">
      <w:pPr>
        <w:pStyle w:val="12"/>
        <w:spacing w:line="360" w:lineRule="auto"/>
        <w:jc w:val="center"/>
        <w:rPr>
          <w:b w:val="0"/>
          <w:bCs w:val="0"/>
          <w:sz w:val="32"/>
          <w:szCs w:val="32"/>
          <w:u w:val="none"/>
          <w:rtl/>
        </w:rPr>
      </w:pPr>
      <w:bookmarkStart w:id="4" w:name="LawTable_End"/>
      <w:bookmarkEnd w:id="4"/>
    </w:p>
    <w:p w14:paraId="5B4EF280" w14:textId="77777777" w:rsidR="009255F1" w:rsidRPr="009255F1" w:rsidRDefault="009255F1" w:rsidP="009255F1">
      <w:pPr>
        <w:spacing w:line="360" w:lineRule="auto"/>
        <w:jc w:val="center"/>
        <w:rPr>
          <w:b/>
          <w:bCs/>
          <w:sz w:val="32"/>
          <w:szCs w:val="32"/>
          <w:u w:val="single"/>
          <w:rtl/>
        </w:rPr>
      </w:pPr>
      <w:bookmarkStart w:id="5" w:name="PsakDin"/>
      <w:bookmarkEnd w:id="0"/>
      <w:r w:rsidRPr="009255F1">
        <w:rPr>
          <w:b/>
          <w:bCs/>
          <w:sz w:val="32"/>
          <w:szCs w:val="32"/>
          <w:u w:val="single"/>
          <w:rtl/>
        </w:rPr>
        <w:t>גזר דין</w:t>
      </w:r>
    </w:p>
    <w:bookmarkEnd w:id="5"/>
    <w:p w14:paraId="7EBA02BF" w14:textId="77777777" w:rsidR="000629EC" w:rsidRDefault="000629EC" w:rsidP="000629EC">
      <w:pPr>
        <w:spacing w:line="360" w:lineRule="auto"/>
        <w:jc w:val="both"/>
        <w:rPr>
          <w:rFonts w:ascii="Arial" w:hAnsi="Arial"/>
          <w:rtl/>
        </w:rPr>
      </w:pPr>
    </w:p>
    <w:p w14:paraId="410848F5" w14:textId="77777777" w:rsidR="000629EC" w:rsidRPr="00AA3AB2" w:rsidRDefault="000629EC" w:rsidP="000629EC">
      <w:pPr>
        <w:pStyle w:val="a9"/>
        <w:spacing w:line="360" w:lineRule="auto"/>
        <w:ind w:left="360"/>
        <w:jc w:val="both"/>
        <w:rPr>
          <w:rFonts w:ascii="David" w:hAnsi="David" w:cs="David"/>
          <w:b/>
          <w:bCs/>
          <w:sz w:val="24"/>
          <w:szCs w:val="24"/>
          <w:rtl/>
        </w:rPr>
      </w:pPr>
      <w:r w:rsidRPr="00AA3AB2">
        <w:rPr>
          <w:rFonts w:ascii="David" w:hAnsi="David" w:cs="David"/>
          <w:b/>
          <w:bCs/>
          <w:sz w:val="24"/>
          <w:szCs w:val="24"/>
          <w:rtl/>
        </w:rPr>
        <w:t>כללי</w:t>
      </w:r>
    </w:p>
    <w:p w14:paraId="75E3A44F" w14:textId="77777777" w:rsidR="000629EC" w:rsidRPr="00AA3AB2" w:rsidRDefault="000629EC" w:rsidP="000629EC">
      <w:pPr>
        <w:pStyle w:val="a9"/>
        <w:numPr>
          <w:ilvl w:val="0"/>
          <w:numId w:val="1"/>
        </w:numPr>
        <w:spacing w:before="240" w:after="240" w:line="360" w:lineRule="auto"/>
        <w:ind w:left="357" w:hanging="357"/>
        <w:contextualSpacing w:val="0"/>
        <w:jc w:val="both"/>
        <w:rPr>
          <w:rFonts w:ascii="David" w:hAnsi="David" w:cs="David"/>
          <w:sz w:val="24"/>
          <w:szCs w:val="24"/>
        </w:rPr>
      </w:pPr>
      <w:bookmarkStart w:id="6" w:name="ABSTRACT_START"/>
      <w:bookmarkEnd w:id="6"/>
      <w:r w:rsidRPr="00AA3AB2">
        <w:rPr>
          <w:rFonts w:ascii="David" w:hAnsi="David" w:cs="David"/>
          <w:sz w:val="24"/>
          <w:szCs w:val="24"/>
          <w:rtl/>
        </w:rPr>
        <w:t>הנאשם הורשע על יסוד הודאתו בעבירות של ייצור, הכנה והפקת סמים מסוכנים</w:t>
      </w:r>
      <w:bookmarkStart w:id="7" w:name="ABSTRACT_END"/>
      <w:bookmarkEnd w:id="7"/>
      <w:r w:rsidRPr="00AA3AB2">
        <w:rPr>
          <w:rFonts w:ascii="David" w:hAnsi="David" w:cs="David"/>
          <w:sz w:val="24"/>
          <w:szCs w:val="24"/>
          <w:rtl/>
        </w:rPr>
        <w:t xml:space="preserve">, לפי </w:t>
      </w:r>
      <w:hyperlink r:id="rId16" w:history="1">
        <w:r w:rsidR="002802BB" w:rsidRPr="002802BB">
          <w:rPr>
            <w:rStyle w:val="Hyperlink"/>
            <w:rFonts w:ascii="David" w:hAnsi="David" w:cs="David"/>
            <w:color w:val="0000FF"/>
            <w:sz w:val="24"/>
            <w:szCs w:val="24"/>
            <w:rtl/>
          </w:rPr>
          <w:t>סעיף 6</w:t>
        </w:r>
      </w:hyperlink>
      <w:r w:rsidRPr="00AA3AB2">
        <w:rPr>
          <w:rFonts w:ascii="David" w:hAnsi="David" w:cs="David"/>
          <w:sz w:val="24"/>
          <w:szCs w:val="24"/>
          <w:rtl/>
        </w:rPr>
        <w:t xml:space="preserve"> ל</w:t>
      </w:r>
      <w:hyperlink r:id="rId17" w:history="1">
        <w:r w:rsidR="009255F1" w:rsidRPr="009255F1">
          <w:rPr>
            <w:rFonts w:ascii="David" w:hAnsi="David" w:cs="David"/>
            <w:color w:val="0000FF"/>
            <w:sz w:val="24"/>
            <w:szCs w:val="24"/>
            <w:u w:val="single"/>
            <w:rtl/>
          </w:rPr>
          <w:t>פקודת הסמים המסוכנים</w:t>
        </w:r>
      </w:hyperlink>
      <w:r w:rsidRPr="00AA3AB2">
        <w:rPr>
          <w:rFonts w:ascii="David" w:hAnsi="David" w:cs="David"/>
          <w:sz w:val="24"/>
          <w:szCs w:val="24"/>
          <w:rtl/>
        </w:rPr>
        <w:t xml:space="preserve"> [נוסח חדש], תשל"ג-1973 (להלן- </w:t>
      </w:r>
      <w:r w:rsidRPr="00AA3AB2">
        <w:rPr>
          <w:rFonts w:ascii="David" w:hAnsi="David" w:cs="David"/>
          <w:b/>
          <w:bCs/>
          <w:sz w:val="24"/>
          <w:szCs w:val="24"/>
          <w:rtl/>
        </w:rPr>
        <w:t>פקודת הסמים</w:t>
      </w:r>
      <w:r w:rsidRPr="00AA3AB2">
        <w:rPr>
          <w:rFonts w:ascii="David" w:hAnsi="David" w:cs="David"/>
          <w:sz w:val="24"/>
          <w:szCs w:val="24"/>
          <w:rtl/>
        </w:rPr>
        <w:t xml:space="preserve"> או </w:t>
      </w:r>
      <w:r w:rsidRPr="00AA3AB2">
        <w:rPr>
          <w:rFonts w:ascii="David" w:hAnsi="David" w:cs="David"/>
          <w:b/>
          <w:bCs/>
          <w:sz w:val="24"/>
          <w:szCs w:val="24"/>
          <w:rtl/>
        </w:rPr>
        <w:t>הפקודה</w:t>
      </w:r>
      <w:r w:rsidRPr="00AA3AB2">
        <w:rPr>
          <w:rFonts w:ascii="David" w:hAnsi="David" w:cs="David"/>
          <w:sz w:val="24"/>
          <w:szCs w:val="24"/>
          <w:rtl/>
        </w:rPr>
        <w:t xml:space="preserve">); החזקת סם שלא לצריכה עצמית, לפי </w:t>
      </w:r>
      <w:hyperlink r:id="rId18" w:history="1">
        <w:r w:rsidR="002802BB" w:rsidRPr="002802BB">
          <w:rPr>
            <w:rStyle w:val="Hyperlink"/>
            <w:rFonts w:ascii="David" w:hAnsi="David" w:cs="David"/>
            <w:color w:val="0000FF"/>
            <w:sz w:val="24"/>
            <w:szCs w:val="24"/>
            <w:rtl/>
          </w:rPr>
          <w:t>סעיף 7(א)</w:t>
        </w:r>
      </w:hyperlink>
      <w:r w:rsidRPr="00AA3AB2">
        <w:rPr>
          <w:rFonts w:ascii="David" w:hAnsi="David" w:cs="David"/>
          <w:sz w:val="24"/>
          <w:szCs w:val="24"/>
          <w:rtl/>
        </w:rPr>
        <w:t xml:space="preserve"> ו- </w:t>
      </w:r>
      <w:hyperlink r:id="rId19" w:history="1">
        <w:r w:rsidR="002802BB" w:rsidRPr="002802BB">
          <w:rPr>
            <w:rStyle w:val="Hyperlink"/>
            <w:rFonts w:ascii="David" w:hAnsi="David" w:cs="David"/>
            <w:color w:val="0000FF"/>
            <w:sz w:val="24"/>
            <w:szCs w:val="24"/>
            <w:rtl/>
          </w:rPr>
          <w:t>(ג)</w:t>
        </w:r>
      </w:hyperlink>
      <w:r w:rsidRPr="00AA3AB2">
        <w:rPr>
          <w:rFonts w:ascii="David" w:hAnsi="David" w:cs="David"/>
          <w:sz w:val="24"/>
          <w:szCs w:val="24"/>
          <w:rtl/>
        </w:rPr>
        <w:t xml:space="preserve"> רישא לפקודת הסמים; החזקת חצרים לשם הכנת סם מסוכן, לפי </w:t>
      </w:r>
      <w:hyperlink r:id="rId20" w:history="1">
        <w:r w:rsidR="002802BB" w:rsidRPr="002802BB">
          <w:rPr>
            <w:rStyle w:val="Hyperlink"/>
            <w:rFonts w:ascii="David" w:hAnsi="David" w:cs="David"/>
            <w:color w:val="0000FF"/>
            <w:sz w:val="24"/>
            <w:szCs w:val="24"/>
            <w:rtl/>
          </w:rPr>
          <w:t>סעיף 9(א)</w:t>
        </w:r>
      </w:hyperlink>
      <w:r w:rsidRPr="00AA3AB2">
        <w:rPr>
          <w:rFonts w:ascii="David" w:hAnsi="David" w:cs="David"/>
          <w:sz w:val="24"/>
          <w:szCs w:val="24"/>
          <w:rtl/>
        </w:rPr>
        <w:t xml:space="preserve"> ו- </w:t>
      </w:r>
      <w:hyperlink r:id="rId21" w:history="1">
        <w:r w:rsidR="002802BB" w:rsidRPr="002802BB">
          <w:rPr>
            <w:rStyle w:val="Hyperlink"/>
            <w:rFonts w:ascii="David" w:hAnsi="David" w:cs="David"/>
            <w:color w:val="0000FF"/>
            <w:sz w:val="24"/>
            <w:szCs w:val="24"/>
            <w:rtl/>
          </w:rPr>
          <w:t>(ד)</w:t>
        </w:r>
      </w:hyperlink>
      <w:r w:rsidRPr="00AA3AB2">
        <w:rPr>
          <w:rFonts w:ascii="David" w:hAnsi="David" w:cs="David"/>
          <w:sz w:val="24"/>
          <w:szCs w:val="24"/>
          <w:rtl/>
        </w:rPr>
        <w:t xml:space="preserve"> רישא לפקודת הסמים; החזקת כלים המשמשים להכנת סם מסוכן או לצריכתו, לפי </w:t>
      </w:r>
      <w:hyperlink r:id="rId22" w:history="1">
        <w:r w:rsidR="002802BB" w:rsidRPr="002802BB">
          <w:rPr>
            <w:rStyle w:val="Hyperlink"/>
            <w:rFonts w:ascii="David" w:hAnsi="David" w:cs="David"/>
            <w:color w:val="0000FF"/>
            <w:sz w:val="24"/>
            <w:szCs w:val="24"/>
            <w:rtl/>
          </w:rPr>
          <w:t>סעיף 10</w:t>
        </w:r>
      </w:hyperlink>
      <w:r w:rsidRPr="00AA3AB2">
        <w:rPr>
          <w:rFonts w:ascii="David" w:hAnsi="David" w:cs="David"/>
          <w:sz w:val="24"/>
          <w:szCs w:val="24"/>
          <w:rtl/>
        </w:rPr>
        <w:t xml:space="preserve"> רישא לפקודת הסמים; ונטילת חשמל שלא כדין, לפי </w:t>
      </w:r>
      <w:hyperlink r:id="rId23" w:history="1">
        <w:r w:rsidR="002802BB" w:rsidRPr="002802BB">
          <w:rPr>
            <w:rStyle w:val="Hyperlink"/>
            <w:rFonts w:ascii="David" w:hAnsi="David" w:cs="David"/>
            <w:color w:val="0000FF"/>
            <w:sz w:val="24"/>
            <w:szCs w:val="24"/>
            <w:rtl/>
          </w:rPr>
          <w:t>סעיף 400</w:t>
        </w:r>
      </w:hyperlink>
      <w:r w:rsidRPr="00AA3AB2">
        <w:rPr>
          <w:rFonts w:ascii="David" w:hAnsi="David" w:cs="David"/>
          <w:sz w:val="24"/>
          <w:szCs w:val="24"/>
          <w:rtl/>
        </w:rPr>
        <w:t xml:space="preserve"> ל</w:t>
      </w:r>
      <w:hyperlink r:id="rId24" w:history="1">
        <w:r w:rsidR="009255F1" w:rsidRPr="009255F1">
          <w:rPr>
            <w:rFonts w:ascii="David" w:hAnsi="David" w:cs="David"/>
            <w:color w:val="0000FF"/>
            <w:sz w:val="24"/>
            <w:szCs w:val="24"/>
            <w:u w:val="single"/>
            <w:rtl/>
          </w:rPr>
          <w:t>חוק העונשין</w:t>
        </w:r>
      </w:hyperlink>
      <w:r w:rsidRPr="00AA3AB2">
        <w:rPr>
          <w:rFonts w:ascii="David" w:hAnsi="David" w:cs="David"/>
          <w:sz w:val="24"/>
          <w:szCs w:val="24"/>
          <w:rtl/>
        </w:rPr>
        <w:t xml:space="preserve">, תשל"ז- 1977 (להלן – </w:t>
      </w:r>
      <w:r w:rsidRPr="00AA3AB2">
        <w:rPr>
          <w:rFonts w:ascii="David" w:hAnsi="David" w:cs="David"/>
          <w:b/>
          <w:bCs/>
          <w:sz w:val="24"/>
          <w:szCs w:val="24"/>
          <w:rtl/>
        </w:rPr>
        <w:t>חוק העונשין</w:t>
      </w:r>
      <w:r w:rsidRPr="00AA3AB2">
        <w:rPr>
          <w:rFonts w:ascii="David" w:hAnsi="David" w:cs="David"/>
          <w:sz w:val="24"/>
          <w:szCs w:val="24"/>
          <w:rtl/>
        </w:rPr>
        <w:t>).</w:t>
      </w:r>
    </w:p>
    <w:p w14:paraId="39236B94" w14:textId="77777777" w:rsidR="000629EC" w:rsidRDefault="000629EC" w:rsidP="000629EC">
      <w:pPr>
        <w:pStyle w:val="a9"/>
        <w:spacing w:before="240" w:after="240" w:line="360" w:lineRule="auto"/>
        <w:ind w:left="357"/>
        <w:contextualSpacing w:val="0"/>
        <w:jc w:val="both"/>
        <w:rPr>
          <w:rFonts w:ascii="David" w:hAnsi="David" w:cs="David"/>
          <w:sz w:val="24"/>
          <w:szCs w:val="24"/>
          <w:rtl/>
        </w:rPr>
      </w:pPr>
      <w:r w:rsidRPr="00AA3AB2">
        <w:rPr>
          <w:rFonts w:ascii="David" w:hAnsi="David" w:cs="David"/>
          <w:sz w:val="24"/>
          <w:szCs w:val="24"/>
          <w:rtl/>
        </w:rPr>
        <w:t xml:space="preserve">הסדר הטיעון שגובש בין הצדדים כלל את תיקונו של כתב האישום מבלי שגובשה הסכמה לעניין העונש, ובהקשר זה טען כל צד על-פי מיטב שיקול דעתו. </w:t>
      </w:r>
    </w:p>
    <w:p w14:paraId="1EE2D06E" w14:textId="77777777" w:rsidR="000629EC" w:rsidRDefault="000629EC" w:rsidP="000629EC">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sz w:val="24"/>
          <w:szCs w:val="24"/>
          <w:rtl/>
        </w:rPr>
        <w:t>על פי עובדות כתב האישום המתוקן, הנאשם הקים מעבדה לגידול והפקת סם מסוכן מסוג קנבוס בדירה ששכר בתל-אבי</w:t>
      </w:r>
      <w:r>
        <w:rPr>
          <w:rFonts w:ascii="David" w:hAnsi="David" w:cs="David" w:hint="cs"/>
          <w:sz w:val="24"/>
          <w:szCs w:val="24"/>
          <w:rtl/>
        </w:rPr>
        <w:t>ב</w:t>
      </w:r>
      <w:r>
        <w:rPr>
          <w:rFonts w:ascii="David" w:hAnsi="David" w:cs="David"/>
          <w:sz w:val="24"/>
          <w:szCs w:val="24"/>
          <w:rtl/>
        </w:rPr>
        <w:t>, בה גידל והפיק כ- 660 שתילים במשקל כולל של 90 ק"ג במשך כ-4 חודשים. המעבדה התפרסה על פני 5 חדרים וכללה מערכות חשמל, השקיה, חימום</w:t>
      </w:r>
      <w:r>
        <w:rPr>
          <w:rFonts w:ascii="David" w:hAnsi="David" w:cs="David" w:hint="cs"/>
          <w:sz w:val="24"/>
          <w:szCs w:val="24"/>
          <w:rtl/>
        </w:rPr>
        <w:t>,</w:t>
      </w:r>
      <w:r>
        <w:rPr>
          <w:rFonts w:ascii="David" w:hAnsi="David" w:cs="David"/>
          <w:sz w:val="24"/>
          <w:szCs w:val="24"/>
          <w:rtl/>
        </w:rPr>
        <w:t xml:space="preserve"> אוורור, גופי תאורה, בלוני חמצן ואדניות. זאת ועוד, לשם תפעול הציוד אשר שימש לגידול הסם, נטל הנאשם והשתמש בחשמל שלא כדין.</w:t>
      </w:r>
    </w:p>
    <w:p w14:paraId="7E62C042" w14:textId="77777777" w:rsidR="000629EC" w:rsidRPr="00065EF3" w:rsidRDefault="000629EC" w:rsidP="000629EC">
      <w:pPr>
        <w:pStyle w:val="a9"/>
        <w:spacing w:before="240" w:after="240" w:line="360" w:lineRule="auto"/>
        <w:ind w:left="360"/>
        <w:contextualSpacing w:val="0"/>
        <w:jc w:val="both"/>
        <w:rPr>
          <w:rFonts w:ascii="David" w:hAnsi="David" w:cs="David"/>
          <w:b/>
          <w:bCs/>
          <w:sz w:val="24"/>
          <w:szCs w:val="24"/>
        </w:rPr>
      </w:pPr>
      <w:r>
        <w:rPr>
          <w:rFonts w:ascii="David" w:hAnsi="David" w:cs="David" w:hint="cs"/>
          <w:b/>
          <w:bCs/>
          <w:sz w:val="24"/>
          <w:szCs w:val="24"/>
          <w:rtl/>
        </w:rPr>
        <w:t>טענות הצדדים לעונש</w:t>
      </w:r>
    </w:p>
    <w:p w14:paraId="2D769BF0" w14:textId="77777777" w:rsidR="000629EC" w:rsidRPr="00065EF3" w:rsidRDefault="000629EC" w:rsidP="000629EC">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sz w:val="24"/>
          <w:szCs w:val="24"/>
          <w:rtl/>
        </w:rPr>
        <w:t>ב"כ ה</w:t>
      </w:r>
      <w:r>
        <w:rPr>
          <w:rFonts w:ascii="David" w:hAnsi="David" w:cs="David" w:hint="cs"/>
          <w:sz w:val="24"/>
          <w:szCs w:val="24"/>
          <w:rtl/>
        </w:rPr>
        <w:t>תביעה</w:t>
      </w:r>
      <w:r w:rsidRPr="00065EF3">
        <w:rPr>
          <w:rFonts w:ascii="David" w:hAnsi="David" w:cs="David"/>
          <w:sz w:val="24"/>
          <w:szCs w:val="24"/>
          <w:rtl/>
        </w:rPr>
        <w:t>, עו"ד ענת בן זאב, עמדה בטיעוניה על הערכים המוגנים השונים שנפגעו כתוצאה ממעשיו של הנאשם</w:t>
      </w:r>
      <w:r>
        <w:rPr>
          <w:rFonts w:ascii="David" w:hAnsi="David" w:cs="David" w:hint="cs"/>
          <w:sz w:val="24"/>
          <w:szCs w:val="24"/>
          <w:rtl/>
        </w:rPr>
        <w:t>,</w:t>
      </w:r>
      <w:r w:rsidRPr="00065EF3">
        <w:rPr>
          <w:rFonts w:ascii="David" w:hAnsi="David" w:cs="David"/>
          <w:sz w:val="24"/>
          <w:szCs w:val="24"/>
          <w:rtl/>
        </w:rPr>
        <w:t xml:space="preserve"> על ריבוי תיקי המעבדות ועל הצורך במתן מענה עונשי הולם לתופעה מתגברת זו.</w:t>
      </w:r>
    </w:p>
    <w:p w14:paraId="3A4918AF" w14:textId="77777777" w:rsidR="000629EC" w:rsidRDefault="000629EC" w:rsidP="000629EC">
      <w:pPr>
        <w:pStyle w:val="a9"/>
        <w:spacing w:before="240" w:after="240" w:line="360" w:lineRule="auto"/>
        <w:ind w:left="360"/>
        <w:contextualSpacing w:val="0"/>
        <w:jc w:val="both"/>
        <w:rPr>
          <w:rFonts w:ascii="David" w:hAnsi="David" w:cs="David"/>
          <w:sz w:val="24"/>
          <w:szCs w:val="24"/>
          <w:rtl/>
        </w:rPr>
      </w:pPr>
      <w:r>
        <w:rPr>
          <w:rFonts w:ascii="David" w:hAnsi="David" w:cs="David"/>
          <w:sz w:val="24"/>
          <w:szCs w:val="24"/>
          <w:rtl/>
        </w:rPr>
        <w:lastRenderedPageBreak/>
        <w:t>ה</w:t>
      </w:r>
      <w:r>
        <w:rPr>
          <w:rFonts w:ascii="David" w:hAnsi="David" w:cs="David" w:hint="cs"/>
          <w:sz w:val="24"/>
          <w:szCs w:val="24"/>
          <w:rtl/>
        </w:rPr>
        <w:t>תובעת</w:t>
      </w:r>
      <w:r>
        <w:rPr>
          <w:rFonts w:ascii="David" w:hAnsi="David" w:cs="David"/>
          <w:sz w:val="24"/>
          <w:szCs w:val="24"/>
          <w:rtl/>
        </w:rPr>
        <w:t xml:space="preserve"> </w:t>
      </w:r>
      <w:r>
        <w:rPr>
          <w:rFonts w:ascii="David" w:hAnsi="David" w:cs="David" w:hint="cs"/>
          <w:sz w:val="24"/>
          <w:szCs w:val="24"/>
          <w:rtl/>
        </w:rPr>
        <w:t xml:space="preserve">התייחסה בטיעוניה </w:t>
      </w:r>
      <w:r>
        <w:rPr>
          <w:rFonts w:ascii="David" w:hAnsi="David" w:cs="David"/>
          <w:sz w:val="24"/>
          <w:szCs w:val="24"/>
          <w:rtl/>
        </w:rPr>
        <w:t>לתכנון שקדם לביצוע העבירות</w:t>
      </w:r>
      <w:r>
        <w:rPr>
          <w:rFonts w:ascii="David" w:hAnsi="David" w:cs="David" w:hint="cs"/>
          <w:sz w:val="24"/>
          <w:szCs w:val="24"/>
          <w:rtl/>
        </w:rPr>
        <w:t>;</w:t>
      </w:r>
      <w:r>
        <w:rPr>
          <w:rFonts w:ascii="David" w:hAnsi="David" w:cs="David"/>
          <w:sz w:val="24"/>
          <w:szCs w:val="24"/>
          <w:rtl/>
        </w:rPr>
        <w:t xml:space="preserve"> לכמות הסמים הבלתי מבוטלת שנ</w:t>
      </w:r>
      <w:r>
        <w:rPr>
          <w:rFonts w:ascii="David" w:hAnsi="David" w:cs="David" w:hint="cs"/>
          <w:sz w:val="24"/>
          <w:szCs w:val="24"/>
          <w:rtl/>
        </w:rPr>
        <w:t>תפסה</w:t>
      </w:r>
      <w:r>
        <w:rPr>
          <w:rFonts w:ascii="David" w:hAnsi="David" w:cs="David"/>
          <w:sz w:val="24"/>
          <w:szCs w:val="24"/>
          <w:rtl/>
        </w:rPr>
        <w:t xml:space="preserve"> במקום</w:t>
      </w:r>
      <w:r>
        <w:rPr>
          <w:rFonts w:ascii="David" w:hAnsi="David" w:cs="David" w:hint="cs"/>
          <w:sz w:val="24"/>
          <w:szCs w:val="24"/>
          <w:rtl/>
        </w:rPr>
        <w:t>; לעברו הפלילי הנקי של הנאשם; להודאה ונטילת האחריות המלאה</w:t>
      </w:r>
      <w:r>
        <w:rPr>
          <w:rFonts w:ascii="David" w:hAnsi="David" w:cs="David"/>
          <w:sz w:val="24"/>
          <w:szCs w:val="24"/>
          <w:rtl/>
        </w:rPr>
        <w:t>.</w:t>
      </w:r>
      <w:r>
        <w:rPr>
          <w:rFonts w:ascii="David" w:hAnsi="David" w:cs="David" w:hint="cs"/>
          <w:sz w:val="24"/>
          <w:szCs w:val="24"/>
          <w:rtl/>
        </w:rPr>
        <w:t xml:space="preserve"> התובעת אף ציינה בהגינותה, כי הגם שעולה מכתב האישום שהנאשם הוא האחראי הבלעדי לפעילות המעבדה, הרי שניתן להניח כי לא פעל לבדו אלא לקח על עצמו את האחריות המלאה לביצוע העבירות.  </w:t>
      </w:r>
      <w:r>
        <w:rPr>
          <w:rFonts w:ascii="David" w:hAnsi="David" w:cs="David"/>
          <w:sz w:val="24"/>
          <w:szCs w:val="24"/>
          <w:rtl/>
        </w:rPr>
        <w:t xml:space="preserve"> </w:t>
      </w:r>
    </w:p>
    <w:p w14:paraId="2144CAE4" w14:textId="77777777" w:rsidR="000629EC" w:rsidRDefault="000629EC" w:rsidP="000629EC">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בהינתן כלל הנתונים </w:t>
      </w:r>
      <w:r>
        <w:rPr>
          <w:rFonts w:ascii="David" w:hAnsi="David" w:cs="David"/>
          <w:sz w:val="24"/>
          <w:szCs w:val="24"/>
          <w:rtl/>
        </w:rPr>
        <w:t>ומדיניות הענישה של ה</w:t>
      </w:r>
      <w:r>
        <w:rPr>
          <w:rFonts w:ascii="David" w:hAnsi="David" w:cs="David" w:hint="cs"/>
          <w:sz w:val="24"/>
          <w:szCs w:val="24"/>
          <w:rtl/>
        </w:rPr>
        <w:t>תביעה</w:t>
      </w:r>
      <w:r>
        <w:rPr>
          <w:rFonts w:ascii="David" w:hAnsi="David" w:cs="David"/>
          <w:sz w:val="24"/>
          <w:szCs w:val="24"/>
          <w:rtl/>
        </w:rPr>
        <w:t>, ובשים לב ל</w:t>
      </w:r>
      <w:hyperlink r:id="rId25" w:history="1">
        <w:r w:rsidR="009255F1" w:rsidRPr="009255F1">
          <w:rPr>
            <w:rFonts w:ascii="David" w:hAnsi="David" w:cs="David"/>
            <w:color w:val="0000FF"/>
            <w:sz w:val="24"/>
            <w:szCs w:val="24"/>
            <w:u w:val="single"/>
            <w:rtl/>
          </w:rPr>
          <w:t>ע"פ 2596/18</w:t>
        </w:r>
      </w:hyperlink>
      <w:r>
        <w:rPr>
          <w:rFonts w:ascii="David" w:hAnsi="David" w:cs="David"/>
          <w:sz w:val="24"/>
          <w:szCs w:val="24"/>
          <w:rtl/>
        </w:rPr>
        <w:t xml:space="preserve"> </w:t>
      </w:r>
      <w:r>
        <w:rPr>
          <w:rFonts w:ascii="David" w:hAnsi="David" w:cs="David"/>
          <w:b/>
          <w:bCs/>
          <w:sz w:val="24"/>
          <w:szCs w:val="24"/>
          <w:rtl/>
        </w:rPr>
        <w:t>זנזורי נ' מדינת ישראל</w:t>
      </w:r>
      <w:r>
        <w:rPr>
          <w:rFonts w:ascii="David" w:hAnsi="David" w:cs="David"/>
          <w:sz w:val="24"/>
          <w:szCs w:val="24"/>
          <w:rtl/>
        </w:rPr>
        <w:t xml:space="preserve"> (12.08.2018) (להלן </w:t>
      </w:r>
      <w:r>
        <w:rPr>
          <w:rFonts w:ascii="David" w:hAnsi="David" w:cs="David" w:hint="cs"/>
          <w:sz w:val="24"/>
          <w:szCs w:val="24"/>
          <w:rtl/>
        </w:rPr>
        <w:t>-</w:t>
      </w:r>
      <w:r>
        <w:rPr>
          <w:rFonts w:ascii="David" w:hAnsi="David" w:cs="David"/>
          <w:sz w:val="24"/>
          <w:szCs w:val="24"/>
          <w:rtl/>
        </w:rPr>
        <w:t xml:space="preserve"> </w:t>
      </w:r>
      <w:r>
        <w:rPr>
          <w:rFonts w:ascii="David" w:hAnsi="David" w:cs="David"/>
          <w:b/>
          <w:bCs/>
          <w:sz w:val="24"/>
          <w:szCs w:val="24"/>
          <w:rtl/>
        </w:rPr>
        <w:t>עניין זנזורי</w:t>
      </w:r>
      <w:r>
        <w:rPr>
          <w:rFonts w:ascii="David" w:hAnsi="David" w:cs="David"/>
          <w:sz w:val="24"/>
          <w:szCs w:val="24"/>
          <w:rtl/>
        </w:rPr>
        <w:t>) אליו הפנתה, עתרה ה</w:t>
      </w:r>
      <w:r>
        <w:rPr>
          <w:rFonts w:ascii="David" w:hAnsi="David" w:cs="David" w:hint="cs"/>
          <w:sz w:val="24"/>
          <w:szCs w:val="24"/>
          <w:rtl/>
        </w:rPr>
        <w:t>תביעה</w:t>
      </w:r>
      <w:r>
        <w:rPr>
          <w:rFonts w:ascii="David" w:hAnsi="David" w:cs="David"/>
          <w:sz w:val="24"/>
          <w:szCs w:val="24"/>
          <w:rtl/>
        </w:rPr>
        <w:t xml:space="preserve"> להעלאת רף הענישה כך שמתחם העונש ההולם ינוע בין 36 ל- 56 חודשי מאסר, תוך מיקום עונשו של הנאשם בתחתית המתחם. כמו כן, המאשימה עתרה להשתת</w:t>
      </w:r>
      <w:r>
        <w:rPr>
          <w:rFonts w:ascii="David" w:hAnsi="David" w:cs="David" w:hint="cs"/>
          <w:sz w:val="24"/>
          <w:szCs w:val="24"/>
          <w:rtl/>
        </w:rPr>
        <w:t xml:space="preserve"> </w:t>
      </w:r>
      <w:r>
        <w:rPr>
          <w:rFonts w:ascii="David" w:hAnsi="David" w:cs="David"/>
          <w:sz w:val="24"/>
          <w:szCs w:val="24"/>
          <w:rtl/>
        </w:rPr>
        <w:t>קנס כספי משמעותי.</w:t>
      </w:r>
    </w:p>
    <w:p w14:paraId="67285415" w14:textId="77777777" w:rsidR="000629EC" w:rsidRDefault="000629EC" w:rsidP="000629EC">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sz w:val="24"/>
          <w:szCs w:val="24"/>
          <w:rtl/>
        </w:rPr>
        <w:t xml:space="preserve">ב"כ הנאשם, עו"ד אלעד רט, סבר כי </w:t>
      </w:r>
      <w:r>
        <w:rPr>
          <w:rFonts w:ascii="David" w:hAnsi="David" w:cs="David" w:hint="cs"/>
          <w:sz w:val="24"/>
          <w:szCs w:val="24"/>
          <w:rtl/>
        </w:rPr>
        <w:t>מתחם הענישה</w:t>
      </w:r>
      <w:r>
        <w:rPr>
          <w:rFonts w:ascii="David" w:hAnsi="David" w:cs="David"/>
          <w:sz w:val="24"/>
          <w:szCs w:val="24"/>
          <w:rtl/>
        </w:rPr>
        <w:t xml:space="preserve"> לו עתרה התביעה </w:t>
      </w:r>
      <w:r>
        <w:rPr>
          <w:rFonts w:ascii="David" w:hAnsi="David" w:cs="David" w:hint="cs"/>
          <w:sz w:val="24"/>
          <w:szCs w:val="24"/>
          <w:rtl/>
        </w:rPr>
        <w:t xml:space="preserve">בעניינו של הנאשם </w:t>
      </w:r>
      <w:r>
        <w:rPr>
          <w:rFonts w:ascii="David" w:hAnsi="David" w:cs="David"/>
          <w:sz w:val="24"/>
          <w:szCs w:val="24"/>
          <w:rtl/>
        </w:rPr>
        <w:t xml:space="preserve">אינו מתיישב עם מדיניות הענישה הנוהגת והמקובלת בעבירות ובמקרים דומים. בהקשר זה </w:t>
      </w:r>
      <w:r>
        <w:rPr>
          <w:rFonts w:ascii="David" w:hAnsi="David" w:cs="David" w:hint="cs"/>
          <w:sz w:val="24"/>
          <w:szCs w:val="24"/>
          <w:rtl/>
        </w:rPr>
        <w:t>נ</w:t>
      </w:r>
      <w:r>
        <w:rPr>
          <w:rFonts w:ascii="David" w:hAnsi="David" w:cs="David"/>
          <w:sz w:val="24"/>
          <w:szCs w:val="24"/>
          <w:rtl/>
        </w:rPr>
        <w:t>טען כי בשנים האחרונות חל שינוי ביחס לאיסור על השימוש בקנב</w:t>
      </w:r>
      <w:r>
        <w:rPr>
          <w:rFonts w:ascii="David" w:hAnsi="David" w:cs="David" w:hint="cs"/>
          <w:sz w:val="24"/>
          <w:szCs w:val="24"/>
          <w:rtl/>
        </w:rPr>
        <w:t>ו</w:t>
      </w:r>
      <w:r>
        <w:rPr>
          <w:rFonts w:ascii="David" w:hAnsi="David" w:cs="David"/>
          <w:sz w:val="24"/>
          <w:szCs w:val="24"/>
          <w:rtl/>
        </w:rPr>
        <w:t xml:space="preserve">ס, אשר בא לידי ביטוי בחקיקה, באכיפה ובענישה, ולכן </w:t>
      </w:r>
      <w:r>
        <w:rPr>
          <w:rFonts w:ascii="David" w:hAnsi="David" w:cs="David" w:hint="cs"/>
          <w:sz w:val="24"/>
          <w:szCs w:val="24"/>
          <w:rtl/>
        </w:rPr>
        <w:t xml:space="preserve">- על פי הנטען - </w:t>
      </w:r>
      <w:r>
        <w:rPr>
          <w:rFonts w:ascii="David" w:hAnsi="David" w:cs="David"/>
          <w:sz w:val="24"/>
          <w:szCs w:val="24"/>
          <w:rtl/>
        </w:rPr>
        <w:t>כי יש להחיל</w:t>
      </w:r>
      <w:r>
        <w:rPr>
          <w:rFonts w:ascii="David" w:hAnsi="David" w:cs="David" w:hint="cs"/>
          <w:sz w:val="24"/>
          <w:szCs w:val="24"/>
          <w:rtl/>
        </w:rPr>
        <w:t xml:space="preserve"> את השינוי </w:t>
      </w:r>
      <w:r>
        <w:rPr>
          <w:rFonts w:ascii="David" w:hAnsi="David" w:cs="David"/>
          <w:sz w:val="24"/>
          <w:szCs w:val="24"/>
          <w:rtl/>
        </w:rPr>
        <w:t>גם על המגדלים והסוחרים</w:t>
      </w:r>
      <w:r>
        <w:rPr>
          <w:rFonts w:ascii="David" w:hAnsi="David" w:cs="David" w:hint="cs"/>
          <w:sz w:val="24"/>
          <w:szCs w:val="24"/>
          <w:rtl/>
        </w:rPr>
        <w:t xml:space="preserve"> ולא רק על צרכני הקצה</w:t>
      </w:r>
      <w:r>
        <w:rPr>
          <w:rFonts w:ascii="David" w:hAnsi="David" w:cs="David"/>
          <w:sz w:val="24"/>
          <w:szCs w:val="24"/>
          <w:rtl/>
        </w:rPr>
        <w:t>. עוד נטען,  כי עניין זנזורי ניתן זמן קצר בלבד לפני הרפורמה בעבירות הקנב</w:t>
      </w:r>
      <w:r>
        <w:rPr>
          <w:rFonts w:ascii="David" w:hAnsi="David" w:cs="David" w:hint="cs"/>
          <w:sz w:val="24"/>
          <w:szCs w:val="24"/>
          <w:rtl/>
        </w:rPr>
        <w:t>ו</w:t>
      </w:r>
      <w:r>
        <w:rPr>
          <w:rFonts w:ascii="David" w:hAnsi="David" w:cs="David"/>
          <w:sz w:val="24"/>
          <w:szCs w:val="24"/>
          <w:rtl/>
        </w:rPr>
        <w:t>ס</w:t>
      </w:r>
      <w:r>
        <w:rPr>
          <w:rFonts w:ascii="David" w:hAnsi="David" w:cs="David" w:hint="cs"/>
          <w:sz w:val="24"/>
          <w:szCs w:val="24"/>
          <w:rtl/>
        </w:rPr>
        <w:t xml:space="preserve">, וממילא </w:t>
      </w:r>
      <w:r>
        <w:rPr>
          <w:rFonts w:ascii="David" w:hAnsi="David" w:cs="David"/>
          <w:sz w:val="24"/>
          <w:szCs w:val="24"/>
          <w:rtl/>
        </w:rPr>
        <w:t>כמות הסמים שם הייתה גדולה באופן משמעותי מהכמות המיוחסת לנאש</w:t>
      </w:r>
      <w:r>
        <w:rPr>
          <w:rFonts w:ascii="David" w:hAnsi="David" w:cs="David" w:hint="cs"/>
          <w:sz w:val="24"/>
          <w:szCs w:val="24"/>
          <w:rtl/>
        </w:rPr>
        <w:t>ם ו</w:t>
      </w:r>
      <w:r>
        <w:rPr>
          <w:rFonts w:ascii="David" w:hAnsi="David" w:cs="David"/>
          <w:sz w:val="24"/>
          <w:szCs w:val="24"/>
          <w:rtl/>
        </w:rPr>
        <w:t xml:space="preserve">העונש שהוטל </w:t>
      </w:r>
      <w:r>
        <w:rPr>
          <w:rFonts w:ascii="David" w:hAnsi="David" w:cs="David" w:hint="cs"/>
          <w:sz w:val="24"/>
          <w:szCs w:val="24"/>
          <w:rtl/>
        </w:rPr>
        <w:t>שם</w:t>
      </w:r>
      <w:r>
        <w:rPr>
          <w:rFonts w:ascii="David" w:hAnsi="David" w:cs="David"/>
          <w:sz w:val="24"/>
          <w:szCs w:val="24"/>
          <w:rtl/>
        </w:rPr>
        <w:t xml:space="preserve"> היה נמוך מהרף התחתון </w:t>
      </w:r>
      <w:r>
        <w:rPr>
          <w:rFonts w:ascii="David" w:hAnsi="David" w:cs="David" w:hint="cs"/>
          <w:sz w:val="24"/>
          <w:szCs w:val="24"/>
          <w:rtl/>
        </w:rPr>
        <w:t xml:space="preserve">של המתחם </w:t>
      </w:r>
      <w:r>
        <w:rPr>
          <w:rFonts w:ascii="David" w:hAnsi="David" w:cs="David"/>
          <w:sz w:val="24"/>
          <w:szCs w:val="24"/>
          <w:rtl/>
        </w:rPr>
        <w:t>לו עותרת התביעה. הסניגור הוסיף וטען כ</w:t>
      </w:r>
      <w:r>
        <w:rPr>
          <w:rFonts w:ascii="David" w:hAnsi="David" w:cs="David" w:hint="cs"/>
          <w:sz w:val="24"/>
          <w:szCs w:val="24"/>
          <w:rtl/>
        </w:rPr>
        <w:t>י</w:t>
      </w:r>
      <w:r>
        <w:rPr>
          <w:rFonts w:ascii="David" w:hAnsi="David" w:cs="David"/>
          <w:sz w:val="24"/>
          <w:szCs w:val="24"/>
          <w:rtl/>
        </w:rPr>
        <w:t xml:space="preserve"> עיון בפסיקה מאוחרת </w:t>
      </w:r>
      <w:r>
        <w:rPr>
          <w:rFonts w:ascii="David" w:hAnsi="David" w:cs="David" w:hint="cs"/>
          <w:sz w:val="24"/>
          <w:szCs w:val="24"/>
          <w:rtl/>
        </w:rPr>
        <w:t>ל</w:t>
      </w:r>
      <w:r>
        <w:rPr>
          <w:rFonts w:ascii="David" w:hAnsi="David" w:cs="David"/>
          <w:sz w:val="24"/>
          <w:szCs w:val="24"/>
          <w:rtl/>
        </w:rPr>
        <w:t>זנזורי מלמד כי המתחמים להם עותרת התביעה בתיקים דומים, נמוכים באופן דרמטי מהמתחם לו היא עותרת כעת</w:t>
      </w:r>
      <w:r>
        <w:rPr>
          <w:rFonts w:ascii="David" w:hAnsi="David" w:cs="David" w:hint="cs"/>
          <w:sz w:val="24"/>
          <w:szCs w:val="24"/>
          <w:rtl/>
        </w:rPr>
        <w:t>. התנהלות זו מהווה לשיטתו אכיפה בררנית ומקימה טענת הגנה מן הצדק.</w:t>
      </w:r>
      <w:r>
        <w:rPr>
          <w:rFonts w:ascii="David" w:hAnsi="David" w:cs="David"/>
          <w:sz w:val="24"/>
          <w:szCs w:val="24"/>
          <w:rtl/>
        </w:rPr>
        <w:t xml:space="preserve"> </w:t>
      </w:r>
    </w:p>
    <w:p w14:paraId="112E9FDE" w14:textId="77777777" w:rsidR="000629EC" w:rsidRDefault="000629EC" w:rsidP="000629EC">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לגופו של עניין נטען, כי חלקו של הנאשם בביצוע העבירות לא לובן די הצורך, ובהינתן שהתביעה מניחה אף היא שהנאשם לא פעל לבדו, הרי שאין לראותו כעבריין המרכזי או כמרוויח העיקרי. עוד נטען, כי העבירות התגלו טרם הפצת הסם כך שלא נגרם </w:t>
      </w:r>
      <w:r>
        <w:rPr>
          <w:rFonts w:ascii="David" w:hAnsi="David" w:cs="David"/>
          <w:sz w:val="24"/>
          <w:szCs w:val="24"/>
          <w:rtl/>
        </w:rPr>
        <w:t>נזק בפועל</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וברקע לביצוע העבירות עומדים</w:t>
      </w:r>
      <w:r>
        <w:rPr>
          <w:rFonts w:ascii="David" w:hAnsi="David" w:cs="David"/>
          <w:sz w:val="24"/>
          <w:szCs w:val="24"/>
          <w:rtl/>
        </w:rPr>
        <w:t xml:space="preserve"> </w:t>
      </w:r>
      <w:r>
        <w:rPr>
          <w:rFonts w:ascii="David" w:hAnsi="David" w:cs="David" w:hint="cs"/>
          <w:sz w:val="24"/>
          <w:szCs w:val="24"/>
          <w:rtl/>
        </w:rPr>
        <w:t>קשיים</w:t>
      </w:r>
      <w:r>
        <w:rPr>
          <w:rFonts w:ascii="David" w:hAnsi="David" w:cs="David"/>
          <w:sz w:val="24"/>
          <w:szCs w:val="24"/>
          <w:rtl/>
        </w:rPr>
        <w:t xml:space="preserve"> כלכלי</w:t>
      </w:r>
      <w:r>
        <w:rPr>
          <w:rFonts w:ascii="David" w:hAnsi="David" w:cs="David" w:hint="cs"/>
          <w:sz w:val="24"/>
          <w:szCs w:val="24"/>
          <w:rtl/>
        </w:rPr>
        <w:t>ים</w:t>
      </w:r>
      <w:r>
        <w:rPr>
          <w:rFonts w:ascii="David" w:hAnsi="David" w:cs="David"/>
          <w:sz w:val="24"/>
          <w:szCs w:val="24"/>
          <w:rtl/>
        </w:rPr>
        <w:t xml:space="preserve"> וחובות שצבר לשוק האפור, כך שלא מדובר במי שפעל מתוך מניעים עבריינים מושרשים.</w:t>
      </w:r>
    </w:p>
    <w:p w14:paraId="44B7D340" w14:textId="77777777" w:rsidR="000629EC" w:rsidRPr="00E1719C" w:rsidRDefault="000629EC" w:rsidP="000629EC">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הסניגור עמד על נתוניו האישיים של הנאשם: בן 41, ללא הרשעות קודמות, אשר שירת בשירות צבאי מלא, נשוי ואב לשלושה, </w:t>
      </w:r>
      <w:r w:rsidRPr="00E1719C">
        <w:rPr>
          <w:rFonts w:ascii="David" w:hAnsi="David" w:cs="David"/>
          <w:sz w:val="24"/>
          <w:szCs w:val="24"/>
          <w:rtl/>
        </w:rPr>
        <w:t>נטל אחריות מלאה על מעשיו בהזדמנות הראשונה</w:t>
      </w:r>
      <w:r>
        <w:rPr>
          <w:rFonts w:ascii="David" w:hAnsi="David" w:cs="David" w:hint="cs"/>
          <w:sz w:val="24"/>
          <w:szCs w:val="24"/>
          <w:rtl/>
        </w:rPr>
        <w:t xml:space="preserve"> והביע חרטה</w:t>
      </w:r>
      <w:r w:rsidRPr="00E1719C">
        <w:rPr>
          <w:rFonts w:ascii="David" w:hAnsi="David" w:cs="David"/>
          <w:sz w:val="24"/>
          <w:szCs w:val="24"/>
          <w:rtl/>
        </w:rPr>
        <w:t>. הסניגור ביקש להתחשב בתקו</w:t>
      </w:r>
      <w:r>
        <w:rPr>
          <w:rFonts w:ascii="David" w:hAnsi="David" w:cs="David"/>
          <w:sz w:val="24"/>
          <w:szCs w:val="24"/>
          <w:rtl/>
        </w:rPr>
        <w:t xml:space="preserve">פת מעצר הבית </w:t>
      </w:r>
      <w:r>
        <w:rPr>
          <w:rFonts w:ascii="David" w:hAnsi="David" w:cs="David" w:hint="cs"/>
          <w:sz w:val="24"/>
          <w:szCs w:val="24"/>
          <w:rtl/>
        </w:rPr>
        <w:t>בו שהה הנאשם</w:t>
      </w:r>
      <w:r w:rsidRPr="00E1719C">
        <w:rPr>
          <w:rFonts w:ascii="David" w:hAnsi="David" w:cs="David"/>
          <w:sz w:val="24"/>
          <w:szCs w:val="24"/>
          <w:rtl/>
        </w:rPr>
        <w:t xml:space="preserve">, וכן במצוקה הכלכלית </w:t>
      </w:r>
      <w:r w:rsidRPr="00E1719C">
        <w:rPr>
          <w:rFonts w:ascii="David" w:hAnsi="David" w:cs="David" w:hint="cs"/>
          <w:sz w:val="24"/>
          <w:szCs w:val="24"/>
          <w:rtl/>
        </w:rPr>
        <w:t xml:space="preserve">אליה נקלעה המשפחה, </w:t>
      </w:r>
      <w:r w:rsidRPr="00E1719C">
        <w:rPr>
          <w:rFonts w:ascii="David" w:hAnsi="David" w:cs="David"/>
          <w:sz w:val="24"/>
          <w:szCs w:val="24"/>
          <w:rtl/>
        </w:rPr>
        <w:t xml:space="preserve">שעלולה להחריף </w:t>
      </w:r>
      <w:r>
        <w:rPr>
          <w:rFonts w:ascii="David" w:hAnsi="David" w:cs="David" w:hint="cs"/>
          <w:sz w:val="24"/>
          <w:szCs w:val="24"/>
          <w:rtl/>
        </w:rPr>
        <w:t>ככל ש</w:t>
      </w:r>
      <w:r w:rsidRPr="00E1719C">
        <w:rPr>
          <w:rFonts w:ascii="David" w:hAnsi="David" w:cs="David"/>
          <w:sz w:val="24"/>
          <w:szCs w:val="24"/>
          <w:rtl/>
        </w:rPr>
        <w:t xml:space="preserve">ייגזר עליו עונש מאסר וקנס. </w:t>
      </w:r>
    </w:p>
    <w:p w14:paraId="5B3022A7" w14:textId="77777777" w:rsidR="000629EC" w:rsidRDefault="000629EC" w:rsidP="000629EC">
      <w:pPr>
        <w:pStyle w:val="a9"/>
        <w:spacing w:before="240" w:after="240" w:line="360" w:lineRule="auto"/>
        <w:ind w:left="360"/>
        <w:contextualSpacing w:val="0"/>
        <w:jc w:val="both"/>
        <w:rPr>
          <w:rFonts w:ascii="David" w:hAnsi="David" w:cs="David"/>
          <w:sz w:val="24"/>
          <w:szCs w:val="24"/>
          <w:rtl/>
        </w:rPr>
      </w:pPr>
      <w:r>
        <w:rPr>
          <w:rFonts w:ascii="David" w:hAnsi="David" w:cs="David"/>
          <w:sz w:val="24"/>
          <w:szCs w:val="24"/>
          <w:rtl/>
        </w:rPr>
        <w:t xml:space="preserve">על יסוד כל הנתונים שפורטו לעיל, סבר הסנגור כי יש מקום לאמץ מתחם </w:t>
      </w:r>
      <w:r>
        <w:rPr>
          <w:rFonts w:ascii="David" w:hAnsi="David" w:cs="David" w:hint="cs"/>
          <w:sz w:val="24"/>
          <w:szCs w:val="24"/>
          <w:rtl/>
        </w:rPr>
        <w:t xml:space="preserve">ענישה </w:t>
      </w:r>
      <w:r>
        <w:rPr>
          <w:rFonts w:ascii="David" w:hAnsi="David" w:cs="David"/>
          <w:sz w:val="24"/>
          <w:szCs w:val="24"/>
          <w:rtl/>
        </w:rPr>
        <w:t xml:space="preserve">הנע בין 16 ל- 30 חודשי מאסר, ולמקם את הנאשם בתחתית המתחם. </w:t>
      </w:r>
    </w:p>
    <w:p w14:paraId="60AE49CA" w14:textId="77777777" w:rsidR="000629EC" w:rsidRPr="00A46642" w:rsidRDefault="000629EC" w:rsidP="000629EC">
      <w:pPr>
        <w:pStyle w:val="a9"/>
        <w:numPr>
          <w:ilvl w:val="0"/>
          <w:numId w:val="1"/>
        </w:numPr>
        <w:spacing w:before="240" w:after="240" w:line="360" w:lineRule="auto"/>
        <w:ind w:left="357"/>
        <w:contextualSpacing w:val="0"/>
        <w:jc w:val="both"/>
        <w:rPr>
          <w:rFonts w:ascii="David" w:hAnsi="David" w:cs="David"/>
          <w:sz w:val="24"/>
          <w:szCs w:val="24"/>
          <w:rtl/>
        </w:rPr>
      </w:pPr>
      <w:r w:rsidRPr="00CF49E5">
        <w:rPr>
          <w:rFonts w:ascii="David" w:hAnsi="David" w:cs="David"/>
          <w:sz w:val="24"/>
          <w:szCs w:val="24"/>
          <w:rtl/>
        </w:rPr>
        <w:t xml:space="preserve">הנאשם </w:t>
      </w:r>
      <w:r>
        <w:rPr>
          <w:rFonts w:ascii="David" w:hAnsi="David" w:cs="David" w:hint="cs"/>
          <w:sz w:val="24"/>
          <w:szCs w:val="24"/>
          <w:rtl/>
        </w:rPr>
        <w:t xml:space="preserve">הגיש </w:t>
      </w:r>
      <w:r w:rsidRPr="00CF49E5">
        <w:rPr>
          <w:rFonts w:ascii="David" w:hAnsi="David" w:cs="David"/>
          <w:sz w:val="24"/>
          <w:szCs w:val="24"/>
          <w:rtl/>
        </w:rPr>
        <w:t>לבית המשפט מכתב שכתב, בו הביע חרטה על מעשיו, לקח אחריות מלאה, ותיאר את מצבו הקשה מבחינה משפחתית וכלכלית</w:t>
      </w:r>
      <w:r>
        <w:rPr>
          <w:rFonts w:ascii="David" w:hAnsi="David" w:cs="David" w:hint="cs"/>
          <w:sz w:val="24"/>
          <w:szCs w:val="24"/>
          <w:rtl/>
        </w:rPr>
        <w:t xml:space="preserve">. </w:t>
      </w:r>
    </w:p>
    <w:p w14:paraId="1951C485" w14:textId="77777777" w:rsidR="000629EC" w:rsidRDefault="000629EC" w:rsidP="000629EC">
      <w:pPr>
        <w:pStyle w:val="a9"/>
        <w:spacing w:before="240" w:after="240" w:line="360" w:lineRule="auto"/>
        <w:ind w:left="357"/>
        <w:contextualSpacing w:val="0"/>
        <w:jc w:val="both"/>
        <w:rPr>
          <w:rFonts w:ascii="David" w:hAnsi="David" w:cs="David"/>
          <w:sz w:val="24"/>
          <w:szCs w:val="24"/>
          <w:rtl/>
        </w:rPr>
      </w:pPr>
      <w:r>
        <w:rPr>
          <w:rFonts w:ascii="David" w:hAnsi="David" w:cs="David" w:hint="cs"/>
          <w:b/>
          <w:bCs/>
          <w:sz w:val="24"/>
          <w:szCs w:val="24"/>
          <w:rtl/>
        </w:rPr>
        <w:t>דיון והכרעה</w:t>
      </w:r>
    </w:p>
    <w:p w14:paraId="70ECD8A3" w14:textId="77777777" w:rsidR="000629EC" w:rsidRDefault="000629EC" w:rsidP="000629EC">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sz w:val="24"/>
          <w:szCs w:val="24"/>
          <w:rtl/>
        </w:rPr>
        <w:t xml:space="preserve">דומה כי אין צורך להכביר מילים על החומרה הטמונה במעשים כגון אלו שביצע הנאשם, אשר פוגעים במגוון </w:t>
      </w:r>
      <w:r w:rsidRPr="00A46642">
        <w:rPr>
          <w:rFonts w:ascii="David" w:hAnsi="David" w:cs="David"/>
          <w:b/>
          <w:bCs/>
          <w:sz w:val="24"/>
          <w:szCs w:val="24"/>
          <w:rtl/>
        </w:rPr>
        <w:t>ערכים חברתיים</w:t>
      </w:r>
      <w:r>
        <w:rPr>
          <w:rFonts w:ascii="David" w:hAnsi="David" w:cs="David"/>
          <w:sz w:val="24"/>
          <w:szCs w:val="24"/>
          <w:rtl/>
        </w:rPr>
        <w:t>, ובהם הגנה על הציבור מפני הנזקים הישירים שנגרמים לגופם של הצרכנים הפוטנציאליים</w:t>
      </w:r>
      <w:r>
        <w:rPr>
          <w:rFonts w:ascii="David" w:hAnsi="David" w:cs="David" w:hint="cs"/>
          <w:sz w:val="24"/>
          <w:szCs w:val="24"/>
          <w:rtl/>
        </w:rPr>
        <w:t>,</w:t>
      </w:r>
      <w:r>
        <w:rPr>
          <w:rFonts w:ascii="David" w:hAnsi="David" w:cs="David"/>
          <w:sz w:val="24"/>
          <w:szCs w:val="24"/>
          <w:rtl/>
        </w:rPr>
        <w:t xml:space="preserve"> והנזקים העקיפים שנגרמים כתוצאה מביצוע עבירות רכוש ואלימות</w:t>
      </w:r>
      <w:r>
        <w:rPr>
          <w:rFonts w:ascii="David" w:hAnsi="David" w:cs="David" w:hint="cs"/>
          <w:sz w:val="24"/>
          <w:szCs w:val="24"/>
          <w:rtl/>
        </w:rPr>
        <w:t>,</w:t>
      </w:r>
      <w:r>
        <w:rPr>
          <w:rFonts w:ascii="David" w:hAnsi="David" w:cs="David"/>
          <w:sz w:val="24"/>
          <w:szCs w:val="24"/>
          <w:rtl/>
        </w:rPr>
        <w:t xml:space="preserve"> הנלוות לצריכת הסם.</w:t>
      </w:r>
    </w:p>
    <w:p w14:paraId="493FD981" w14:textId="77777777" w:rsidR="000629EC" w:rsidRDefault="000629EC" w:rsidP="000629EC">
      <w:pPr>
        <w:pStyle w:val="a9"/>
        <w:spacing w:before="240" w:after="240" w:line="360" w:lineRule="auto"/>
        <w:ind w:left="360"/>
        <w:contextualSpacing w:val="0"/>
        <w:jc w:val="both"/>
        <w:rPr>
          <w:rFonts w:ascii="David" w:hAnsi="David" w:cs="David"/>
          <w:sz w:val="24"/>
          <w:szCs w:val="24"/>
          <w:rtl/>
        </w:rPr>
      </w:pPr>
      <w:r w:rsidRPr="00CF49E5">
        <w:rPr>
          <w:rFonts w:ascii="David" w:hAnsi="David" w:cs="David"/>
          <w:sz w:val="24"/>
          <w:szCs w:val="24"/>
          <w:rtl/>
        </w:rPr>
        <w:lastRenderedPageBreak/>
        <w:t>ריבוי המקרים של הקמת מעבדות לגידול סמים הפך בעת האחרונה לתופעה נפוצה ומסוכנת</w:t>
      </w:r>
      <w:r>
        <w:rPr>
          <w:rFonts w:ascii="David" w:hAnsi="David" w:cs="David" w:hint="cs"/>
          <w:sz w:val="24"/>
          <w:szCs w:val="24"/>
          <w:rtl/>
        </w:rPr>
        <w:t xml:space="preserve"> המחייבת ענישה הולמת, גם מקום בו מדובר בסמים "קלים" כגון קנבוס</w:t>
      </w:r>
      <w:r w:rsidRPr="00CF49E5">
        <w:rPr>
          <w:rFonts w:ascii="David" w:hAnsi="David" w:cs="David"/>
          <w:sz w:val="24"/>
          <w:szCs w:val="24"/>
          <w:rtl/>
        </w:rPr>
        <w:t xml:space="preserve">. </w:t>
      </w:r>
    </w:p>
    <w:p w14:paraId="3188001B" w14:textId="77777777" w:rsidR="000629EC" w:rsidRDefault="000629EC" w:rsidP="000629EC">
      <w:pPr>
        <w:pStyle w:val="a9"/>
        <w:spacing w:before="240" w:after="240" w:line="360" w:lineRule="auto"/>
        <w:ind w:left="360"/>
        <w:contextualSpacing w:val="0"/>
        <w:jc w:val="both"/>
        <w:rPr>
          <w:rFonts w:ascii="David" w:hAnsi="David" w:cs="David"/>
          <w:sz w:val="24"/>
          <w:szCs w:val="24"/>
          <w:rtl/>
        </w:rPr>
      </w:pPr>
    </w:p>
    <w:p w14:paraId="4978E845" w14:textId="77777777" w:rsidR="000629EC" w:rsidRPr="000D5935" w:rsidRDefault="000629EC" w:rsidP="000629EC">
      <w:pPr>
        <w:pStyle w:val="a9"/>
        <w:spacing w:before="240" w:after="240" w:line="360" w:lineRule="auto"/>
        <w:ind w:left="360"/>
        <w:contextualSpacing w:val="0"/>
        <w:jc w:val="both"/>
        <w:rPr>
          <w:rFonts w:ascii="David" w:hAnsi="David" w:cs="David"/>
          <w:sz w:val="24"/>
          <w:szCs w:val="24"/>
          <w:rtl/>
        </w:rPr>
      </w:pPr>
      <w:r w:rsidRPr="00CF49E5">
        <w:rPr>
          <w:rFonts w:ascii="David" w:hAnsi="David" w:cs="David"/>
          <w:sz w:val="24"/>
          <w:szCs w:val="24"/>
          <w:rtl/>
        </w:rPr>
        <w:t>לעניין זה יפים דבריו של בית המשפט העליון ב</w:t>
      </w:r>
      <w:r>
        <w:rPr>
          <w:rFonts w:ascii="David" w:hAnsi="David" w:cs="David" w:hint="cs"/>
          <w:sz w:val="24"/>
          <w:szCs w:val="24"/>
          <w:rtl/>
        </w:rPr>
        <w:t xml:space="preserve">עניין </w:t>
      </w:r>
      <w:r w:rsidRPr="00A46642">
        <w:rPr>
          <w:rFonts w:ascii="David" w:hAnsi="David" w:cs="David"/>
          <w:sz w:val="24"/>
          <w:szCs w:val="24"/>
          <w:rtl/>
        </w:rPr>
        <w:t>זנזורי</w:t>
      </w:r>
      <w:r>
        <w:rPr>
          <w:rFonts w:ascii="David" w:hAnsi="David" w:cs="David" w:hint="cs"/>
          <w:sz w:val="24"/>
          <w:szCs w:val="24"/>
          <w:rtl/>
        </w:rPr>
        <w:t xml:space="preserve"> הנזכר לעיל</w:t>
      </w:r>
      <w:r w:rsidRPr="00CF49E5">
        <w:rPr>
          <w:rFonts w:ascii="David" w:hAnsi="David" w:cs="David"/>
          <w:sz w:val="24"/>
          <w:szCs w:val="24"/>
          <w:rtl/>
        </w:rPr>
        <w:t>:</w:t>
      </w:r>
    </w:p>
    <w:p w14:paraId="3E737E73" w14:textId="77777777" w:rsidR="000629EC" w:rsidRDefault="000629EC" w:rsidP="000629EC">
      <w:pPr>
        <w:pStyle w:val="a9"/>
        <w:spacing w:before="240" w:after="240" w:line="360" w:lineRule="auto"/>
        <w:ind w:left="357"/>
        <w:contextualSpacing w:val="0"/>
        <w:jc w:val="both"/>
        <w:rPr>
          <w:rFonts w:ascii="David" w:hAnsi="David" w:cs="David"/>
          <w:sz w:val="24"/>
          <w:szCs w:val="24"/>
          <w:rtl/>
        </w:rPr>
      </w:pPr>
      <w:r>
        <w:rPr>
          <w:rFonts w:ascii="David" w:hAnsi="David" w:cs="David"/>
          <w:b/>
          <w:bCs/>
          <w:sz w:val="24"/>
          <w:szCs w:val="24"/>
          <w:rtl/>
        </w:rPr>
        <w:t xml:space="preserve">"צרכנים ומשתמשים ואנשים נורמטיביים, שבעבר לא היו מוכנים ליטול על עצמם סיכון להסתבך בעולם הפלילי, נכונים כיום לילך צעד נוסף ולהפוך למגדלים וסוחרים בסם...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r>
        <w:rPr>
          <w:rFonts w:ascii="David" w:hAnsi="David" w:cs="David"/>
          <w:sz w:val="24"/>
          <w:szCs w:val="24"/>
          <w:rtl/>
        </w:rPr>
        <w:t>(פס' 8 לפסק דינו של כב' השופט י' עמית).</w:t>
      </w:r>
    </w:p>
    <w:p w14:paraId="6FC6E461" w14:textId="77777777" w:rsidR="000629EC" w:rsidRDefault="000629EC" w:rsidP="000629EC">
      <w:pPr>
        <w:pStyle w:val="a9"/>
        <w:numPr>
          <w:ilvl w:val="0"/>
          <w:numId w:val="1"/>
        </w:numPr>
        <w:spacing w:before="240" w:after="240" w:line="360" w:lineRule="auto"/>
        <w:ind w:left="357"/>
        <w:contextualSpacing w:val="0"/>
        <w:jc w:val="both"/>
        <w:rPr>
          <w:rFonts w:ascii="David" w:hAnsi="David" w:cs="David"/>
          <w:sz w:val="24"/>
          <w:szCs w:val="24"/>
        </w:rPr>
      </w:pPr>
      <w:r w:rsidRPr="00EE64B8">
        <w:rPr>
          <w:rFonts w:ascii="David" w:hAnsi="David" w:cs="David" w:hint="cs"/>
          <w:sz w:val="24"/>
          <w:szCs w:val="24"/>
          <w:rtl/>
        </w:rPr>
        <w:t>מידת הפגיעה בערכים המוגנים</w:t>
      </w:r>
      <w:r w:rsidRPr="00841D62">
        <w:rPr>
          <w:rFonts w:ascii="David" w:hAnsi="David" w:cs="David" w:hint="cs"/>
          <w:sz w:val="24"/>
          <w:szCs w:val="24"/>
          <w:rtl/>
        </w:rPr>
        <w:t xml:space="preserve"> צריכה להילמד מא</w:t>
      </w:r>
      <w:r>
        <w:rPr>
          <w:rFonts w:ascii="David" w:hAnsi="David" w:cs="David" w:hint="cs"/>
          <w:sz w:val="24"/>
          <w:szCs w:val="24"/>
          <w:rtl/>
        </w:rPr>
        <w:t>ו</w:t>
      </w:r>
      <w:r w:rsidRPr="00841D62">
        <w:rPr>
          <w:rFonts w:ascii="David" w:hAnsi="David" w:cs="David" w:hint="cs"/>
          <w:sz w:val="24"/>
          <w:szCs w:val="24"/>
          <w:rtl/>
        </w:rPr>
        <w:t>פייה של המעבדה; מכמות השתילים;</w:t>
      </w:r>
      <w:r>
        <w:rPr>
          <w:rFonts w:ascii="David" w:hAnsi="David" w:cs="David" w:hint="cs"/>
          <w:sz w:val="24"/>
          <w:szCs w:val="24"/>
          <w:rtl/>
        </w:rPr>
        <w:t xml:space="preserve"> ומכמות הסם.</w:t>
      </w:r>
    </w:p>
    <w:p w14:paraId="3C345EF1" w14:textId="77777777" w:rsidR="000629EC" w:rsidRDefault="000629EC" w:rsidP="000629EC">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אשר לאופייה של המעבדה - </w:t>
      </w:r>
      <w:r w:rsidRPr="00841D62">
        <w:rPr>
          <w:rFonts w:ascii="David" w:hAnsi="David" w:cs="David" w:hint="cs"/>
          <w:sz w:val="24"/>
          <w:szCs w:val="24"/>
          <w:rtl/>
        </w:rPr>
        <w:t xml:space="preserve">מדובר במעבדה "רגילה", שהכילה ציוד המוחזק </w:t>
      </w:r>
      <w:r>
        <w:rPr>
          <w:rFonts w:ascii="David" w:hAnsi="David" w:cs="David" w:hint="cs"/>
          <w:sz w:val="24"/>
          <w:szCs w:val="24"/>
          <w:rtl/>
        </w:rPr>
        <w:t xml:space="preserve">דרך קבע במעבדות. בנסיבות התיק דנא התרחש אירוע עברייני נוסף של גניבת חשמל, אשר רלוונטי אף הוא לקביעת המתחם, ויש בו כדי לייצר הבחנה מסוימת, גם אם אינה משמעותית, בין מעבדה אחת לאחרת. </w:t>
      </w:r>
    </w:p>
    <w:p w14:paraId="402B0736" w14:textId="77777777" w:rsidR="000629EC" w:rsidRDefault="000629EC" w:rsidP="000629EC">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אשר לכמות השתילים - סבורני כי מדובר בכמות משמעותית (660), וכנלמד מסקירת הפסיקה הרלוונטית, לא מן הנמנע כי </w:t>
      </w:r>
      <w:r w:rsidRPr="00841D62">
        <w:rPr>
          <w:rFonts w:ascii="David" w:hAnsi="David" w:cs="David"/>
          <w:sz w:val="24"/>
          <w:szCs w:val="24"/>
          <w:rtl/>
        </w:rPr>
        <w:t xml:space="preserve">ככל שגילויה של המעבדה היה מתעכב, כמות הסם הייתה משמעותית יותר (ראה לדוגמא </w:t>
      </w:r>
      <w:hyperlink r:id="rId26" w:history="1">
        <w:r w:rsidR="009255F1" w:rsidRPr="009255F1">
          <w:rPr>
            <w:rFonts w:ascii="David" w:hAnsi="David" w:cs="David"/>
            <w:color w:val="0000FF"/>
            <w:sz w:val="24"/>
            <w:szCs w:val="24"/>
            <w:u w:val="single"/>
            <w:rtl/>
          </w:rPr>
          <w:t>ע"פ 863/18</w:t>
        </w:r>
      </w:hyperlink>
      <w:r w:rsidRPr="00841D62">
        <w:rPr>
          <w:rFonts w:ascii="David" w:hAnsi="David" w:cs="David"/>
          <w:sz w:val="24"/>
          <w:szCs w:val="24"/>
          <w:rtl/>
        </w:rPr>
        <w:t xml:space="preserve"> </w:t>
      </w:r>
      <w:r w:rsidRPr="00841D62">
        <w:rPr>
          <w:rFonts w:ascii="David" w:hAnsi="David" w:cs="David"/>
          <w:b/>
          <w:bCs/>
          <w:sz w:val="24"/>
          <w:szCs w:val="24"/>
          <w:rtl/>
        </w:rPr>
        <w:t xml:space="preserve">לירן סבן נ' מדינת ישראל </w:t>
      </w:r>
      <w:r w:rsidRPr="00841D62">
        <w:rPr>
          <w:rFonts w:ascii="David" w:hAnsi="David" w:cs="David"/>
          <w:sz w:val="24"/>
          <w:szCs w:val="24"/>
          <w:rtl/>
        </w:rPr>
        <w:t>(15.11.2018) ו</w:t>
      </w:r>
      <w:hyperlink r:id="rId27" w:history="1">
        <w:r w:rsidR="009255F1" w:rsidRPr="009255F1">
          <w:rPr>
            <w:rFonts w:ascii="David" w:hAnsi="David" w:cs="David"/>
            <w:color w:val="0000FF"/>
            <w:sz w:val="24"/>
            <w:szCs w:val="24"/>
            <w:u w:val="single"/>
            <w:rtl/>
          </w:rPr>
          <w:t>ע"פ 861/18</w:t>
        </w:r>
      </w:hyperlink>
      <w:r w:rsidRPr="00841D62">
        <w:rPr>
          <w:rFonts w:ascii="David" w:hAnsi="David" w:cs="David"/>
          <w:sz w:val="24"/>
          <w:szCs w:val="24"/>
          <w:rtl/>
        </w:rPr>
        <w:t xml:space="preserve"> </w:t>
      </w:r>
      <w:r w:rsidRPr="00841D62">
        <w:rPr>
          <w:rFonts w:ascii="David" w:hAnsi="David" w:cs="David"/>
          <w:b/>
          <w:bCs/>
          <w:sz w:val="24"/>
          <w:szCs w:val="24"/>
          <w:rtl/>
        </w:rPr>
        <w:t xml:space="preserve">משה סבן נ' מדינת ישראל </w:t>
      </w:r>
      <w:r>
        <w:rPr>
          <w:rFonts w:ascii="David" w:hAnsi="David" w:cs="David"/>
          <w:sz w:val="24"/>
          <w:szCs w:val="24"/>
          <w:rtl/>
        </w:rPr>
        <w:t xml:space="preserve">(2.4.2019) (להלן </w:t>
      </w:r>
      <w:r>
        <w:rPr>
          <w:rFonts w:ascii="David" w:hAnsi="David" w:cs="David" w:hint="cs"/>
          <w:sz w:val="24"/>
          <w:szCs w:val="24"/>
          <w:rtl/>
        </w:rPr>
        <w:t>-</w:t>
      </w:r>
      <w:r w:rsidRPr="00841D62">
        <w:rPr>
          <w:rFonts w:ascii="David" w:hAnsi="David" w:cs="David"/>
          <w:sz w:val="24"/>
          <w:szCs w:val="24"/>
          <w:rtl/>
        </w:rPr>
        <w:t xml:space="preserve"> </w:t>
      </w:r>
      <w:r w:rsidRPr="00841D62">
        <w:rPr>
          <w:rFonts w:ascii="David" w:hAnsi="David" w:cs="David"/>
          <w:b/>
          <w:bCs/>
          <w:sz w:val="24"/>
          <w:szCs w:val="24"/>
          <w:rtl/>
        </w:rPr>
        <w:t>עניין סבן</w:t>
      </w:r>
      <w:r w:rsidRPr="00841D62">
        <w:rPr>
          <w:rFonts w:ascii="David" w:hAnsi="David" w:cs="David"/>
          <w:sz w:val="24"/>
          <w:szCs w:val="24"/>
          <w:rtl/>
        </w:rPr>
        <w:t xml:space="preserve">), שם דובר על כמות של 283 שתילים, בעוד שכמות הסם עמדה על 92 ק"ג). </w:t>
      </w:r>
    </w:p>
    <w:p w14:paraId="4DC07D48" w14:textId="77777777" w:rsidR="000629EC" w:rsidRDefault="000629EC" w:rsidP="000629EC">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אשר לכמות הסם - הרי שמדובר בכמות לא מבוטלת, כך שהנזק הפוטנציאלי ממעשיו של הנאשם עשוי היה להיות משמעותי ביותר, וכך גם הפגיעה בערכים המוגנים. </w:t>
      </w:r>
    </w:p>
    <w:p w14:paraId="6C9304C0" w14:textId="77777777" w:rsidR="000629EC" w:rsidRDefault="000629EC" w:rsidP="000629EC">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בהינתן כמות הסם, כמות השתילים ורכיב "נטילת החשמל", ניתן לומר כי </w:t>
      </w:r>
      <w:r w:rsidRPr="00CF67E9">
        <w:rPr>
          <w:rFonts w:ascii="David" w:hAnsi="David" w:cs="David" w:hint="cs"/>
          <w:b/>
          <w:bCs/>
          <w:sz w:val="24"/>
          <w:szCs w:val="24"/>
          <w:rtl/>
        </w:rPr>
        <w:t>הפגיעה בערכים המוגנים</w:t>
      </w:r>
      <w:r w:rsidRPr="00CF67E9">
        <w:rPr>
          <w:rFonts w:ascii="David" w:hAnsi="David" w:cs="David" w:hint="cs"/>
          <w:sz w:val="24"/>
          <w:szCs w:val="24"/>
          <w:rtl/>
        </w:rPr>
        <w:t xml:space="preserve"> </w:t>
      </w:r>
      <w:r>
        <w:rPr>
          <w:rFonts w:ascii="David" w:hAnsi="David" w:cs="David" w:hint="cs"/>
          <w:sz w:val="24"/>
          <w:szCs w:val="24"/>
          <w:rtl/>
        </w:rPr>
        <w:t>היא בעוצמה משמעותית</w:t>
      </w:r>
      <w:r w:rsidRPr="00CF67E9">
        <w:rPr>
          <w:rFonts w:ascii="David" w:hAnsi="David" w:cs="David" w:hint="cs"/>
          <w:sz w:val="24"/>
          <w:szCs w:val="24"/>
          <w:rtl/>
        </w:rPr>
        <w:t>.</w:t>
      </w:r>
      <w:r>
        <w:rPr>
          <w:rFonts w:ascii="David" w:hAnsi="David" w:cs="David" w:hint="cs"/>
          <w:sz w:val="24"/>
          <w:szCs w:val="24"/>
          <w:rtl/>
        </w:rPr>
        <w:t xml:space="preserve"> </w:t>
      </w:r>
    </w:p>
    <w:p w14:paraId="5F2A3288" w14:textId="77777777" w:rsidR="000629EC" w:rsidRDefault="000629EC" w:rsidP="000629EC">
      <w:pPr>
        <w:pStyle w:val="a9"/>
        <w:spacing w:before="240" w:after="240" w:line="360" w:lineRule="auto"/>
        <w:ind w:left="357"/>
        <w:contextualSpacing w:val="0"/>
        <w:jc w:val="both"/>
        <w:rPr>
          <w:rFonts w:ascii="David" w:hAnsi="David" w:cs="David"/>
          <w:sz w:val="24"/>
          <w:szCs w:val="24"/>
        </w:rPr>
      </w:pPr>
      <w:r>
        <w:rPr>
          <w:rFonts w:ascii="David" w:hAnsi="David" w:cs="David" w:hint="cs"/>
          <w:sz w:val="24"/>
          <w:szCs w:val="24"/>
          <w:rtl/>
        </w:rPr>
        <w:t>במסגרת הנסיבות הקשורות בביצוע העבירה, יש לתת את הדעת ל</w:t>
      </w:r>
      <w:r>
        <w:rPr>
          <w:rFonts w:ascii="David" w:hAnsi="David" w:cs="David" w:hint="cs"/>
          <w:b/>
          <w:bCs/>
          <w:sz w:val="24"/>
          <w:szCs w:val="24"/>
          <w:rtl/>
        </w:rPr>
        <w:t xml:space="preserve">תכנון שקדם </w:t>
      </w:r>
      <w:r>
        <w:rPr>
          <w:rFonts w:ascii="David" w:hAnsi="David" w:cs="David" w:hint="cs"/>
          <w:sz w:val="24"/>
          <w:szCs w:val="24"/>
          <w:rtl/>
        </w:rPr>
        <w:t xml:space="preserve">לביצוע העבירה, אשר בא לידי ביטוי בשכירת דירה ובהתקנת הציוד הרלוונטי - מערכות חשמל, השקיה, חימום ואוורור, גופי תאורה, בלוני חמצן ואדניות. הנאשם אף התחבר שלא כדין לרשת החשמל לצורך תפעול הציוד ששימוש לגידול הסם. </w:t>
      </w:r>
    </w:p>
    <w:p w14:paraId="70E1841D" w14:textId="77777777" w:rsidR="000629EC" w:rsidRDefault="000629EC" w:rsidP="000629EC">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הגם שעולה מכתב האישום כי הנאשם ביצע את העבירות ללא שותפים, התביעה הסכימה כי מעבדות מהסוג דנן, בדרך כלל, אינן מוקמות ומנוהלות על ידי אדם אחד. סבורני כי אין במוסכמה האמורה כדי לעלות או להוריד </w:t>
      </w:r>
      <w:r w:rsidRPr="00E11E50">
        <w:rPr>
          <w:rFonts w:ascii="David" w:hAnsi="David" w:cs="David" w:hint="cs"/>
          <w:b/>
          <w:bCs/>
          <w:sz w:val="24"/>
          <w:szCs w:val="24"/>
          <w:rtl/>
        </w:rPr>
        <w:t xml:space="preserve">מחלקו של הנאשם </w:t>
      </w:r>
      <w:r>
        <w:rPr>
          <w:rFonts w:ascii="David" w:hAnsi="David" w:cs="David" w:hint="cs"/>
          <w:sz w:val="24"/>
          <w:szCs w:val="24"/>
          <w:rtl/>
        </w:rPr>
        <w:t xml:space="preserve">בנסיבות העניין, שכן גם אם לנאשם היו שותפים נוספים, ניתן לראות בו - וכך עולה גם מהודאתו - כחוליה חיונית ומשמעותית בשרשרת הפקת הסם. </w:t>
      </w:r>
    </w:p>
    <w:p w14:paraId="16963E47" w14:textId="77777777" w:rsidR="000629EC" w:rsidRDefault="000629EC" w:rsidP="000629EC">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במקרה דנא, הנזק שנגרם בפועל הוא כלכלי בשווי החשמל שנגנב. בכל הקשור לעבירות הסמים, </w:t>
      </w:r>
      <w:r w:rsidRPr="00E11E50">
        <w:rPr>
          <w:rFonts w:ascii="David" w:hAnsi="David" w:cs="David" w:hint="cs"/>
          <w:b/>
          <w:bCs/>
          <w:sz w:val="24"/>
          <w:szCs w:val="24"/>
          <w:rtl/>
        </w:rPr>
        <w:t>הנזק הקונקרטי</w:t>
      </w:r>
      <w:r>
        <w:rPr>
          <w:rFonts w:ascii="David" w:hAnsi="David" w:cs="David" w:hint="cs"/>
          <w:sz w:val="24"/>
          <w:szCs w:val="24"/>
          <w:rtl/>
        </w:rPr>
        <w:t xml:space="preserve"> נמנע מאחר שהנאשם נתפס טרם הפצת הסם. עם זאת, </w:t>
      </w:r>
      <w:r>
        <w:rPr>
          <w:rFonts w:ascii="David" w:hAnsi="David" w:cs="David" w:hint="cs"/>
          <w:b/>
          <w:bCs/>
          <w:sz w:val="24"/>
          <w:szCs w:val="24"/>
          <w:rtl/>
        </w:rPr>
        <w:t>הנזק הפוטנציאלי</w:t>
      </w:r>
      <w:r>
        <w:rPr>
          <w:rFonts w:ascii="David" w:hAnsi="David" w:cs="David" w:hint="cs"/>
          <w:sz w:val="24"/>
          <w:szCs w:val="24"/>
          <w:rtl/>
        </w:rPr>
        <w:t xml:space="preserve"> שהיה עלול להיגרם מהפקת הסם והפצתו הוא משמעותי בשל המשקל הרב וכמות השתילים הגדולה שעלולים היו לשמש להכנות מנות סם רבות. </w:t>
      </w:r>
    </w:p>
    <w:p w14:paraId="1CDFF972" w14:textId="77777777" w:rsidR="000629EC" w:rsidRDefault="000629EC" w:rsidP="000629EC">
      <w:pPr>
        <w:pStyle w:val="a9"/>
        <w:spacing w:before="240" w:after="240" w:line="360" w:lineRule="auto"/>
        <w:ind w:left="360"/>
        <w:contextualSpacing w:val="0"/>
        <w:jc w:val="both"/>
        <w:rPr>
          <w:rFonts w:ascii="David" w:hAnsi="David" w:cs="David"/>
          <w:sz w:val="24"/>
          <w:szCs w:val="24"/>
          <w:rtl/>
        </w:rPr>
      </w:pPr>
      <w:r>
        <w:rPr>
          <w:rFonts w:ascii="David" w:hAnsi="David" w:cs="David" w:hint="cs"/>
          <w:b/>
          <w:bCs/>
          <w:sz w:val="24"/>
          <w:szCs w:val="24"/>
          <w:rtl/>
        </w:rPr>
        <w:t>הסיבות שהביאו את הנאשם לביצוע העבירות</w:t>
      </w:r>
      <w:r>
        <w:rPr>
          <w:rFonts w:ascii="David" w:hAnsi="David" w:cs="David" w:hint="cs"/>
          <w:sz w:val="24"/>
          <w:szCs w:val="24"/>
          <w:rtl/>
        </w:rPr>
        <w:t xml:space="preserve"> הן כלכליות, והרצון לזכות ברווחים מהירים לכיסוי חובות כספיים שצבר מול גורמים בשוק האפור בגין הסתבכות כלכלית.   </w:t>
      </w:r>
    </w:p>
    <w:p w14:paraId="5771411C" w14:textId="77777777" w:rsidR="000629EC" w:rsidRDefault="000629EC" w:rsidP="000629EC">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בבחינת</w:t>
      </w:r>
      <w:r w:rsidRPr="007330EB">
        <w:rPr>
          <w:rFonts w:ascii="David" w:hAnsi="David" w:cs="David" w:hint="cs"/>
          <w:sz w:val="24"/>
          <w:szCs w:val="24"/>
          <w:rtl/>
        </w:rPr>
        <w:t xml:space="preserve"> </w:t>
      </w:r>
      <w:r w:rsidRPr="007330EB">
        <w:rPr>
          <w:rFonts w:ascii="David" w:hAnsi="David" w:cs="David" w:hint="cs"/>
          <w:b/>
          <w:bCs/>
          <w:sz w:val="24"/>
          <w:szCs w:val="24"/>
          <w:rtl/>
        </w:rPr>
        <w:t>מדיניות הענישה הנוהגת</w:t>
      </w:r>
      <w:r>
        <w:rPr>
          <w:rFonts w:ascii="David" w:hAnsi="David" w:cs="David" w:hint="cs"/>
          <w:sz w:val="24"/>
          <w:szCs w:val="24"/>
          <w:rtl/>
        </w:rPr>
        <w:t xml:space="preserve">, מצאתי את פסקי הדין הבאים כרלוונטיים: </w:t>
      </w:r>
    </w:p>
    <w:p w14:paraId="2EDBBFF1" w14:textId="77777777" w:rsidR="000629EC" w:rsidRDefault="009255F1" w:rsidP="000629EC">
      <w:pPr>
        <w:pStyle w:val="a9"/>
        <w:spacing w:before="240" w:after="240" w:line="360" w:lineRule="auto"/>
        <w:ind w:left="360"/>
        <w:contextualSpacing w:val="0"/>
        <w:jc w:val="both"/>
        <w:rPr>
          <w:rFonts w:ascii="David" w:hAnsi="David" w:cs="David"/>
          <w:sz w:val="24"/>
          <w:szCs w:val="24"/>
          <w:rtl/>
        </w:rPr>
      </w:pPr>
      <w:hyperlink r:id="rId28" w:history="1">
        <w:r w:rsidRPr="009255F1">
          <w:rPr>
            <w:rFonts w:ascii="David" w:hAnsi="David" w:cs="David"/>
            <w:color w:val="0000FF"/>
            <w:sz w:val="24"/>
            <w:szCs w:val="24"/>
            <w:u w:val="single"/>
            <w:rtl/>
          </w:rPr>
          <w:t>ע"פ 871/20</w:t>
        </w:r>
      </w:hyperlink>
      <w:r w:rsidR="000629EC">
        <w:rPr>
          <w:rFonts w:ascii="David" w:hAnsi="David" w:cs="David" w:hint="cs"/>
          <w:sz w:val="24"/>
          <w:szCs w:val="24"/>
          <w:rtl/>
        </w:rPr>
        <w:t xml:space="preserve"> </w:t>
      </w:r>
      <w:r w:rsidR="000629EC">
        <w:rPr>
          <w:rFonts w:ascii="David" w:hAnsi="David" w:cs="David" w:hint="cs"/>
          <w:b/>
          <w:bCs/>
          <w:sz w:val="24"/>
          <w:szCs w:val="24"/>
          <w:rtl/>
        </w:rPr>
        <w:t xml:space="preserve">אברג'יל נ' מדינת ישראל </w:t>
      </w:r>
      <w:r w:rsidR="000629EC">
        <w:rPr>
          <w:rFonts w:ascii="David" w:hAnsi="David" w:cs="David" w:hint="cs"/>
          <w:sz w:val="24"/>
          <w:szCs w:val="24"/>
          <w:rtl/>
        </w:rPr>
        <w:t xml:space="preserve">(30.3.2020) (להלן - </w:t>
      </w:r>
      <w:r w:rsidR="000629EC">
        <w:rPr>
          <w:rFonts w:ascii="David" w:hAnsi="David" w:cs="David" w:hint="cs"/>
          <w:bCs/>
          <w:sz w:val="24"/>
          <w:szCs w:val="24"/>
          <w:rtl/>
        </w:rPr>
        <w:t>עניין אברג'יל</w:t>
      </w:r>
      <w:r w:rsidR="000629EC">
        <w:rPr>
          <w:rFonts w:ascii="David" w:hAnsi="David" w:cs="David" w:hint="cs"/>
          <w:b/>
          <w:sz w:val="24"/>
          <w:szCs w:val="24"/>
          <w:rtl/>
        </w:rPr>
        <w:t xml:space="preserve">) </w:t>
      </w:r>
      <w:r w:rsidR="000629EC">
        <w:rPr>
          <w:rFonts w:ascii="David" w:hAnsi="David" w:cs="David" w:hint="cs"/>
          <w:sz w:val="24"/>
          <w:szCs w:val="24"/>
          <w:rtl/>
        </w:rPr>
        <w:t xml:space="preserve">- המערער הורשע בהתאם להודאתו בעבירות של ייצור, הכנה והפקה של סם מסוכן מסוג קנבוס, ובהחזקת סם מסוכן שלא לצריכה עצמית, לאחר שהקים והפעיל מעבדה לגידול סם מסוכן בה נתפסו מאות שתילים שהגיעו למשקל של </w:t>
      </w:r>
      <w:r w:rsidR="000629EC" w:rsidRPr="00356A0B">
        <w:rPr>
          <w:rFonts w:ascii="David" w:hAnsi="David" w:cs="David" w:hint="cs"/>
          <w:b/>
          <w:bCs/>
          <w:sz w:val="24"/>
          <w:szCs w:val="24"/>
          <w:rtl/>
        </w:rPr>
        <w:t>80 ק"ג</w:t>
      </w:r>
      <w:r w:rsidR="000629EC">
        <w:rPr>
          <w:rFonts w:ascii="David" w:hAnsi="David" w:cs="David" w:hint="cs"/>
          <w:sz w:val="24"/>
          <w:szCs w:val="24"/>
          <w:rtl/>
        </w:rPr>
        <w:t xml:space="preserve">. נקבע מתחם ענישה שנע בין </w:t>
      </w:r>
      <w:r w:rsidR="000629EC" w:rsidRPr="00356A0B">
        <w:rPr>
          <w:rFonts w:ascii="David" w:hAnsi="David" w:cs="David" w:hint="cs"/>
          <w:b/>
          <w:bCs/>
          <w:sz w:val="24"/>
          <w:szCs w:val="24"/>
          <w:rtl/>
        </w:rPr>
        <w:t>22 ל- 46 חודשי מאסר בפועל</w:t>
      </w:r>
      <w:r w:rsidR="000629EC">
        <w:rPr>
          <w:rFonts w:ascii="David" w:hAnsi="David" w:cs="David" w:hint="cs"/>
          <w:sz w:val="24"/>
          <w:szCs w:val="24"/>
          <w:rtl/>
        </w:rPr>
        <w:t xml:space="preserve">. על המערער הושת מאסר בפועל של 26 חודשים. בית המשפט העליון דחה את הערעור על חומרת העונש. </w:t>
      </w:r>
    </w:p>
    <w:p w14:paraId="3F5F4230" w14:textId="77777777" w:rsidR="000629EC" w:rsidRPr="00273ED9" w:rsidRDefault="000629EC" w:rsidP="000629EC">
      <w:pPr>
        <w:pStyle w:val="a9"/>
        <w:spacing w:before="240" w:after="240" w:line="360" w:lineRule="auto"/>
        <w:ind w:left="360"/>
        <w:contextualSpacing w:val="0"/>
        <w:jc w:val="both"/>
        <w:rPr>
          <w:rFonts w:ascii="David" w:hAnsi="David" w:cs="David"/>
          <w:sz w:val="24"/>
          <w:szCs w:val="24"/>
          <w:rtl/>
        </w:rPr>
      </w:pPr>
      <w:r w:rsidRPr="00273ED9">
        <w:rPr>
          <w:rFonts w:ascii="David" w:hAnsi="David" w:cs="David" w:hint="cs"/>
          <w:sz w:val="24"/>
          <w:szCs w:val="24"/>
          <w:rtl/>
        </w:rPr>
        <w:t xml:space="preserve">ענייננו חמור יותר מעניינו של אברג'יל, הן נוכח העובדה כי כמות הסם </w:t>
      </w:r>
      <w:r>
        <w:rPr>
          <w:rFonts w:ascii="David" w:hAnsi="David" w:cs="David" w:hint="cs"/>
          <w:sz w:val="24"/>
          <w:szCs w:val="24"/>
          <w:rtl/>
        </w:rPr>
        <w:t xml:space="preserve">מעט </w:t>
      </w:r>
      <w:r w:rsidRPr="00273ED9">
        <w:rPr>
          <w:rFonts w:ascii="David" w:hAnsi="David" w:cs="David" w:hint="cs"/>
          <w:sz w:val="24"/>
          <w:szCs w:val="24"/>
          <w:rtl/>
        </w:rPr>
        <w:t>גדולה יותר (</w:t>
      </w:r>
      <w:r>
        <w:rPr>
          <w:rFonts w:ascii="David" w:hAnsi="David" w:cs="David" w:hint="cs"/>
          <w:sz w:val="24"/>
          <w:szCs w:val="24"/>
          <w:rtl/>
        </w:rPr>
        <w:t>90</w:t>
      </w:r>
      <w:r w:rsidRPr="00273ED9">
        <w:rPr>
          <w:rFonts w:ascii="David" w:hAnsi="David" w:cs="David" w:hint="cs"/>
          <w:sz w:val="24"/>
          <w:szCs w:val="24"/>
          <w:rtl/>
        </w:rPr>
        <w:t xml:space="preserve"> ק"ג לעומת 80 ק"ג) </w:t>
      </w:r>
      <w:r>
        <w:rPr>
          <w:rFonts w:ascii="David" w:hAnsi="David" w:cs="David" w:hint="cs"/>
          <w:sz w:val="24"/>
          <w:szCs w:val="24"/>
          <w:rtl/>
        </w:rPr>
        <w:t xml:space="preserve">והן נוכח </w:t>
      </w:r>
      <w:r w:rsidRPr="00273ED9">
        <w:rPr>
          <w:rFonts w:ascii="David" w:hAnsi="David" w:cs="David" w:hint="cs"/>
          <w:sz w:val="24"/>
          <w:szCs w:val="24"/>
          <w:rtl/>
        </w:rPr>
        <w:t xml:space="preserve">רכיב </w:t>
      </w:r>
      <w:r>
        <w:rPr>
          <w:rFonts w:ascii="David" w:hAnsi="David" w:cs="David" w:hint="cs"/>
          <w:sz w:val="24"/>
          <w:szCs w:val="24"/>
          <w:rtl/>
        </w:rPr>
        <w:t>נטילת</w:t>
      </w:r>
      <w:r w:rsidRPr="00273ED9">
        <w:rPr>
          <w:rFonts w:ascii="David" w:hAnsi="David" w:cs="David" w:hint="cs"/>
          <w:sz w:val="24"/>
          <w:szCs w:val="24"/>
          <w:rtl/>
        </w:rPr>
        <w:t xml:space="preserve"> החשמל שאינו קיים בעניינו של אברג'יל.</w:t>
      </w:r>
      <w:r>
        <w:rPr>
          <w:rFonts w:ascii="David" w:hAnsi="David" w:cs="David" w:hint="cs"/>
          <w:sz w:val="24"/>
          <w:szCs w:val="24"/>
          <w:rtl/>
        </w:rPr>
        <w:t xml:space="preserve"> </w:t>
      </w:r>
    </w:p>
    <w:p w14:paraId="447B09C6" w14:textId="77777777" w:rsidR="000629EC" w:rsidRDefault="000629EC" w:rsidP="000629EC">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עניין </w:t>
      </w:r>
      <w:r>
        <w:rPr>
          <w:rFonts w:ascii="David" w:hAnsi="David" w:cs="David" w:hint="cs"/>
          <w:b/>
          <w:bCs/>
          <w:sz w:val="24"/>
          <w:szCs w:val="24"/>
          <w:rtl/>
        </w:rPr>
        <w:t>זנזורי</w:t>
      </w:r>
      <w:r>
        <w:rPr>
          <w:rFonts w:ascii="David" w:hAnsi="David" w:cs="David" w:hint="cs"/>
          <w:sz w:val="24"/>
          <w:szCs w:val="24"/>
          <w:rtl/>
        </w:rPr>
        <w:t xml:space="preserve"> - המערער הורשע בעבירות של ייצור, הכנה והפקה של סם מסוגן מסוג קנבוס, קשירת קשר לפשע ושיבוש מהלכי משפט לאחר שהקים מעבדה לגידול קנבוס בה נתפסו </w:t>
      </w:r>
      <w:r w:rsidRPr="00356A0B">
        <w:rPr>
          <w:rFonts w:ascii="David" w:hAnsi="David" w:cs="David" w:hint="cs"/>
          <w:b/>
          <w:bCs/>
          <w:sz w:val="24"/>
          <w:szCs w:val="24"/>
          <w:rtl/>
        </w:rPr>
        <w:t>137.6 ק"ג של סם</w:t>
      </w:r>
      <w:r>
        <w:rPr>
          <w:rFonts w:ascii="David" w:hAnsi="David" w:cs="David" w:hint="cs"/>
          <w:sz w:val="24"/>
          <w:szCs w:val="24"/>
          <w:rtl/>
        </w:rPr>
        <w:t xml:space="preserve">. נקבע מתחם ענישה שנע בין </w:t>
      </w:r>
      <w:r w:rsidRPr="00356A0B">
        <w:rPr>
          <w:rFonts w:ascii="David" w:hAnsi="David" w:cs="David" w:hint="cs"/>
          <w:b/>
          <w:bCs/>
          <w:sz w:val="24"/>
          <w:szCs w:val="24"/>
          <w:rtl/>
        </w:rPr>
        <w:t>36 ל- 56 חודשי מאסר בפועל</w:t>
      </w:r>
      <w:r>
        <w:rPr>
          <w:rFonts w:ascii="David" w:hAnsi="David" w:cs="David" w:hint="cs"/>
          <w:sz w:val="24"/>
          <w:szCs w:val="24"/>
          <w:rtl/>
        </w:rPr>
        <w:t>. על המערער הושת מאסר בפועל של 26 חודשים, וזאת בשל הסיכוי הממשי לשיקום. בית המשפט עליון דחה את הערעור על חומרת העונש.</w:t>
      </w:r>
    </w:p>
    <w:p w14:paraId="3F32BEB5" w14:textId="77777777" w:rsidR="000629EC" w:rsidRPr="00A45450" w:rsidRDefault="000629EC" w:rsidP="000629EC">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המקרה דנא חמור יותר מענייננו ביחס לכמות הסם שנתפסה, ועל כן מתחם הענישה שנקבע גבוה. </w:t>
      </w:r>
    </w:p>
    <w:p w14:paraId="18CAEE10" w14:textId="77777777" w:rsidR="000629EC" w:rsidRDefault="009255F1" w:rsidP="000629EC">
      <w:pPr>
        <w:pStyle w:val="a9"/>
        <w:spacing w:before="240" w:after="240" w:line="360" w:lineRule="auto"/>
        <w:ind w:left="360"/>
        <w:contextualSpacing w:val="0"/>
        <w:jc w:val="both"/>
        <w:rPr>
          <w:rFonts w:ascii="David" w:hAnsi="David" w:cs="David"/>
          <w:sz w:val="24"/>
          <w:szCs w:val="24"/>
          <w:rtl/>
        </w:rPr>
      </w:pPr>
      <w:hyperlink r:id="rId29" w:history="1">
        <w:r w:rsidRPr="009255F1">
          <w:rPr>
            <w:rFonts w:ascii="David" w:hAnsi="David" w:cs="David"/>
            <w:color w:val="0000FF"/>
            <w:sz w:val="24"/>
            <w:szCs w:val="24"/>
            <w:u w:val="single"/>
            <w:rtl/>
          </w:rPr>
          <w:t>ע"פ 863/18</w:t>
        </w:r>
      </w:hyperlink>
      <w:r w:rsidR="000629EC" w:rsidRPr="00841D62">
        <w:rPr>
          <w:rFonts w:ascii="David" w:hAnsi="David" w:cs="David"/>
          <w:sz w:val="24"/>
          <w:szCs w:val="24"/>
          <w:rtl/>
        </w:rPr>
        <w:t xml:space="preserve"> </w:t>
      </w:r>
      <w:r w:rsidR="000629EC" w:rsidRPr="00841D62">
        <w:rPr>
          <w:rFonts w:ascii="David" w:hAnsi="David" w:cs="David"/>
          <w:b/>
          <w:bCs/>
          <w:sz w:val="24"/>
          <w:szCs w:val="24"/>
          <w:rtl/>
        </w:rPr>
        <w:t xml:space="preserve">לירן סבן נ' מדינת ישראל </w:t>
      </w:r>
      <w:r w:rsidR="000629EC" w:rsidRPr="00841D62">
        <w:rPr>
          <w:rFonts w:ascii="David" w:hAnsi="David" w:cs="David"/>
          <w:sz w:val="24"/>
          <w:szCs w:val="24"/>
          <w:rtl/>
        </w:rPr>
        <w:t xml:space="preserve">(15.11.2018) </w:t>
      </w:r>
      <w:r w:rsidR="000629EC">
        <w:rPr>
          <w:rFonts w:ascii="David" w:hAnsi="David" w:cs="David" w:hint="cs"/>
          <w:sz w:val="24"/>
          <w:szCs w:val="24"/>
          <w:rtl/>
        </w:rPr>
        <w:t xml:space="preserve"> - המערער הורשע בעבירות של ייצור, הכנה והפקה של סם מסוכן מסוג קנבוס, החזקת סם מסוכן שלא לצריכה עצמית, החזקת חצרים לשם הכנת סם מסוכן וקשירת קשר לפשע, לאחר שהקים וניהל מעבדה לגידול סם מסוכן (בצוותא עם אחרים), בה נתפסו </w:t>
      </w:r>
      <w:r w:rsidR="000629EC" w:rsidRPr="00641549">
        <w:rPr>
          <w:rFonts w:ascii="David" w:hAnsi="David" w:cs="David" w:hint="cs"/>
          <w:b/>
          <w:bCs/>
          <w:sz w:val="24"/>
          <w:szCs w:val="24"/>
          <w:rtl/>
        </w:rPr>
        <w:t>283 שתילים</w:t>
      </w:r>
      <w:r w:rsidR="000629EC">
        <w:rPr>
          <w:rFonts w:ascii="David" w:hAnsi="David" w:cs="David" w:hint="cs"/>
          <w:sz w:val="24"/>
          <w:szCs w:val="24"/>
          <w:rtl/>
        </w:rPr>
        <w:t xml:space="preserve"> שהגיעו למשקל של</w:t>
      </w:r>
      <w:r w:rsidR="000629EC" w:rsidRPr="00641549">
        <w:rPr>
          <w:rFonts w:ascii="David" w:hAnsi="David" w:cs="David" w:hint="cs"/>
          <w:b/>
          <w:bCs/>
          <w:sz w:val="24"/>
          <w:szCs w:val="24"/>
          <w:rtl/>
        </w:rPr>
        <w:t xml:space="preserve"> 92 ק"ג</w:t>
      </w:r>
      <w:r w:rsidR="000629EC">
        <w:rPr>
          <w:rFonts w:ascii="David" w:hAnsi="David" w:cs="David" w:hint="cs"/>
          <w:sz w:val="24"/>
          <w:szCs w:val="24"/>
          <w:rtl/>
        </w:rPr>
        <w:t xml:space="preserve">. נקבע מתחם שנע בין </w:t>
      </w:r>
      <w:r w:rsidR="000629EC" w:rsidRPr="00641549">
        <w:rPr>
          <w:rFonts w:ascii="David" w:hAnsi="David" w:cs="David" w:hint="cs"/>
          <w:b/>
          <w:bCs/>
          <w:sz w:val="24"/>
          <w:szCs w:val="24"/>
          <w:rtl/>
        </w:rPr>
        <w:t>28 ל- 52 חודשי מאסר בפועל</w:t>
      </w:r>
      <w:r w:rsidR="000629EC">
        <w:rPr>
          <w:rFonts w:ascii="David" w:hAnsi="David" w:cs="David" w:hint="cs"/>
          <w:sz w:val="24"/>
          <w:szCs w:val="24"/>
          <w:rtl/>
        </w:rPr>
        <w:t>. בית המשפט העליון החליט להקל בעונשו והעמידו על 36 חודשי מאסר (חלף עונש של 42 חודשי מאסר שהוטל בבית המשפט המחוזי).</w:t>
      </w:r>
    </w:p>
    <w:p w14:paraId="3C1B9A27" w14:textId="77777777" w:rsidR="000629EC" w:rsidRDefault="000629EC" w:rsidP="000629EC">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ענייננו לכאורה חמור יותר מעניינו של הנאשם לירן סבן, הן נוכח רכיב "נטילת החשמל" והן נוכח כמות השתילים הגדולה יותר (660 לעומת 283, הגם שכמות הסם שנתפסה כמעט זהה). </w:t>
      </w:r>
    </w:p>
    <w:p w14:paraId="09F5A8CE" w14:textId="77777777" w:rsidR="000629EC" w:rsidRDefault="009255F1" w:rsidP="000629EC">
      <w:pPr>
        <w:pStyle w:val="a9"/>
        <w:spacing w:before="240" w:after="240" w:line="360" w:lineRule="auto"/>
        <w:ind w:left="360"/>
        <w:contextualSpacing w:val="0"/>
        <w:jc w:val="both"/>
        <w:rPr>
          <w:rFonts w:ascii="David" w:hAnsi="David" w:cs="David"/>
          <w:sz w:val="24"/>
          <w:szCs w:val="24"/>
          <w:rtl/>
        </w:rPr>
      </w:pPr>
      <w:hyperlink r:id="rId30" w:history="1">
        <w:r w:rsidRPr="009255F1">
          <w:rPr>
            <w:rFonts w:ascii="David" w:hAnsi="David" w:cs="David"/>
            <w:color w:val="0000FF"/>
            <w:sz w:val="24"/>
            <w:szCs w:val="24"/>
            <w:u w:val="single"/>
            <w:rtl/>
          </w:rPr>
          <w:t>ע"פ 5807/17</w:t>
        </w:r>
      </w:hyperlink>
      <w:r w:rsidR="000629EC">
        <w:rPr>
          <w:rFonts w:ascii="David" w:hAnsi="David" w:cs="David" w:hint="cs"/>
          <w:sz w:val="24"/>
          <w:szCs w:val="24"/>
          <w:rtl/>
        </w:rPr>
        <w:t xml:space="preserve"> </w:t>
      </w:r>
      <w:r w:rsidR="000629EC">
        <w:rPr>
          <w:rFonts w:ascii="David" w:hAnsi="David" w:cs="David" w:hint="cs"/>
          <w:b/>
          <w:bCs/>
          <w:sz w:val="24"/>
          <w:szCs w:val="24"/>
          <w:rtl/>
        </w:rPr>
        <w:t xml:space="preserve">דרחי נ' מדינת ישראל </w:t>
      </w:r>
      <w:r w:rsidR="000629EC">
        <w:rPr>
          <w:rFonts w:ascii="David" w:hAnsi="David" w:cs="David" w:hint="cs"/>
          <w:sz w:val="24"/>
          <w:szCs w:val="24"/>
          <w:rtl/>
        </w:rPr>
        <w:t xml:space="preserve">(18.6.2018) (להלן - </w:t>
      </w:r>
      <w:r w:rsidR="000629EC">
        <w:rPr>
          <w:rFonts w:ascii="David" w:hAnsi="David" w:cs="David" w:hint="cs"/>
          <w:b/>
          <w:bCs/>
          <w:sz w:val="24"/>
          <w:szCs w:val="24"/>
          <w:rtl/>
        </w:rPr>
        <w:t>עניין דרחי</w:t>
      </w:r>
      <w:r w:rsidR="000629EC">
        <w:rPr>
          <w:rFonts w:ascii="David" w:hAnsi="David" w:cs="David" w:hint="cs"/>
          <w:sz w:val="24"/>
          <w:szCs w:val="24"/>
          <w:rtl/>
        </w:rPr>
        <w:t xml:space="preserve">) - המערער הורשע בעבירות של גידול סם מסוכן והחזקת סם שלא לצריכה עצמית לאחר שהקים מעבדה לגידול סם מסוכן מסוג קנבוס בה נתפסו 76.85 ק"ג קנבוס. נקבע מתחם ענישה שנע בין </w:t>
      </w:r>
      <w:r w:rsidR="000629EC" w:rsidRPr="00641549">
        <w:rPr>
          <w:rFonts w:ascii="David" w:hAnsi="David" w:cs="David" w:hint="cs"/>
          <w:b/>
          <w:bCs/>
          <w:sz w:val="24"/>
          <w:szCs w:val="24"/>
          <w:rtl/>
        </w:rPr>
        <w:t>24 ל- 48 חודשי מאסר בפועל</w:t>
      </w:r>
      <w:r w:rsidR="000629EC">
        <w:rPr>
          <w:rFonts w:ascii="David" w:hAnsi="David" w:cs="David" w:hint="cs"/>
          <w:sz w:val="24"/>
          <w:szCs w:val="24"/>
          <w:rtl/>
        </w:rPr>
        <w:t xml:space="preserve">. על המערער הושת מאסר בפועל של </w:t>
      </w:r>
      <w:r w:rsidR="000629EC" w:rsidRPr="00641549">
        <w:rPr>
          <w:rFonts w:ascii="David" w:hAnsi="David" w:cs="David" w:hint="cs"/>
          <w:b/>
          <w:bCs/>
          <w:sz w:val="24"/>
          <w:szCs w:val="24"/>
          <w:rtl/>
        </w:rPr>
        <w:t>30 חודשים</w:t>
      </w:r>
      <w:r w:rsidR="000629EC">
        <w:rPr>
          <w:rFonts w:ascii="David" w:hAnsi="David" w:cs="David" w:hint="cs"/>
          <w:sz w:val="24"/>
          <w:szCs w:val="24"/>
          <w:rtl/>
        </w:rPr>
        <w:t xml:space="preserve">. בית המשפט העליון דחה את הערעור על חומרת העונש. </w:t>
      </w:r>
    </w:p>
    <w:p w14:paraId="3059AA1F" w14:textId="77777777" w:rsidR="000629EC" w:rsidRDefault="009255F1" w:rsidP="000629EC">
      <w:pPr>
        <w:pStyle w:val="a9"/>
        <w:spacing w:before="240" w:after="240" w:line="360" w:lineRule="auto"/>
        <w:ind w:left="360"/>
        <w:contextualSpacing w:val="0"/>
        <w:jc w:val="both"/>
        <w:rPr>
          <w:rFonts w:ascii="David" w:hAnsi="David" w:cs="David"/>
          <w:sz w:val="24"/>
          <w:szCs w:val="24"/>
          <w:rtl/>
        </w:rPr>
      </w:pPr>
      <w:hyperlink r:id="rId31" w:history="1">
        <w:r w:rsidRPr="009255F1">
          <w:rPr>
            <w:rFonts w:ascii="David" w:hAnsi="David" w:cs="David"/>
            <w:color w:val="0000FF"/>
            <w:sz w:val="24"/>
            <w:szCs w:val="24"/>
            <w:u w:val="single"/>
            <w:rtl/>
          </w:rPr>
          <w:t>ע"פ 8988/16</w:t>
        </w:r>
      </w:hyperlink>
      <w:r w:rsidR="000629EC">
        <w:rPr>
          <w:rFonts w:ascii="David" w:hAnsi="David" w:cs="David" w:hint="cs"/>
          <w:sz w:val="24"/>
          <w:szCs w:val="24"/>
          <w:rtl/>
        </w:rPr>
        <w:t xml:space="preserve"> </w:t>
      </w:r>
      <w:r w:rsidR="000629EC">
        <w:rPr>
          <w:rFonts w:ascii="David" w:hAnsi="David" w:cs="David" w:hint="cs"/>
          <w:b/>
          <w:bCs/>
          <w:sz w:val="24"/>
          <w:szCs w:val="24"/>
          <w:rtl/>
        </w:rPr>
        <w:t xml:space="preserve">בן סימון נ' מדינת ישראל </w:t>
      </w:r>
      <w:r w:rsidR="000629EC">
        <w:rPr>
          <w:rFonts w:ascii="David" w:hAnsi="David" w:cs="David" w:hint="cs"/>
          <w:sz w:val="24"/>
          <w:szCs w:val="24"/>
          <w:rtl/>
        </w:rPr>
        <w:t xml:space="preserve">(8.3.2017) - המערער הורשע בעבירות של ייצור, הכנה והפקה של סם מסוכן, סחר בסם ונטילת חשמל במרמה לאחר שהקים מעבדה לגידול סם מסוכן בה נתפסו </w:t>
      </w:r>
      <w:r w:rsidR="000629EC" w:rsidRPr="00641549">
        <w:rPr>
          <w:rFonts w:ascii="David" w:hAnsi="David" w:cs="David" w:hint="cs"/>
          <w:b/>
          <w:bCs/>
          <w:sz w:val="24"/>
          <w:szCs w:val="24"/>
          <w:rtl/>
        </w:rPr>
        <w:t>282 שתילים</w:t>
      </w:r>
      <w:r w:rsidR="000629EC">
        <w:rPr>
          <w:rFonts w:ascii="David" w:hAnsi="David" w:cs="David" w:hint="cs"/>
          <w:sz w:val="24"/>
          <w:szCs w:val="24"/>
          <w:rtl/>
        </w:rPr>
        <w:t xml:space="preserve"> שהגיעו למשקל של </w:t>
      </w:r>
      <w:r w:rsidR="000629EC" w:rsidRPr="00641549">
        <w:rPr>
          <w:rFonts w:ascii="David" w:hAnsi="David" w:cs="David" w:hint="cs"/>
          <w:b/>
          <w:bCs/>
          <w:sz w:val="24"/>
          <w:szCs w:val="24"/>
          <w:rtl/>
        </w:rPr>
        <w:t>87.25 ק"</w:t>
      </w:r>
      <w:r w:rsidR="000629EC">
        <w:rPr>
          <w:rFonts w:ascii="David" w:hAnsi="David" w:cs="David" w:hint="cs"/>
          <w:sz w:val="24"/>
          <w:szCs w:val="24"/>
          <w:rtl/>
        </w:rPr>
        <w:t xml:space="preserve">ג. נקבע מתחם ענישה שנע בין </w:t>
      </w:r>
      <w:r w:rsidR="000629EC" w:rsidRPr="00641549">
        <w:rPr>
          <w:rFonts w:ascii="David" w:hAnsi="David" w:cs="David" w:hint="cs"/>
          <w:b/>
          <w:bCs/>
          <w:sz w:val="24"/>
          <w:szCs w:val="24"/>
          <w:rtl/>
        </w:rPr>
        <w:t>28 ל- 48 חודשי מאסר בפועל</w:t>
      </w:r>
      <w:r w:rsidR="000629EC">
        <w:rPr>
          <w:rFonts w:ascii="David" w:hAnsi="David" w:cs="David" w:hint="cs"/>
          <w:sz w:val="24"/>
          <w:szCs w:val="24"/>
          <w:rtl/>
        </w:rPr>
        <w:t xml:space="preserve">. על המערער הושת מאסר בפועל של 36 חודשים. בית המשפט העליון דחה את הערעור על חומרת העונש. </w:t>
      </w:r>
    </w:p>
    <w:p w14:paraId="7AE04571" w14:textId="77777777" w:rsidR="000629EC" w:rsidRDefault="009255F1" w:rsidP="000629EC">
      <w:pPr>
        <w:pStyle w:val="a9"/>
        <w:spacing w:before="240" w:after="240" w:line="360" w:lineRule="auto"/>
        <w:ind w:left="360"/>
        <w:contextualSpacing w:val="0"/>
        <w:jc w:val="both"/>
        <w:rPr>
          <w:rFonts w:ascii="David" w:hAnsi="David" w:cs="David"/>
          <w:sz w:val="24"/>
          <w:szCs w:val="24"/>
          <w:rtl/>
        </w:rPr>
      </w:pPr>
      <w:hyperlink r:id="rId32" w:history="1">
        <w:r w:rsidRPr="009255F1">
          <w:rPr>
            <w:rFonts w:ascii="David" w:hAnsi="David" w:cs="David"/>
            <w:color w:val="0000FF"/>
            <w:sz w:val="24"/>
            <w:szCs w:val="24"/>
            <w:u w:val="single"/>
            <w:rtl/>
          </w:rPr>
          <w:t>ע"פ 5093/17</w:t>
        </w:r>
      </w:hyperlink>
      <w:r w:rsidR="000629EC">
        <w:rPr>
          <w:rFonts w:ascii="David" w:hAnsi="David" w:cs="David" w:hint="cs"/>
          <w:sz w:val="24"/>
          <w:szCs w:val="24"/>
          <w:rtl/>
        </w:rPr>
        <w:t xml:space="preserve"> </w:t>
      </w:r>
      <w:r w:rsidR="000629EC">
        <w:rPr>
          <w:rFonts w:ascii="David" w:hAnsi="David" w:cs="David" w:hint="cs"/>
          <w:b/>
          <w:bCs/>
          <w:sz w:val="24"/>
          <w:szCs w:val="24"/>
          <w:rtl/>
        </w:rPr>
        <w:t xml:space="preserve">בקשט נ' מדינת ישראל </w:t>
      </w:r>
      <w:r w:rsidR="000629EC">
        <w:rPr>
          <w:rFonts w:ascii="David" w:hAnsi="David" w:cs="David" w:hint="cs"/>
          <w:sz w:val="24"/>
          <w:szCs w:val="24"/>
          <w:rtl/>
        </w:rPr>
        <w:t xml:space="preserve">(1.1.2018) </w:t>
      </w:r>
      <w:r w:rsidR="000629EC">
        <w:rPr>
          <w:rFonts w:ascii="David" w:hAnsi="David" w:cs="David"/>
          <w:sz w:val="24"/>
          <w:szCs w:val="24"/>
          <w:rtl/>
        </w:rPr>
        <w:t>–</w:t>
      </w:r>
      <w:r w:rsidR="000629EC">
        <w:rPr>
          <w:rFonts w:ascii="David" w:hAnsi="David" w:cs="David" w:hint="cs"/>
          <w:sz w:val="24"/>
          <w:szCs w:val="24"/>
          <w:rtl/>
        </w:rPr>
        <w:t xml:space="preserve"> המערערים הורשעו בהתאם להודאתם בעבירות של ייצור, הכנה והפקה של סם מסוכן, וקשירת קשר לפשע, לאחר שהקימו מעבדה לגידול סם מסוכן מסוג קנבוס בה נתפסו שתילים שהגיעו למשקל של </w:t>
      </w:r>
      <w:r w:rsidR="000629EC" w:rsidRPr="00641549">
        <w:rPr>
          <w:rFonts w:ascii="David" w:hAnsi="David" w:cs="David" w:hint="cs"/>
          <w:b/>
          <w:bCs/>
          <w:sz w:val="24"/>
          <w:szCs w:val="24"/>
          <w:rtl/>
        </w:rPr>
        <w:t>131 ק"ג</w:t>
      </w:r>
      <w:r w:rsidR="000629EC">
        <w:rPr>
          <w:rFonts w:ascii="David" w:hAnsi="David" w:cs="David" w:hint="cs"/>
          <w:sz w:val="24"/>
          <w:szCs w:val="24"/>
          <w:rtl/>
        </w:rPr>
        <w:t xml:space="preserve">. נקבע מתחם ענישה שנע בין </w:t>
      </w:r>
      <w:r w:rsidR="000629EC" w:rsidRPr="00641549">
        <w:rPr>
          <w:rFonts w:ascii="David" w:hAnsi="David" w:cs="David" w:hint="cs"/>
          <w:b/>
          <w:bCs/>
          <w:sz w:val="24"/>
          <w:szCs w:val="24"/>
          <w:rtl/>
        </w:rPr>
        <w:t>30 ל- 48 חודשי מאסר בפועל</w:t>
      </w:r>
      <w:r w:rsidR="000629EC">
        <w:rPr>
          <w:rFonts w:ascii="David" w:hAnsi="David" w:cs="David" w:hint="cs"/>
          <w:sz w:val="24"/>
          <w:szCs w:val="24"/>
          <w:rtl/>
        </w:rPr>
        <w:t xml:space="preserve">. בית המשפט העליון קבע כי העונש שהושת על המערערים אינו חורג מרף הענישה הנוהג, ואולם נוכח התסקירים החיוביים בעניינם, ומטעמי שיקום, הוחלט להקל בעונשם ל </w:t>
      </w:r>
      <w:r w:rsidR="000629EC" w:rsidRPr="000A4F38">
        <w:rPr>
          <w:rFonts w:ascii="David" w:hAnsi="David" w:cs="David" w:hint="cs"/>
          <w:sz w:val="24"/>
          <w:szCs w:val="24"/>
          <w:rtl/>
        </w:rPr>
        <w:t xml:space="preserve">-28 חודשים (חלף 34 חודשים) ו- 24 חודשים (חלף 30 חודשים). </w:t>
      </w:r>
    </w:p>
    <w:p w14:paraId="08D50C9F" w14:textId="77777777" w:rsidR="000629EC" w:rsidRDefault="009255F1" w:rsidP="000629EC">
      <w:pPr>
        <w:pStyle w:val="a9"/>
        <w:spacing w:before="240" w:after="240" w:line="360" w:lineRule="auto"/>
        <w:ind w:left="360"/>
        <w:contextualSpacing w:val="0"/>
        <w:jc w:val="both"/>
        <w:rPr>
          <w:rFonts w:ascii="David" w:hAnsi="David" w:cs="David"/>
          <w:sz w:val="24"/>
          <w:szCs w:val="24"/>
          <w:rtl/>
        </w:rPr>
      </w:pPr>
      <w:hyperlink r:id="rId33" w:history="1">
        <w:r w:rsidRPr="009255F1">
          <w:rPr>
            <w:rFonts w:ascii="David" w:hAnsi="David" w:cs="David"/>
            <w:color w:val="0000FF"/>
            <w:sz w:val="24"/>
            <w:szCs w:val="24"/>
            <w:u w:val="single"/>
            <w:rtl/>
          </w:rPr>
          <w:t>ת"פ (מחוזי ת"א) 6090-10-19</w:t>
        </w:r>
      </w:hyperlink>
      <w:r w:rsidR="000629EC">
        <w:rPr>
          <w:rFonts w:ascii="David" w:hAnsi="David" w:cs="David" w:hint="cs"/>
          <w:sz w:val="24"/>
          <w:szCs w:val="24"/>
          <w:rtl/>
        </w:rPr>
        <w:t xml:space="preserve"> </w:t>
      </w:r>
      <w:r w:rsidR="000629EC">
        <w:rPr>
          <w:rFonts w:ascii="David" w:hAnsi="David" w:cs="David" w:hint="cs"/>
          <w:b/>
          <w:bCs/>
          <w:sz w:val="24"/>
          <w:szCs w:val="24"/>
          <w:rtl/>
        </w:rPr>
        <w:t>מדינת ישראל נ' פלופסקי</w:t>
      </w:r>
      <w:r w:rsidR="000629EC">
        <w:rPr>
          <w:rFonts w:ascii="David" w:hAnsi="David" w:cs="David" w:hint="cs"/>
          <w:sz w:val="24"/>
          <w:szCs w:val="24"/>
          <w:rtl/>
        </w:rPr>
        <w:t xml:space="preserve"> (13.7.2020) - הנאשם הורשע בעבירות של ייצור, הכנה והפקה של סם מסוכן, החזקת סם מסוכן שלא לצריכה עצמית </w:t>
      </w:r>
      <w:r w:rsidR="000629EC" w:rsidRPr="00641549">
        <w:rPr>
          <w:rFonts w:ascii="David" w:hAnsi="David" w:cs="David" w:hint="cs"/>
          <w:b/>
          <w:bCs/>
          <w:sz w:val="24"/>
          <w:szCs w:val="24"/>
          <w:rtl/>
        </w:rPr>
        <w:t>ונטילת חשמל</w:t>
      </w:r>
      <w:r w:rsidR="000629EC">
        <w:rPr>
          <w:rFonts w:ascii="David" w:hAnsi="David" w:cs="David" w:hint="cs"/>
          <w:sz w:val="24"/>
          <w:szCs w:val="24"/>
          <w:rtl/>
        </w:rPr>
        <w:t xml:space="preserve"> שלא כדין לאחר שהקים מעבדה לגידול סם מסוכן מסוג קנבוס בה נתפסו כ- </w:t>
      </w:r>
      <w:r w:rsidR="000629EC" w:rsidRPr="00641549">
        <w:rPr>
          <w:rFonts w:ascii="David" w:hAnsi="David" w:cs="David" w:hint="cs"/>
          <w:b/>
          <w:bCs/>
          <w:sz w:val="24"/>
          <w:szCs w:val="24"/>
          <w:rtl/>
        </w:rPr>
        <w:t>200 שתילים</w:t>
      </w:r>
      <w:r w:rsidR="000629EC">
        <w:rPr>
          <w:rFonts w:ascii="David" w:hAnsi="David" w:cs="David" w:hint="cs"/>
          <w:sz w:val="24"/>
          <w:szCs w:val="24"/>
          <w:rtl/>
        </w:rPr>
        <w:t xml:space="preserve"> שהגיעו למשקל של </w:t>
      </w:r>
      <w:r w:rsidR="000629EC" w:rsidRPr="00641549">
        <w:rPr>
          <w:rFonts w:ascii="David" w:hAnsi="David" w:cs="David" w:hint="cs"/>
          <w:b/>
          <w:bCs/>
          <w:sz w:val="24"/>
          <w:szCs w:val="24"/>
          <w:rtl/>
        </w:rPr>
        <w:t>52 ק"ג</w:t>
      </w:r>
      <w:r w:rsidR="000629EC">
        <w:rPr>
          <w:rFonts w:ascii="David" w:hAnsi="David" w:cs="David" w:hint="cs"/>
          <w:sz w:val="24"/>
          <w:szCs w:val="24"/>
          <w:rtl/>
        </w:rPr>
        <w:t xml:space="preserve">. נקבע מתחם ענישה שנע בין </w:t>
      </w:r>
      <w:r w:rsidR="000629EC" w:rsidRPr="00641549">
        <w:rPr>
          <w:rFonts w:ascii="David" w:hAnsi="David" w:cs="David" w:hint="cs"/>
          <w:b/>
          <w:bCs/>
          <w:sz w:val="24"/>
          <w:szCs w:val="24"/>
          <w:rtl/>
        </w:rPr>
        <w:t>24 ל- 52 חודשי מאסר בפועל</w:t>
      </w:r>
      <w:r w:rsidR="000629EC">
        <w:rPr>
          <w:rFonts w:ascii="David" w:hAnsi="David" w:cs="David" w:hint="cs"/>
          <w:sz w:val="24"/>
          <w:szCs w:val="24"/>
          <w:rtl/>
        </w:rPr>
        <w:t xml:space="preserve">. על הנאשם הושת מאסר בפועל של 24 חודשים. </w:t>
      </w:r>
    </w:p>
    <w:p w14:paraId="7051D9F2" w14:textId="77777777" w:rsidR="000629EC" w:rsidRDefault="000629EC" w:rsidP="000629EC">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בעניינו של פלופסקי, הגם שדובר בכמות סם שאינה מבוטלת, היא עדיין הייתה מצויה בסמוך לאותו קו תפר המבחין בין תיקי מעבדות המוגשים לבתי משפט השלום לתיקי המעבדות המוגשים לבתי המשפט המחוזיים על פי מדיניות העמדה לדין של התביעה. בענייננו הכמות שנתפסה גבוהה בהרבה מזו של פלופסקי (לרבות כמות השתילים), ומחייבת מתחם ענישה מחמיר יותר. </w:t>
      </w:r>
    </w:p>
    <w:p w14:paraId="0F22FCDF" w14:textId="77777777" w:rsidR="000629EC" w:rsidRDefault="009255F1" w:rsidP="000629EC">
      <w:pPr>
        <w:pStyle w:val="a9"/>
        <w:spacing w:before="240" w:after="240" w:line="360" w:lineRule="auto"/>
        <w:ind w:left="360"/>
        <w:contextualSpacing w:val="0"/>
        <w:jc w:val="both"/>
        <w:rPr>
          <w:rFonts w:ascii="David" w:hAnsi="David" w:cs="David"/>
          <w:sz w:val="24"/>
          <w:szCs w:val="24"/>
          <w:rtl/>
        </w:rPr>
      </w:pPr>
      <w:hyperlink r:id="rId34" w:history="1">
        <w:r w:rsidRPr="009255F1">
          <w:rPr>
            <w:rFonts w:ascii="David" w:hAnsi="David" w:cs="David"/>
            <w:color w:val="0000FF"/>
            <w:sz w:val="24"/>
            <w:szCs w:val="24"/>
            <w:u w:val="single"/>
            <w:rtl/>
          </w:rPr>
          <w:t>ת"פ (מחוזי ת"א) 12222-11-19</w:t>
        </w:r>
      </w:hyperlink>
      <w:r w:rsidR="000629EC">
        <w:rPr>
          <w:rFonts w:ascii="David" w:hAnsi="David" w:cs="David" w:hint="cs"/>
          <w:sz w:val="24"/>
          <w:szCs w:val="24"/>
          <w:rtl/>
        </w:rPr>
        <w:t xml:space="preserve"> </w:t>
      </w:r>
      <w:r w:rsidR="000629EC">
        <w:rPr>
          <w:rFonts w:ascii="David" w:hAnsi="David" w:cs="David" w:hint="cs"/>
          <w:b/>
          <w:bCs/>
          <w:sz w:val="24"/>
          <w:szCs w:val="24"/>
          <w:rtl/>
        </w:rPr>
        <w:t>מדינת ישראל נ' מיה</w:t>
      </w:r>
      <w:r w:rsidR="000629EC">
        <w:rPr>
          <w:rFonts w:ascii="David" w:hAnsi="David" w:cs="David" w:hint="cs"/>
          <w:sz w:val="24"/>
          <w:szCs w:val="24"/>
          <w:rtl/>
        </w:rPr>
        <w:t xml:space="preserve"> (13.7.2020) - הנאשם הורשע בעבירות של ייצור, הכנה והפקה של סם מסוכן, החזקת סם מסוכן שלא לצריכה עצמית והחזקת כלים המשמשים להכנת סם מסוכן לאחר שהקים מעבדה לגידול סם מסוכן מסוג קנבוס בה נתפסו </w:t>
      </w:r>
      <w:r w:rsidR="000629EC" w:rsidRPr="00E236BA">
        <w:rPr>
          <w:rFonts w:ascii="David" w:hAnsi="David" w:cs="David" w:hint="cs"/>
          <w:b/>
          <w:bCs/>
          <w:sz w:val="24"/>
          <w:szCs w:val="24"/>
          <w:rtl/>
        </w:rPr>
        <w:t>63 ק"ג קנבוס</w:t>
      </w:r>
      <w:r w:rsidR="000629EC">
        <w:rPr>
          <w:rFonts w:ascii="David" w:hAnsi="David" w:cs="David" w:hint="cs"/>
          <w:sz w:val="24"/>
          <w:szCs w:val="24"/>
          <w:rtl/>
        </w:rPr>
        <w:t xml:space="preserve">. נקבע מתחם הנע בין </w:t>
      </w:r>
      <w:r w:rsidR="000629EC" w:rsidRPr="00E236BA">
        <w:rPr>
          <w:rFonts w:ascii="David" w:hAnsi="David" w:cs="David" w:hint="cs"/>
          <w:b/>
          <w:bCs/>
          <w:sz w:val="24"/>
          <w:szCs w:val="24"/>
          <w:rtl/>
        </w:rPr>
        <w:t>24 ל- 52 חודשי מאסר בפועל.</w:t>
      </w:r>
      <w:r w:rsidR="000629EC">
        <w:rPr>
          <w:rFonts w:ascii="David" w:hAnsi="David" w:cs="David" w:hint="cs"/>
          <w:sz w:val="24"/>
          <w:szCs w:val="24"/>
          <w:rtl/>
        </w:rPr>
        <w:t xml:space="preserve"> על הנאשם הושת מאסר בפועל של 24 חודשים. </w:t>
      </w:r>
    </w:p>
    <w:p w14:paraId="4C4BB67A" w14:textId="77777777" w:rsidR="000629EC" w:rsidRDefault="009255F1" w:rsidP="000629EC">
      <w:pPr>
        <w:pStyle w:val="a9"/>
        <w:spacing w:before="240" w:after="240" w:line="360" w:lineRule="auto"/>
        <w:ind w:left="360"/>
        <w:contextualSpacing w:val="0"/>
        <w:jc w:val="both"/>
        <w:rPr>
          <w:rFonts w:ascii="David" w:hAnsi="David" w:cs="David"/>
          <w:sz w:val="24"/>
          <w:szCs w:val="24"/>
          <w:rtl/>
        </w:rPr>
      </w:pPr>
      <w:hyperlink r:id="rId35" w:history="1">
        <w:r w:rsidRPr="009255F1">
          <w:rPr>
            <w:rFonts w:ascii="David" w:hAnsi="David" w:cs="David"/>
            <w:color w:val="0000FF"/>
            <w:sz w:val="24"/>
            <w:szCs w:val="24"/>
            <w:u w:val="single"/>
            <w:rtl/>
          </w:rPr>
          <w:t>ת"פ (מחוזי ת"א) 49034-02-19</w:t>
        </w:r>
      </w:hyperlink>
      <w:r w:rsidR="000629EC">
        <w:rPr>
          <w:rFonts w:ascii="David" w:hAnsi="David" w:cs="David" w:hint="cs"/>
          <w:sz w:val="24"/>
          <w:szCs w:val="24"/>
          <w:rtl/>
        </w:rPr>
        <w:t xml:space="preserve"> </w:t>
      </w:r>
      <w:r w:rsidR="000629EC">
        <w:rPr>
          <w:rFonts w:ascii="David" w:hAnsi="David" w:cs="David" w:hint="cs"/>
          <w:b/>
          <w:bCs/>
          <w:sz w:val="24"/>
          <w:szCs w:val="24"/>
          <w:rtl/>
        </w:rPr>
        <w:t>מדינת ישראל נ' אוחיון</w:t>
      </w:r>
      <w:r w:rsidR="000629EC">
        <w:rPr>
          <w:rFonts w:ascii="David" w:hAnsi="David" w:cs="David" w:hint="cs"/>
          <w:sz w:val="24"/>
          <w:szCs w:val="24"/>
          <w:rtl/>
        </w:rPr>
        <w:t xml:space="preserve"> (7.1.2020) (להלן - </w:t>
      </w:r>
      <w:r w:rsidR="000629EC">
        <w:rPr>
          <w:rFonts w:ascii="David" w:hAnsi="David" w:cs="David" w:hint="cs"/>
          <w:b/>
          <w:bCs/>
          <w:sz w:val="24"/>
          <w:szCs w:val="24"/>
          <w:rtl/>
        </w:rPr>
        <w:t>עניין אוחיון</w:t>
      </w:r>
      <w:r w:rsidR="000629EC">
        <w:rPr>
          <w:rFonts w:ascii="David" w:hAnsi="David" w:cs="David" w:hint="cs"/>
          <w:sz w:val="24"/>
          <w:szCs w:val="24"/>
          <w:rtl/>
        </w:rPr>
        <w:t xml:space="preserve">) - הנאשם הורשע בעבירות של ייצור, הכנה והפקה של סם מסוכן, החזקת סם מסוכן שלא לצריכה עצמית, החזקת כלים המשמשים להכנת סם מסוכן, החזקת חצרים לשם הכנת סם מסוכן ונטילת חשמל שלא כדין לאחר שהקים מעבדה לגידול סם מסוכן מסוג קנבוס בה נתפסו </w:t>
      </w:r>
      <w:r w:rsidR="000629EC" w:rsidRPr="00E236BA">
        <w:rPr>
          <w:rFonts w:ascii="David" w:hAnsi="David" w:cs="David" w:hint="cs"/>
          <w:b/>
          <w:bCs/>
          <w:sz w:val="24"/>
          <w:szCs w:val="24"/>
          <w:rtl/>
        </w:rPr>
        <w:t>725 שתילים</w:t>
      </w:r>
      <w:r w:rsidR="000629EC">
        <w:rPr>
          <w:rFonts w:ascii="David" w:hAnsi="David" w:cs="David" w:hint="cs"/>
          <w:sz w:val="24"/>
          <w:szCs w:val="24"/>
          <w:rtl/>
        </w:rPr>
        <w:t xml:space="preserve"> שהגיעו למשקל של </w:t>
      </w:r>
      <w:r w:rsidR="000629EC" w:rsidRPr="00E236BA">
        <w:rPr>
          <w:rFonts w:ascii="David" w:hAnsi="David" w:cs="David" w:hint="cs"/>
          <w:b/>
          <w:bCs/>
          <w:sz w:val="24"/>
          <w:szCs w:val="24"/>
          <w:rtl/>
        </w:rPr>
        <w:t>114 ק"ג</w:t>
      </w:r>
      <w:r w:rsidR="000629EC">
        <w:rPr>
          <w:rFonts w:ascii="David" w:hAnsi="David" w:cs="David" w:hint="cs"/>
          <w:sz w:val="24"/>
          <w:szCs w:val="24"/>
          <w:rtl/>
        </w:rPr>
        <w:t>. נקבע מתחם ענישה הנע בין</w:t>
      </w:r>
      <w:r w:rsidR="000629EC" w:rsidRPr="00E236BA">
        <w:rPr>
          <w:rFonts w:ascii="David" w:hAnsi="David" w:cs="David" w:hint="cs"/>
          <w:b/>
          <w:bCs/>
          <w:sz w:val="24"/>
          <w:szCs w:val="24"/>
          <w:rtl/>
        </w:rPr>
        <w:t xml:space="preserve"> 18 ל- 40 חודשי מאסר בפועל. </w:t>
      </w:r>
      <w:r w:rsidR="000629EC">
        <w:rPr>
          <w:rFonts w:ascii="David" w:hAnsi="David" w:cs="David" w:hint="cs"/>
          <w:sz w:val="24"/>
          <w:szCs w:val="24"/>
          <w:rtl/>
        </w:rPr>
        <w:t xml:space="preserve">על הנאשם הושת מאסר בפועל של 20 חודשים. </w:t>
      </w:r>
    </w:p>
    <w:p w14:paraId="0FA43A65" w14:textId="77777777" w:rsidR="000629EC" w:rsidRDefault="009255F1" w:rsidP="000629EC">
      <w:pPr>
        <w:pStyle w:val="a9"/>
        <w:spacing w:before="240" w:after="240" w:line="360" w:lineRule="auto"/>
        <w:ind w:left="360"/>
        <w:contextualSpacing w:val="0"/>
        <w:jc w:val="both"/>
        <w:rPr>
          <w:rFonts w:ascii="David" w:hAnsi="David" w:cs="David"/>
          <w:sz w:val="24"/>
          <w:szCs w:val="24"/>
          <w:rtl/>
        </w:rPr>
      </w:pPr>
      <w:hyperlink r:id="rId36" w:history="1">
        <w:r w:rsidRPr="009255F1">
          <w:rPr>
            <w:rFonts w:ascii="David" w:hAnsi="David" w:cs="David"/>
            <w:color w:val="0000FF"/>
            <w:sz w:val="24"/>
            <w:szCs w:val="24"/>
            <w:u w:val="single"/>
            <w:rtl/>
          </w:rPr>
          <w:t>ת"פ (מחוזי ב"ש) 69278-05-18</w:t>
        </w:r>
      </w:hyperlink>
      <w:r w:rsidR="000629EC">
        <w:rPr>
          <w:rFonts w:ascii="David" w:hAnsi="David" w:cs="David" w:hint="cs"/>
          <w:sz w:val="24"/>
          <w:szCs w:val="24"/>
          <w:rtl/>
        </w:rPr>
        <w:t xml:space="preserve"> </w:t>
      </w:r>
      <w:r w:rsidR="000629EC">
        <w:rPr>
          <w:rFonts w:ascii="David" w:hAnsi="David" w:cs="David" w:hint="cs"/>
          <w:b/>
          <w:bCs/>
          <w:sz w:val="24"/>
          <w:szCs w:val="24"/>
          <w:rtl/>
        </w:rPr>
        <w:t>מדינת ישראל נ' אלוכילי</w:t>
      </w:r>
      <w:r w:rsidR="000629EC">
        <w:rPr>
          <w:rFonts w:ascii="David" w:hAnsi="David" w:cs="David" w:hint="cs"/>
          <w:sz w:val="24"/>
          <w:szCs w:val="24"/>
          <w:rtl/>
        </w:rPr>
        <w:t xml:space="preserve"> (24.11.2019) (להלן - עניין </w:t>
      </w:r>
      <w:r w:rsidR="000629EC">
        <w:rPr>
          <w:rFonts w:ascii="David" w:hAnsi="David" w:cs="David" w:hint="cs"/>
          <w:b/>
          <w:bCs/>
          <w:sz w:val="24"/>
          <w:szCs w:val="24"/>
          <w:rtl/>
        </w:rPr>
        <w:t>אלוכולי</w:t>
      </w:r>
      <w:r w:rsidR="000629EC">
        <w:rPr>
          <w:rFonts w:ascii="David" w:hAnsi="David" w:cs="David" w:hint="cs"/>
          <w:sz w:val="24"/>
          <w:szCs w:val="24"/>
          <w:rtl/>
        </w:rPr>
        <w:t xml:space="preserve">) - הנאשם הורשע בעבירות של ייצור, הכנה והפקה של סם מסוכן והחזקת סם מסוכן שלא לצריכה עצמית לאחר שגידל בחממות המצויות בתוך מחסן במתחם ביתו </w:t>
      </w:r>
      <w:r w:rsidR="000629EC" w:rsidRPr="00E236BA">
        <w:rPr>
          <w:rFonts w:ascii="David" w:hAnsi="David" w:cs="David" w:hint="cs"/>
          <w:b/>
          <w:bCs/>
          <w:sz w:val="24"/>
          <w:szCs w:val="24"/>
          <w:rtl/>
        </w:rPr>
        <w:t>558 שתילים</w:t>
      </w:r>
      <w:r w:rsidR="000629EC">
        <w:rPr>
          <w:rFonts w:ascii="David" w:hAnsi="David" w:cs="David" w:hint="cs"/>
          <w:sz w:val="24"/>
          <w:szCs w:val="24"/>
          <w:rtl/>
        </w:rPr>
        <w:t xml:space="preserve"> שהגיעו למשקל של </w:t>
      </w:r>
      <w:r w:rsidR="000629EC" w:rsidRPr="00E236BA">
        <w:rPr>
          <w:rFonts w:ascii="David" w:hAnsi="David" w:cs="David" w:hint="cs"/>
          <w:b/>
          <w:bCs/>
          <w:sz w:val="24"/>
          <w:szCs w:val="24"/>
          <w:rtl/>
        </w:rPr>
        <w:t>97 ק"ג</w:t>
      </w:r>
      <w:r w:rsidR="000629EC">
        <w:rPr>
          <w:rFonts w:ascii="David" w:hAnsi="David" w:cs="David" w:hint="cs"/>
          <w:sz w:val="24"/>
          <w:szCs w:val="24"/>
          <w:rtl/>
        </w:rPr>
        <w:t xml:space="preserve">. נקבע מתחם הנע בין </w:t>
      </w:r>
      <w:r w:rsidR="000629EC" w:rsidRPr="00E236BA">
        <w:rPr>
          <w:rFonts w:ascii="David" w:hAnsi="David" w:cs="David" w:hint="cs"/>
          <w:b/>
          <w:bCs/>
          <w:sz w:val="24"/>
          <w:szCs w:val="24"/>
          <w:rtl/>
        </w:rPr>
        <w:t>18 ל- 48 חודשי מאסר בפועל</w:t>
      </w:r>
      <w:r w:rsidR="000629EC">
        <w:rPr>
          <w:rFonts w:ascii="David" w:hAnsi="David" w:cs="David" w:hint="cs"/>
          <w:sz w:val="24"/>
          <w:szCs w:val="24"/>
          <w:rtl/>
        </w:rPr>
        <w:t xml:space="preserve">. על הנאשם הושת מאסר בפועל של 27 חודשים. </w:t>
      </w:r>
    </w:p>
    <w:p w14:paraId="2A60E087" w14:textId="77777777" w:rsidR="000629EC" w:rsidRDefault="009255F1" w:rsidP="000629EC">
      <w:pPr>
        <w:pStyle w:val="a9"/>
        <w:spacing w:before="240" w:after="240" w:line="360" w:lineRule="auto"/>
        <w:ind w:left="360"/>
        <w:contextualSpacing w:val="0"/>
        <w:jc w:val="both"/>
        <w:rPr>
          <w:rFonts w:ascii="David" w:hAnsi="David" w:cs="David"/>
          <w:sz w:val="24"/>
          <w:szCs w:val="24"/>
          <w:rtl/>
        </w:rPr>
      </w:pPr>
      <w:hyperlink r:id="rId37" w:history="1">
        <w:r w:rsidRPr="009255F1">
          <w:rPr>
            <w:rFonts w:ascii="David" w:hAnsi="David" w:cs="David"/>
            <w:color w:val="0000FF"/>
            <w:sz w:val="24"/>
            <w:szCs w:val="24"/>
            <w:u w:val="single"/>
            <w:rtl/>
          </w:rPr>
          <w:t>ת"פ (מחוזי מרכז) 45480-02-19</w:t>
        </w:r>
      </w:hyperlink>
      <w:r w:rsidR="000629EC">
        <w:rPr>
          <w:rFonts w:ascii="David" w:hAnsi="David" w:cs="David" w:hint="cs"/>
          <w:sz w:val="24"/>
          <w:szCs w:val="24"/>
          <w:rtl/>
        </w:rPr>
        <w:t xml:space="preserve"> </w:t>
      </w:r>
      <w:r w:rsidR="000629EC">
        <w:rPr>
          <w:rFonts w:ascii="David" w:hAnsi="David" w:cs="David" w:hint="cs"/>
          <w:b/>
          <w:bCs/>
          <w:sz w:val="24"/>
          <w:szCs w:val="24"/>
          <w:rtl/>
        </w:rPr>
        <w:t>מדינת ישראל נ' סויסה</w:t>
      </w:r>
      <w:r w:rsidR="000629EC">
        <w:rPr>
          <w:rFonts w:ascii="David" w:hAnsi="David" w:cs="David" w:hint="cs"/>
          <w:sz w:val="24"/>
          <w:szCs w:val="24"/>
          <w:rtl/>
        </w:rPr>
        <w:t xml:space="preserve"> (22.1.2020) - הנאשם הורשע בעבירות של ייצור, הכנה והפקה של סם מסוכן והחזקת סם מסוכן שלא לצריכה עצמית, לאחר שהקים מעבדה בה נתפס סם מסוכן מסוג קנבוס במשקל </w:t>
      </w:r>
      <w:r w:rsidR="000629EC" w:rsidRPr="00FE1DA2">
        <w:rPr>
          <w:rFonts w:ascii="David" w:hAnsi="David" w:cs="David" w:hint="cs"/>
          <w:b/>
          <w:bCs/>
          <w:sz w:val="24"/>
          <w:szCs w:val="24"/>
          <w:rtl/>
        </w:rPr>
        <w:t>79.9 ק"ג</w:t>
      </w:r>
      <w:r w:rsidR="000629EC">
        <w:rPr>
          <w:rFonts w:ascii="David" w:hAnsi="David" w:cs="David" w:hint="cs"/>
          <w:sz w:val="24"/>
          <w:szCs w:val="24"/>
          <w:rtl/>
        </w:rPr>
        <w:t xml:space="preserve">. בית המשפט המחוזי קבע מתחם הנע בין </w:t>
      </w:r>
      <w:r w:rsidR="000629EC" w:rsidRPr="00AA1040">
        <w:rPr>
          <w:rFonts w:ascii="David" w:hAnsi="David" w:cs="David" w:hint="cs"/>
          <w:b/>
          <w:bCs/>
          <w:sz w:val="24"/>
          <w:szCs w:val="24"/>
          <w:rtl/>
        </w:rPr>
        <w:t>22 ל-46 חודשי מאסר בפועל</w:t>
      </w:r>
      <w:r w:rsidR="000629EC">
        <w:rPr>
          <w:rFonts w:ascii="David" w:hAnsi="David" w:cs="David" w:hint="cs"/>
          <w:sz w:val="24"/>
          <w:szCs w:val="24"/>
          <w:rtl/>
        </w:rPr>
        <w:t xml:space="preserve">, והטיל על הנאשם </w:t>
      </w:r>
      <w:r w:rsidR="000629EC" w:rsidRPr="00AA1040">
        <w:rPr>
          <w:rFonts w:ascii="David" w:hAnsi="David" w:cs="David" w:hint="cs"/>
          <w:b/>
          <w:bCs/>
          <w:sz w:val="24"/>
          <w:szCs w:val="24"/>
          <w:rtl/>
        </w:rPr>
        <w:t>36 חודשי מאסר</w:t>
      </w:r>
      <w:r w:rsidR="000629EC">
        <w:rPr>
          <w:rFonts w:ascii="David" w:hAnsi="David" w:cs="David" w:hint="cs"/>
          <w:sz w:val="24"/>
          <w:szCs w:val="24"/>
          <w:rtl/>
        </w:rPr>
        <w:t xml:space="preserve"> (הכוללים הפעלת מאסר מותנה של 6 חודשים). לציין כי במקרה זה, אין עסקינן במי שהורשע גם בנטילת חשמל. </w:t>
      </w:r>
    </w:p>
    <w:p w14:paraId="6192587C" w14:textId="77777777" w:rsidR="000629EC" w:rsidRDefault="009255F1" w:rsidP="000629EC">
      <w:pPr>
        <w:pStyle w:val="a9"/>
        <w:spacing w:before="240" w:after="240" w:line="360" w:lineRule="auto"/>
        <w:ind w:left="357"/>
        <w:contextualSpacing w:val="0"/>
        <w:jc w:val="both"/>
        <w:rPr>
          <w:rFonts w:ascii="David" w:hAnsi="David" w:cs="David"/>
          <w:sz w:val="24"/>
          <w:szCs w:val="24"/>
          <w:rtl/>
        </w:rPr>
      </w:pPr>
      <w:hyperlink r:id="rId38" w:history="1">
        <w:r w:rsidRPr="009255F1">
          <w:rPr>
            <w:rFonts w:ascii="David" w:hAnsi="David" w:cs="David"/>
            <w:color w:val="0000FF"/>
            <w:sz w:val="24"/>
            <w:szCs w:val="24"/>
            <w:u w:val="single"/>
            <w:rtl/>
          </w:rPr>
          <w:t>ת"פ (ב"ש) 9532-10-18</w:t>
        </w:r>
      </w:hyperlink>
      <w:r w:rsidR="000629EC">
        <w:rPr>
          <w:rFonts w:ascii="David" w:hAnsi="David" w:cs="David" w:hint="cs"/>
          <w:sz w:val="24"/>
          <w:szCs w:val="24"/>
          <w:rtl/>
        </w:rPr>
        <w:t xml:space="preserve"> </w:t>
      </w:r>
      <w:r w:rsidR="000629EC" w:rsidRPr="00743AAC">
        <w:rPr>
          <w:rFonts w:ascii="David" w:hAnsi="David" w:cs="David" w:hint="cs"/>
          <w:b/>
          <w:bCs/>
          <w:sz w:val="24"/>
          <w:szCs w:val="24"/>
          <w:rtl/>
        </w:rPr>
        <w:t>מדינת ישראל נ' אבו עסא</w:t>
      </w:r>
      <w:r w:rsidR="000629EC">
        <w:rPr>
          <w:rFonts w:ascii="David" w:hAnsi="David" w:cs="David" w:hint="cs"/>
          <w:sz w:val="24"/>
          <w:szCs w:val="24"/>
          <w:rtl/>
        </w:rPr>
        <w:t xml:space="preserve"> (8.7.2019) -הנאשם הורשע בעבירות של ייצור, הכנה והפקה של סם מסוכן מסוג קנבוס לאחר שגידל בסככה הסמוכה לבית אביו כ- </w:t>
      </w:r>
      <w:r w:rsidR="000629EC" w:rsidRPr="00E236BA">
        <w:rPr>
          <w:rFonts w:ascii="David" w:hAnsi="David" w:cs="David" w:hint="cs"/>
          <w:b/>
          <w:bCs/>
          <w:sz w:val="24"/>
          <w:szCs w:val="24"/>
          <w:rtl/>
        </w:rPr>
        <w:t xml:space="preserve">280 שתילים </w:t>
      </w:r>
      <w:r w:rsidR="000629EC">
        <w:rPr>
          <w:rFonts w:ascii="David" w:hAnsi="David" w:cs="David" w:hint="cs"/>
          <w:sz w:val="24"/>
          <w:szCs w:val="24"/>
          <w:rtl/>
        </w:rPr>
        <w:t xml:space="preserve">שהגיעו למשקל של </w:t>
      </w:r>
      <w:r w:rsidR="000629EC" w:rsidRPr="00AA1040">
        <w:rPr>
          <w:rFonts w:ascii="David" w:hAnsi="David" w:cs="David" w:hint="cs"/>
          <w:b/>
          <w:bCs/>
          <w:sz w:val="24"/>
          <w:szCs w:val="24"/>
          <w:rtl/>
        </w:rPr>
        <w:t>141</w:t>
      </w:r>
      <w:r w:rsidR="000629EC" w:rsidRPr="00E236BA">
        <w:rPr>
          <w:rFonts w:ascii="David" w:hAnsi="David" w:cs="David" w:hint="cs"/>
          <w:b/>
          <w:bCs/>
          <w:sz w:val="24"/>
          <w:szCs w:val="24"/>
          <w:rtl/>
        </w:rPr>
        <w:t xml:space="preserve"> ק"ג.</w:t>
      </w:r>
      <w:r w:rsidR="000629EC">
        <w:rPr>
          <w:rFonts w:ascii="David" w:hAnsi="David" w:cs="David" w:hint="cs"/>
          <w:sz w:val="24"/>
          <w:szCs w:val="24"/>
          <w:rtl/>
        </w:rPr>
        <w:t xml:space="preserve"> נקבע מתחם הנע בין </w:t>
      </w:r>
      <w:r w:rsidR="000629EC" w:rsidRPr="00E236BA">
        <w:rPr>
          <w:rFonts w:ascii="David" w:hAnsi="David" w:cs="David" w:hint="cs"/>
          <w:b/>
          <w:bCs/>
          <w:sz w:val="24"/>
          <w:szCs w:val="24"/>
          <w:rtl/>
        </w:rPr>
        <w:t>30 ל- 60 חודשי מאסר בפועל</w:t>
      </w:r>
      <w:r w:rsidR="000629EC">
        <w:rPr>
          <w:rFonts w:ascii="David" w:hAnsi="David" w:cs="David" w:hint="cs"/>
          <w:sz w:val="24"/>
          <w:szCs w:val="24"/>
          <w:rtl/>
        </w:rPr>
        <w:t xml:space="preserve">. על הנאשם הושת מאסר בפועל של 30 חודשים. </w:t>
      </w:r>
    </w:p>
    <w:p w14:paraId="465964CA" w14:textId="77777777" w:rsidR="000629EC" w:rsidRPr="0059481A" w:rsidRDefault="000629EC" w:rsidP="000629EC">
      <w:pPr>
        <w:pStyle w:val="a9"/>
        <w:numPr>
          <w:ilvl w:val="0"/>
          <w:numId w:val="1"/>
        </w:numPr>
        <w:spacing w:before="240" w:after="240" w:line="360" w:lineRule="auto"/>
        <w:ind w:left="357"/>
        <w:contextualSpacing w:val="0"/>
        <w:jc w:val="both"/>
        <w:rPr>
          <w:rFonts w:ascii="David" w:hAnsi="David"/>
        </w:rPr>
      </w:pPr>
      <w:r w:rsidRPr="0059481A">
        <w:rPr>
          <w:rFonts w:ascii="David" w:hAnsi="David" w:cs="David"/>
          <w:sz w:val="24"/>
          <w:szCs w:val="24"/>
          <w:rtl/>
        </w:rPr>
        <w:t xml:space="preserve">בטרם אקבע את מתחם העונש ההולם, </w:t>
      </w:r>
      <w:r w:rsidRPr="0059481A">
        <w:rPr>
          <w:rFonts w:ascii="David" w:hAnsi="David" w:cs="David" w:hint="cs"/>
          <w:sz w:val="24"/>
          <w:szCs w:val="24"/>
          <w:rtl/>
        </w:rPr>
        <w:t>אדרש ל</w:t>
      </w:r>
      <w:r>
        <w:rPr>
          <w:rFonts w:ascii="David" w:hAnsi="David" w:cs="David" w:hint="cs"/>
          <w:sz w:val="24"/>
          <w:szCs w:val="24"/>
          <w:rtl/>
        </w:rPr>
        <w:t>שתי טענות שהעלה הסניגור במסגרת טיעוניו לעונש:</w:t>
      </w:r>
    </w:p>
    <w:p w14:paraId="6E7C67C1" w14:textId="77777777" w:rsidR="000629EC" w:rsidRPr="00F75A02" w:rsidRDefault="000629EC" w:rsidP="000629EC">
      <w:pPr>
        <w:pStyle w:val="a9"/>
        <w:spacing w:before="240" w:after="240" w:line="360" w:lineRule="auto"/>
        <w:ind w:left="357"/>
        <w:contextualSpacing w:val="0"/>
        <w:jc w:val="both"/>
        <w:rPr>
          <w:rFonts w:ascii="David" w:hAnsi="David" w:cs="David"/>
          <w:sz w:val="24"/>
          <w:szCs w:val="24"/>
          <w:rtl/>
        </w:rPr>
      </w:pPr>
      <w:r w:rsidRPr="002132D6">
        <w:rPr>
          <w:rFonts w:ascii="David" w:hAnsi="David" w:cs="David" w:hint="cs"/>
          <w:sz w:val="24"/>
          <w:szCs w:val="24"/>
          <w:u w:val="single"/>
          <w:rtl/>
        </w:rPr>
        <w:t>בהתאם לטענה הראשונה</w:t>
      </w:r>
      <w:r>
        <w:rPr>
          <w:rFonts w:ascii="David" w:hAnsi="David" w:cs="David" w:hint="cs"/>
          <w:sz w:val="24"/>
          <w:szCs w:val="24"/>
          <w:rtl/>
        </w:rPr>
        <w:t xml:space="preserve">, יש מקום להקל בענישה </w:t>
      </w:r>
      <w:r w:rsidRPr="00F75A02">
        <w:rPr>
          <w:rFonts w:ascii="David" w:hAnsi="David" w:cs="David" w:hint="cs"/>
          <w:sz w:val="24"/>
          <w:szCs w:val="24"/>
          <w:rtl/>
        </w:rPr>
        <w:t>הואיל ומדובר בעבירות סמים מסוג קנבוס, אשר לאחרונה רשויות האכיפה הציגו מדיניות מקלה יותר. בית המשפט העליון עמד על טענה זהה לז</w:t>
      </w:r>
      <w:r>
        <w:rPr>
          <w:rFonts w:ascii="David" w:hAnsi="David" w:cs="David" w:hint="cs"/>
          <w:sz w:val="24"/>
          <w:szCs w:val="24"/>
          <w:rtl/>
        </w:rPr>
        <w:t>ו</w:t>
      </w:r>
      <w:r w:rsidRPr="00F75A02">
        <w:rPr>
          <w:rFonts w:ascii="David" w:hAnsi="David" w:cs="David" w:hint="cs"/>
          <w:sz w:val="24"/>
          <w:szCs w:val="24"/>
          <w:rtl/>
        </w:rPr>
        <w:t xml:space="preserve"> </w:t>
      </w:r>
      <w:r>
        <w:rPr>
          <w:rFonts w:ascii="David" w:hAnsi="David" w:cs="David" w:hint="cs"/>
          <w:sz w:val="24"/>
          <w:szCs w:val="24"/>
          <w:rtl/>
        </w:rPr>
        <w:t xml:space="preserve">בעניין </w:t>
      </w:r>
      <w:r>
        <w:rPr>
          <w:rFonts w:ascii="David" w:hAnsi="David" w:cs="David" w:hint="cs"/>
          <w:b/>
          <w:bCs/>
          <w:sz w:val="24"/>
          <w:szCs w:val="24"/>
          <w:rtl/>
        </w:rPr>
        <w:t xml:space="preserve">דרחי </w:t>
      </w:r>
      <w:r w:rsidRPr="00F75A02">
        <w:rPr>
          <w:rFonts w:ascii="David" w:hAnsi="David" w:cs="David" w:hint="cs"/>
          <w:sz w:val="24"/>
          <w:szCs w:val="24"/>
          <w:rtl/>
        </w:rPr>
        <w:t>וקבע כך:</w:t>
      </w:r>
    </w:p>
    <w:p w14:paraId="35A5572B" w14:textId="77777777" w:rsidR="000629EC" w:rsidRDefault="000629EC" w:rsidP="000629EC">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w:t>
      </w:r>
      <w:r>
        <w:rPr>
          <w:rFonts w:ascii="David" w:hAnsi="David" w:cs="David"/>
          <w:b/>
          <w:bCs/>
          <w:sz w:val="24"/>
          <w:szCs w:val="24"/>
          <w:rtl/>
        </w:rPr>
        <w:t xml:space="preserve">אל לנו לטעות </w:t>
      </w:r>
      <w:r>
        <w:rPr>
          <w:rFonts w:ascii="David" w:hAnsi="David" w:cs="David" w:hint="cs"/>
          <w:b/>
          <w:bCs/>
          <w:sz w:val="24"/>
          <w:szCs w:val="24"/>
          <w:rtl/>
        </w:rPr>
        <w:t>-</w:t>
      </w:r>
      <w:r w:rsidRPr="008A2658">
        <w:rPr>
          <w:rFonts w:ascii="David" w:hAnsi="David" w:cs="David"/>
          <w:b/>
          <w:bCs/>
          <w:sz w:val="24"/>
          <w:szCs w:val="24"/>
          <w:rtl/>
        </w:rPr>
        <w:t xml:space="preserve">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w:t>
      </w:r>
      <w:r>
        <w:rPr>
          <w:rFonts w:ascii="David" w:hAnsi="David" w:cs="David"/>
          <w:b/>
          <w:bCs/>
          <w:sz w:val="24"/>
          <w:szCs w:val="24"/>
          <w:rtl/>
        </w:rPr>
        <w:t>לשימוש עצמי, ולא בתדירות גבוהה.</w:t>
      </w:r>
      <w:r>
        <w:rPr>
          <w:rFonts w:ascii="David" w:hAnsi="David" w:cs="David" w:hint="cs"/>
          <w:b/>
          <w:bCs/>
          <w:sz w:val="24"/>
          <w:szCs w:val="24"/>
          <w:rtl/>
        </w:rPr>
        <w:t xml:space="preserve">.. </w:t>
      </w:r>
      <w:r w:rsidRPr="008A2658">
        <w:rPr>
          <w:rFonts w:ascii="David" w:hAnsi="David" w:cs="David"/>
          <w:b/>
          <w:bCs/>
          <w:sz w:val="24"/>
          <w:szCs w:val="24"/>
          <w:u w:val="single"/>
          <w:rtl/>
        </w:rPr>
        <w:t>מדיניות חדשה זו לא נועדה לעודד ה</w:t>
      </w:r>
      <w:r>
        <w:rPr>
          <w:rFonts w:ascii="David" w:hAnsi="David" w:cs="David"/>
          <w:b/>
          <w:bCs/>
          <w:sz w:val="24"/>
          <w:szCs w:val="24"/>
          <w:u w:val="single"/>
          <w:rtl/>
        </w:rPr>
        <w:t>ספקה או ייצור של סם, ואין בה לג</w:t>
      </w:r>
      <w:r w:rsidRPr="008A2658">
        <w:rPr>
          <w:rFonts w:ascii="David" w:hAnsi="David" w:cs="David"/>
          <w:b/>
          <w:bCs/>
          <w:sz w:val="24"/>
          <w:szCs w:val="24"/>
          <w:u w:val="single"/>
          <w:rtl/>
        </w:rPr>
        <w:t>ר</w:t>
      </w:r>
      <w:r>
        <w:rPr>
          <w:rFonts w:ascii="David" w:hAnsi="David" w:cs="David" w:hint="cs"/>
          <w:b/>
          <w:bCs/>
          <w:sz w:val="24"/>
          <w:szCs w:val="24"/>
          <w:u w:val="single"/>
          <w:rtl/>
        </w:rPr>
        <w:t>ו</w:t>
      </w:r>
      <w:r w:rsidRPr="008A2658">
        <w:rPr>
          <w:rFonts w:ascii="David" w:hAnsi="David" w:cs="David"/>
          <w:b/>
          <w:bCs/>
          <w:sz w:val="24"/>
          <w:szCs w:val="24"/>
          <w:u w:val="single"/>
          <w:rtl/>
        </w:rPr>
        <w:t xml:space="preserve">ע מהתכלית החברתית של מלחמה נגד התופעות </w:t>
      </w:r>
      <w:r>
        <w:rPr>
          <w:rFonts w:ascii="David" w:hAnsi="David" w:cs="David" w:hint="cs"/>
          <w:b/>
          <w:bCs/>
          <w:sz w:val="24"/>
          <w:szCs w:val="24"/>
          <w:u w:val="single"/>
          <w:rtl/>
        </w:rPr>
        <w:t>ה</w:t>
      </w:r>
      <w:r w:rsidRPr="008A2658">
        <w:rPr>
          <w:rFonts w:ascii="David" w:hAnsi="David" w:cs="David"/>
          <w:b/>
          <w:bCs/>
          <w:sz w:val="24"/>
          <w:szCs w:val="24"/>
          <w:u w:val="single"/>
          <w:rtl/>
        </w:rPr>
        <w:t>אלו</w:t>
      </w:r>
      <w:r w:rsidRPr="008A2658">
        <w:rPr>
          <w:rFonts w:ascii="David" w:hAnsi="David" w:cs="David"/>
          <w:b/>
          <w:bCs/>
          <w:sz w:val="24"/>
          <w:szCs w:val="24"/>
          <w:rtl/>
        </w:rPr>
        <w:t>. עולה כי מדיניות הענישה למשתמש העצמי בסם מסוג קנבוס פעם ראשונה לחוד, ומדיניות הענישה למ</w:t>
      </w:r>
      <w:r>
        <w:rPr>
          <w:rFonts w:ascii="David" w:hAnsi="David" w:cs="David"/>
          <w:b/>
          <w:bCs/>
          <w:sz w:val="24"/>
          <w:szCs w:val="24"/>
          <w:rtl/>
        </w:rPr>
        <w:t>פיץ, לסוחר ולמגדל, ולמסייע להם –</w:t>
      </w:r>
      <w:r w:rsidRPr="008A2658">
        <w:rPr>
          <w:rFonts w:ascii="David" w:hAnsi="David" w:cs="David"/>
          <w:b/>
          <w:bCs/>
          <w:sz w:val="24"/>
          <w:szCs w:val="24"/>
          <w:rtl/>
        </w:rPr>
        <w:t xml:space="preserve"> לחוד</w:t>
      </w:r>
      <w:r>
        <w:rPr>
          <w:rFonts w:ascii="David" w:hAnsi="David" w:cs="David" w:hint="cs"/>
          <w:sz w:val="24"/>
          <w:szCs w:val="24"/>
          <w:rtl/>
        </w:rPr>
        <w:t>" (פס' 4 לפסק דינו של כב' השופט נ' הנדל) [ההדגשות הוספו].</w:t>
      </w:r>
    </w:p>
    <w:p w14:paraId="230DD06F" w14:textId="77777777" w:rsidR="000629EC" w:rsidRDefault="000629EC" w:rsidP="000629EC">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גם בעניין זנזורי נקבע כי מגמת הענישה ביחס לעבירות אלה היא של החמרה והרתעה, ולא של הקלה בענישה. </w:t>
      </w:r>
    </w:p>
    <w:p w14:paraId="6401F48F" w14:textId="77777777" w:rsidR="000629EC" w:rsidRDefault="000629EC" w:rsidP="000629EC">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זאת ועוד, פסק הדין בעניין אברג'יל אשר הובא לעיל (ואליו הפנה גם הסניגור) ניתן אך לאחרונה (30.3.2020), וגם בו אין כדי ללמד על מגמה של הקלה במדיניות הענישה ביחס למפיצים, סוחרים ומגדלים.  </w:t>
      </w:r>
    </w:p>
    <w:p w14:paraId="3A1001AB" w14:textId="77777777" w:rsidR="000629EC" w:rsidRDefault="000629EC" w:rsidP="000629EC">
      <w:pPr>
        <w:pStyle w:val="a9"/>
        <w:spacing w:before="240" w:after="240" w:line="360" w:lineRule="auto"/>
        <w:ind w:left="360"/>
        <w:contextualSpacing w:val="0"/>
        <w:jc w:val="both"/>
        <w:rPr>
          <w:rFonts w:ascii="David" w:hAnsi="David" w:cs="David"/>
          <w:sz w:val="24"/>
          <w:szCs w:val="24"/>
          <w:rtl/>
        </w:rPr>
      </w:pPr>
      <w:r w:rsidRPr="002132D6">
        <w:rPr>
          <w:rFonts w:ascii="David" w:hAnsi="David" w:cs="David" w:hint="cs"/>
          <w:sz w:val="24"/>
          <w:szCs w:val="24"/>
          <w:u w:val="single"/>
          <w:rtl/>
        </w:rPr>
        <w:t>בהתאם לטענה השנייה</w:t>
      </w:r>
      <w:r>
        <w:rPr>
          <w:rFonts w:ascii="David" w:hAnsi="David" w:cs="David" w:hint="cs"/>
          <w:sz w:val="24"/>
          <w:szCs w:val="24"/>
          <w:rtl/>
        </w:rPr>
        <w:t xml:space="preserve">, המתחם לו עתרה התביעה בתיק דנא גבוה באופן דרמטי מהמתחמים להם היא עותרת בתיקים דומים והתנהלות זו מהווה אכיפה בררנית. </w:t>
      </w:r>
    </w:p>
    <w:p w14:paraId="131CD04B" w14:textId="77777777" w:rsidR="000629EC" w:rsidRDefault="000629EC" w:rsidP="000629EC">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אין בידי לקבל גם טענה זו. עיון בפסיקה הרלוונטית מלמד שהתביעה טוענת למתחמים דומים ואף גבוהים יותר בתיקים אחרים (</w:t>
      </w:r>
      <w:r w:rsidRPr="00FB00F6">
        <w:rPr>
          <w:rFonts w:ascii="David" w:hAnsi="David" w:cs="David" w:hint="cs"/>
          <w:sz w:val="24"/>
          <w:szCs w:val="24"/>
          <w:u w:val="single"/>
          <w:rtl/>
        </w:rPr>
        <w:t>ראו למשל</w:t>
      </w:r>
      <w:r>
        <w:rPr>
          <w:rFonts w:ascii="David" w:hAnsi="David" w:cs="David" w:hint="cs"/>
          <w:sz w:val="24"/>
          <w:szCs w:val="24"/>
          <w:rtl/>
        </w:rPr>
        <w:t>: בעניין אוחיון טענו למתחם שנע בין 36 ל- 54 חודשי מאסר; בעניין דרחי טענו למתחם שנע בין 36 ל- 48 חודשי מאסר; בעניין אלוכילי המדינה הגבילה את עצמה ל- 30 חודשי מאסר; ב</w:t>
      </w:r>
      <w:hyperlink r:id="rId39" w:history="1">
        <w:r w:rsidR="009255F1" w:rsidRPr="009255F1">
          <w:rPr>
            <w:rFonts w:ascii="David" w:hAnsi="David" w:cs="David"/>
            <w:color w:val="0000FF"/>
            <w:sz w:val="24"/>
            <w:szCs w:val="24"/>
            <w:u w:val="single"/>
            <w:rtl/>
          </w:rPr>
          <w:t>ת"פ (מחוזי מרכז) 4460-04-18</w:t>
        </w:r>
      </w:hyperlink>
      <w:r>
        <w:rPr>
          <w:rFonts w:ascii="David" w:hAnsi="David" w:cs="David" w:hint="cs"/>
          <w:sz w:val="24"/>
          <w:szCs w:val="24"/>
          <w:rtl/>
        </w:rPr>
        <w:t xml:space="preserve"> </w:t>
      </w:r>
      <w:r>
        <w:rPr>
          <w:rFonts w:ascii="David" w:hAnsi="David" w:cs="David" w:hint="cs"/>
          <w:b/>
          <w:bCs/>
          <w:sz w:val="24"/>
          <w:szCs w:val="24"/>
          <w:rtl/>
        </w:rPr>
        <w:t>מדינת ישראל נ' ציון ברבי ויאיר גברא</w:t>
      </w:r>
      <w:r>
        <w:rPr>
          <w:rFonts w:ascii="David" w:hAnsi="David" w:cs="David" w:hint="cs"/>
          <w:sz w:val="24"/>
          <w:szCs w:val="24"/>
          <w:rtl/>
        </w:rPr>
        <w:t xml:space="preserve"> (28.5.2019) נטען למתחם שנע בין 30 ל- 48 חודשי מאסר). </w:t>
      </w:r>
    </w:p>
    <w:p w14:paraId="536F988C" w14:textId="77777777" w:rsidR="000629EC" w:rsidRDefault="000629EC" w:rsidP="000629EC">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על יסוד כלל הנתונים אשר פורטו לעיל, ראיתי להעמיד את מתחם העונש ההולם </w:t>
      </w:r>
      <w:r>
        <w:rPr>
          <w:rFonts w:ascii="David" w:hAnsi="David" w:cs="David" w:hint="cs"/>
          <w:b/>
          <w:bCs/>
          <w:sz w:val="24"/>
          <w:szCs w:val="24"/>
          <w:rtl/>
        </w:rPr>
        <w:t>ברף התחתון שלו על 29 חודשי מאסר וברף העליון שלו על 54 חודשי מאסר</w:t>
      </w:r>
      <w:r>
        <w:rPr>
          <w:rFonts w:ascii="David" w:hAnsi="David" w:cs="David" w:hint="cs"/>
          <w:sz w:val="24"/>
          <w:szCs w:val="24"/>
          <w:rtl/>
        </w:rPr>
        <w:t xml:space="preserve">. </w:t>
      </w:r>
    </w:p>
    <w:p w14:paraId="7B3C21C0" w14:textId="77777777" w:rsidR="000629EC" w:rsidRDefault="000629EC" w:rsidP="000629EC">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באשר לעונש המתאים לנאשם, הרי שגם לשיטת התביעה, יש להטיל על הנאשם עונש המשקף את הרף התחתון של המתחם. </w:t>
      </w:r>
    </w:p>
    <w:p w14:paraId="4CE7BC5C" w14:textId="77777777" w:rsidR="000629EC" w:rsidRPr="00DA4D2E" w:rsidRDefault="000629EC" w:rsidP="000629EC">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ניתן להצביע על מספר נימוקים רלוונטיים המצדיקים אימוץ עמדה זו:</w:t>
      </w:r>
    </w:p>
    <w:p w14:paraId="7131E7C4" w14:textId="77777777" w:rsidR="000629EC" w:rsidRDefault="000629EC" w:rsidP="000629EC">
      <w:pPr>
        <w:spacing w:before="240" w:after="240" w:line="360" w:lineRule="auto"/>
        <w:ind w:left="357"/>
        <w:jc w:val="both"/>
        <w:rPr>
          <w:rFonts w:ascii="David" w:hAnsi="David"/>
          <w:rtl/>
        </w:rPr>
      </w:pPr>
      <w:r>
        <w:rPr>
          <w:rFonts w:ascii="David" w:hAnsi="David" w:hint="cs"/>
          <w:rtl/>
        </w:rPr>
        <w:t>הנאשם</w:t>
      </w:r>
      <w:r>
        <w:rPr>
          <w:rFonts w:ascii="David" w:hAnsi="David"/>
          <w:rtl/>
        </w:rPr>
        <w:t xml:space="preserve"> </w:t>
      </w:r>
      <w:r w:rsidRPr="00AB4EC9">
        <w:rPr>
          <w:rFonts w:ascii="David" w:hAnsi="David"/>
          <w:rtl/>
        </w:rPr>
        <w:t>הודה במיוחס לו כבר בחקירתו במשטרה ובהמשך בבית המשפט</w:t>
      </w:r>
      <w:r>
        <w:rPr>
          <w:rFonts w:ascii="David" w:hAnsi="David"/>
          <w:rtl/>
        </w:rPr>
        <w:t>, ויש טעם בטענת הסנגור, לפי</w:t>
      </w:r>
      <w:r>
        <w:rPr>
          <w:rFonts w:ascii="David" w:hAnsi="David" w:hint="cs"/>
          <w:rtl/>
        </w:rPr>
        <w:t>ה</w:t>
      </w:r>
      <w:r>
        <w:rPr>
          <w:rFonts w:ascii="David" w:hAnsi="David"/>
          <w:rtl/>
        </w:rPr>
        <w:t xml:space="preserve"> יש מקום להעניק לו הקלה בעונשו </w:t>
      </w:r>
      <w:r>
        <w:rPr>
          <w:rFonts w:ascii="David" w:hAnsi="David" w:hint="cs"/>
          <w:rtl/>
        </w:rPr>
        <w:t>לאור</w:t>
      </w:r>
      <w:r>
        <w:rPr>
          <w:rFonts w:ascii="David" w:hAnsi="David"/>
          <w:rtl/>
        </w:rPr>
        <w:t xml:space="preserve"> קבלת האחריות המלאה החל מהרגע הראשון</w:t>
      </w:r>
      <w:r>
        <w:rPr>
          <w:rFonts w:ascii="David" w:hAnsi="David" w:hint="cs"/>
          <w:rtl/>
        </w:rPr>
        <w:t xml:space="preserve">; </w:t>
      </w:r>
    </w:p>
    <w:p w14:paraId="22953BF2" w14:textId="77777777" w:rsidR="000629EC" w:rsidRPr="00007D43" w:rsidRDefault="000629EC" w:rsidP="000629EC">
      <w:pPr>
        <w:spacing w:before="240" w:after="240" w:line="360" w:lineRule="auto"/>
        <w:ind w:left="357"/>
        <w:jc w:val="both"/>
        <w:rPr>
          <w:rFonts w:ascii="David" w:hAnsi="David"/>
          <w:rtl/>
        </w:rPr>
      </w:pPr>
      <w:r>
        <w:rPr>
          <w:rFonts w:ascii="David" w:hAnsi="David" w:hint="cs"/>
          <w:rtl/>
        </w:rPr>
        <w:t xml:space="preserve">התנהלות הנאשם עד מועד ביצוע העבירות הייתה ללא דופי, לרבות שירות צבאי מלא, </w:t>
      </w:r>
      <w:r w:rsidRPr="00007D43">
        <w:rPr>
          <w:rFonts w:ascii="David" w:hAnsi="David" w:hint="cs"/>
          <w:rtl/>
        </w:rPr>
        <w:t xml:space="preserve">ואין לחובתו הרשעות קודמות; </w:t>
      </w:r>
    </w:p>
    <w:p w14:paraId="52298290" w14:textId="77777777" w:rsidR="000629EC" w:rsidRDefault="000629EC" w:rsidP="000629EC">
      <w:pPr>
        <w:spacing w:before="240" w:after="240" w:line="360" w:lineRule="auto"/>
        <w:ind w:left="357"/>
        <w:jc w:val="both"/>
        <w:rPr>
          <w:rFonts w:ascii="David" w:hAnsi="David"/>
          <w:rtl/>
        </w:rPr>
      </w:pPr>
      <w:r>
        <w:rPr>
          <w:rFonts w:ascii="David" w:hAnsi="David" w:hint="cs"/>
          <w:rtl/>
        </w:rPr>
        <w:t xml:space="preserve">הנאשם בן 41, נשוי ואב לשלושה ילדים קטנים והמשפחה נקלעה בעל כורחה למצוקה כלכלית. אף שאין בנסיבות שהובילו לביצוע העבירות, בכדי להשפיע על מתחם העונש ההולם, ראיתי ליתן משקל לנתונים אלו בקביעת העונש בתוך המתחם. נראה כי הפתרון שבחר הנאשם לבעיה - שגוי, אולם אינו מאפיין את אורחות חייו. </w:t>
      </w:r>
    </w:p>
    <w:p w14:paraId="1D82AB60" w14:textId="77777777" w:rsidR="000629EC" w:rsidRPr="0054371F" w:rsidRDefault="000629EC" w:rsidP="000629EC">
      <w:pPr>
        <w:pStyle w:val="a9"/>
        <w:numPr>
          <w:ilvl w:val="0"/>
          <w:numId w:val="1"/>
        </w:numPr>
        <w:spacing w:before="240" w:after="240" w:line="360" w:lineRule="auto"/>
        <w:contextualSpacing w:val="0"/>
        <w:jc w:val="both"/>
        <w:rPr>
          <w:rFonts w:ascii="David" w:hAnsi="David" w:cs="David"/>
          <w:sz w:val="24"/>
          <w:szCs w:val="24"/>
          <w:rtl/>
        </w:rPr>
      </w:pPr>
      <w:r w:rsidRPr="0054371F">
        <w:rPr>
          <w:rFonts w:ascii="David" w:hAnsi="David" w:cs="David"/>
          <w:sz w:val="24"/>
          <w:szCs w:val="24"/>
          <w:rtl/>
        </w:rPr>
        <w:t>על יסוד כלל השיקולים שפורטו לעיל, ראיתי להטיל על הנאשם את העונשים הבאים:</w:t>
      </w:r>
    </w:p>
    <w:p w14:paraId="38F54C48" w14:textId="77777777" w:rsidR="000629EC" w:rsidRPr="000D5935" w:rsidRDefault="000629EC" w:rsidP="000629EC">
      <w:pPr>
        <w:pStyle w:val="a9"/>
        <w:numPr>
          <w:ilvl w:val="0"/>
          <w:numId w:val="2"/>
        </w:numPr>
        <w:spacing w:before="240" w:after="240" w:line="360" w:lineRule="auto"/>
        <w:ind w:left="357" w:hanging="357"/>
        <w:jc w:val="both"/>
        <w:rPr>
          <w:rFonts w:ascii="David" w:hAnsi="David"/>
        </w:rPr>
      </w:pPr>
      <w:r w:rsidRPr="000D5935">
        <w:rPr>
          <w:rFonts w:ascii="David" w:hAnsi="David" w:cs="David" w:hint="cs"/>
          <w:sz w:val="24"/>
          <w:szCs w:val="24"/>
          <w:rtl/>
        </w:rPr>
        <w:t>29</w:t>
      </w:r>
      <w:r w:rsidRPr="000D5935">
        <w:rPr>
          <w:rFonts w:ascii="David" w:hAnsi="David" w:cs="David"/>
          <w:sz w:val="24"/>
          <w:szCs w:val="24"/>
          <w:rtl/>
        </w:rPr>
        <w:t xml:space="preserve"> חודשי מאסר לריצוי בפועל החל מיום מעצרו – 01.06.2020</w:t>
      </w:r>
      <w:r>
        <w:rPr>
          <w:rFonts w:ascii="David" w:hAnsi="David" w:cs="David" w:hint="cs"/>
          <w:sz w:val="24"/>
          <w:szCs w:val="24"/>
          <w:rtl/>
        </w:rPr>
        <w:t xml:space="preserve"> ובניכוי תקופת מעצר נוספת שבין יום 16.3.20 ועד יום 20.3.20.</w:t>
      </w:r>
    </w:p>
    <w:p w14:paraId="357C27CB" w14:textId="77777777" w:rsidR="000629EC" w:rsidRPr="000D5935" w:rsidRDefault="000629EC" w:rsidP="000629EC">
      <w:pPr>
        <w:pStyle w:val="a9"/>
        <w:numPr>
          <w:ilvl w:val="0"/>
          <w:numId w:val="2"/>
        </w:numPr>
        <w:spacing w:before="240" w:after="240" w:line="360" w:lineRule="auto"/>
        <w:ind w:left="357" w:hanging="357"/>
        <w:jc w:val="both"/>
        <w:rPr>
          <w:rFonts w:ascii="David" w:hAnsi="David"/>
        </w:rPr>
      </w:pPr>
      <w:r w:rsidRPr="000D5935">
        <w:rPr>
          <w:rFonts w:ascii="David" w:hAnsi="David" w:cs="David"/>
          <w:sz w:val="24"/>
          <w:szCs w:val="24"/>
          <w:rtl/>
        </w:rPr>
        <w:t>6 חודשי מאסר, אולם הנאשם לא יישא עונש זה אלא עם יעבור תוך שלוש שנים מיום שחרורו עבירה על פקודת הסמים מסוג פשע.</w:t>
      </w:r>
    </w:p>
    <w:p w14:paraId="770F7514" w14:textId="77777777" w:rsidR="000629EC" w:rsidRDefault="000629EC" w:rsidP="000629EC">
      <w:pPr>
        <w:pStyle w:val="a9"/>
        <w:numPr>
          <w:ilvl w:val="0"/>
          <w:numId w:val="2"/>
        </w:numPr>
        <w:spacing w:before="240" w:after="240" w:line="360" w:lineRule="auto"/>
        <w:ind w:left="357" w:hanging="357"/>
        <w:jc w:val="both"/>
        <w:rPr>
          <w:rFonts w:ascii="David" w:hAnsi="David"/>
        </w:rPr>
      </w:pPr>
      <w:r w:rsidRPr="000D5935">
        <w:rPr>
          <w:rFonts w:ascii="David" w:hAnsi="David" w:cs="David"/>
          <w:sz w:val="24"/>
          <w:szCs w:val="24"/>
          <w:rtl/>
        </w:rPr>
        <w:t>חודש (1) מאסר, אולם הנאשם לא יישא עונש זה אלא אם יעבור תוך שלוש שנים מיום שחרורו עבירה על פקודת הסמים מסוג עוון.</w:t>
      </w:r>
    </w:p>
    <w:p w14:paraId="270B7468" w14:textId="77777777" w:rsidR="000629EC" w:rsidRPr="00066954" w:rsidRDefault="000629EC" w:rsidP="000629EC">
      <w:pPr>
        <w:pStyle w:val="a9"/>
        <w:numPr>
          <w:ilvl w:val="0"/>
          <w:numId w:val="2"/>
        </w:numPr>
        <w:spacing w:before="240" w:after="240" w:line="360" w:lineRule="auto"/>
        <w:ind w:left="357" w:hanging="357"/>
        <w:jc w:val="both"/>
        <w:rPr>
          <w:rFonts w:ascii="David" w:hAnsi="David" w:cs="David"/>
        </w:rPr>
      </w:pPr>
      <w:r w:rsidRPr="00066954">
        <w:rPr>
          <w:rFonts w:ascii="David" w:hAnsi="David" w:cs="David"/>
          <w:sz w:val="24"/>
          <w:szCs w:val="24"/>
          <w:rtl/>
        </w:rPr>
        <w:t>קנס 10,000 ₪ אשר ישולם ב- 20 תשלומים חודשיים שווים החל מיום 01.</w:t>
      </w:r>
      <w:r>
        <w:rPr>
          <w:rFonts w:ascii="David" w:hAnsi="David" w:cs="David" w:hint="cs"/>
          <w:sz w:val="24"/>
          <w:szCs w:val="24"/>
          <w:rtl/>
        </w:rPr>
        <w:t>08</w:t>
      </w:r>
      <w:r w:rsidRPr="00066954">
        <w:rPr>
          <w:rFonts w:ascii="David" w:hAnsi="David" w:cs="David"/>
          <w:sz w:val="24"/>
          <w:szCs w:val="24"/>
          <w:rtl/>
        </w:rPr>
        <w:t>.2021 ועד לסיום התשלומים או 100 ימי מאסר תמורתו.</w:t>
      </w:r>
      <w:r w:rsidRPr="00066954">
        <w:rPr>
          <w:rFonts w:ascii="David" w:hAnsi="David" w:cs="David"/>
          <w:rtl/>
        </w:rPr>
        <w:t xml:space="preserve"> בקביעת הקנס נתתי משקל לחובותיו הרבים של הנאשם.</w:t>
      </w:r>
    </w:p>
    <w:p w14:paraId="7D7D823C" w14:textId="77777777" w:rsidR="000629EC" w:rsidRDefault="000629EC" w:rsidP="000629EC">
      <w:pPr>
        <w:spacing w:line="360" w:lineRule="auto"/>
        <w:ind w:firstLine="360"/>
        <w:jc w:val="both"/>
        <w:rPr>
          <w:rFonts w:ascii="David" w:hAnsi="David"/>
          <w:rtl/>
        </w:rPr>
      </w:pPr>
      <w:r>
        <w:rPr>
          <w:rFonts w:ascii="David" w:hAnsi="David"/>
          <w:rtl/>
        </w:rPr>
        <w:t>ניתן צו כללי למוצגים לשיקול דעת קצין משטרה ו</w:t>
      </w:r>
      <w:r>
        <w:rPr>
          <w:rFonts w:ascii="David" w:hAnsi="David"/>
        </w:rPr>
        <w:t>/</w:t>
      </w:r>
      <w:r>
        <w:rPr>
          <w:rFonts w:ascii="David" w:hAnsi="David"/>
          <w:rtl/>
        </w:rPr>
        <w:t>או התביעה.</w:t>
      </w:r>
    </w:p>
    <w:p w14:paraId="52FA2A70" w14:textId="77777777" w:rsidR="000629EC" w:rsidRDefault="000629EC" w:rsidP="000629EC">
      <w:pPr>
        <w:spacing w:line="360" w:lineRule="auto"/>
        <w:ind w:firstLine="360"/>
        <w:jc w:val="both"/>
        <w:rPr>
          <w:rFonts w:ascii="David" w:hAnsi="David"/>
          <w:rtl/>
        </w:rPr>
      </w:pPr>
      <w:r>
        <w:rPr>
          <w:rFonts w:ascii="David" w:hAnsi="David"/>
          <w:rtl/>
        </w:rPr>
        <w:t>הציוד שנתפס במעבדה יחולט או יושמד.</w:t>
      </w:r>
      <w:r>
        <w:rPr>
          <w:rFonts w:ascii="David" w:hAnsi="David" w:hint="cs"/>
          <w:rtl/>
        </w:rPr>
        <w:t xml:space="preserve"> </w:t>
      </w:r>
      <w:r>
        <w:rPr>
          <w:rFonts w:ascii="David" w:hAnsi="David"/>
          <w:rtl/>
        </w:rPr>
        <w:t>הסמים יושמדו.</w:t>
      </w:r>
    </w:p>
    <w:p w14:paraId="623AE13A" w14:textId="77777777" w:rsidR="000629EC" w:rsidRDefault="000629EC" w:rsidP="000629EC">
      <w:pPr>
        <w:spacing w:line="360" w:lineRule="auto"/>
        <w:ind w:firstLine="360"/>
        <w:jc w:val="both"/>
        <w:rPr>
          <w:rFonts w:ascii="David" w:hAnsi="David"/>
          <w:rtl/>
        </w:rPr>
      </w:pPr>
      <w:r>
        <w:rPr>
          <w:rFonts w:ascii="David" w:hAnsi="David"/>
          <w:rtl/>
        </w:rPr>
        <w:t>זכות ערעור כחוק.</w:t>
      </w:r>
    </w:p>
    <w:p w14:paraId="07DF6669" w14:textId="77777777" w:rsidR="000629EC" w:rsidRPr="00250B83" w:rsidRDefault="000629EC" w:rsidP="000629EC">
      <w:pPr>
        <w:rPr>
          <w:rtl/>
        </w:rPr>
      </w:pPr>
    </w:p>
    <w:p w14:paraId="206872AF" w14:textId="77777777" w:rsidR="000629EC" w:rsidRDefault="009255F1" w:rsidP="000629EC">
      <w:pPr>
        <w:rPr>
          <w:rFonts w:ascii="Arial (W1)" w:hAnsi="Arial (W1)"/>
        </w:rPr>
      </w:pPr>
      <w:bookmarkStart w:id="8" w:name="Nitan"/>
      <w:r w:rsidRPr="009255F1">
        <w:rPr>
          <w:rFonts w:ascii="Arial (W1)" w:hAnsi="Arial (W1)"/>
          <w:b/>
          <w:bCs/>
          <w:color w:val="FFFFFF"/>
          <w:sz w:val="2"/>
          <w:szCs w:val="2"/>
          <w:rtl/>
        </w:rPr>
        <w:t>5129371</w:t>
      </w:r>
      <w:r>
        <w:rPr>
          <w:rFonts w:ascii="Arial (W1)" w:hAnsi="Arial (W1)" w:hint="eastAsia"/>
          <w:b/>
          <w:bCs/>
          <w:rtl/>
        </w:rPr>
        <w:t>ניתן</w:t>
      </w:r>
      <w:r>
        <w:rPr>
          <w:rFonts w:ascii="Arial (W1)" w:hAnsi="Arial (W1)"/>
          <w:b/>
          <w:bCs/>
          <w:rtl/>
        </w:rPr>
        <w:t xml:space="preserve"> </w:t>
      </w:r>
      <w:r>
        <w:rPr>
          <w:rFonts w:ascii="Arial (W1)" w:hAnsi="Arial (W1)" w:hint="eastAsia"/>
          <w:b/>
          <w:bCs/>
          <w:rtl/>
        </w:rPr>
        <w:t>והודע</w:t>
      </w:r>
      <w:r>
        <w:rPr>
          <w:rFonts w:ascii="Arial (W1)" w:hAnsi="Arial (W1)"/>
          <w:b/>
          <w:bCs/>
          <w:rtl/>
        </w:rPr>
        <w:t xml:space="preserve"> </w:t>
      </w:r>
      <w:r>
        <w:rPr>
          <w:rFonts w:ascii="Arial (W1)" w:hAnsi="Arial (W1)" w:hint="eastAsia"/>
          <w:b/>
          <w:bCs/>
          <w:rtl/>
        </w:rPr>
        <w:t>היום</w:t>
      </w:r>
      <w:r>
        <w:rPr>
          <w:rFonts w:ascii="Arial (W1)" w:hAnsi="Arial (W1)"/>
          <w:b/>
          <w:bCs/>
          <w:rtl/>
        </w:rPr>
        <w:t xml:space="preserve"> </w:t>
      </w:r>
      <w:r>
        <w:rPr>
          <w:rFonts w:ascii="Arial (W1)" w:hAnsi="Arial (W1)" w:hint="eastAsia"/>
          <w:b/>
          <w:bCs/>
          <w:rtl/>
        </w:rPr>
        <w:t>י</w:t>
      </w:r>
      <w:r>
        <w:rPr>
          <w:rFonts w:ascii="Arial (W1)" w:hAnsi="Arial (W1)"/>
          <w:b/>
          <w:bCs/>
          <w:rtl/>
        </w:rPr>
        <w:t>"</w:t>
      </w:r>
      <w:r>
        <w:rPr>
          <w:rFonts w:ascii="Arial (W1)" w:hAnsi="Arial (W1)" w:hint="eastAsia"/>
          <w:b/>
          <w:bCs/>
          <w:rtl/>
        </w:rPr>
        <w:t>ב</w:t>
      </w:r>
      <w:r>
        <w:rPr>
          <w:rFonts w:ascii="Arial (W1)" w:hAnsi="Arial (W1)"/>
          <w:b/>
          <w:bCs/>
          <w:rtl/>
        </w:rPr>
        <w:t xml:space="preserve"> </w:t>
      </w:r>
      <w:r>
        <w:rPr>
          <w:rFonts w:ascii="Arial (W1)" w:hAnsi="Arial (W1)" w:hint="eastAsia"/>
          <w:b/>
          <w:bCs/>
          <w:rtl/>
        </w:rPr>
        <w:t>אב</w:t>
      </w:r>
      <w:r>
        <w:rPr>
          <w:rFonts w:ascii="Arial (W1)" w:hAnsi="Arial (W1)"/>
          <w:b/>
          <w:bCs/>
          <w:rtl/>
        </w:rPr>
        <w:t xml:space="preserve">, </w:t>
      </w:r>
      <w:r>
        <w:rPr>
          <w:rFonts w:ascii="Arial (W1)" w:hAnsi="Arial (W1)" w:hint="eastAsia"/>
          <w:b/>
          <w:bCs/>
          <w:rtl/>
        </w:rPr>
        <w:t>תש</w:t>
      </w:r>
      <w:r>
        <w:rPr>
          <w:rFonts w:ascii="Arial (W1)" w:hAnsi="Arial (W1)"/>
          <w:b/>
          <w:bCs/>
          <w:rtl/>
        </w:rPr>
        <w:t>"</w:t>
      </w:r>
      <w:r>
        <w:rPr>
          <w:rFonts w:ascii="Arial (W1)" w:hAnsi="Arial (W1)" w:hint="eastAsia"/>
          <w:b/>
          <w:bCs/>
          <w:rtl/>
        </w:rPr>
        <w:t>פ</w:t>
      </w:r>
      <w:r>
        <w:rPr>
          <w:rFonts w:ascii="Arial (W1)" w:hAnsi="Arial (W1)"/>
          <w:b/>
          <w:bCs/>
          <w:rtl/>
        </w:rPr>
        <w:t xml:space="preserve"> (02 </w:t>
      </w:r>
      <w:r>
        <w:rPr>
          <w:rFonts w:ascii="Arial (W1)" w:hAnsi="Arial (W1)" w:hint="eastAsia"/>
          <w:b/>
          <w:bCs/>
          <w:rtl/>
        </w:rPr>
        <w:t>אוגוסט</w:t>
      </w:r>
      <w:r>
        <w:rPr>
          <w:rFonts w:ascii="Arial (W1)" w:hAnsi="Arial (W1)"/>
          <w:b/>
          <w:bCs/>
          <w:rtl/>
        </w:rPr>
        <w:t xml:space="preserve"> 2020) </w:t>
      </w:r>
      <w:r>
        <w:rPr>
          <w:rFonts w:ascii="Arial (W1)" w:hAnsi="Arial (W1)" w:hint="eastAsia"/>
          <w:b/>
          <w:bCs/>
          <w:rtl/>
        </w:rPr>
        <w:t>במעמד</w:t>
      </w:r>
      <w:r>
        <w:rPr>
          <w:rFonts w:ascii="Arial (W1)" w:hAnsi="Arial (W1)"/>
          <w:b/>
          <w:bCs/>
          <w:rtl/>
        </w:rPr>
        <w:t xml:space="preserve"> </w:t>
      </w:r>
      <w:r>
        <w:rPr>
          <w:rFonts w:ascii="Arial (W1)" w:hAnsi="Arial (W1)" w:hint="eastAsia"/>
          <w:b/>
          <w:bCs/>
          <w:rtl/>
        </w:rPr>
        <w:t>הנוכחים</w:t>
      </w:r>
      <w:r>
        <w:rPr>
          <w:rFonts w:ascii="Arial (W1)" w:hAnsi="Arial (W1)"/>
          <w:b/>
          <w:bCs/>
          <w:rtl/>
        </w:rPr>
        <w:t xml:space="preserve">.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629EC" w14:paraId="36E32A1A" w14:textId="77777777" w:rsidTr="000629EC">
        <w:trPr>
          <w:trHeight w:val="316"/>
          <w:jc w:val="right"/>
        </w:trPr>
        <w:tc>
          <w:tcPr>
            <w:tcW w:w="3936" w:type="dxa"/>
            <w:tcBorders>
              <w:top w:val="nil"/>
              <w:left w:val="nil"/>
              <w:bottom w:val="single" w:sz="4" w:space="0" w:color="auto"/>
              <w:right w:val="nil"/>
            </w:tcBorders>
            <w:shd w:val="clear" w:color="auto" w:fill="auto"/>
            <w:vAlign w:val="bottom"/>
          </w:tcPr>
          <w:p w14:paraId="62046150" w14:textId="77777777" w:rsidR="000629EC" w:rsidRPr="009255F1" w:rsidRDefault="009255F1" w:rsidP="000629EC">
            <w:pPr>
              <w:jc w:val="center"/>
              <w:rPr>
                <w:rFonts w:ascii="Arial (W1)" w:hAnsi="Arial (W1)"/>
                <w:color w:val="FFFFFF"/>
                <w:sz w:val="2"/>
                <w:szCs w:val="2"/>
                <w:rtl/>
              </w:rPr>
            </w:pPr>
            <w:r w:rsidRPr="009255F1">
              <w:rPr>
                <w:rFonts w:ascii="Arial (W1)" w:hAnsi="Arial (W1)"/>
                <w:color w:val="FFFFFF"/>
                <w:sz w:val="2"/>
                <w:szCs w:val="2"/>
                <w:rtl/>
              </w:rPr>
              <w:t>54678313</w:t>
            </w:r>
          </w:p>
          <w:p w14:paraId="5D162DAD" w14:textId="77777777" w:rsidR="000629EC" w:rsidRPr="000629EC" w:rsidRDefault="000629EC" w:rsidP="000629EC">
            <w:pPr>
              <w:jc w:val="center"/>
              <w:rPr>
                <w:rFonts w:ascii="Arial (W1)" w:hAnsi="Arial (W1)"/>
                <w:rtl/>
              </w:rPr>
            </w:pPr>
          </w:p>
        </w:tc>
      </w:tr>
      <w:tr w:rsidR="000629EC" w14:paraId="1118DCDE" w14:textId="77777777" w:rsidTr="000629EC">
        <w:trPr>
          <w:trHeight w:val="361"/>
          <w:jc w:val="right"/>
        </w:trPr>
        <w:tc>
          <w:tcPr>
            <w:tcW w:w="3936" w:type="dxa"/>
            <w:tcBorders>
              <w:top w:val="single" w:sz="4" w:space="0" w:color="auto"/>
              <w:left w:val="nil"/>
              <w:bottom w:val="nil"/>
              <w:right w:val="nil"/>
            </w:tcBorders>
            <w:shd w:val="clear" w:color="auto" w:fill="auto"/>
          </w:tcPr>
          <w:p w14:paraId="43D302A2" w14:textId="77777777" w:rsidR="000629EC" w:rsidRPr="000629EC" w:rsidRDefault="000629EC" w:rsidP="000629EC">
            <w:pPr>
              <w:jc w:val="center"/>
              <w:rPr>
                <w:rFonts w:ascii="Arial (W1)" w:hAnsi="Arial (W1)"/>
                <w:b/>
                <w:bCs/>
              </w:rPr>
            </w:pPr>
            <w:r w:rsidRPr="000629EC">
              <w:rPr>
                <w:rFonts w:ascii="Arial (W1)" w:hAnsi="Arial (W1)"/>
                <w:b/>
                <w:bCs/>
                <w:rtl/>
              </w:rPr>
              <w:t>בני שגיא, שופט</w:t>
            </w:r>
          </w:p>
        </w:tc>
      </w:tr>
    </w:tbl>
    <w:p w14:paraId="01DDE63A" w14:textId="77777777" w:rsidR="000629EC" w:rsidRDefault="000629EC" w:rsidP="000629EC">
      <w:pPr>
        <w:pStyle w:val="a3"/>
        <w:jc w:val="center"/>
        <w:rPr>
          <w:rtl/>
        </w:rPr>
      </w:pPr>
    </w:p>
    <w:p w14:paraId="38D5EDAD" w14:textId="77777777" w:rsidR="002E0876" w:rsidRPr="009255F1" w:rsidRDefault="002E0876" w:rsidP="009255F1">
      <w:pPr>
        <w:keepNext/>
        <w:rPr>
          <w:rFonts w:ascii="David" w:hAnsi="David"/>
          <w:color w:val="000000"/>
          <w:sz w:val="22"/>
          <w:szCs w:val="22"/>
          <w:rtl/>
        </w:rPr>
      </w:pPr>
    </w:p>
    <w:p w14:paraId="020BDEF2" w14:textId="77777777" w:rsidR="009255F1" w:rsidRPr="009255F1" w:rsidRDefault="009255F1" w:rsidP="009255F1">
      <w:pPr>
        <w:keepNext/>
        <w:rPr>
          <w:rFonts w:ascii="David" w:hAnsi="David"/>
          <w:color w:val="000000"/>
          <w:sz w:val="22"/>
          <w:szCs w:val="22"/>
          <w:rtl/>
        </w:rPr>
      </w:pPr>
      <w:r w:rsidRPr="009255F1">
        <w:rPr>
          <w:rFonts w:ascii="David" w:hAnsi="David"/>
          <w:color w:val="000000"/>
          <w:sz w:val="22"/>
          <w:szCs w:val="22"/>
          <w:rtl/>
        </w:rPr>
        <w:t>בני שגיא 54678313</w:t>
      </w:r>
    </w:p>
    <w:p w14:paraId="1C748CE8" w14:textId="77777777" w:rsidR="009255F1" w:rsidRDefault="009255F1" w:rsidP="009255F1">
      <w:r w:rsidRPr="009255F1">
        <w:rPr>
          <w:color w:val="000000"/>
          <w:rtl/>
        </w:rPr>
        <w:t>נוסח מסמך זה כפוף לשינויי ניסוח ועריכה</w:t>
      </w:r>
    </w:p>
    <w:p w14:paraId="3E4E7374" w14:textId="77777777" w:rsidR="009255F1" w:rsidRDefault="009255F1" w:rsidP="009255F1">
      <w:pPr>
        <w:rPr>
          <w:rtl/>
        </w:rPr>
      </w:pPr>
    </w:p>
    <w:p w14:paraId="62B00B72" w14:textId="77777777" w:rsidR="009255F1" w:rsidRDefault="009255F1" w:rsidP="009255F1">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16B3FA3F" w14:textId="77777777" w:rsidR="009255F1" w:rsidRPr="009255F1" w:rsidRDefault="009255F1" w:rsidP="009255F1">
      <w:pPr>
        <w:jc w:val="center"/>
        <w:rPr>
          <w:color w:val="0000FF"/>
          <w:u w:val="single"/>
        </w:rPr>
      </w:pPr>
    </w:p>
    <w:sectPr w:rsidR="009255F1" w:rsidRPr="009255F1" w:rsidSect="009255F1">
      <w:headerReference w:type="even" r:id="rId41"/>
      <w:headerReference w:type="default" r:id="rId42"/>
      <w:footerReference w:type="even" r:id="rId43"/>
      <w:footerReference w:type="default" r:id="rId44"/>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7354F" w14:textId="77777777" w:rsidR="003C700A" w:rsidRDefault="003C700A" w:rsidP="00304381">
      <w:r>
        <w:separator/>
      </w:r>
    </w:p>
  </w:endnote>
  <w:endnote w:type="continuationSeparator" w:id="0">
    <w:p w14:paraId="73E312F4" w14:textId="77777777" w:rsidR="003C700A" w:rsidRDefault="003C700A" w:rsidP="0030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5DE05" w14:textId="77777777" w:rsidR="009255F1" w:rsidRDefault="009255F1" w:rsidP="009255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8733D8F" w14:textId="77777777" w:rsidR="00992F28" w:rsidRPr="009255F1" w:rsidRDefault="009255F1" w:rsidP="009255F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FAD7" w14:textId="77777777" w:rsidR="009255F1" w:rsidRDefault="009255F1" w:rsidP="009255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B71A7">
      <w:rPr>
        <w:rFonts w:ascii="FrankRuehl" w:hAnsi="FrankRuehl" w:cs="FrankRuehl"/>
        <w:noProof/>
        <w:rtl/>
      </w:rPr>
      <w:t>1</w:t>
    </w:r>
    <w:r>
      <w:rPr>
        <w:rFonts w:ascii="FrankRuehl" w:hAnsi="FrankRuehl" w:cs="FrankRuehl"/>
        <w:rtl/>
      </w:rPr>
      <w:fldChar w:fldCharType="end"/>
    </w:r>
  </w:p>
  <w:p w14:paraId="7547F433" w14:textId="77777777" w:rsidR="00992F28" w:rsidRPr="009255F1" w:rsidRDefault="009255F1" w:rsidP="009255F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ED29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1C96A" w14:textId="77777777" w:rsidR="003C700A" w:rsidRDefault="003C700A" w:rsidP="00304381">
      <w:r>
        <w:separator/>
      </w:r>
    </w:p>
  </w:footnote>
  <w:footnote w:type="continuationSeparator" w:id="0">
    <w:p w14:paraId="333C93CE" w14:textId="77777777" w:rsidR="003C700A" w:rsidRDefault="003C700A" w:rsidP="00304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757A1" w14:textId="77777777" w:rsidR="009255F1" w:rsidRPr="009255F1" w:rsidRDefault="009255F1" w:rsidP="009255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45012-03-20</w:t>
    </w:r>
    <w:r>
      <w:rPr>
        <w:rFonts w:ascii="David" w:hAnsi="David"/>
        <w:color w:val="000000"/>
        <w:sz w:val="22"/>
        <w:szCs w:val="22"/>
        <w:rtl/>
      </w:rPr>
      <w:tab/>
      <w:t xml:space="preserve"> מדינת ישראל נ' שחר חן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A426" w14:textId="77777777" w:rsidR="009255F1" w:rsidRPr="009255F1" w:rsidRDefault="009255F1" w:rsidP="009255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45012-03-20</w:t>
    </w:r>
    <w:r>
      <w:rPr>
        <w:rFonts w:ascii="David" w:hAnsi="David"/>
        <w:color w:val="000000"/>
        <w:sz w:val="22"/>
        <w:szCs w:val="22"/>
        <w:rtl/>
      </w:rPr>
      <w:tab/>
      <w:t xml:space="preserve"> מדינת ישראל נ' שחר חן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447C3"/>
    <w:multiLevelType w:val="hybridMultilevel"/>
    <w:tmpl w:val="09EE3F66"/>
    <w:lvl w:ilvl="0" w:tplc="93964842">
      <w:start w:val="1"/>
      <w:numFmt w:val="hebrew1"/>
      <w:lvlText w:val="%1."/>
      <w:lvlJc w:val="left"/>
      <w:pPr>
        <w:ind w:left="360" w:hanging="360"/>
      </w:pPr>
      <w:rPr>
        <w:rFonts w:ascii="David" w:hAnsi="David" w:cs="David" w:hint="default"/>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A982721"/>
    <w:multiLevelType w:val="hybridMultilevel"/>
    <w:tmpl w:val="92BA93CE"/>
    <w:lvl w:ilvl="0" w:tplc="9578996C">
      <w:start w:val="1"/>
      <w:numFmt w:val="decimal"/>
      <w:lvlText w:val="%1."/>
      <w:lvlJc w:val="left"/>
      <w:pPr>
        <w:ind w:left="360" w:hanging="360"/>
      </w:pPr>
      <w:rPr>
        <w:rFonts w:ascii="Arial" w:eastAsia="Times New Roman" w:hAnsi="Arial" w:cs="David"/>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949167614">
    <w:abstractNumId w:val="1"/>
  </w:num>
  <w:num w:numId="2" w16cid:durableId="9190226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29EC"/>
    <w:rsid w:val="000629EC"/>
    <w:rsid w:val="002802BB"/>
    <w:rsid w:val="002E0876"/>
    <w:rsid w:val="00304381"/>
    <w:rsid w:val="003C700A"/>
    <w:rsid w:val="009255F1"/>
    <w:rsid w:val="00992F28"/>
    <w:rsid w:val="00BB71A7"/>
    <w:rsid w:val="00C34053"/>
    <w:rsid w:val="00C501AB"/>
    <w:rsid w:val="00D847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C6BAF1"/>
  <w15:chartTrackingRefBased/>
  <w15:docId w15:val="{FE9BFF95-8BC7-4C47-9990-9F73A221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29E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629EC"/>
    <w:pPr>
      <w:tabs>
        <w:tab w:val="center" w:pos="4153"/>
        <w:tab w:val="right" w:pos="8306"/>
      </w:tabs>
    </w:pPr>
  </w:style>
  <w:style w:type="character" w:customStyle="1" w:styleId="a4">
    <w:name w:val="כותרת עליונה תו"/>
    <w:link w:val="a3"/>
    <w:rsid w:val="000629EC"/>
    <w:rPr>
      <w:rFonts w:ascii="Times New Roman" w:eastAsia="Times New Roman" w:hAnsi="Times New Roman" w:cs="David"/>
      <w:sz w:val="24"/>
      <w:szCs w:val="24"/>
    </w:rPr>
  </w:style>
  <w:style w:type="paragraph" w:styleId="a5">
    <w:name w:val="footer"/>
    <w:basedOn w:val="a"/>
    <w:link w:val="a6"/>
    <w:rsid w:val="000629EC"/>
    <w:pPr>
      <w:tabs>
        <w:tab w:val="center" w:pos="4153"/>
        <w:tab w:val="right" w:pos="8306"/>
      </w:tabs>
    </w:pPr>
  </w:style>
  <w:style w:type="character" w:customStyle="1" w:styleId="a6">
    <w:name w:val="כותרת תחתונה תו"/>
    <w:link w:val="a5"/>
    <w:rsid w:val="000629EC"/>
    <w:rPr>
      <w:rFonts w:ascii="Times New Roman" w:eastAsia="Times New Roman" w:hAnsi="Times New Roman" w:cs="David"/>
      <w:sz w:val="24"/>
      <w:szCs w:val="24"/>
    </w:rPr>
  </w:style>
  <w:style w:type="table" w:styleId="a7">
    <w:name w:val="Table Grid"/>
    <w:basedOn w:val="a1"/>
    <w:rsid w:val="000629E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629EC"/>
  </w:style>
  <w:style w:type="paragraph" w:customStyle="1" w:styleId="12">
    <w:name w:val="רגיל + ‏12 נק'"/>
    <w:aliases w:val="מיושר לשני הצדדים,מרווח בין שורות:  שורה וחצי"/>
    <w:basedOn w:val="a"/>
    <w:rsid w:val="000629EC"/>
    <w:rPr>
      <w:b/>
      <w:bCs/>
      <w:u w:val="single"/>
    </w:rPr>
  </w:style>
  <w:style w:type="paragraph" w:styleId="a9">
    <w:name w:val="List Paragraph"/>
    <w:basedOn w:val="a"/>
    <w:qFormat/>
    <w:rsid w:val="000629EC"/>
    <w:pPr>
      <w:spacing w:after="160" w:line="256" w:lineRule="auto"/>
      <w:ind w:left="720"/>
      <w:contextualSpacing/>
    </w:pPr>
    <w:rPr>
      <w:rFonts w:ascii="Calibri" w:eastAsia="Calibri" w:hAnsi="Calibri" w:cs="Arial"/>
      <w:sz w:val="22"/>
      <w:szCs w:val="22"/>
    </w:rPr>
  </w:style>
  <w:style w:type="character" w:styleId="Hyperlink">
    <w:name w:val="Hyperlink"/>
    <w:rsid w:val="009255F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23602844" TargetMode="External"/><Relationship Id="rId39" Type="http://schemas.openxmlformats.org/officeDocument/2006/relationships/hyperlink" Target="http://www.nevo.co.il/case/23840868" TargetMode="External"/><Relationship Id="rId21" Type="http://schemas.openxmlformats.org/officeDocument/2006/relationships/hyperlink" Target="http://www.nevo.co.il/law/4216/9.d" TargetMode="External"/><Relationship Id="rId34" Type="http://schemas.openxmlformats.org/officeDocument/2006/relationships/hyperlink" Target="http://www.nevo.co.il/case/26161326"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236028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9.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2791245" TargetMode="External"/><Relationship Id="rId37" Type="http://schemas.openxmlformats.org/officeDocument/2006/relationships/hyperlink" Target="http://www.nevo.co.il/case/2546471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0" TargetMode="External"/><Relationship Id="rId23" Type="http://schemas.openxmlformats.org/officeDocument/2006/relationships/hyperlink" Target="http://www.nevo.co.il/law/70301/400" TargetMode="External"/><Relationship Id="rId28" Type="http://schemas.openxmlformats.org/officeDocument/2006/relationships/hyperlink" Target="http://www.nevo.co.il/case/26418332" TargetMode="External"/><Relationship Id="rId36" Type="http://schemas.openxmlformats.org/officeDocument/2006/relationships/hyperlink" Target="http://www.nevo.co.il/case/24221950"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1644133"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0" TargetMode="External"/><Relationship Id="rId27" Type="http://schemas.openxmlformats.org/officeDocument/2006/relationships/hyperlink" Target="http://www.nevo.co.il/case/23602843" TargetMode="External"/><Relationship Id="rId30" Type="http://schemas.openxmlformats.org/officeDocument/2006/relationships/hyperlink" Target="http://www.nevo.co.il/case/22841413" TargetMode="External"/><Relationship Id="rId35" Type="http://schemas.openxmlformats.org/officeDocument/2006/relationships/hyperlink" Target="http://www.nevo.co.il/case/25469088" TargetMode="External"/><Relationship Id="rId43"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9.d"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3827604" TargetMode="External"/><Relationship Id="rId33" Type="http://schemas.openxmlformats.org/officeDocument/2006/relationships/hyperlink" Target="http://www.nevo.co.il/case/26084597" TargetMode="External"/><Relationship Id="rId38" Type="http://schemas.openxmlformats.org/officeDocument/2006/relationships/hyperlink" Target="http://www.nevo.co.il/case/25022712" TargetMode="External"/><Relationship Id="rId46" Type="http://schemas.openxmlformats.org/officeDocument/2006/relationships/theme" Target="theme/theme1.xml"/><Relationship Id="rId20" Type="http://schemas.openxmlformats.org/officeDocument/2006/relationships/hyperlink" Target="http://www.nevo.co.il/law/4216/9.a"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2859</Words>
  <Characters>14299</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17124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3932283</vt:i4>
      </vt:variant>
      <vt:variant>
        <vt:i4>96</vt:i4>
      </vt:variant>
      <vt:variant>
        <vt:i4>0</vt:i4>
      </vt:variant>
      <vt:variant>
        <vt:i4>5</vt:i4>
      </vt:variant>
      <vt:variant>
        <vt:lpwstr>http://www.nevo.co.il/case/23840868</vt:lpwstr>
      </vt:variant>
      <vt:variant>
        <vt:lpwstr/>
      </vt:variant>
      <vt:variant>
        <vt:i4>3211380</vt:i4>
      </vt:variant>
      <vt:variant>
        <vt:i4>93</vt:i4>
      </vt:variant>
      <vt:variant>
        <vt:i4>0</vt:i4>
      </vt:variant>
      <vt:variant>
        <vt:i4>5</vt:i4>
      </vt:variant>
      <vt:variant>
        <vt:lpwstr>http://www.nevo.co.il/case/25022712</vt:lpwstr>
      </vt:variant>
      <vt:variant>
        <vt:lpwstr/>
      </vt:variant>
      <vt:variant>
        <vt:i4>3342448</vt:i4>
      </vt:variant>
      <vt:variant>
        <vt:i4>90</vt:i4>
      </vt:variant>
      <vt:variant>
        <vt:i4>0</vt:i4>
      </vt:variant>
      <vt:variant>
        <vt:i4>5</vt:i4>
      </vt:variant>
      <vt:variant>
        <vt:lpwstr>http://www.nevo.co.il/case/25464716</vt:lpwstr>
      </vt:variant>
      <vt:variant>
        <vt:lpwstr/>
      </vt:variant>
      <vt:variant>
        <vt:i4>3407995</vt:i4>
      </vt:variant>
      <vt:variant>
        <vt:i4>87</vt:i4>
      </vt:variant>
      <vt:variant>
        <vt:i4>0</vt:i4>
      </vt:variant>
      <vt:variant>
        <vt:i4>5</vt:i4>
      </vt:variant>
      <vt:variant>
        <vt:lpwstr>http://www.nevo.co.il/case/24221950</vt:lpwstr>
      </vt:variant>
      <vt:variant>
        <vt:lpwstr/>
      </vt:variant>
      <vt:variant>
        <vt:i4>3604599</vt:i4>
      </vt:variant>
      <vt:variant>
        <vt:i4>84</vt:i4>
      </vt:variant>
      <vt:variant>
        <vt:i4>0</vt:i4>
      </vt:variant>
      <vt:variant>
        <vt:i4>5</vt:i4>
      </vt:variant>
      <vt:variant>
        <vt:lpwstr>http://www.nevo.co.il/case/25469088</vt:lpwstr>
      </vt:variant>
      <vt:variant>
        <vt:lpwstr/>
      </vt:variant>
      <vt:variant>
        <vt:i4>3145847</vt:i4>
      </vt:variant>
      <vt:variant>
        <vt:i4>81</vt:i4>
      </vt:variant>
      <vt:variant>
        <vt:i4>0</vt:i4>
      </vt:variant>
      <vt:variant>
        <vt:i4>5</vt:i4>
      </vt:variant>
      <vt:variant>
        <vt:lpwstr>http://www.nevo.co.il/case/26161326</vt:lpwstr>
      </vt:variant>
      <vt:variant>
        <vt:lpwstr/>
      </vt:variant>
      <vt:variant>
        <vt:i4>4128895</vt:i4>
      </vt:variant>
      <vt:variant>
        <vt:i4>78</vt:i4>
      </vt:variant>
      <vt:variant>
        <vt:i4>0</vt:i4>
      </vt:variant>
      <vt:variant>
        <vt:i4>5</vt:i4>
      </vt:variant>
      <vt:variant>
        <vt:lpwstr>http://www.nevo.co.il/case/26084597</vt:lpwstr>
      </vt:variant>
      <vt:variant>
        <vt:lpwstr/>
      </vt:variant>
      <vt:variant>
        <vt:i4>3145853</vt:i4>
      </vt:variant>
      <vt:variant>
        <vt:i4>75</vt:i4>
      </vt:variant>
      <vt:variant>
        <vt:i4>0</vt:i4>
      </vt:variant>
      <vt:variant>
        <vt:i4>5</vt:i4>
      </vt:variant>
      <vt:variant>
        <vt:lpwstr>http://www.nevo.co.il/case/22791245</vt:lpwstr>
      </vt:variant>
      <vt:variant>
        <vt:lpwstr/>
      </vt:variant>
      <vt:variant>
        <vt:i4>3342448</vt:i4>
      </vt:variant>
      <vt:variant>
        <vt:i4>72</vt:i4>
      </vt:variant>
      <vt:variant>
        <vt:i4>0</vt:i4>
      </vt:variant>
      <vt:variant>
        <vt:i4>5</vt:i4>
      </vt:variant>
      <vt:variant>
        <vt:lpwstr>http://www.nevo.co.il/case/21644133</vt:lpwstr>
      </vt:variant>
      <vt:variant>
        <vt:lpwstr/>
      </vt:variant>
      <vt:variant>
        <vt:i4>3801206</vt:i4>
      </vt:variant>
      <vt:variant>
        <vt:i4>69</vt:i4>
      </vt:variant>
      <vt:variant>
        <vt:i4>0</vt:i4>
      </vt:variant>
      <vt:variant>
        <vt:i4>5</vt:i4>
      </vt:variant>
      <vt:variant>
        <vt:lpwstr>http://www.nevo.co.il/case/22841413</vt:lpwstr>
      </vt:variant>
      <vt:variant>
        <vt:lpwstr/>
      </vt:variant>
      <vt:variant>
        <vt:i4>3276927</vt:i4>
      </vt:variant>
      <vt:variant>
        <vt:i4>66</vt:i4>
      </vt:variant>
      <vt:variant>
        <vt:i4>0</vt:i4>
      </vt:variant>
      <vt:variant>
        <vt:i4>5</vt:i4>
      </vt:variant>
      <vt:variant>
        <vt:lpwstr>http://www.nevo.co.il/case/23602844</vt:lpwstr>
      </vt:variant>
      <vt:variant>
        <vt:lpwstr/>
      </vt:variant>
      <vt:variant>
        <vt:i4>3997808</vt:i4>
      </vt:variant>
      <vt:variant>
        <vt:i4>63</vt:i4>
      </vt:variant>
      <vt:variant>
        <vt:i4>0</vt:i4>
      </vt:variant>
      <vt:variant>
        <vt:i4>5</vt:i4>
      </vt:variant>
      <vt:variant>
        <vt:lpwstr>http://www.nevo.co.il/case/26418332</vt:lpwstr>
      </vt:variant>
      <vt:variant>
        <vt:lpwstr/>
      </vt:variant>
      <vt:variant>
        <vt:i4>3276927</vt:i4>
      </vt:variant>
      <vt:variant>
        <vt:i4>60</vt:i4>
      </vt:variant>
      <vt:variant>
        <vt:i4>0</vt:i4>
      </vt:variant>
      <vt:variant>
        <vt:i4>5</vt:i4>
      </vt:variant>
      <vt:variant>
        <vt:lpwstr>http://www.nevo.co.il/case/23602843</vt:lpwstr>
      </vt:variant>
      <vt:variant>
        <vt:lpwstr/>
      </vt:variant>
      <vt:variant>
        <vt:i4>3276927</vt:i4>
      </vt:variant>
      <vt:variant>
        <vt:i4>57</vt:i4>
      </vt:variant>
      <vt:variant>
        <vt:i4>0</vt:i4>
      </vt:variant>
      <vt:variant>
        <vt:i4>5</vt:i4>
      </vt:variant>
      <vt:variant>
        <vt:lpwstr>http://www.nevo.co.il/case/23602844</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http://www.nevo.co.il/law/70301/400</vt:lpwstr>
      </vt:variant>
      <vt:variant>
        <vt:lpwstr/>
      </vt:variant>
      <vt:variant>
        <vt:i4>5177418</vt:i4>
      </vt:variant>
      <vt:variant>
        <vt:i4>45</vt:i4>
      </vt:variant>
      <vt:variant>
        <vt:i4>0</vt:i4>
      </vt:variant>
      <vt:variant>
        <vt:i4>5</vt:i4>
      </vt:variant>
      <vt:variant>
        <vt:lpwstr>http://www.nevo.co.il/law/4216/10</vt:lpwstr>
      </vt:variant>
      <vt:variant>
        <vt:lpwstr/>
      </vt:variant>
      <vt:variant>
        <vt:i4>2293860</vt:i4>
      </vt:variant>
      <vt:variant>
        <vt:i4>42</vt:i4>
      </vt:variant>
      <vt:variant>
        <vt:i4>0</vt:i4>
      </vt:variant>
      <vt:variant>
        <vt:i4>5</vt:i4>
      </vt:variant>
      <vt:variant>
        <vt:lpwstr>http://www.nevo.co.il/law/4216/9.d</vt:lpwstr>
      </vt:variant>
      <vt:variant>
        <vt:lpwstr/>
      </vt:variant>
      <vt:variant>
        <vt:i4>2490468</vt:i4>
      </vt:variant>
      <vt:variant>
        <vt:i4>39</vt:i4>
      </vt:variant>
      <vt:variant>
        <vt:i4>0</vt:i4>
      </vt:variant>
      <vt:variant>
        <vt:i4>5</vt:i4>
      </vt:variant>
      <vt:variant>
        <vt:lpwstr>http://www.nevo.co.il/law/4216/9.a</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2293860</vt:i4>
      </vt:variant>
      <vt:variant>
        <vt:i4>15</vt:i4>
      </vt:variant>
      <vt:variant>
        <vt:i4>0</vt:i4>
      </vt:variant>
      <vt:variant>
        <vt:i4>5</vt:i4>
      </vt:variant>
      <vt:variant>
        <vt:lpwstr>http://www.nevo.co.il/law/4216/9.d</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2025-04-22T21:05:00Z</dcterms:created>
  <dcterms:modified xsi:type="dcterms:W3CDTF">2025-04-22T21:05:00Z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45012</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שחר חן</vt:lpwstr>
  </property>
  <property fmtid="{D5CDD505-2E9C-101B-9397-08002B2CF9AE}" pid="10" name="LAWYER">
    <vt:lpwstr>ענת בן זאב שלי קוטין;אלעד רט</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20200802</vt:lpwstr>
  </property>
  <property fmtid="{D5CDD505-2E9C-101B-9397-08002B2CF9AE}" pid="14" name="TYPE_N_DATE">
    <vt:lpwstr>39020200802</vt:lpwstr>
  </property>
  <property fmtid="{D5CDD505-2E9C-101B-9397-08002B2CF9AE}" pid="15" name="CASESLISTTMP1">
    <vt:lpwstr>23827604;23602844:2;23602843;26418332;22841413;21644133;22791245;26084597;26161326;25469088;24221950;25464716;25022712;23840868</vt:lpwstr>
  </property>
  <property fmtid="{D5CDD505-2E9C-101B-9397-08002B2CF9AE}" pid="16" name="WORDNUMPAGES">
    <vt:lpwstr>7</vt:lpwstr>
  </property>
  <property fmtid="{D5CDD505-2E9C-101B-9397-08002B2CF9AE}" pid="17" name="TYPE_ABS_DATE">
    <vt:lpwstr>390020200802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4216/006;007.a;007.c;009.a;009.d;010</vt:lpwstr>
  </property>
  <property fmtid="{D5CDD505-2E9C-101B-9397-08002B2CF9AE}" pid="37" name="LAWLISTTMP2">
    <vt:lpwstr>70301/400</vt:lpwstr>
  </property>
</Properties>
</file>