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0771FA" w:rsidRPr="009B4270" w14:paraId="628B868F" w14:textId="77777777" w:rsidTr="00494F8D">
        <w:trPr>
          <w:trHeight w:hRule="exact" w:val="418"/>
          <w:jc w:val="center"/>
        </w:trPr>
        <w:tc>
          <w:tcPr>
            <w:tcW w:w="8721" w:type="dxa"/>
            <w:gridSpan w:val="2"/>
          </w:tcPr>
          <w:p w14:paraId="3C995CD7" w14:textId="77777777" w:rsidR="000771FA" w:rsidRPr="009B4270" w:rsidRDefault="000771FA" w:rsidP="00560069">
            <w:pPr>
              <w:pStyle w:val="a3"/>
              <w:jc w:val="center"/>
              <w:rPr>
                <w:rFonts w:ascii="Tahoma" w:hAnsi="Tahoma" w:cs="Tahoma"/>
                <w:color w:val="000080"/>
                <w:rtl/>
              </w:rPr>
            </w:pPr>
            <w:bookmarkStart w:id="0" w:name="LastJudge"/>
            <w:r w:rsidRPr="009B4270">
              <w:rPr>
                <w:rFonts w:ascii="Tahoma" w:hAnsi="Tahoma" w:cs="Tahoma"/>
                <w:b/>
                <w:bCs/>
                <w:color w:val="000080"/>
                <w:rtl/>
              </w:rPr>
              <w:t>בית המשפט המחוזי בחיפה</w:t>
            </w:r>
          </w:p>
        </w:tc>
      </w:tr>
      <w:tr w:rsidR="000771FA" w:rsidRPr="009B4270" w14:paraId="15633EC8" w14:textId="77777777" w:rsidTr="00494F8D">
        <w:trPr>
          <w:trHeight w:val="337"/>
          <w:jc w:val="center"/>
        </w:trPr>
        <w:tc>
          <w:tcPr>
            <w:tcW w:w="5062" w:type="dxa"/>
          </w:tcPr>
          <w:p w14:paraId="1DB60FB7" w14:textId="77777777" w:rsidR="000771FA" w:rsidRPr="009B4270" w:rsidRDefault="000771FA" w:rsidP="00560069">
            <w:pPr>
              <w:rPr>
                <w:rFonts w:cs="FrankRuehl"/>
                <w:sz w:val="28"/>
                <w:szCs w:val="28"/>
                <w:rtl/>
              </w:rPr>
            </w:pPr>
            <w:r w:rsidRPr="009B4270">
              <w:rPr>
                <w:rFonts w:cs="FrankRuehl"/>
                <w:sz w:val="28"/>
                <w:szCs w:val="28"/>
                <w:rtl/>
              </w:rPr>
              <w:t>ת"פ</w:t>
            </w:r>
            <w:r w:rsidRPr="009B4270">
              <w:rPr>
                <w:rFonts w:cs="FrankRuehl" w:hint="cs"/>
                <w:sz w:val="28"/>
                <w:szCs w:val="28"/>
                <w:rtl/>
              </w:rPr>
              <w:t xml:space="preserve"> </w:t>
            </w:r>
            <w:r w:rsidRPr="009B4270">
              <w:rPr>
                <w:rFonts w:cs="FrankRuehl"/>
                <w:sz w:val="28"/>
                <w:szCs w:val="28"/>
                <w:rtl/>
              </w:rPr>
              <w:t>57813-05-20</w:t>
            </w:r>
            <w:r w:rsidRPr="009B4270">
              <w:rPr>
                <w:rFonts w:cs="FrankRuehl" w:hint="cs"/>
                <w:sz w:val="28"/>
                <w:szCs w:val="28"/>
                <w:rtl/>
              </w:rPr>
              <w:t xml:space="preserve"> </w:t>
            </w:r>
            <w:r w:rsidRPr="009B4270">
              <w:rPr>
                <w:rFonts w:cs="FrankRuehl"/>
                <w:sz w:val="28"/>
                <w:szCs w:val="28"/>
                <w:rtl/>
              </w:rPr>
              <w:t>מדינת ישראל נ' אבו חמוד(עצור/אסיר בפיקוח)</w:t>
            </w:r>
          </w:p>
          <w:p w14:paraId="6C85AB4E" w14:textId="77777777" w:rsidR="000771FA" w:rsidRPr="009B4270" w:rsidRDefault="000771FA" w:rsidP="00560069">
            <w:pPr>
              <w:pStyle w:val="a3"/>
              <w:rPr>
                <w:rFonts w:cs="FrankRuehl"/>
                <w:sz w:val="28"/>
                <w:szCs w:val="28"/>
                <w:rtl/>
              </w:rPr>
            </w:pPr>
          </w:p>
        </w:tc>
        <w:tc>
          <w:tcPr>
            <w:tcW w:w="3659" w:type="dxa"/>
          </w:tcPr>
          <w:p w14:paraId="5F09C8A5" w14:textId="77777777" w:rsidR="000771FA" w:rsidRPr="009B4270" w:rsidRDefault="000771FA" w:rsidP="00560069">
            <w:pPr>
              <w:pStyle w:val="a3"/>
              <w:jc w:val="right"/>
              <w:rPr>
                <w:rFonts w:cs="FrankRuehl"/>
                <w:sz w:val="28"/>
                <w:szCs w:val="28"/>
                <w:rtl/>
              </w:rPr>
            </w:pPr>
          </w:p>
        </w:tc>
      </w:tr>
    </w:tbl>
    <w:p w14:paraId="1B6C3428" w14:textId="77777777" w:rsidR="000771FA" w:rsidRPr="009B4270" w:rsidRDefault="000771FA" w:rsidP="000771FA">
      <w:pPr>
        <w:pStyle w:val="a3"/>
        <w:rPr>
          <w:rtl/>
        </w:rPr>
      </w:pPr>
      <w:r w:rsidRPr="009B4270">
        <w:rPr>
          <w:rFonts w:hint="cs"/>
          <w:rtl/>
        </w:rPr>
        <w:t xml:space="preserve"> </w:t>
      </w:r>
    </w:p>
    <w:p w14:paraId="2119B089" w14:textId="77777777" w:rsidR="000771FA" w:rsidRPr="009B4270" w:rsidRDefault="000771FA" w:rsidP="000771FA">
      <w:pPr>
        <w:spacing w:line="360" w:lineRule="auto"/>
        <w:jc w:val="both"/>
        <w:rPr>
          <w:rFonts w:ascii="David" w:hAnsi="David"/>
          <w:sz w:val="6"/>
          <w:szCs w:val="6"/>
          <w:rtl/>
        </w:rPr>
      </w:pPr>
    </w:p>
    <w:p w14:paraId="71962E9D" w14:textId="77777777" w:rsidR="000771FA" w:rsidRPr="009B4270" w:rsidRDefault="000771FA" w:rsidP="000771FA">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0771FA" w:rsidRPr="009B4270" w14:paraId="440BA17E" w14:textId="77777777" w:rsidTr="000771FA">
        <w:trPr>
          <w:gridAfter w:val="1"/>
          <w:wAfter w:w="56" w:type="dxa"/>
        </w:trPr>
        <w:tc>
          <w:tcPr>
            <w:tcW w:w="8718" w:type="dxa"/>
            <w:gridSpan w:val="2"/>
            <w:shd w:val="clear" w:color="auto" w:fill="auto"/>
          </w:tcPr>
          <w:p w14:paraId="29873BBE" w14:textId="77777777" w:rsidR="000771FA" w:rsidRPr="009B4270" w:rsidRDefault="000771FA" w:rsidP="00560069">
            <w:pPr>
              <w:rPr>
                <w:rFonts w:ascii="David" w:hAnsi="David"/>
                <w:b/>
                <w:bCs/>
                <w:sz w:val="26"/>
                <w:szCs w:val="26"/>
                <w:rtl/>
              </w:rPr>
            </w:pPr>
            <w:r w:rsidRPr="009B4270">
              <w:rPr>
                <w:rFonts w:ascii="David" w:hAnsi="David"/>
                <w:b/>
                <w:bCs/>
                <w:sz w:val="26"/>
                <w:szCs w:val="26"/>
                <w:rtl/>
              </w:rPr>
              <w:t>לפני כבוד השופט ארז פורת</w:t>
            </w:r>
            <w:r w:rsidRPr="009B4270">
              <w:rPr>
                <w:rStyle w:val="TimesNewRomanTimesNewRoman"/>
                <w:rFonts w:ascii="David" w:hAnsi="David"/>
                <w:rtl/>
              </w:rPr>
              <w:t xml:space="preserve"> </w:t>
            </w:r>
          </w:p>
        </w:tc>
      </w:tr>
      <w:tr w:rsidR="000771FA" w:rsidRPr="009B4270" w14:paraId="7F4C23F8" w14:textId="77777777" w:rsidTr="000771FA">
        <w:trPr>
          <w:cantSplit/>
          <w:trHeight w:val="724"/>
        </w:trPr>
        <w:tc>
          <w:tcPr>
            <w:tcW w:w="2880" w:type="dxa"/>
            <w:shd w:val="clear" w:color="auto" w:fill="auto"/>
          </w:tcPr>
          <w:p w14:paraId="0D3F44D4" w14:textId="77777777" w:rsidR="000771FA" w:rsidRPr="009B4270" w:rsidRDefault="000771FA" w:rsidP="00560069">
            <w:pPr>
              <w:rPr>
                <w:rFonts w:ascii="David" w:hAnsi="David"/>
                <w:b/>
                <w:bCs/>
                <w:sz w:val="26"/>
                <w:szCs w:val="26"/>
                <w:rtl/>
              </w:rPr>
            </w:pPr>
            <w:bookmarkStart w:id="1" w:name="FirstAppellant"/>
          </w:p>
          <w:p w14:paraId="4F403BA0" w14:textId="77777777" w:rsidR="000771FA" w:rsidRPr="009B4270" w:rsidRDefault="000771FA" w:rsidP="00560069">
            <w:pPr>
              <w:rPr>
                <w:rFonts w:ascii="David" w:hAnsi="David"/>
                <w:b/>
                <w:bCs/>
                <w:sz w:val="26"/>
                <w:szCs w:val="26"/>
                <w:rtl/>
              </w:rPr>
            </w:pPr>
            <w:r w:rsidRPr="009B4270">
              <w:rPr>
                <w:rFonts w:ascii="David" w:hAnsi="David"/>
                <w:b/>
                <w:bCs/>
                <w:sz w:val="26"/>
                <w:szCs w:val="26"/>
                <w:rtl/>
              </w:rPr>
              <w:t>המאשימה</w:t>
            </w:r>
          </w:p>
        </w:tc>
        <w:tc>
          <w:tcPr>
            <w:tcW w:w="5922" w:type="dxa"/>
            <w:gridSpan w:val="2"/>
            <w:shd w:val="clear" w:color="auto" w:fill="auto"/>
          </w:tcPr>
          <w:p w14:paraId="6E3C5552" w14:textId="77777777" w:rsidR="000771FA" w:rsidRPr="009B4270" w:rsidRDefault="000771FA" w:rsidP="00560069">
            <w:pPr>
              <w:rPr>
                <w:rFonts w:ascii="David" w:hAnsi="David"/>
                <w:rtl/>
              </w:rPr>
            </w:pPr>
          </w:p>
          <w:p w14:paraId="1BA20FB8" w14:textId="77777777" w:rsidR="000771FA" w:rsidRPr="009B4270" w:rsidRDefault="000771FA" w:rsidP="00560069">
            <w:pPr>
              <w:rPr>
                <w:rFonts w:ascii="David" w:hAnsi="David"/>
                <w:b/>
                <w:bCs/>
                <w:sz w:val="26"/>
                <w:szCs w:val="26"/>
                <w:rtl/>
              </w:rPr>
            </w:pPr>
            <w:r w:rsidRPr="009B4270">
              <w:rPr>
                <w:rFonts w:ascii="David" w:hAnsi="David"/>
                <w:rtl/>
              </w:rPr>
              <w:t xml:space="preserve"> </w:t>
            </w:r>
            <w:r w:rsidRPr="009B4270">
              <w:rPr>
                <w:rFonts w:ascii="David" w:hAnsi="David"/>
                <w:b/>
                <w:bCs/>
                <w:sz w:val="26"/>
                <w:szCs w:val="26"/>
                <w:rtl/>
              </w:rPr>
              <w:t>מדינת ישראל</w:t>
            </w:r>
          </w:p>
          <w:p w14:paraId="3341D319" w14:textId="77777777" w:rsidR="000771FA" w:rsidRPr="009B4270" w:rsidRDefault="000771FA" w:rsidP="00560069">
            <w:pPr>
              <w:rPr>
                <w:rFonts w:ascii="David" w:hAnsi="David"/>
                <w:b/>
                <w:bCs/>
                <w:sz w:val="26"/>
                <w:szCs w:val="26"/>
                <w:rtl/>
              </w:rPr>
            </w:pPr>
          </w:p>
        </w:tc>
      </w:tr>
      <w:bookmarkEnd w:id="1"/>
      <w:tr w:rsidR="000771FA" w:rsidRPr="009B4270" w14:paraId="14B90FA1" w14:textId="77777777" w:rsidTr="000771FA">
        <w:tc>
          <w:tcPr>
            <w:tcW w:w="8802" w:type="dxa"/>
            <w:gridSpan w:val="3"/>
            <w:shd w:val="clear" w:color="auto" w:fill="auto"/>
            <w:vAlign w:val="center"/>
          </w:tcPr>
          <w:p w14:paraId="270CE2A6" w14:textId="77777777" w:rsidR="000771FA" w:rsidRPr="009B4270" w:rsidRDefault="000771FA" w:rsidP="00560069">
            <w:pPr>
              <w:rPr>
                <w:rFonts w:ascii="David" w:hAnsi="David"/>
                <w:b/>
                <w:bCs/>
                <w:sz w:val="26"/>
                <w:szCs w:val="26"/>
                <w:rtl/>
              </w:rPr>
            </w:pPr>
          </w:p>
          <w:p w14:paraId="345FB008" w14:textId="77777777" w:rsidR="000771FA" w:rsidRPr="009B4270" w:rsidRDefault="000771FA" w:rsidP="000771FA">
            <w:pPr>
              <w:jc w:val="center"/>
              <w:rPr>
                <w:rFonts w:ascii="David" w:hAnsi="David"/>
                <w:b/>
                <w:bCs/>
                <w:sz w:val="26"/>
                <w:szCs w:val="26"/>
                <w:rtl/>
              </w:rPr>
            </w:pPr>
            <w:r w:rsidRPr="009B4270">
              <w:rPr>
                <w:rFonts w:ascii="David" w:hAnsi="David"/>
                <w:b/>
                <w:bCs/>
                <w:sz w:val="26"/>
                <w:szCs w:val="26"/>
                <w:rtl/>
              </w:rPr>
              <w:t>נגד</w:t>
            </w:r>
          </w:p>
          <w:p w14:paraId="55F0DF73" w14:textId="77777777" w:rsidR="000771FA" w:rsidRPr="009B4270" w:rsidRDefault="000771FA" w:rsidP="00560069">
            <w:pPr>
              <w:rPr>
                <w:rFonts w:ascii="David" w:hAnsi="David"/>
                <w:b/>
                <w:bCs/>
                <w:sz w:val="26"/>
                <w:szCs w:val="26"/>
                <w:rtl/>
              </w:rPr>
            </w:pPr>
          </w:p>
        </w:tc>
      </w:tr>
      <w:tr w:rsidR="000771FA" w:rsidRPr="009B4270" w14:paraId="7F7A8E5A" w14:textId="77777777" w:rsidTr="000771FA">
        <w:tc>
          <w:tcPr>
            <w:tcW w:w="2880" w:type="dxa"/>
            <w:shd w:val="clear" w:color="auto" w:fill="auto"/>
          </w:tcPr>
          <w:p w14:paraId="1A994698" w14:textId="77777777" w:rsidR="000771FA" w:rsidRPr="009B4270" w:rsidRDefault="000771FA" w:rsidP="00560069">
            <w:pPr>
              <w:rPr>
                <w:rFonts w:ascii="David" w:hAnsi="David"/>
                <w:b/>
                <w:bCs/>
                <w:sz w:val="26"/>
                <w:szCs w:val="26"/>
              </w:rPr>
            </w:pPr>
            <w:r w:rsidRPr="009B4270">
              <w:rPr>
                <w:rFonts w:ascii="David" w:hAnsi="David"/>
                <w:b/>
                <w:bCs/>
                <w:sz w:val="26"/>
                <w:szCs w:val="26"/>
                <w:rtl/>
              </w:rPr>
              <w:t>הנאשם</w:t>
            </w:r>
          </w:p>
        </w:tc>
        <w:tc>
          <w:tcPr>
            <w:tcW w:w="5922" w:type="dxa"/>
            <w:gridSpan w:val="2"/>
            <w:shd w:val="clear" w:color="auto" w:fill="auto"/>
          </w:tcPr>
          <w:p w14:paraId="0535E40E" w14:textId="77777777" w:rsidR="000771FA" w:rsidRPr="009B4270" w:rsidRDefault="000771FA" w:rsidP="00560069">
            <w:pPr>
              <w:rPr>
                <w:rFonts w:ascii="David" w:hAnsi="David"/>
                <w:b/>
                <w:bCs/>
                <w:sz w:val="26"/>
                <w:szCs w:val="26"/>
                <w:rtl/>
              </w:rPr>
            </w:pPr>
            <w:r w:rsidRPr="009B4270">
              <w:rPr>
                <w:rFonts w:ascii="David" w:hAnsi="David"/>
                <w:rtl/>
              </w:rPr>
              <w:t xml:space="preserve"> </w:t>
            </w:r>
            <w:r w:rsidRPr="009B4270">
              <w:rPr>
                <w:rFonts w:ascii="David" w:hAnsi="David"/>
                <w:b/>
                <w:bCs/>
                <w:sz w:val="26"/>
                <w:szCs w:val="26"/>
                <w:rtl/>
              </w:rPr>
              <w:t>מוראד אבו חמוד (אסיר בפיקוח)</w:t>
            </w:r>
            <w:r w:rsidRPr="009B4270">
              <w:rPr>
                <w:rFonts w:ascii="David" w:hAnsi="David"/>
                <w:rtl/>
              </w:rPr>
              <w:t xml:space="preserve"> </w:t>
            </w:r>
            <w:r w:rsidRPr="009B4270">
              <w:rPr>
                <w:rFonts w:ascii="David" w:hAnsi="David"/>
                <w:b/>
                <w:bCs/>
                <w:sz w:val="26"/>
                <w:szCs w:val="26"/>
                <w:rtl/>
              </w:rPr>
              <w:t xml:space="preserve">ת"ז  </w:t>
            </w:r>
            <w:r w:rsidR="009B4270">
              <w:rPr>
                <w:rFonts w:ascii="David" w:hAnsi="David"/>
                <w:b/>
                <w:bCs/>
                <w:sz w:val="26"/>
                <w:szCs w:val="26"/>
              </w:rPr>
              <w:t>xxxxxxxxxx</w:t>
            </w:r>
          </w:p>
        </w:tc>
      </w:tr>
    </w:tbl>
    <w:p w14:paraId="1BB4056A" w14:textId="77777777" w:rsidR="000771FA" w:rsidRPr="009B4270" w:rsidRDefault="000771FA" w:rsidP="000771FA">
      <w:pPr>
        <w:spacing w:line="360" w:lineRule="auto"/>
        <w:jc w:val="both"/>
        <w:rPr>
          <w:rFonts w:ascii="David" w:hAnsi="David"/>
          <w:sz w:val="6"/>
          <w:szCs w:val="6"/>
          <w:rtl/>
        </w:rPr>
      </w:pPr>
      <w:r w:rsidRPr="009B4270">
        <w:rPr>
          <w:rFonts w:ascii="David" w:hAnsi="David"/>
          <w:sz w:val="6"/>
          <w:szCs w:val="6"/>
          <w:rtl/>
        </w:rPr>
        <w:t>&lt;#1#&gt;</w:t>
      </w:r>
    </w:p>
    <w:p w14:paraId="64406A94" w14:textId="77777777" w:rsidR="00494F8D" w:rsidRDefault="00494F8D" w:rsidP="000771FA">
      <w:pPr>
        <w:rPr>
          <w:rFonts w:ascii="David" w:hAnsi="David"/>
          <w:rtl/>
        </w:rPr>
      </w:pPr>
    </w:p>
    <w:p w14:paraId="16459D04" w14:textId="77777777" w:rsidR="00494F8D" w:rsidRPr="00494F8D" w:rsidRDefault="00494F8D" w:rsidP="00494F8D">
      <w:pPr>
        <w:spacing w:after="120" w:line="240" w:lineRule="exact"/>
        <w:ind w:left="283" w:hanging="283"/>
        <w:jc w:val="both"/>
        <w:rPr>
          <w:rFonts w:ascii="FrankRuehl" w:hAnsi="FrankRuehl" w:cs="FrankRuehl"/>
          <w:rtl/>
        </w:rPr>
      </w:pPr>
    </w:p>
    <w:p w14:paraId="07A54F7D" w14:textId="77777777" w:rsidR="00BA340B" w:rsidRDefault="00BA340B" w:rsidP="00BA340B">
      <w:pPr>
        <w:rPr>
          <w:rFonts w:ascii="David" w:hAnsi="David"/>
          <w:sz w:val="26"/>
          <w:szCs w:val="26"/>
          <w:rtl/>
        </w:rPr>
      </w:pPr>
      <w:bookmarkStart w:id="2" w:name="LawTable"/>
      <w:bookmarkEnd w:id="2"/>
    </w:p>
    <w:p w14:paraId="6BE72841" w14:textId="77777777" w:rsidR="00BA340B" w:rsidRPr="00BA340B" w:rsidRDefault="00BA340B" w:rsidP="00BA340B">
      <w:pPr>
        <w:spacing w:before="120" w:after="120" w:line="240" w:lineRule="exact"/>
        <w:ind w:left="283" w:hanging="283"/>
        <w:jc w:val="both"/>
        <w:rPr>
          <w:rFonts w:ascii="FrankRuehl" w:hAnsi="FrankRuehl" w:cs="FrankRuehl"/>
          <w:rtl/>
        </w:rPr>
      </w:pPr>
    </w:p>
    <w:p w14:paraId="1E002825" w14:textId="77777777" w:rsidR="00BA340B" w:rsidRPr="00BA340B" w:rsidRDefault="00BA340B" w:rsidP="00BA340B">
      <w:pPr>
        <w:spacing w:before="120" w:after="120" w:line="240" w:lineRule="exact"/>
        <w:ind w:left="283" w:hanging="283"/>
        <w:jc w:val="both"/>
        <w:rPr>
          <w:rFonts w:ascii="FrankRuehl" w:hAnsi="FrankRuehl" w:cs="FrankRuehl"/>
          <w:rtl/>
        </w:rPr>
      </w:pPr>
    </w:p>
    <w:p w14:paraId="0710E7E4" w14:textId="77777777" w:rsidR="00BA340B" w:rsidRPr="00BA340B" w:rsidRDefault="00BA340B" w:rsidP="00BA340B">
      <w:pPr>
        <w:spacing w:before="120" w:after="120" w:line="240" w:lineRule="exact"/>
        <w:ind w:left="283" w:hanging="283"/>
        <w:jc w:val="both"/>
        <w:rPr>
          <w:rFonts w:ascii="FrankRuehl" w:hAnsi="FrankRuehl" w:cs="FrankRuehl"/>
          <w:rtl/>
        </w:rPr>
      </w:pPr>
      <w:r w:rsidRPr="00BA340B">
        <w:rPr>
          <w:rFonts w:ascii="FrankRuehl" w:hAnsi="FrankRuehl" w:cs="FrankRuehl"/>
          <w:rtl/>
        </w:rPr>
        <w:t xml:space="preserve">חקיקה שאוזכרה: </w:t>
      </w:r>
    </w:p>
    <w:p w14:paraId="2E9CBE24" w14:textId="77777777" w:rsidR="00BA340B" w:rsidRPr="00BA340B" w:rsidRDefault="00BA340B" w:rsidP="00BA340B">
      <w:pPr>
        <w:spacing w:before="120" w:after="120" w:line="240" w:lineRule="exact"/>
        <w:ind w:left="283" w:hanging="283"/>
        <w:jc w:val="both"/>
        <w:rPr>
          <w:rFonts w:ascii="FrankRuehl" w:hAnsi="FrankRuehl" w:cs="FrankRuehl"/>
          <w:rtl/>
        </w:rPr>
      </w:pPr>
      <w:hyperlink r:id="rId6" w:history="1">
        <w:r w:rsidRPr="00BA340B">
          <w:rPr>
            <w:rFonts w:ascii="FrankRuehl" w:hAnsi="FrankRuehl" w:cs="FrankRuehl"/>
            <w:color w:val="0000FF"/>
            <w:rtl/>
          </w:rPr>
          <w:t>פקודת הסמים המסוכנים [נוסח חדש], תשל"ג-1973</w:t>
        </w:r>
      </w:hyperlink>
      <w:r w:rsidRPr="00BA340B">
        <w:rPr>
          <w:rFonts w:ascii="FrankRuehl" w:hAnsi="FrankRuehl" w:cs="FrankRuehl"/>
          <w:rtl/>
        </w:rPr>
        <w:t xml:space="preserve">: סע'  </w:t>
      </w:r>
      <w:hyperlink r:id="rId7" w:history="1">
        <w:r w:rsidRPr="00BA340B">
          <w:rPr>
            <w:rFonts w:ascii="FrankRuehl" w:hAnsi="FrankRuehl" w:cs="FrankRuehl"/>
            <w:color w:val="0000FF"/>
            <w:rtl/>
          </w:rPr>
          <w:t>6</w:t>
        </w:r>
      </w:hyperlink>
    </w:p>
    <w:p w14:paraId="4E373A47" w14:textId="77777777" w:rsidR="00BA340B" w:rsidRPr="00BA340B" w:rsidRDefault="00BA340B" w:rsidP="00BA340B">
      <w:pPr>
        <w:spacing w:before="120" w:after="120" w:line="240" w:lineRule="exact"/>
        <w:ind w:left="283" w:hanging="283"/>
        <w:jc w:val="both"/>
        <w:rPr>
          <w:rFonts w:ascii="FrankRuehl" w:hAnsi="FrankRuehl" w:cs="FrankRuehl"/>
          <w:rtl/>
        </w:rPr>
      </w:pPr>
      <w:hyperlink r:id="rId8" w:history="1">
        <w:r w:rsidRPr="00BA340B">
          <w:rPr>
            <w:rFonts w:ascii="FrankRuehl" w:hAnsi="FrankRuehl" w:cs="FrankRuehl"/>
            <w:color w:val="0000FF"/>
            <w:rtl/>
          </w:rPr>
          <w:t>חוק העונשין, תשל"ז-1977</w:t>
        </w:r>
      </w:hyperlink>
      <w:r w:rsidRPr="00BA340B">
        <w:rPr>
          <w:rFonts w:ascii="FrankRuehl" w:hAnsi="FrankRuehl" w:cs="FrankRuehl"/>
          <w:rtl/>
        </w:rPr>
        <w:t xml:space="preserve">: סע'  </w:t>
      </w:r>
      <w:hyperlink r:id="rId9" w:history="1">
        <w:r w:rsidRPr="00BA340B">
          <w:rPr>
            <w:rFonts w:ascii="FrankRuehl" w:hAnsi="FrankRuehl" w:cs="FrankRuehl"/>
            <w:color w:val="0000FF"/>
            <w:rtl/>
          </w:rPr>
          <w:t>31</w:t>
        </w:r>
      </w:hyperlink>
      <w:r w:rsidRPr="00BA340B">
        <w:rPr>
          <w:rFonts w:ascii="FrankRuehl" w:hAnsi="FrankRuehl" w:cs="FrankRuehl"/>
          <w:rtl/>
        </w:rPr>
        <w:t xml:space="preserve">, </w:t>
      </w:r>
      <w:hyperlink r:id="rId10" w:history="1">
        <w:r w:rsidRPr="00BA340B">
          <w:rPr>
            <w:rFonts w:ascii="FrankRuehl" w:hAnsi="FrankRuehl" w:cs="FrankRuehl"/>
            <w:color w:val="0000FF"/>
            <w:rtl/>
          </w:rPr>
          <w:t>51י(א)(1)</w:t>
        </w:r>
      </w:hyperlink>
      <w:r w:rsidRPr="00BA340B">
        <w:rPr>
          <w:rFonts w:ascii="FrankRuehl" w:hAnsi="FrankRuehl" w:cs="FrankRuehl"/>
          <w:rtl/>
        </w:rPr>
        <w:t xml:space="preserve">, </w:t>
      </w:r>
      <w:hyperlink r:id="rId11" w:history="1">
        <w:r w:rsidRPr="00BA340B">
          <w:rPr>
            <w:rFonts w:ascii="FrankRuehl" w:hAnsi="FrankRuehl" w:cs="FrankRuehl"/>
            <w:color w:val="0000FF"/>
            <w:rtl/>
          </w:rPr>
          <w:t>51י(א2)</w:t>
        </w:r>
      </w:hyperlink>
    </w:p>
    <w:p w14:paraId="37C38F68" w14:textId="77777777" w:rsidR="00BA340B" w:rsidRPr="00BA340B" w:rsidRDefault="00BA340B" w:rsidP="00BA340B">
      <w:pPr>
        <w:rPr>
          <w:rFonts w:ascii="David" w:hAnsi="David"/>
          <w:sz w:val="26"/>
          <w:szCs w:val="26"/>
          <w:rtl/>
        </w:rPr>
      </w:pPr>
      <w:bookmarkStart w:id="3" w:name="LawTable_End"/>
      <w:bookmarkEnd w:id="3"/>
    </w:p>
    <w:p w14:paraId="64616BE9" w14:textId="77777777" w:rsidR="000771FA" w:rsidRPr="009B4270" w:rsidRDefault="000771FA" w:rsidP="000771FA">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71FA" w14:paraId="372439D9" w14:textId="77777777" w:rsidTr="000771FA">
        <w:trPr>
          <w:trHeight w:val="355"/>
          <w:jc w:val="center"/>
        </w:trPr>
        <w:tc>
          <w:tcPr>
            <w:tcW w:w="8820" w:type="dxa"/>
            <w:tcBorders>
              <w:top w:val="nil"/>
              <w:left w:val="nil"/>
              <w:bottom w:val="nil"/>
              <w:right w:val="nil"/>
            </w:tcBorders>
            <w:shd w:val="clear" w:color="auto" w:fill="auto"/>
          </w:tcPr>
          <w:p w14:paraId="0875AF67" w14:textId="77777777" w:rsidR="009B4270" w:rsidRPr="009B4270" w:rsidRDefault="009B4270" w:rsidP="009B4270">
            <w:pPr>
              <w:jc w:val="center"/>
              <w:rPr>
                <w:rFonts w:ascii="David" w:hAnsi="David"/>
                <w:b/>
                <w:bCs/>
                <w:sz w:val="32"/>
                <w:szCs w:val="32"/>
                <w:u w:val="single"/>
                <w:rtl/>
              </w:rPr>
            </w:pPr>
            <w:bookmarkStart w:id="4" w:name="PsakDin" w:colFirst="0" w:colLast="0"/>
            <w:bookmarkEnd w:id="0"/>
            <w:r w:rsidRPr="009B4270">
              <w:rPr>
                <w:rFonts w:ascii="David" w:hAnsi="David"/>
                <w:b/>
                <w:bCs/>
                <w:sz w:val="32"/>
                <w:szCs w:val="32"/>
                <w:u w:val="single"/>
                <w:rtl/>
              </w:rPr>
              <w:t>גזר דין</w:t>
            </w:r>
          </w:p>
          <w:p w14:paraId="25D6A928" w14:textId="77777777" w:rsidR="000771FA" w:rsidRPr="009B4270" w:rsidRDefault="000771FA" w:rsidP="009B4270">
            <w:pPr>
              <w:jc w:val="center"/>
              <w:rPr>
                <w:rFonts w:ascii="David" w:hAnsi="David"/>
                <w:bCs/>
                <w:sz w:val="32"/>
                <w:szCs w:val="32"/>
                <w:u w:val="single"/>
                <w:rtl/>
              </w:rPr>
            </w:pPr>
          </w:p>
        </w:tc>
      </w:tr>
    </w:tbl>
    <w:p w14:paraId="03CC1D44" w14:textId="77777777" w:rsidR="000771FA" w:rsidRPr="002B7D23" w:rsidRDefault="000771FA" w:rsidP="000771FA">
      <w:pPr>
        <w:rPr>
          <w:rFonts w:ascii="David" w:hAnsi="David"/>
          <w:sz w:val="26"/>
          <w:szCs w:val="26"/>
          <w:rtl/>
        </w:rPr>
      </w:pPr>
      <w:bookmarkStart w:id="5" w:name="ABSTRACT_START"/>
      <w:bookmarkEnd w:id="4"/>
      <w:bookmarkEnd w:id="5"/>
    </w:p>
    <w:p w14:paraId="488B6E9A" w14:textId="77777777" w:rsidR="000771FA" w:rsidRDefault="000771FA" w:rsidP="000771FA">
      <w:pPr>
        <w:spacing w:line="360" w:lineRule="auto"/>
        <w:jc w:val="both"/>
        <w:rPr>
          <w:rFonts w:ascii="David" w:hAnsi="David"/>
          <w:rtl/>
        </w:rPr>
      </w:pPr>
      <w:r>
        <w:rPr>
          <w:rFonts w:ascii="David" w:hAnsi="David"/>
          <w:rtl/>
        </w:rPr>
        <w:t>1.</w:t>
      </w:r>
      <w:r>
        <w:rPr>
          <w:rFonts w:ascii="David" w:hAnsi="David"/>
          <w:rtl/>
        </w:rPr>
        <w:tab/>
        <w:t xml:space="preserve">הנאשם הודה והורשע בעובדות כתב אישום מתוקן בביצוע עבירה של </w:t>
      </w:r>
      <w:r>
        <w:rPr>
          <w:rFonts w:ascii="David" w:hAnsi="David"/>
          <w:b/>
          <w:bCs/>
          <w:rtl/>
        </w:rPr>
        <w:t>סיוע לייצור, הכנה והפקה של סם מסוכן</w:t>
      </w:r>
      <w:r>
        <w:rPr>
          <w:rFonts w:ascii="David" w:hAnsi="David"/>
          <w:rtl/>
        </w:rPr>
        <w:t xml:space="preserve">, לפי </w:t>
      </w:r>
      <w:hyperlink r:id="rId12" w:history="1">
        <w:r w:rsidR="00494F8D" w:rsidRPr="00494F8D">
          <w:rPr>
            <w:rStyle w:val="Hyperlink"/>
            <w:rFonts w:ascii="David" w:hAnsi="David"/>
            <w:rtl/>
          </w:rPr>
          <w:t>סעיף 6</w:t>
        </w:r>
      </w:hyperlink>
      <w:r>
        <w:rPr>
          <w:rFonts w:ascii="David" w:hAnsi="David"/>
          <w:rtl/>
        </w:rPr>
        <w:t xml:space="preserve"> ל</w:t>
      </w:r>
      <w:hyperlink r:id="rId13" w:history="1">
        <w:r w:rsidR="009B4270" w:rsidRPr="009B4270">
          <w:rPr>
            <w:rFonts w:ascii="David" w:hAnsi="David"/>
            <w:color w:val="0000FF"/>
            <w:u w:val="single"/>
            <w:rtl/>
          </w:rPr>
          <w:t>פקודת הסמים המסוכנים</w:t>
        </w:r>
      </w:hyperlink>
      <w:r>
        <w:rPr>
          <w:rFonts w:ascii="David" w:hAnsi="David"/>
          <w:rtl/>
        </w:rPr>
        <w:t xml:space="preserve"> [נוסח חדש], התשל"ג-1973 </w:t>
      </w:r>
      <w:hyperlink r:id="rId14" w:history="1">
        <w:r w:rsidR="00494F8D" w:rsidRPr="00494F8D">
          <w:rPr>
            <w:rStyle w:val="Hyperlink"/>
            <w:rFonts w:ascii="David" w:hAnsi="David"/>
            <w:rtl/>
          </w:rPr>
          <w:t>וסעיף 31</w:t>
        </w:r>
      </w:hyperlink>
      <w:r>
        <w:rPr>
          <w:rFonts w:ascii="David" w:hAnsi="David"/>
          <w:rtl/>
        </w:rPr>
        <w:t xml:space="preserve"> ל</w:t>
      </w:r>
      <w:hyperlink r:id="rId15" w:history="1">
        <w:r w:rsidR="009B4270" w:rsidRPr="009B4270">
          <w:rPr>
            <w:rFonts w:ascii="David" w:hAnsi="David"/>
            <w:color w:val="0000FF"/>
            <w:u w:val="single"/>
            <w:rtl/>
          </w:rPr>
          <w:t>חוק העונשין</w:t>
        </w:r>
      </w:hyperlink>
      <w:r>
        <w:rPr>
          <w:rFonts w:ascii="David" w:hAnsi="David"/>
          <w:rtl/>
        </w:rPr>
        <w:t>, התשל"ז-1977.</w:t>
      </w:r>
    </w:p>
    <w:p w14:paraId="281EECED" w14:textId="77777777" w:rsidR="000771FA" w:rsidRDefault="000771FA" w:rsidP="000771FA">
      <w:pPr>
        <w:spacing w:line="360" w:lineRule="auto"/>
        <w:jc w:val="both"/>
        <w:rPr>
          <w:rFonts w:ascii="David" w:hAnsi="David"/>
          <w:rtl/>
        </w:rPr>
      </w:pPr>
      <w:bookmarkStart w:id="6" w:name="ABSTRACT_END"/>
      <w:bookmarkEnd w:id="6"/>
    </w:p>
    <w:p w14:paraId="457417EA" w14:textId="77777777" w:rsidR="000771FA" w:rsidRDefault="000771FA" w:rsidP="000771FA">
      <w:pPr>
        <w:spacing w:line="360" w:lineRule="auto"/>
        <w:jc w:val="both"/>
        <w:rPr>
          <w:rFonts w:ascii="David" w:hAnsi="David"/>
          <w:rtl/>
        </w:rPr>
      </w:pPr>
      <w:r>
        <w:rPr>
          <w:rFonts w:ascii="David" w:hAnsi="David"/>
          <w:rtl/>
        </w:rPr>
        <w:t>2.</w:t>
      </w:r>
      <w:r>
        <w:rPr>
          <w:rFonts w:ascii="David" w:hAnsi="David"/>
          <w:rtl/>
        </w:rPr>
        <w:tab/>
        <w:t>לנאשם עבר פלילי בעבירות סמים ורכוש. בין היתר, הורשע בבית משפט השלום בקריות, ב</w:t>
      </w:r>
      <w:hyperlink r:id="rId16" w:history="1">
        <w:r w:rsidR="009B4270" w:rsidRPr="009B4270">
          <w:rPr>
            <w:rFonts w:ascii="David" w:hAnsi="David"/>
            <w:color w:val="0000FF"/>
            <w:u w:val="single"/>
            <w:rtl/>
          </w:rPr>
          <w:t>ת"פ 69718-03-18</w:t>
        </w:r>
      </w:hyperlink>
      <w:r>
        <w:rPr>
          <w:rFonts w:ascii="David" w:hAnsi="David"/>
          <w:rtl/>
        </w:rPr>
        <w:t xml:space="preserve"> בעבירה של סיוע לגידול סמים ובעבירות סמים נוספות, וביום 17.2.2020 נדון לשישה וחצי חודשי מאסר בפועל לריצוי בעבודות שירות, שבעה חודשי מאסר על תנאי, שהינו בר הפעלה כאן, ורכיבי עונש נוספים. הנאשם לא החל בביצוע עבודות השירות נוכח מעצרו בתיק זה. כמו כן הורשע הנאשם בבית משפט השלום בקריות, ב</w:t>
      </w:r>
      <w:hyperlink r:id="rId17" w:history="1">
        <w:r w:rsidR="009B4270" w:rsidRPr="009B4270">
          <w:rPr>
            <w:rFonts w:ascii="David" w:hAnsi="David"/>
            <w:color w:val="0000FF"/>
            <w:u w:val="single"/>
            <w:rtl/>
          </w:rPr>
          <w:t>ת"פ 29679-11-16</w:t>
        </w:r>
      </w:hyperlink>
      <w:r>
        <w:rPr>
          <w:rFonts w:ascii="David" w:hAnsi="David"/>
          <w:rtl/>
        </w:rPr>
        <w:t xml:space="preserve"> בהחזקת סם מסוכן שלא לצריכה עצמית, וביום 29.1.2020 נדון לחודשיים מאסר מותנה, שאף הוא בר הפעלה כאן. </w:t>
      </w:r>
    </w:p>
    <w:p w14:paraId="11C6415B" w14:textId="77777777" w:rsidR="000771FA" w:rsidRDefault="000771FA" w:rsidP="000771FA">
      <w:pPr>
        <w:jc w:val="both"/>
        <w:rPr>
          <w:rFonts w:ascii="David" w:hAnsi="David"/>
          <w:rtl/>
        </w:rPr>
      </w:pPr>
    </w:p>
    <w:p w14:paraId="7DC5EF43" w14:textId="77777777" w:rsidR="000771FA" w:rsidRDefault="000771FA" w:rsidP="000771FA">
      <w:pPr>
        <w:spacing w:line="360" w:lineRule="auto"/>
        <w:jc w:val="both"/>
        <w:rPr>
          <w:rFonts w:ascii="David" w:hAnsi="David"/>
          <w:rtl/>
        </w:rPr>
      </w:pPr>
      <w:r>
        <w:rPr>
          <w:rFonts w:ascii="David" w:hAnsi="David"/>
          <w:rtl/>
        </w:rPr>
        <w:t>3.</w:t>
      </w:r>
      <w:r>
        <w:rPr>
          <w:rFonts w:ascii="David" w:hAnsi="David"/>
          <w:rtl/>
        </w:rPr>
        <w:tab/>
        <w:t xml:space="preserve">כאמור בכתב האישום המתוקן, הנאשם סייע בגידול קנבוס, בכך שהגיע לשטח וטיפל בשתילי הקנבוס. כתב האישום המתוקן אינו מפרט כמה פעמים הגיע הנאשם לשטח הגידול ומה </w:t>
      </w:r>
      <w:r>
        <w:rPr>
          <w:rFonts w:ascii="David" w:hAnsi="David"/>
          <w:rtl/>
        </w:rPr>
        <w:lastRenderedPageBreak/>
        <w:t xml:space="preserve">היה טיב טיפולו בשתילים. כן צוין בכתב האישום המתוקן כי ביום 13.4.20, רכש חומר לדישון שתילי הקנביס, וביום 3.5.20, השקה את השתילים. כמות הסמים שגידלו האנשים להם סייע הנאשם, כללה כ-2,740 שתילים, במשקל נטו של כ-270 ק"ג.  </w:t>
      </w:r>
    </w:p>
    <w:p w14:paraId="2D78C7D0" w14:textId="77777777" w:rsidR="000771FA" w:rsidRDefault="000771FA" w:rsidP="000771FA">
      <w:pPr>
        <w:jc w:val="both"/>
        <w:rPr>
          <w:rFonts w:ascii="David" w:hAnsi="David"/>
        </w:rPr>
      </w:pPr>
    </w:p>
    <w:p w14:paraId="0D9654C0" w14:textId="77777777" w:rsidR="000771FA" w:rsidRDefault="000771FA" w:rsidP="000771FA">
      <w:pPr>
        <w:spacing w:line="360" w:lineRule="auto"/>
        <w:jc w:val="both"/>
        <w:rPr>
          <w:rFonts w:ascii="David" w:hAnsi="David"/>
          <w:rtl/>
        </w:rPr>
      </w:pPr>
      <w:r>
        <w:rPr>
          <w:rFonts w:ascii="David" w:hAnsi="David"/>
          <w:rtl/>
        </w:rPr>
        <w:t xml:space="preserve"> </w:t>
      </w:r>
      <w:r>
        <w:rPr>
          <w:rFonts w:ascii="David" w:hAnsi="David"/>
          <w:rtl/>
        </w:rPr>
        <w:tab/>
        <w:t>בנסיבות אלה סייע הנאשם בגידול לא חוקי של סם מסוכן, בהיקף רחב. הוא עשה זאת בעודו ממתין להתחיל את ריצוי עונש המאסר בעבודות שירות שנגזר עליו בגין תיק סמים קודם, וכן כשתלויים ועומדים נגדו עונשי מאסר מותנה בעטיין של עבירות סמים קודמות.</w:t>
      </w:r>
    </w:p>
    <w:p w14:paraId="5B3E0996" w14:textId="77777777" w:rsidR="000771FA" w:rsidRDefault="000771FA" w:rsidP="000771FA">
      <w:pPr>
        <w:jc w:val="both"/>
        <w:rPr>
          <w:rFonts w:ascii="David" w:hAnsi="David"/>
        </w:rPr>
      </w:pPr>
    </w:p>
    <w:p w14:paraId="7602B667" w14:textId="77777777" w:rsidR="000771FA" w:rsidRDefault="000771FA" w:rsidP="000771FA">
      <w:pPr>
        <w:spacing w:line="360" w:lineRule="auto"/>
        <w:jc w:val="both"/>
        <w:rPr>
          <w:rFonts w:ascii="David" w:hAnsi="David"/>
          <w:rtl/>
        </w:rPr>
      </w:pPr>
      <w:r>
        <w:rPr>
          <w:rFonts w:ascii="David" w:hAnsi="David"/>
          <w:rtl/>
        </w:rPr>
        <w:t>4.</w:t>
      </w:r>
      <w:r>
        <w:rPr>
          <w:rFonts w:ascii="David" w:hAnsi="David"/>
          <w:rtl/>
        </w:rPr>
        <w:tab/>
        <w:t>להשלמת התמונה אציין כי נאשם נוסף באותה הפרשה נדון לפני מותב אחר בבית המשפט המחוזי בחיפה, ב</w:t>
      </w:r>
      <w:hyperlink r:id="rId18" w:history="1">
        <w:r w:rsidR="009B4270" w:rsidRPr="009B4270">
          <w:rPr>
            <w:rFonts w:ascii="David" w:hAnsi="David"/>
            <w:color w:val="0000FF"/>
            <w:u w:val="single"/>
            <w:rtl/>
          </w:rPr>
          <w:t>ת"פ 43301-03-21</w:t>
        </w:r>
      </w:hyperlink>
      <w:r>
        <w:rPr>
          <w:rFonts w:ascii="David" w:hAnsi="David"/>
          <w:rtl/>
        </w:rPr>
        <w:t xml:space="preserve">, והורשע בסיוע לייצור, הכנה והפקה לפי </w:t>
      </w:r>
      <w:hyperlink r:id="rId19" w:history="1">
        <w:r w:rsidR="00494F8D" w:rsidRPr="00494F8D">
          <w:rPr>
            <w:rStyle w:val="Hyperlink"/>
            <w:rFonts w:ascii="David" w:hAnsi="David"/>
            <w:rtl/>
          </w:rPr>
          <w:t>סעיף 6</w:t>
        </w:r>
      </w:hyperlink>
      <w:r>
        <w:rPr>
          <w:rFonts w:ascii="David" w:hAnsi="David"/>
          <w:rtl/>
        </w:rPr>
        <w:t xml:space="preserve"> ל</w:t>
      </w:r>
      <w:hyperlink r:id="rId20" w:history="1">
        <w:r w:rsidR="009B4270" w:rsidRPr="009B4270">
          <w:rPr>
            <w:rFonts w:ascii="David" w:hAnsi="David"/>
            <w:color w:val="0000FF"/>
            <w:u w:val="single"/>
            <w:rtl/>
          </w:rPr>
          <w:t>פקודת הסמים המסוכנים</w:t>
        </w:r>
      </w:hyperlink>
      <w:r>
        <w:rPr>
          <w:rFonts w:ascii="David" w:hAnsi="David"/>
          <w:rtl/>
        </w:rPr>
        <w:t xml:space="preserve"> ובשהייה בישראל שלא כדין, בכך שלאורך תקופה של כחודשיים וחצי, במספר הזדמנויות, שהה באותו שטח הגידול כפי המפורט בכתב האישום שלפניי, ושמר על הסמים. בית המשפט המחוזי קבע את מתחם הענישה בעניינו כנע בין 20-7 חודשי מאסר, וגזר עליו עונש של 10 חודשי מאסר בפועל. </w:t>
      </w:r>
    </w:p>
    <w:p w14:paraId="611C715F" w14:textId="77777777" w:rsidR="000771FA" w:rsidRDefault="000771FA" w:rsidP="000771FA">
      <w:pPr>
        <w:spacing w:line="360" w:lineRule="auto"/>
        <w:jc w:val="both"/>
        <w:rPr>
          <w:rFonts w:ascii="David" w:hAnsi="David"/>
          <w:rtl/>
        </w:rPr>
      </w:pPr>
    </w:p>
    <w:p w14:paraId="1B362F58" w14:textId="77777777" w:rsidR="000771FA" w:rsidRDefault="000771FA" w:rsidP="000771FA">
      <w:pPr>
        <w:spacing w:line="360" w:lineRule="auto"/>
        <w:jc w:val="both"/>
        <w:rPr>
          <w:rFonts w:ascii="David" w:hAnsi="David"/>
          <w:rtl/>
        </w:rPr>
      </w:pPr>
      <w:r>
        <w:rPr>
          <w:rFonts w:ascii="David" w:hAnsi="David"/>
          <w:rtl/>
        </w:rPr>
        <w:t>5.</w:t>
      </w:r>
      <w:r>
        <w:rPr>
          <w:rFonts w:ascii="David" w:hAnsi="David"/>
          <w:rtl/>
        </w:rPr>
        <w:tab/>
        <w:t xml:space="preserve">בעניינו של הנאשם הוגש תסקיר מטעם שירות המבחן שפירט את נסיבות חייו של הנאשם, נשוי כבן 34. בגיל שלושה חודשים הוא התייתם מאביו ולפני כעשור איבד את אחיו, שנרצח במועדון באילת. שירות המבחן התרשם כי לאורך השנים חבר הנאשם לחברה שולית, התנסה בסמים, ועל רקע קשייו וסביבתו החל לבצע עבירות פליליות. בעברו ניסיונות לשלבו בהליכים טיפוליים שלא הביאו לשיקום ולהימנעות מביצוע עבירות נוספות. בפגישתו עם קצינת המבחן בתיק זה הביע הנאשם מוטיבציה לערוך שינוי באורחות חייו ולהתחייב להליך טיפולי מעמיק, אולם נוכח התרשמותה כי מדובר במוטיבציה חיצונית ובשים לב לניסיון הטיפול שכשל בעבר, נמנעה מהמלצה טיפולית בעניינו וכן נמנעה מלהמליץ על הארכת תוקף המאסרים שתלויים ועומדים כנגדו. </w:t>
      </w:r>
    </w:p>
    <w:p w14:paraId="08C2F0AE" w14:textId="77777777" w:rsidR="000771FA" w:rsidRDefault="000771FA" w:rsidP="000771FA">
      <w:pPr>
        <w:spacing w:line="360" w:lineRule="auto"/>
        <w:jc w:val="both"/>
        <w:rPr>
          <w:rFonts w:ascii="David" w:hAnsi="David"/>
          <w:rtl/>
        </w:rPr>
      </w:pPr>
    </w:p>
    <w:p w14:paraId="3997EF0B" w14:textId="77777777" w:rsidR="000771FA" w:rsidRDefault="000771FA" w:rsidP="000771FA">
      <w:pPr>
        <w:spacing w:line="360" w:lineRule="auto"/>
        <w:jc w:val="both"/>
        <w:rPr>
          <w:rFonts w:ascii="David" w:hAnsi="David"/>
          <w:rtl/>
        </w:rPr>
      </w:pPr>
      <w:r>
        <w:rPr>
          <w:rFonts w:ascii="David" w:hAnsi="David"/>
          <w:rtl/>
        </w:rPr>
        <w:t>6.</w:t>
      </w:r>
      <w:r>
        <w:rPr>
          <w:rFonts w:ascii="David" w:hAnsi="David"/>
          <w:rtl/>
        </w:rPr>
        <w:tab/>
        <w:t xml:space="preserve">הצדדים טענו לעונש והציגו את עמדתם לענישה ההולמת. המאשימה עתרה לקביעת מתחם ענישה שנע בין 24 ועד 40 חודשי מאסר בפועל. בנוסף עתרה לעונש של מאסר מותנה, פסילת רישיון נהיגה, פסילה מותנית, וקנס. המאשימה ביקשה לגזור את עונשו של הנאשם ברף העליון של המתחם, נוכח עברו הפלילי בעבירות סמים. כמו כן ביקשה לצבור את המאסרים המותנים זה לזה ולעונש שייגזר בתיק כאן, וכן להפקיע את עונש עבודות השירות שטרם רוצה כאמור, בעונש מאסר בפועל מאחורי סורג ובריח, תוך צבירה מלאה של עונש זה ליתר העונשים. הדיון בסוגית ההפקעה, נערך לפניי על פי הוראת </w:t>
      </w:r>
      <w:hyperlink r:id="rId21" w:history="1">
        <w:r w:rsidR="00494F8D" w:rsidRPr="00494F8D">
          <w:rPr>
            <w:rStyle w:val="Hyperlink"/>
            <w:rFonts w:ascii="David" w:hAnsi="David"/>
            <w:rtl/>
          </w:rPr>
          <w:t>סעיף 51י(א)(1)</w:t>
        </w:r>
      </w:hyperlink>
      <w:r>
        <w:rPr>
          <w:rFonts w:ascii="David" w:hAnsi="David"/>
          <w:rtl/>
        </w:rPr>
        <w:t xml:space="preserve"> ל</w:t>
      </w:r>
      <w:hyperlink r:id="rId22" w:history="1">
        <w:r w:rsidR="009B4270" w:rsidRPr="009B4270">
          <w:rPr>
            <w:rFonts w:ascii="David" w:hAnsi="David"/>
            <w:color w:val="0000FF"/>
            <w:u w:val="single"/>
            <w:rtl/>
          </w:rPr>
          <w:t>חוק העונשין</w:t>
        </w:r>
      </w:hyperlink>
      <w:r>
        <w:rPr>
          <w:rFonts w:ascii="David" w:hAnsi="David"/>
          <w:rtl/>
        </w:rPr>
        <w:t xml:space="preserve">.  </w:t>
      </w:r>
    </w:p>
    <w:p w14:paraId="14BA5CCE" w14:textId="77777777" w:rsidR="000771FA" w:rsidRDefault="000771FA" w:rsidP="000771FA">
      <w:pPr>
        <w:spacing w:line="360" w:lineRule="auto"/>
        <w:jc w:val="both"/>
        <w:rPr>
          <w:rFonts w:ascii="David" w:hAnsi="David"/>
          <w:rtl/>
        </w:rPr>
      </w:pPr>
    </w:p>
    <w:p w14:paraId="4C86FC37" w14:textId="77777777" w:rsidR="000771FA" w:rsidRDefault="000771FA" w:rsidP="000771FA">
      <w:pPr>
        <w:spacing w:line="360" w:lineRule="auto"/>
        <w:ind w:firstLine="720"/>
        <w:jc w:val="both"/>
        <w:rPr>
          <w:rFonts w:ascii="David" w:hAnsi="David"/>
          <w:rtl/>
        </w:rPr>
      </w:pPr>
      <w:r>
        <w:rPr>
          <w:rFonts w:ascii="David" w:hAnsi="David"/>
          <w:rtl/>
        </w:rPr>
        <w:t xml:space="preserve">הסנגורים ביקשו להסתפק בעונש של מספר חודשי מאסר בפועל, תוך חפיפה בין העונשים נוכח קבלת אחריות מצד הנאשם על מעשיו, שיתוף הפעולה שלו והחיסכון בניהול ההליך המשפטי. עוד התייחסו לסוגיית ניכוי ימי המעצר מעונש המאסר שיומר מעבודות השירות, בתיק הקודם. לטענתם, יש מקום לפחות לחפוף בין העונשים משום שבמהלך הדיונים בבית משפט השלום, </w:t>
      </w:r>
      <w:r>
        <w:rPr>
          <w:rFonts w:ascii="David" w:hAnsi="David"/>
          <w:rtl/>
        </w:rPr>
        <w:lastRenderedPageBreak/>
        <w:t>התגבשה ציפייה לניכוי תקופת המעצר, נוכח הסכמת המאשימה לניכוי כאמור, כעולה מפרוטוקול הדיון שהוצג לעיוני. הסנגורים הגישו פסיקה רבה לתמיכה בטענותיהם, לרבות בעניין מדיניות הענישה בעבירות דומות; מעמדו של שירות המבחן כגורם ממליץ לבית המשפט; מדיניות ענישה בהפעלת עונש מאסר מותנה; שיקול תקופת המעצר בפיקוח אלקטרוני במסגרת השיקולים לעונש; ופסיקה הנוגעת לטענה של אכיפה בררנית.</w:t>
      </w:r>
    </w:p>
    <w:p w14:paraId="7186985A" w14:textId="77777777" w:rsidR="000771FA" w:rsidRDefault="000771FA" w:rsidP="000771FA">
      <w:pPr>
        <w:spacing w:line="360" w:lineRule="auto"/>
        <w:jc w:val="both"/>
        <w:rPr>
          <w:rFonts w:ascii="David" w:hAnsi="David"/>
          <w:rtl/>
        </w:rPr>
      </w:pPr>
    </w:p>
    <w:p w14:paraId="538FB4BF" w14:textId="77777777" w:rsidR="000771FA" w:rsidRDefault="000771FA" w:rsidP="000771FA">
      <w:pPr>
        <w:spacing w:line="360" w:lineRule="auto"/>
        <w:jc w:val="both"/>
        <w:rPr>
          <w:rFonts w:ascii="David" w:hAnsi="David"/>
          <w:rtl/>
        </w:rPr>
      </w:pPr>
      <w:r>
        <w:rPr>
          <w:rFonts w:ascii="David" w:hAnsi="David"/>
          <w:rtl/>
        </w:rPr>
        <w:t>7.</w:t>
      </w:r>
      <w:r>
        <w:rPr>
          <w:rFonts w:ascii="David" w:hAnsi="David"/>
          <w:rtl/>
        </w:rPr>
        <w:tab/>
        <w:t xml:space="preserve">במסגרת הראיות לעונש הגיש ב"כ המאשימה תמצית רישום פלילי ותעבורתי של הנאשם (סומנו במ/1), והעתקי גזרי דין הנוגעים למאסרים המותנים ברי ההפעלה כאן (סומנו במ/2). עוד הגיש כתב אישום של נאשם אחר בפרשה, שהואשם בסיוע לגידול אותם שתילי קנבוס, בגין כך ששהה בשטח ושמר על הסמים. </w:t>
      </w:r>
    </w:p>
    <w:p w14:paraId="4B15ED8F" w14:textId="77777777" w:rsidR="000771FA" w:rsidRDefault="000771FA" w:rsidP="000771FA">
      <w:pPr>
        <w:spacing w:line="360" w:lineRule="auto"/>
        <w:jc w:val="both"/>
        <w:rPr>
          <w:rFonts w:ascii="David" w:hAnsi="David"/>
          <w:rtl/>
        </w:rPr>
      </w:pPr>
    </w:p>
    <w:p w14:paraId="23476F8D" w14:textId="77777777" w:rsidR="000771FA" w:rsidRDefault="000771FA" w:rsidP="000771FA">
      <w:pPr>
        <w:spacing w:line="360" w:lineRule="auto"/>
        <w:ind w:firstLine="720"/>
        <w:jc w:val="both"/>
        <w:rPr>
          <w:rFonts w:ascii="David" w:hAnsi="David"/>
          <w:rtl/>
        </w:rPr>
      </w:pPr>
      <w:r>
        <w:rPr>
          <w:rFonts w:ascii="David" w:hAnsi="David"/>
          <w:rtl/>
        </w:rPr>
        <w:t>ההגנה הגישה מסמך רפואי המעיד על הריונה של אשת הנאשם (סומן במ/3); חוזה שכירות בין אמו של הנאשם – המשכירה, ואשת הנאשם – השוכרת, לצורך פתיחת עסק "מכון יופי" (סומן במ/4); ותמונות של בית העסק האמור (סומנו במ/5); כמו כן הוגשו תעודות סיום ומסמכים הנוגעים ללימודי הנאשם בקורסים ביזמות נדל"ן וייעוץ משכנתאות (סומנו במ/6).</w:t>
      </w:r>
    </w:p>
    <w:p w14:paraId="068F3D95" w14:textId="77777777" w:rsidR="000771FA" w:rsidRDefault="000771FA" w:rsidP="000771FA">
      <w:pPr>
        <w:spacing w:line="360" w:lineRule="auto"/>
        <w:ind w:firstLine="720"/>
        <w:jc w:val="both"/>
        <w:rPr>
          <w:rFonts w:ascii="David" w:hAnsi="David"/>
          <w:rtl/>
        </w:rPr>
      </w:pPr>
    </w:p>
    <w:p w14:paraId="403A29F0" w14:textId="77777777" w:rsidR="000771FA" w:rsidRDefault="000771FA" w:rsidP="000771FA">
      <w:pPr>
        <w:spacing w:line="360" w:lineRule="auto"/>
        <w:ind w:firstLine="720"/>
        <w:jc w:val="both"/>
        <w:rPr>
          <w:rFonts w:ascii="David" w:hAnsi="David"/>
          <w:rtl/>
        </w:rPr>
      </w:pPr>
      <w:r>
        <w:rPr>
          <w:rFonts w:ascii="David" w:hAnsi="David"/>
          <w:rtl/>
        </w:rPr>
        <w:t xml:space="preserve">אמו ואשתו של הנאשם העידו בדיון הטיעון לעונש. האם סיפרה על נסיבות חייו של הנאשם, שהתייתם מאביו בגיל צעיר ואיבד את אחיו בנסיבות טרגיות, כשהיה בחור צעיר. עוד העידה על רצונה לסייע לנאשם לעלות על דרך חדשה. היא טענה כי בתקופה הממושכת בה שהה במעצר באיזוק אלקטרוני, החל הנאשם לעבור שינוי ולהתפרנס באופן נורמטיבי. כמו כן ביקשה להתחשב בלידה הצפויה של בנו ולאפשר לו להיות נוכח בה ובתקופה שאחריה. אשתו של הנאשם סיפרה שהנאשם תומך בה, והיא מאמינה להבטחותיו כי הוא עובר שינוי ומעונין ללכת בדרך הישר. </w:t>
      </w:r>
    </w:p>
    <w:p w14:paraId="1267A77E" w14:textId="77777777" w:rsidR="000771FA" w:rsidRDefault="000771FA" w:rsidP="000771FA">
      <w:pPr>
        <w:spacing w:line="360" w:lineRule="auto"/>
        <w:jc w:val="both"/>
        <w:rPr>
          <w:rFonts w:ascii="David" w:hAnsi="David"/>
          <w:rtl/>
        </w:rPr>
      </w:pPr>
    </w:p>
    <w:p w14:paraId="2D91554E" w14:textId="77777777" w:rsidR="000771FA" w:rsidRDefault="000771FA" w:rsidP="000771FA">
      <w:pPr>
        <w:spacing w:line="360" w:lineRule="auto"/>
        <w:jc w:val="both"/>
        <w:rPr>
          <w:rFonts w:ascii="David" w:hAnsi="David"/>
          <w:rtl/>
        </w:rPr>
      </w:pPr>
      <w:r>
        <w:rPr>
          <w:rFonts w:ascii="David" w:hAnsi="David"/>
          <w:rtl/>
        </w:rPr>
        <w:t>8.</w:t>
      </w:r>
      <w:r>
        <w:rPr>
          <w:rFonts w:ascii="David" w:hAnsi="David"/>
          <w:rtl/>
        </w:rPr>
        <w:tab/>
        <w:t xml:space="preserve">הנאשם בדברו האחרון לפניי תיאר את השנה האחרונה בה שהה במעצר באיזוק אלקטרוני. בתקופה זו התחתן, קיבל, לדבריו, תמיכה ממשפחתו וממשפחת אשתו, ערך חשבון נפש ופעל לשקם את עצמו ולעסוק בתחומים חיוביים. הוא אמר שביקש מקצינת המבחן להשתלב בטיפול אך היא סירבה ולכן החליט לעבור טיפול באופן פרטי. עוד ציין כי חשוב לו לא לאכזב את סביבתו. הוא ביקש מבית המשפט להתחשב בו ולאפשר לו להיות במחיצת אשתו בעתיד הקרוב. </w:t>
      </w:r>
    </w:p>
    <w:p w14:paraId="3B826495" w14:textId="77777777" w:rsidR="000771FA" w:rsidRDefault="000771FA" w:rsidP="000771FA">
      <w:pPr>
        <w:spacing w:line="360" w:lineRule="auto"/>
        <w:jc w:val="both"/>
        <w:rPr>
          <w:rFonts w:ascii="David" w:hAnsi="David"/>
          <w:rtl/>
        </w:rPr>
      </w:pPr>
    </w:p>
    <w:p w14:paraId="14597A67" w14:textId="77777777" w:rsidR="000771FA" w:rsidRDefault="000771FA" w:rsidP="000771FA">
      <w:pPr>
        <w:spacing w:line="360" w:lineRule="auto"/>
        <w:jc w:val="both"/>
        <w:rPr>
          <w:rFonts w:ascii="David" w:hAnsi="David"/>
          <w:u w:val="single"/>
          <w:rtl/>
        </w:rPr>
      </w:pPr>
      <w:r>
        <w:rPr>
          <w:rFonts w:ascii="David" w:hAnsi="David"/>
          <w:u w:val="single"/>
          <w:rtl/>
        </w:rPr>
        <w:t>דיון והכרעה:</w:t>
      </w:r>
    </w:p>
    <w:p w14:paraId="47B985D4" w14:textId="77777777" w:rsidR="000771FA" w:rsidRDefault="000771FA" w:rsidP="000771FA">
      <w:pPr>
        <w:spacing w:line="360" w:lineRule="auto"/>
        <w:jc w:val="both"/>
        <w:rPr>
          <w:rFonts w:ascii="David" w:hAnsi="David"/>
          <w:rtl/>
        </w:rPr>
      </w:pPr>
      <w:r>
        <w:rPr>
          <w:rFonts w:ascii="David" w:hAnsi="David"/>
          <w:rtl/>
        </w:rPr>
        <w:t>9.</w:t>
      </w:r>
      <w:r>
        <w:rPr>
          <w:rFonts w:ascii="David" w:hAnsi="David"/>
          <w:rtl/>
        </w:rPr>
        <w:tab/>
        <w:t>כפי שכבר נפסק בסוגיה של גידול לא חוקי של קנבוס בהיקפים גדולים: "</w:t>
      </w:r>
      <w:r>
        <w:rPr>
          <w:rFonts w:ascii="David" w:hAnsi="David"/>
          <w:b/>
          <w:bCs/>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w:t>
      </w:r>
      <w:r>
        <w:rPr>
          <w:rFonts w:ascii="David" w:hAnsi="David"/>
          <w:rtl/>
        </w:rPr>
        <w:t>" (</w:t>
      </w:r>
      <w:hyperlink r:id="rId23" w:history="1">
        <w:r w:rsidR="009B4270" w:rsidRPr="009B4270">
          <w:rPr>
            <w:rFonts w:ascii="David" w:hAnsi="David"/>
            <w:color w:val="0000FF"/>
            <w:u w:val="single"/>
            <w:rtl/>
          </w:rPr>
          <w:t>ע"פ 2596/18</w:t>
        </w:r>
      </w:hyperlink>
      <w:r>
        <w:rPr>
          <w:rFonts w:ascii="David" w:hAnsi="David"/>
          <w:rtl/>
        </w:rPr>
        <w:t xml:space="preserve"> </w:t>
      </w:r>
      <w:r>
        <w:rPr>
          <w:rFonts w:ascii="David" w:hAnsi="David"/>
          <w:b/>
          <w:bCs/>
          <w:rtl/>
        </w:rPr>
        <w:t>זנזורי נ' מדינת ישראל</w:t>
      </w:r>
      <w:r>
        <w:rPr>
          <w:rFonts w:ascii="David" w:hAnsi="David"/>
          <w:rtl/>
        </w:rPr>
        <w:t>, בפס' 8 (נבו 12.8.2018)).</w:t>
      </w:r>
      <w:r>
        <w:rPr>
          <w:rFonts w:ascii="FrankRuehl" w:hAnsi="FrankRuehl" w:cs="FrankRuehl"/>
          <w:color w:val="000000"/>
          <w:spacing w:val="10"/>
          <w:sz w:val="28"/>
          <w:szCs w:val="28"/>
          <w:shd w:val="clear" w:color="auto" w:fill="FFFFFF"/>
          <w:rtl/>
        </w:rPr>
        <w:t xml:space="preserve"> </w:t>
      </w:r>
      <w:r>
        <w:rPr>
          <w:rFonts w:ascii="David" w:hAnsi="David"/>
          <w:rtl/>
        </w:rPr>
        <w:t>עוד נקבע כי על הענישה לקחת בחשבון את סוג הסם, כמותו וחלקו של הנאשם בביצוע העבירות (</w:t>
      </w:r>
      <w:hyperlink r:id="rId24" w:history="1">
        <w:r w:rsidR="009B4270" w:rsidRPr="009B4270">
          <w:rPr>
            <w:rFonts w:ascii="David" w:hAnsi="David"/>
            <w:color w:val="0000FF"/>
            <w:u w:val="single"/>
            <w:rtl/>
          </w:rPr>
          <w:t>רע"פ 7906/19</w:t>
        </w:r>
      </w:hyperlink>
      <w:r>
        <w:rPr>
          <w:rFonts w:ascii="David" w:hAnsi="David"/>
          <w:rtl/>
        </w:rPr>
        <w:t xml:space="preserve"> </w:t>
      </w:r>
      <w:r>
        <w:rPr>
          <w:rFonts w:ascii="David" w:hAnsi="David"/>
          <w:b/>
          <w:bCs/>
          <w:rtl/>
        </w:rPr>
        <w:t>אדרי נ' מדינת ישראל</w:t>
      </w:r>
      <w:r>
        <w:rPr>
          <w:rFonts w:ascii="David" w:hAnsi="David"/>
          <w:rtl/>
        </w:rPr>
        <w:t xml:space="preserve"> (נבו 3/12/2019); </w:t>
      </w:r>
      <w:hyperlink r:id="rId25" w:history="1">
        <w:r w:rsidR="009B4270" w:rsidRPr="009B4270">
          <w:rPr>
            <w:rFonts w:ascii="David" w:hAnsi="David"/>
            <w:color w:val="0000FF"/>
            <w:u w:val="single"/>
            <w:rtl/>
          </w:rPr>
          <w:t>רע"פ 5494/19</w:t>
        </w:r>
      </w:hyperlink>
      <w:r>
        <w:rPr>
          <w:rFonts w:ascii="David" w:hAnsi="David"/>
          <w:rtl/>
        </w:rPr>
        <w:t xml:space="preserve"> </w:t>
      </w:r>
      <w:r>
        <w:rPr>
          <w:rFonts w:ascii="David" w:hAnsi="David"/>
          <w:b/>
          <w:bCs/>
          <w:rtl/>
        </w:rPr>
        <w:t>רנד נ' מדינת ישראל</w:t>
      </w:r>
      <w:r>
        <w:rPr>
          <w:rFonts w:ascii="David" w:hAnsi="David"/>
          <w:rtl/>
        </w:rPr>
        <w:t xml:space="preserve"> (נבו 22/8/2019)).</w:t>
      </w:r>
    </w:p>
    <w:p w14:paraId="334FE9A3" w14:textId="77777777" w:rsidR="000771FA" w:rsidRDefault="000771FA" w:rsidP="000771FA">
      <w:pPr>
        <w:spacing w:line="360" w:lineRule="auto"/>
        <w:jc w:val="both"/>
        <w:rPr>
          <w:rFonts w:ascii="David" w:hAnsi="David"/>
          <w:rtl/>
        </w:rPr>
      </w:pPr>
    </w:p>
    <w:p w14:paraId="1BC2E0F8" w14:textId="77777777" w:rsidR="000771FA" w:rsidRDefault="000771FA" w:rsidP="000771FA">
      <w:pPr>
        <w:spacing w:line="360" w:lineRule="auto"/>
        <w:jc w:val="both"/>
        <w:rPr>
          <w:rFonts w:ascii="David" w:hAnsi="David"/>
          <w:rtl/>
        </w:rPr>
      </w:pPr>
      <w:r>
        <w:rPr>
          <w:rFonts w:ascii="David" w:hAnsi="David"/>
          <w:rtl/>
        </w:rPr>
        <w:t>10.</w:t>
      </w:r>
      <w:r>
        <w:rPr>
          <w:rFonts w:ascii="David" w:hAnsi="David"/>
          <w:rtl/>
        </w:rPr>
        <w:tab/>
        <w:t>הערכים החברתיים המוגנים העומדים ביסוד העבירות מושא כתב האישום הם הגנה על הציבור מפני הנזקים הישירים והעקיפים הנגרמים משימוש בסמים. בנסיבות ביצוע העבירה כאן מידת הפגיעה בערכים אלה אינה ברף הגבוה, נוכח היקף מעורבותו של הנאשם, שהיה מצומצם והסתכם בסיוע קונקרטי באופן ספורדי, וכן נוכח סוג הסם, קנבוס, הנחשב ל"סם קל" ביחס לסמים אחרים.</w:t>
      </w:r>
    </w:p>
    <w:p w14:paraId="1E3D39E7" w14:textId="77777777" w:rsidR="000771FA" w:rsidRDefault="000771FA" w:rsidP="000771FA">
      <w:pPr>
        <w:spacing w:line="360" w:lineRule="auto"/>
        <w:jc w:val="both"/>
        <w:rPr>
          <w:rFonts w:ascii="Miriam" w:hAnsi="Miriam" w:cs="Miriam"/>
          <w:rtl/>
        </w:rPr>
      </w:pPr>
    </w:p>
    <w:p w14:paraId="2DE3020D" w14:textId="77777777" w:rsidR="000771FA" w:rsidRDefault="000771FA" w:rsidP="000771FA">
      <w:pPr>
        <w:spacing w:line="360" w:lineRule="auto"/>
        <w:jc w:val="both"/>
        <w:rPr>
          <w:rFonts w:ascii="David" w:hAnsi="David"/>
          <w:rtl/>
        </w:rPr>
      </w:pPr>
      <w:r>
        <w:rPr>
          <w:rFonts w:ascii="David" w:hAnsi="David"/>
          <w:rtl/>
        </w:rPr>
        <w:t>11.</w:t>
      </w:r>
      <w:r>
        <w:rPr>
          <w:rFonts w:ascii="David" w:hAnsi="David"/>
          <w:rtl/>
        </w:rPr>
        <w:tab/>
        <w:t xml:space="preserve">באשר למדיניות הענישה במקרים דומים, מעבר לעניינו של המסייע האחר בפרשה כאן, שהוזכר לעיל, אציין גם את </w:t>
      </w:r>
      <w:hyperlink r:id="rId26" w:history="1">
        <w:r w:rsidR="009B4270" w:rsidRPr="009B4270">
          <w:rPr>
            <w:rFonts w:ascii="David" w:hAnsi="David"/>
            <w:color w:val="0000FF"/>
            <w:u w:val="single"/>
            <w:rtl/>
          </w:rPr>
          <w:t>רע"פ 7906/19</w:t>
        </w:r>
      </w:hyperlink>
      <w:r>
        <w:rPr>
          <w:rFonts w:ascii="David" w:hAnsi="David"/>
          <w:rtl/>
        </w:rPr>
        <w:t xml:space="preserve"> </w:t>
      </w:r>
      <w:r>
        <w:rPr>
          <w:rFonts w:ascii="David" w:hAnsi="David"/>
          <w:b/>
          <w:bCs/>
          <w:rtl/>
        </w:rPr>
        <w:t>אדרי נ' מדינת ישראל</w:t>
      </w:r>
      <w:r>
        <w:rPr>
          <w:rFonts w:ascii="David" w:hAnsi="David"/>
          <w:rtl/>
        </w:rPr>
        <w:t xml:space="preserve"> הנ"ל, שם הורשע המבקש בעבירות של סיוע לגידול סמים, סיוע להחזקת סם שלא לצריכה עצמית וסיוע להחזקת כלים להכנת סם, בכך שסייע בהקמת מעבדה לגידול קנבוס שכללה שתילים וסמים במשקל כולל של 17 ק"ג. בית משפט השלום קבע מתחם ענישה הנע בין </w:t>
      </w:r>
      <w:r>
        <w:rPr>
          <w:rFonts w:ascii="David" w:hAnsi="David"/>
          <w:b/>
          <w:bCs/>
          <w:rtl/>
        </w:rPr>
        <w:t>6 ל-18 חודשי מאסר</w:t>
      </w:r>
      <w:r>
        <w:rPr>
          <w:rFonts w:ascii="David" w:hAnsi="David"/>
          <w:rtl/>
        </w:rPr>
        <w:t xml:space="preserve">, לצד ענישה נלווית, וגזר עליו עונש של </w:t>
      </w:r>
      <w:r>
        <w:rPr>
          <w:rFonts w:ascii="David" w:hAnsi="David"/>
          <w:b/>
          <w:bCs/>
          <w:rtl/>
        </w:rPr>
        <w:t>12 חודשי מאסר</w:t>
      </w:r>
      <w:r>
        <w:rPr>
          <w:rFonts w:ascii="David" w:hAnsi="David"/>
          <w:rtl/>
        </w:rPr>
        <w:t xml:space="preserve"> </w:t>
      </w:r>
      <w:r>
        <w:rPr>
          <w:rFonts w:ascii="David" w:hAnsi="David"/>
          <w:b/>
          <w:bCs/>
          <w:rtl/>
        </w:rPr>
        <w:t>בפועל</w:t>
      </w:r>
      <w:r>
        <w:rPr>
          <w:rFonts w:ascii="David" w:hAnsi="David"/>
          <w:rtl/>
        </w:rPr>
        <w:t xml:space="preserve"> (בנסיבות של עבר פלילי מכביד ותסקיר שלילי). בית המשפט</w:t>
      </w:r>
      <w:r>
        <w:rPr>
          <w:rFonts w:ascii="David" w:hAnsi="David"/>
          <w:b/>
          <w:bCs/>
          <w:rtl/>
        </w:rPr>
        <w:t xml:space="preserve"> </w:t>
      </w:r>
      <w:r>
        <w:rPr>
          <w:rFonts w:ascii="David" w:hAnsi="David"/>
          <w:rtl/>
        </w:rPr>
        <w:t>המחוזי דחה את ערעור המבקש, קיבל את ערעור המדינה, והחמיר את העונש ל-</w:t>
      </w:r>
      <w:r>
        <w:rPr>
          <w:rFonts w:ascii="David" w:hAnsi="David"/>
          <w:b/>
          <w:bCs/>
          <w:rtl/>
        </w:rPr>
        <w:t>18 חודשי מאסר בפועל</w:t>
      </w:r>
      <w:r>
        <w:rPr>
          <w:rFonts w:ascii="David" w:hAnsi="David"/>
          <w:rtl/>
        </w:rPr>
        <w:t>. בית המשפט העליון דחה את בקשת הערעור על חומרת העונש.</w:t>
      </w:r>
    </w:p>
    <w:p w14:paraId="78D269DC" w14:textId="77777777" w:rsidR="000771FA" w:rsidRDefault="000771FA" w:rsidP="000771FA">
      <w:pPr>
        <w:spacing w:line="360" w:lineRule="auto"/>
        <w:ind w:firstLine="720"/>
        <w:jc w:val="both"/>
        <w:rPr>
          <w:rFonts w:ascii="David" w:hAnsi="David"/>
          <w:rtl/>
        </w:rPr>
      </w:pPr>
    </w:p>
    <w:p w14:paraId="3B342584" w14:textId="77777777" w:rsidR="000771FA" w:rsidRDefault="000771FA" w:rsidP="000771FA">
      <w:pPr>
        <w:spacing w:line="360" w:lineRule="auto"/>
        <w:ind w:firstLine="720"/>
        <w:jc w:val="both"/>
        <w:rPr>
          <w:rFonts w:ascii="David" w:hAnsi="David"/>
          <w:rtl/>
        </w:rPr>
      </w:pPr>
      <w:r>
        <w:rPr>
          <w:rFonts w:ascii="David" w:hAnsi="David"/>
          <w:rtl/>
        </w:rPr>
        <w:t>ב</w:t>
      </w:r>
      <w:hyperlink r:id="rId27" w:history="1">
        <w:r w:rsidR="009B4270" w:rsidRPr="009B4270">
          <w:rPr>
            <w:rFonts w:ascii="David" w:hAnsi="David"/>
            <w:color w:val="0000FF"/>
            <w:u w:val="single"/>
            <w:rtl/>
          </w:rPr>
          <w:t>ע"פ 5807/17</w:t>
        </w:r>
      </w:hyperlink>
      <w:r>
        <w:rPr>
          <w:rFonts w:ascii="David" w:hAnsi="David"/>
          <w:rtl/>
        </w:rPr>
        <w:t xml:space="preserve"> </w:t>
      </w:r>
      <w:r>
        <w:rPr>
          <w:rFonts w:ascii="David" w:hAnsi="David"/>
          <w:b/>
          <w:bCs/>
          <w:rtl/>
        </w:rPr>
        <w:t>דרחי נ' מדינת ישראל</w:t>
      </w:r>
      <w:r>
        <w:rPr>
          <w:rFonts w:ascii="David" w:hAnsi="David"/>
          <w:rtl/>
        </w:rPr>
        <w:t xml:space="preserve"> (נבו 18.6.2018) הורשע אחד המערערים בסיוע לגידול סם מסוכן, סיוע בהחזקת סם מסוכן שלא לצריכה עצמית ובעבירות של נהיגה בשכרות, בכך שסייע למערער השני להקים מעבדה לגידול קנבוס בביתו, וקיבל עבור עבודתו תמורה כספית. בית המשפט המחוזי גזר על המסייע </w:t>
      </w:r>
      <w:r>
        <w:rPr>
          <w:rFonts w:ascii="David" w:hAnsi="David"/>
          <w:b/>
          <w:bCs/>
          <w:rtl/>
        </w:rPr>
        <w:t>15 חודשי מאסר בפועל</w:t>
      </w:r>
      <w:r>
        <w:rPr>
          <w:rFonts w:ascii="David" w:hAnsi="David"/>
          <w:rtl/>
        </w:rPr>
        <w:t xml:space="preserve"> ועונשים נוספים (על המבצע העיקרי גזר 30 חודשי מאסר בפועל). בית המשפט העליון דחה את הערעורים על חומרת העונש. </w:t>
      </w:r>
    </w:p>
    <w:p w14:paraId="5A9017E3" w14:textId="77777777" w:rsidR="000771FA" w:rsidRDefault="000771FA" w:rsidP="000771FA">
      <w:pPr>
        <w:spacing w:line="360" w:lineRule="auto"/>
        <w:jc w:val="both"/>
        <w:rPr>
          <w:rFonts w:ascii="David" w:hAnsi="David"/>
          <w:rtl/>
        </w:rPr>
      </w:pPr>
      <w:r>
        <w:rPr>
          <w:rFonts w:ascii="David" w:hAnsi="David"/>
          <w:rtl/>
        </w:rPr>
        <w:tab/>
      </w:r>
    </w:p>
    <w:p w14:paraId="64F13E9F" w14:textId="77777777" w:rsidR="000771FA" w:rsidRDefault="00CF1F91" w:rsidP="000771FA">
      <w:pPr>
        <w:spacing w:line="360" w:lineRule="auto"/>
        <w:ind w:firstLine="720"/>
        <w:jc w:val="both"/>
        <w:rPr>
          <w:rFonts w:ascii="David" w:hAnsi="David"/>
          <w:rtl/>
        </w:rPr>
      </w:pPr>
      <w:hyperlink r:id="rId28" w:history="1">
        <w:r w:rsidRPr="00CF1F91">
          <w:rPr>
            <w:rFonts w:ascii="David" w:hAnsi="David"/>
            <w:color w:val="0000FF"/>
            <w:u w:val="single"/>
            <w:rtl/>
          </w:rPr>
          <w:t xml:space="preserve">בע"פ אבו סבילה נ' מדינת ישראל </w:t>
        </w:r>
      </w:hyperlink>
      <w:r w:rsidR="000771FA">
        <w:rPr>
          <w:rFonts w:ascii="David" w:hAnsi="David"/>
          <w:rtl/>
        </w:rPr>
        <w:t xml:space="preserve"> (נבו 6.1.2020), הורשע המערער בסיוע לגידול סם מסוכן והשמדת ראיה, בכך שסייע לאחרים לגדל שדה שבו כ-2000 שתילי קנבוס. הוא הגיע לשדה בשתי הזדמנויות כדי לטפל בשתילים ולהשקותם. באחת הפעמים ראה מצלמה משטרתית, שלף אותה ממקומה ובהמשך לקח אותה עם אחרים מהמקום. במסגרת הסדר הטיעון הגבילה עצמה המאשימה לעונש של 15 חודשי מאסר. בית המשפט המחוזי גזר על המערער עונש של 11 חודשי מאסר בפועל (בנסיבות של גיל צעיר, עבר פלילי ותסקיר עם המלצה לעבודות שירות). בית המשפט העליון קיבל את ערעורו והפחית את עונשו ל</w:t>
      </w:r>
      <w:r w:rsidR="000771FA">
        <w:rPr>
          <w:rFonts w:ascii="David" w:hAnsi="David"/>
          <w:b/>
          <w:bCs/>
          <w:rtl/>
        </w:rPr>
        <w:t>-9 חודשי מאסר בעבודות שירות</w:t>
      </w:r>
      <w:r w:rsidR="000771FA">
        <w:rPr>
          <w:rFonts w:ascii="David" w:hAnsi="David"/>
          <w:rtl/>
        </w:rPr>
        <w:t xml:space="preserve">. </w:t>
      </w:r>
    </w:p>
    <w:p w14:paraId="15FC4DD4" w14:textId="77777777" w:rsidR="000771FA" w:rsidRDefault="000771FA" w:rsidP="000771FA">
      <w:pPr>
        <w:spacing w:line="360" w:lineRule="auto"/>
        <w:jc w:val="both"/>
        <w:rPr>
          <w:rFonts w:ascii="David" w:hAnsi="David"/>
          <w:rtl/>
        </w:rPr>
      </w:pPr>
    </w:p>
    <w:p w14:paraId="0B427F5B" w14:textId="77777777" w:rsidR="000771FA" w:rsidRDefault="000771FA" w:rsidP="000771FA">
      <w:pPr>
        <w:spacing w:line="360" w:lineRule="auto"/>
        <w:jc w:val="both"/>
        <w:rPr>
          <w:rFonts w:ascii="David" w:hAnsi="David"/>
          <w:rtl/>
        </w:rPr>
      </w:pPr>
      <w:r>
        <w:rPr>
          <w:rFonts w:ascii="David" w:hAnsi="David"/>
          <w:rtl/>
        </w:rPr>
        <w:t>12.</w:t>
      </w:r>
      <w:r>
        <w:rPr>
          <w:rFonts w:ascii="David" w:hAnsi="David"/>
          <w:rtl/>
        </w:rPr>
        <w:tab/>
        <w:t xml:space="preserve">בבחינת נסיבות ביצוע העבירה כאן, נתתי דעתי לתכנון המוקדם שנעשה, ולחלקו היחסי של הנאשם בגידול הסמים. כאמור לעיל, כתב האישום מתייחס לסיוע מתוחם, שלא דרש מומחיות מורכבת. עוד שקלתי את הנזק שנגרם ושעלול היה להיגרם, בשים לב לכמות הסמים שנתפסה ולפוטנציאל ההפצה שעולה ממנה. </w:t>
      </w:r>
    </w:p>
    <w:p w14:paraId="111C8886" w14:textId="77777777" w:rsidR="000771FA" w:rsidRDefault="000771FA" w:rsidP="000771FA">
      <w:pPr>
        <w:jc w:val="both"/>
        <w:rPr>
          <w:rFonts w:ascii="David" w:hAnsi="David"/>
          <w:rtl/>
        </w:rPr>
      </w:pPr>
    </w:p>
    <w:p w14:paraId="0EAE3494" w14:textId="77777777" w:rsidR="000771FA" w:rsidRDefault="000771FA" w:rsidP="000771FA">
      <w:pPr>
        <w:spacing w:line="360" w:lineRule="auto"/>
        <w:jc w:val="both"/>
        <w:rPr>
          <w:rFonts w:ascii="David" w:hAnsi="David"/>
          <w:rtl/>
        </w:rPr>
      </w:pPr>
      <w:r>
        <w:rPr>
          <w:rFonts w:ascii="David" w:hAnsi="David"/>
          <w:rtl/>
        </w:rPr>
        <w:t>13.</w:t>
      </w:r>
      <w:r>
        <w:rPr>
          <w:rFonts w:ascii="David" w:hAnsi="David"/>
          <w:rtl/>
        </w:rPr>
        <w:tab/>
        <w:t xml:space="preserve">בשים לב למידת הפגיעה בערכים המוגנים, למדיניות הענישה הנוהגת ולנסיבות הקשורות בביצוע העבירה, ראיתי לקבוע את מתחם הענישה בתיק זה כנע </w:t>
      </w:r>
      <w:r>
        <w:rPr>
          <w:rFonts w:ascii="David" w:hAnsi="David"/>
          <w:b/>
          <w:bCs/>
          <w:rtl/>
        </w:rPr>
        <w:t xml:space="preserve">בין מספר חודשי מאסר, שיכול וירוצו בעבודות שירות במקרים המתאימים, ברף התחתון, ועד ל-18 חודשי מאסר בפועל בתקרתו. </w:t>
      </w:r>
      <w:r>
        <w:rPr>
          <w:rFonts w:ascii="David" w:hAnsi="David"/>
          <w:rtl/>
        </w:rPr>
        <w:t xml:space="preserve">זאת בנוסף לעונשי מאסר מותנה, וקנס. בשים לב לכך שלא נעשה שימוש ברכב בעת ביצוע העבירה ולא נעשה שימוש עצמי בסמים מסוכנים, לא מצאתי לכלול רכיב של פסילת רישיון נהיגה במסגרת מתחם העונש ההולם, וזאת חרף עתירת המאשימה בנושא.  </w:t>
      </w:r>
    </w:p>
    <w:p w14:paraId="4C23D893" w14:textId="77777777" w:rsidR="000771FA" w:rsidRDefault="000771FA" w:rsidP="000771FA">
      <w:pPr>
        <w:spacing w:line="360" w:lineRule="auto"/>
        <w:jc w:val="both"/>
        <w:rPr>
          <w:rFonts w:ascii="David" w:hAnsi="David"/>
          <w:rtl/>
        </w:rPr>
      </w:pPr>
    </w:p>
    <w:p w14:paraId="16384BD5" w14:textId="77777777" w:rsidR="000771FA" w:rsidRDefault="000771FA" w:rsidP="000771FA">
      <w:pPr>
        <w:spacing w:line="360" w:lineRule="auto"/>
        <w:jc w:val="both"/>
        <w:rPr>
          <w:rFonts w:ascii="David" w:hAnsi="David"/>
          <w:rtl/>
        </w:rPr>
      </w:pPr>
      <w:r>
        <w:rPr>
          <w:rFonts w:ascii="David" w:hAnsi="David"/>
          <w:rtl/>
        </w:rPr>
        <w:t>14.</w:t>
      </w:r>
      <w:r>
        <w:rPr>
          <w:rFonts w:ascii="David" w:hAnsi="David"/>
          <w:rtl/>
        </w:rPr>
        <w:tab/>
        <w:t xml:space="preserve">לא מצאתי עילה לסטייה ממתחם הענישה שקבעתי, בהעדר נסיבות חומרה ייחודיות מחד גיסא, ובהעדר המלצה שיקומית מצד שירות המבחן, או ראיות ממשיות על אפיק שיקומי אחר, מאידך גיסא. </w:t>
      </w:r>
    </w:p>
    <w:p w14:paraId="08C1E859" w14:textId="77777777" w:rsidR="000771FA" w:rsidRDefault="000771FA" w:rsidP="000771FA">
      <w:pPr>
        <w:spacing w:line="360" w:lineRule="auto"/>
        <w:jc w:val="both"/>
        <w:rPr>
          <w:rFonts w:ascii="David" w:hAnsi="David"/>
          <w:rtl/>
        </w:rPr>
      </w:pPr>
    </w:p>
    <w:p w14:paraId="11FB5A21" w14:textId="77777777" w:rsidR="000771FA" w:rsidRDefault="000771FA" w:rsidP="000771FA">
      <w:pPr>
        <w:spacing w:line="360" w:lineRule="auto"/>
        <w:jc w:val="both"/>
        <w:rPr>
          <w:rFonts w:ascii="David" w:hAnsi="David"/>
          <w:rtl/>
        </w:rPr>
      </w:pPr>
      <w:r>
        <w:rPr>
          <w:rFonts w:ascii="David" w:hAnsi="David"/>
          <w:rtl/>
        </w:rPr>
        <w:t>15.</w:t>
      </w:r>
      <w:r>
        <w:rPr>
          <w:rFonts w:ascii="David" w:hAnsi="David"/>
          <w:rtl/>
        </w:rPr>
        <w:tab/>
        <w:t xml:space="preserve">באשר לנסיבות שאינן קשורות לביצוע העבירה, נתתי דעתי להודאת הנאשם לאחר תיקון משמעותי בכתב האישום, המעידה, לצד דבריו בדיון לפניי, על לקיחת אחריות על מעשיו. עוד שקלתי את נסיבות חייו המצערות של הנאשם שהתמודד עם אובדן כפול במשפחתו הגרעינית. נתתי דעתי גם לפגיעה של העונש במשפחתו, לרבות באשתו המצויה בהיריון ומצפה ללדת את ילדם המשותף בעוד חודשים ספורים. שקלתי את החרטה שהביע לפניי ואת רצונו לפתוח דף חדש עם הרחבת המשפחה המצופה. לצד זאת, נתתי דעתי לאמור בתסקיר שירות המבחן, לרבות ביחס לניסיונות שיקום בעבר שלא צלחו. עוד שקלתי את עברו הפלילי המכביד של הנאשם, ואת העובדה שגם ריצוי עונש בעבודות שירות ומאסרים מותנים שהיו תלויים ועומדים כנגדו לא הרתיעו אותו מלבצע את העבירה כאן. נוכח כל אלה נתתי משקל ממשי לשיקולי ההרתעה. עוד שקלתי את חלוף הזמן מעת ביצוע העבירה, לפני כשנה וחצי, ואת התקופה הממושכת בה שהה במעצר באיזוק אלקטרוני (כשנה ורבע). בשקלול כלל הנסיבות לקולה ולחומרה, מצאתי לגזור את עונשו של הנאשם בתוככי המתחם בחלקו האמצעי - תחתון שלו. </w:t>
      </w:r>
    </w:p>
    <w:p w14:paraId="72BD5583" w14:textId="77777777" w:rsidR="000771FA" w:rsidRDefault="000771FA" w:rsidP="000771FA">
      <w:pPr>
        <w:spacing w:line="360" w:lineRule="auto"/>
        <w:jc w:val="both"/>
        <w:rPr>
          <w:rFonts w:ascii="David" w:hAnsi="David"/>
          <w:rtl/>
        </w:rPr>
      </w:pPr>
    </w:p>
    <w:p w14:paraId="64868543" w14:textId="77777777" w:rsidR="000771FA" w:rsidRDefault="000771FA" w:rsidP="000771FA">
      <w:pPr>
        <w:spacing w:line="360" w:lineRule="auto"/>
        <w:ind w:firstLine="720"/>
        <w:jc w:val="both"/>
        <w:rPr>
          <w:rFonts w:ascii="David" w:hAnsi="David"/>
          <w:rtl/>
        </w:rPr>
      </w:pPr>
      <w:r>
        <w:rPr>
          <w:rFonts w:ascii="David" w:hAnsi="David"/>
          <w:u w:val="single"/>
          <w:rtl/>
        </w:rPr>
        <w:t>אשר על כן, אני גוזר את עונשו של הנאשם כדלקמן</w:t>
      </w:r>
      <w:r>
        <w:rPr>
          <w:rFonts w:ascii="David" w:hAnsi="David"/>
          <w:rtl/>
        </w:rPr>
        <w:t xml:space="preserve">: </w:t>
      </w:r>
    </w:p>
    <w:p w14:paraId="17B35327" w14:textId="77777777" w:rsidR="000771FA" w:rsidRDefault="000771FA" w:rsidP="000771FA">
      <w:pPr>
        <w:spacing w:line="360" w:lineRule="auto"/>
        <w:jc w:val="both"/>
        <w:rPr>
          <w:rFonts w:ascii="David" w:hAnsi="David"/>
          <w:rtl/>
        </w:rPr>
      </w:pPr>
      <w:r>
        <w:rPr>
          <w:rFonts w:ascii="David" w:hAnsi="David"/>
          <w:rtl/>
        </w:rPr>
        <w:t>16.</w:t>
      </w:r>
      <w:r>
        <w:rPr>
          <w:rFonts w:ascii="David" w:hAnsi="David"/>
          <w:rtl/>
        </w:rPr>
        <w:tab/>
      </w:r>
      <w:r>
        <w:rPr>
          <w:rFonts w:ascii="David" w:hAnsi="David"/>
          <w:b/>
          <w:bCs/>
          <w:rtl/>
        </w:rPr>
        <w:t xml:space="preserve">שישה (6) חודשי מאסר אשר יהוו עונש מאסר לריצוי בפועל </w:t>
      </w:r>
      <w:r>
        <w:rPr>
          <w:rFonts w:ascii="David" w:hAnsi="David"/>
          <w:rtl/>
        </w:rPr>
        <w:t>בניכוי ימי מעצרו בתיק זה מיום 3.5.2020 עד יום 2.7.2020. מועד התייצבות לריצוי העונש יהא ביום</w:t>
      </w:r>
      <w:r>
        <w:rPr>
          <w:rFonts w:ascii="David" w:hAnsi="David" w:hint="cs"/>
          <w:rtl/>
        </w:rPr>
        <w:t xml:space="preserve"> 7/11/21 </w:t>
      </w:r>
      <w:r>
        <w:rPr>
          <w:rFonts w:ascii="David" w:hAnsi="David"/>
          <w:rtl/>
        </w:rPr>
        <w:t>עד השעה 9:00, בימ"ר קישון.</w:t>
      </w:r>
    </w:p>
    <w:p w14:paraId="5589C3A7" w14:textId="77777777" w:rsidR="000771FA" w:rsidRDefault="000771FA" w:rsidP="000771FA">
      <w:pPr>
        <w:spacing w:line="360" w:lineRule="auto"/>
        <w:jc w:val="both"/>
        <w:rPr>
          <w:rFonts w:ascii="David" w:hAnsi="David"/>
          <w:b/>
          <w:bCs/>
          <w:rtl/>
        </w:rPr>
      </w:pPr>
    </w:p>
    <w:p w14:paraId="2123B842" w14:textId="77777777" w:rsidR="000771FA" w:rsidRDefault="000771FA" w:rsidP="000771FA">
      <w:pPr>
        <w:spacing w:line="360" w:lineRule="auto"/>
        <w:ind w:firstLine="720"/>
        <w:jc w:val="both"/>
        <w:rPr>
          <w:rFonts w:ascii="David" w:hAnsi="David"/>
          <w:b/>
          <w:bCs/>
          <w:rtl/>
        </w:rPr>
      </w:pPr>
      <w:r>
        <w:rPr>
          <w:rFonts w:ascii="David" w:hAnsi="David"/>
          <w:b/>
          <w:bCs/>
          <w:rtl/>
        </w:rPr>
        <w:t xml:space="preserve">לנאשם עומדת האפשרות למיון מוקדם, בתיאום עם ענף אבחון ומיון של שב"ס, בטלפונים: 08-9787377 או 08-9787336. מס' פקס: 08-9193314. דואר אלקטרוני: </w:t>
      </w:r>
      <w:hyperlink r:id="rId29" w:history="1">
        <w:r>
          <w:rPr>
            <w:rStyle w:val="Hyperlink"/>
          </w:rPr>
          <w:t>MaasarN@ips.gov.il</w:t>
        </w:r>
      </w:hyperlink>
      <w:r>
        <w:rPr>
          <w:rtl/>
        </w:rPr>
        <w:t>.</w:t>
      </w:r>
    </w:p>
    <w:p w14:paraId="7260869A" w14:textId="77777777" w:rsidR="000771FA" w:rsidRDefault="000771FA" w:rsidP="000771FA">
      <w:pPr>
        <w:spacing w:line="360" w:lineRule="auto"/>
        <w:ind w:firstLine="720"/>
        <w:jc w:val="both"/>
        <w:rPr>
          <w:rFonts w:ascii="David" w:hAnsi="David"/>
          <w:b/>
          <w:bCs/>
          <w:rtl/>
        </w:rPr>
      </w:pPr>
    </w:p>
    <w:p w14:paraId="7C18BED9" w14:textId="77777777" w:rsidR="000771FA" w:rsidRDefault="000771FA" w:rsidP="000771FA">
      <w:pPr>
        <w:spacing w:line="360" w:lineRule="auto"/>
        <w:ind w:firstLine="720"/>
        <w:jc w:val="both"/>
        <w:rPr>
          <w:rFonts w:ascii="David" w:hAnsi="David"/>
          <w:rtl/>
        </w:rPr>
      </w:pPr>
      <w:r>
        <w:rPr>
          <w:rFonts w:ascii="David" w:hAnsi="David"/>
          <w:b/>
          <w:bCs/>
          <w:rtl/>
        </w:rPr>
        <w:t>לצד זאת ובנוסף אני גוזר על הנאשם חמישה (5) חודשי מאסר אותם לא ירצה אלא אם בתוך שלוש (3) שנים מיום שחרורו ממאסרו ישוב ויעבור עבירה לפי ל</w:t>
      </w:r>
      <w:hyperlink r:id="rId30" w:history="1">
        <w:r w:rsidR="009B4270" w:rsidRPr="009B4270">
          <w:rPr>
            <w:rFonts w:ascii="David" w:hAnsi="David"/>
            <w:b/>
            <w:bCs/>
            <w:color w:val="0000FF"/>
            <w:u w:val="single"/>
            <w:rtl/>
          </w:rPr>
          <w:t>פקודת הסמים המסוכנים</w:t>
        </w:r>
      </w:hyperlink>
      <w:r>
        <w:rPr>
          <w:rFonts w:ascii="David" w:hAnsi="David"/>
          <w:b/>
          <w:bCs/>
          <w:rtl/>
        </w:rPr>
        <w:t xml:space="preserve"> מסוג פשע.  </w:t>
      </w:r>
    </w:p>
    <w:p w14:paraId="5C5E833E" w14:textId="77777777" w:rsidR="000771FA" w:rsidRDefault="000771FA" w:rsidP="000771FA">
      <w:pPr>
        <w:spacing w:line="360" w:lineRule="auto"/>
        <w:jc w:val="both"/>
        <w:rPr>
          <w:rFonts w:ascii="David" w:hAnsi="David"/>
          <w:b/>
          <w:bCs/>
          <w:rtl/>
        </w:rPr>
      </w:pPr>
    </w:p>
    <w:p w14:paraId="30DDB778" w14:textId="77777777" w:rsidR="000771FA" w:rsidRDefault="000771FA" w:rsidP="000771FA">
      <w:pPr>
        <w:spacing w:line="360" w:lineRule="auto"/>
        <w:ind w:firstLine="720"/>
        <w:jc w:val="both"/>
        <w:rPr>
          <w:rFonts w:ascii="David" w:hAnsi="David"/>
          <w:b/>
          <w:bCs/>
          <w:rtl/>
        </w:rPr>
      </w:pPr>
      <w:r w:rsidRPr="005D26A1">
        <w:rPr>
          <w:rFonts w:ascii="David" w:hAnsi="David"/>
          <w:rtl/>
        </w:rPr>
        <w:t>בשל פוטנציאל הרווח הפסול שבעבירה שלפניי, וכפן הרתעתי נוסף,</w:t>
      </w:r>
      <w:r>
        <w:rPr>
          <w:rFonts w:ascii="David" w:hAnsi="David"/>
          <w:b/>
          <w:bCs/>
          <w:rtl/>
        </w:rPr>
        <w:t xml:space="preserve"> אני מטיל על הנאשם קנס בסך 10,000 ₪ שישולם עד ליום 1.1.2022 או חודשיים (2) מאסר נוספים, תמורתו. </w:t>
      </w:r>
    </w:p>
    <w:p w14:paraId="44D4372F" w14:textId="77777777" w:rsidR="000771FA" w:rsidRDefault="000771FA" w:rsidP="000771FA">
      <w:pPr>
        <w:spacing w:line="360" w:lineRule="auto"/>
        <w:jc w:val="both"/>
        <w:rPr>
          <w:rFonts w:ascii="David" w:hAnsi="David"/>
          <w:rtl/>
        </w:rPr>
      </w:pPr>
    </w:p>
    <w:p w14:paraId="1C55CF95" w14:textId="77777777" w:rsidR="000771FA" w:rsidRDefault="000771FA" w:rsidP="000771FA">
      <w:pPr>
        <w:spacing w:line="360" w:lineRule="auto"/>
        <w:jc w:val="both"/>
        <w:rPr>
          <w:rFonts w:ascii="David" w:hAnsi="David"/>
          <w:rtl/>
        </w:rPr>
      </w:pPr>
      <w:r>
        <w:rPr>
          <w:rFonts w:ascii="David" w:hAnsi="David"/>
          <w:rtl/>
        </w:rPr>
        <w:t>17.</w:t>
      </w:r>
      <w:r>
        <w:rPr>
          <w:rFonts w:ascii="David" w:hAnsi="David"/>
          <w:rtl/>
        </w:rPr>
        <w:tab/>
        <w:t>כמו כן, אני מפעיל את שני עונשי המאסר המותנה שהם ברי הפעלה כאן, עונש מאסר מותנה בן שבעה (7) חודשים מ</w:t>
      </w:r>
      <w:hyperlink r:id="rId31" w:history="1">
        <w:r w:rsidR="009B4270" w:rsidRPr="009B4270">
          <w:rPr>
            <w:rFonts w:ascii="David" w:hAnsi="David"/>
            <w:color w:val="0000FF"/>
            <w:u w:val="single"/>
            <w:rtl/>
          </w:rPr>
          <w:t>ת"פ 69718-03-18</w:t>
        </w:r>
      </w:hyperlink>
      <w:r>
        <w:rPr>
          <w:rFonts w:ascii="David" w:hAnsi="David"/>
          <w:rtl/>
        </w:rPr>
        <w:t>, ועונש מאסר מותנה בן חודשיים מ</w:t>
      </w:r>
      <w:hyperlink r:id="rId32" w:history="1">
        <w:r w:rsidR="009B4270" w:rsidRPr="009B4270">
          <w:rPr>
            <w:rFonts w:ascii="David" w:hAnsi="David"/>
            <w:color w:val="0000FF"/>
            <w:u w:val="single"/>
            <w:rtl/>
          </w:rPr>
          <w:t>ת"פ 29679-11-16</w:t>
        </w:r>
      </w:hyperlink>
      <w:r>
        <w:rPr>
          <w:rFonts w:ascii="David" w:hAnsi="David"/>
          <w:rtl/>
        </w:rPr>
        <w:t xml:space="preserve">, וזאת באופן הבא: עונש המאסר בן החודשיים ירוצה כולו בחופף לתקופות המאסר האחרות. כמו כן, מתוך עונש המאסר בן השבעה חודשים, ארבעה (4) חודשים ירוצו במצטבר, ושלושה חודשים (3) ירוצו בחופף לתקופות המאסר האחרות. </w:t>
      </w:r>
      <w:r>
        <w:rPr>
          <w:rFonts w:ascii="David" w:hAnsi="David"/>
          <w:b/>
          <w:bCs/>
          <w:rtl/>
        </w:rPr>
        <w:t xml:space="preserve">התוצאה היא שהנאשם ירצה ארבעה (4) חודשי מאסר במצטבר לתקופות המאסר האחרות, בשל הפעלת שני עונשי המאסר המותנה באופן שפורט. </w:t>
      </w:r>
      <w:r>
        <w:rPr>
          <w:rFonts w:ascii="David" w:hAnsi="David"/>
          <w:rtl/>
        </w:rPr>
        <w:t>הפעלה זו של עונשי המאסר המותנה נובעת מקבלת אחריות על ידי הנאשם; העובדה כי עונשי המאסר הוטלו בתיקים ששניהם נדונו בסמיכות, שאך בשל החלפת סנגורים לא התבקש "איחוד תיקים"; וכן נוכח התמהיל הכולל של העונש, שמאזן, להשקפתי,  כראוי בין שיקולי הענישה השונים.</w:t>
      </w:r>
    </w:p>
    <w:p w14:paraId="230941E0" w14:textId="77777777" w:rsidR="000771FA" w:rsidRDefault="000771FA" w:rsidP="000771FA">
      <w:pPr>
        <w:spacing w:line="360" w:lineRule="auto"/>
        <w:jc w:val="both"/>
        <w:rPr>
          <w:rFonts w:ascii="David" w:hAnsi="David"/>
          <w:rtl/>
        </w:rPr>
      </w:pPr>
    </w:p>
    <w:p w14:paraId="3530F170" w14:textId="77777777" w:rsidR="000771FA" w:rsidRDefault="000771FA" w:rsidP="000771FA">
      <w:pPr>
        <w:spacing w:line="360" w:lineRule="auto"/>
        <w:jc w:val="both"/>
        <w:rPr>
          <w:rFonts w:ascii="David" w:hAnsi="David"/>
          <w:rtl/>
        </w:rPr>
      </w:pPr>
      <w:r>
        <w:rPr>
          <w:rFonts w:ascii="David" w:hAnsi="David"/>
          <w:rtl/>
        </w:rPr>
        <w:t>18.</w:t>
      </w:r>
      <w:r>
        <w:rPr>
          <w:rFonts w:ascii="David" w:hAnsi="David"/>
          <w:rtl/>
        </w:rPr>
        <w:tab/>
        <w:t>נוסף לכך, אני מורה על הפקעת עונש המאסר בעבודות שירות, שנגזר על הנאשם ב</w:t>
      </w:r>
      <w:hyperlink r:id="rId33" w:history="1">
        <w:r w:rsidR="009B4270" w:rsidRPr="009B4270">
          <w:rPr>
            <w:rFonts w:ascii="David" w:hAnsi="David"/>
            <w:color w:val="0000FF"/>
            <w:u w:val="single"/>
            <w:rtl/>
          </w:rPr>
          <w:t>ת"פ 69718-03-18</w:t>
        </w:r>
      </w:hyperlink>
      <w:r>
        <w:rPr>
          <w:rFonts w:ascii="David" w:hAnsi="David"/>
          <w:rtl/>
        </w:rPr>
        <w:t>, והמרתו לכליאה ממשית מאחורי סורג ובריח. לא מצאתי לנכות את ימי מעצרו הממשי בתיק זה, אלא ראיתי להתייחס לעונש המאסר שנגזר ב</w:t>
      </w:r>
      <w:hyperlink r:id="rId34" w:history="1">
        <w:r w:rsidR="009B4270" w:rsidRPr="009B4270">
          <w:rPr>
            <w:rFonts w:ascii="David" w:hAnsi="David"/>
            <w:color w:val="0000FF"/>
            <w:u w:val="single"/>
            <w:rtl/>
          </w:rPr>
          <w:t>ת"פ 69718-03-18</w:t>
        </w:r>
      </w:hyperlink>
      <w:r>
        <w:rPr>
          <w:rFonts w:ascii="David" w:hAnsi="David"/>
          <w:rtl/>
        </w:rPr>
        <w:t xml:space="preserve"> כיחידה עונשית אחת. מסקנה זו נלמדת גם מנוסח סעיף החוק הרלוונטי, </w:t>
      </w:r>
      <w:hyperlink r:id="rId35" w:history="1">
        <w:r w:rsidR="00494F8D" w:rsidRPr="00494F8D">
          <w:rPr>
            <w:rStyle w:val="Hyperlink"/>
            <w:rFonts w:ascii="David" w:hAnsi="David"/>
            <w:rtl/>
          </w:rPr>
          <w:t>סעיף 51י(א)(1)</w:t>
        </w:r>
      </w:hyperlink>
      <w:r>
        <w:rPr>
          <w:rFonts w:ascii="David" w:hAnsi="David"/>
          <w:rtl/>
        </w:rPr>
        <w:t xml:space="preserve"> ל</w:t>
      </w:r>
      <w:hyperlink r:id="rId36" w:history="1">
        <w:r w:rsidR="009B4270" w:rsidRPr="009B4270">
          <w:rPr>
            <w:rFonts w:ascii="David" w:hAnsi="David"/>
            <w:color w:val="0000FF"/>
            <w:u w:val="single"/>
            <w:rtl/>
          </w:rPr>
          <w:t>חוק העונשין</w:t>
        </w:r>
      </w:hyperlink>
      <w:r>
        <w:rPr>
          <w:rFonts w:ascii="David" w:hAnsi="David"/>
          <w:rtl/>
        </w:rPr>
        <w:t xml:space="preserve">, המתייחס למקום בו בית המשפט הרשיע עובד שירות בתקופת עבודתו בשל עבירה אחרת, וזו לשונו: </w:t>
      </w:r>
    </w:p>
    <w:p w14:paraId="31AB1EF8" w14:textId="77777777" w:rsidR="000771FA" w:rsidRDefault="000771FA" w:rsidP="000771FA">
      <w:pPr>
        <w:spacing w:line="360" w:lineRule="auto"/>
        <w:jc w:val="both"/>
        <w:rPr>
          <w:rFonts w:ascii="David" w:hAnsi="David"/>
          <w:rtl/>
        </w:rPr>
      </w:pPr>
    </w:p>
    <w:p w14:paraId="0CCFDC4D" w14:textId="77777777" w:rsidR="000771FA" w:rsidRPr="000771FA" w:rsidRDefault="000771FA" w:rsidP="000771FA">
      <w:pPr>
        <w:pStyle w:val="P22"/>
        <w:spacing w:before="72"/>
        <w:ind w:left="1021" w:right="1134"/>
        <w:rPr>
          <w:rFonts w:ascii="David" w:eastAsia="Calibri" w:hAnsi="David" w:cs="David"/>
          <w:b/>
          <w:bCs/>
          <w:noProof w:val="0"/>
          <w:sz w:val="24"/>
          <w:szCs w:val="24"/>
          <w:rtl/>
          <w:lang w:eastAsia="en-US"/>
        </w:rPr>
      </w:pPr>
      <w:r w:rsidRPr="000771FA">
        <w:rPr>
          <w:rFonts w:ascii="David" w:eastAsia="Calibri" w:hAnsi="David" w:cs="David"/>
          <w:b/>
          <w:bCs/>
          <w:noProof w:val="0"/>
          <w:sz w:val="24"/>
          <w:szCs w:val="24"/>
          <w:rtl/>
          <w:lang w:eastAsia="en-US"/>
        </w:rPr>
        <w:t>גזר בית המשפט עונש מאסר בשל העבירה האחרת - וקבע שהנאשם לא ישא אותו בעבודת שירות – לא תחל עבודת השירות או תופסק ביום מתן גזר הדין, לפי העניין, ועובד השירות יישא את עונשו או את יתרת עונשו, לפי העניין, בבית הסוהר מהיום האמור או מיום אחר שקבע בית המשפט; עובד השירות ישא את תקופות המאסר בזו אחר זו, זולת אם בית המשפט, שהרשיעו בשל העבירה האחרת, ציווה ששתי התקופות, כולן או מקצתן, יהיו חופפות;</w:t>
      </w:r>
    </w:p>
    <w:p w14:paraId="1D431F09" w14:textId="77777777" w:rsidR="000771FA" w:rsidRPr="000771FA" w:rsidRDefault="000771FA" w:rsidP="000771FA">
      <w:pPr>
        <w:spacing w:line="360" w:lineRule="auto"/>
        <w:jc w:val="both"/>
        <w:rPr>
          <w:rFonts w:ascii="David" w:eastAsia="Calibri" w:hAnsi="David"/>
          <w:rtl/>
        </w:rPr>
      </w:pPr>
    </w:p>
    <w:p w14:paraId="330A646D" w14:textId="77777777" w:rsidR="000771FA" w:rsidRDefault="000771FA" w:rsidP="000771FA">
      <w:pPr>
        <w:spacing w:line="360" w:lineRule="auto"/>
        <w:ind w:firstLine="720"/>
        <w:jc w:val="both"/>
        <w:rPr>
          <w:rFonts w:ascii="David" w:hAnsi="David"/>
          <w:rtl/>
        </w:rPr>
      </w:pPr>
      <w:r>
        <w:rPr>
          <w:rFonts w:ascii="David" w:hAnsi="David"/>
          <w:rtl/>
        </w:rPr>
        <w:t>מסקנה זו מתיישבת גם עם פסק הדין ב</w:t>
      </w:r>
      <w:hyperlink r:id="rId37" w:history="1">
        <w:r w:rsidR="009B4270" w:rsidRPr="009B4270">
          <w:rPr>
            <w:rFonts w:ascii="David" w:hAnsi="David"/>
            <w:color w:val="0000FF"/>
            <w:u w:val="single"/>
            <w:rtl/>
          </w:rPr>
          <w:t>ע"פ 7692/20</w:t>
        </w:r>
      </w:hyperlink>
      <w:r>
        <w:rPr>
          <w:rFonts w:ascii="David" w:hAnsi="David"/>
          <w:rtl/>
        </w:rPr>
        <w:t xml:space="preserve"> </w:t>
      </w:r>
      <w:r>
        <w:rPr>
          <w:rFonts w:ascii="David" w:hAnsi="David"/>
          <w:b/>
          <w:bCs/>
          <w:rtl/>
        </w:rPr>
        <w:t>נתשה נ' מדינת ישראל</w:t>
      </w:r>
      <w:r>
        <w:rPr>
          <w:rFonts w:ascii="David" w:hAnsi="David"/>
          <w:rtl/>
        </w:rPr>
        <w:t xml:space="preserve"> (נבו 10.1.2021), שם התייחס כב' השופט סולברג </w:t>
      </w:r>
      <w:hyperlink r:id="rId38" w:history="1">
        <w:r w:rsidR="00494F8D" w:rsidRPr="00494F8D">
          <w:rPr>
            <w:rStyle w:val="Hyperlink"/>
            <w:rFonts w:ascii="David" w:hAnsi="David"/>
            <w:rtl/>
          </w:rPr>
          <w:t>לסעיף 51י(א2)</w:t>
        </w:r>
      </w:hyperlink>
      <w:r>
        <w:rPr>
          <w:rFonts w:ascii="David" w:hAnsi="David"/>
          <w:rtl/>
        </w:rPr>
        <w:t xml:space="preserve"> ל</w:t>
      </w:r>
      <w:hyperlink r:id="rId39" w:history="1">
        <w:r w:rsidR="009B4270" w:rsidRPr="009B4270">
          <w:rPr>
            <w:rFonts w:ascii="David" w:hAnsi="David"/>
            <w:color w:val="0000FF"/>
            <w:u w:val="single"/>
            <w:rtl/>
          </w:rPr>
          <w:t>חוק העונשין</w:t>
        </w:r>
      </w:hyperlink>
      <w:r>
        <w:rPr>
          <w:rFonts w:ascii="David" w:hAnsi="David"/>
          <w:rtl/>
        </w:rPr>
        <w:t xml:space="preserve">, העוסק בשלב בו ההליך הפלילי החדש עודנו תלוי ועומד, היינו, במקרה בו הוגש כתב אישום בשל עבירה אחרת, וטרם נגזר בו העונש. וכך הוא קובע: </w:t>
      </w:r>
    </w:p>
    <w:p w14:paraId="30BB805E" w14:textId="77777777" w:rsidR="000771FA" w:rsidRDefault="000771FA" w:rsidP="000771FA">
      <w:pPr>
        <w:spacing w:line="360" w:lineRule="auto"/>
        <w:ind w:firstLine="720"/>
        <w:jc w:val="both"/>
        <w:rPr>
          <w:rFonts w:ascii="David" w:hAnsi="David"/>
          <w:rtl/>
        </w:rPr>
      </w:pPr>
    </w:p>
    <w:p w14:paraId="243856AA" w14:textId="77777777" w:rsidR="000771FA" w:rsidRDefault="000771FA" w:rsidP="000771FA">
      <w:pPr>
        <w:ind w:left="1134" w:right="1134"/>
        <w:jc w:val="both"/>
        <w:rPr>
          <w:rFonts w:ascii="David" w:hAnsi="David"/>
          <w:b/>
          <w:bCs/>
          <w:rtl/>
        </w:rPr>
      </w:pPr>
      <w:r>
        <w:rPr>
          <w:rFonts w:ascii="David" w:hAnsi="David"/>
          <w:b/>
          <w:bCs/>
          <w:rtl/>
        </w:rPr>
        <w:t>משהגיע בית המשפט לכלל מסקנה כי יש מקום לעשות שימוש בסמכותו, הרי שמכוחה מוסמך הוא אך "</w:t>
      </w:r>
      <w:r>
        <w:rPr>
          <w:rFonts w:ascii="Miriam" w:hAnsi="Miriam" w:cs="Miriam"/>
          <w:b/>
          <w:bCs/>
          <w:rtl/>
        </w:rPr>
        <w:t>להורות שעבודת השירות לא תחל או תופסק</w:t>
      </w:r>
      <w:r>
        <w:rPr>
          <w:rFonts w:ascii="David" w:hAnsi="David"/>
          <w:b/>
          <w:bCs/>
          <w:rtl/>
        </w:rPr>
        <w:t xml:space="preserve">". הווה אומר: הברירה בינארית – אם להורות על שלילת זכותו של הנאשם לריצוי עונש המאסר בדרך של עבודות שירות, אם לאו. בית המשפט אינו רשאי לחזור ולגזור את עונשו, ולהטיל עליו </w:t>
      </w:r>
      <w:r>
        <w:rPr>
          <w:rFonts w:ascii="Miriam" w:hAnsi="Miriam" w:cs="Miriam"/>
          <w:b/>
          <w:bCs/>
          <w:rtl/>
        </w:rPr>
        <w:t>עונש חדש</w:t>
      </w:r>
      <w:r>
        <w:rPr>
          <w:rFonts w:ascii="David" w:hAnsi="David"/>
          <w:b/>
          <w:bCs/>
          <w:rtl/>
        </w:rPr>
        <w:t>; בכוחו אך לשלול את זכות היתר שניתנה לו במסגרת גזר הדין, לאחר שהציפיות ממנו נכזבו, ולהורות על כך שעליו לרצות את המשך מאסרו בבית הסוהר (זאת בניגוד להוראת סעיף 51י(א1) לחוק, המקנה לבית המשפט סמכות "</w:t>
      </w:r>
      <w:r>
        <w:rPr>
          <w:rFonts w:ascii="Miriam" w:hAnsi="Miriam" w:cs="Miriam"/>
          <w:b/>
          <w:bCs/>
          <w:rtl/>
        </w:rPr>
        <w:t>לגזור על הנאשם עונש אחר</w:t>
      </w:r>
      <w:r>
        <w:rPr>
          <w:rFonts w:ascii="David" w:hAnsi="David"/>
          <w:b/>
          <w:bCs/>
          <w:rtl/>
        </w:rPr>
        <w:t xml:space="preserve">") (שם, בפס' 11). </w:t>
      </w:r>
    </w:p>
    <w:p w14:paraId="20617A4C" w14:textId="77777777" w:rsidR="000771FA" w:rsidRDefault="000771FA" w:rsidP="000771FA">
      <w:pPr>
        <w:spacing w:line="360" w:lineRule="auto"/>
        <w:jc w:val="both"/>
        <w:rPr>
          <w:rFonts w:ascii="David" w:hAnsi="David"/>
          <w:rtl/>
        </w:rPr>
      </w:pPr>
    </w:p>
    <w:p w14:paraId="569D7479" w14:textId="77777777" w:rsidR="000771FA" w:rsidRDefault="000771FA" w:rsidP="000771FA">
      <w:pPr>
        <w:spacing w:line="360" w:lineRule="auto"/>
        <w:ind w:firstLine="720"/>
        <w:jc w:val="both"/>
        <w:rPr>
          <w:rFonts w:ascii="David" w:hAnsi="David"/>
          <w:rtl/>
        </w:rPr>
      </w:pPr>
      <w:r>
        <w:rPr>
          <w:rFonts w:ascii="David" w:hAnsi="David"/>
          <w:rtl/>
        </w:rPr>
        <w:t xml:space="preserve">כאמור בענייננו, לבית המשפט אין סמכות שבשיקול דעת אם להורות שעבודת השירות לא תחל או תופסק, אלא מדובר בהוראת חובה, ואולם לצד זאת, קיים שיקול דעת באשר להחלטה אם לחפוף בין תקופת המאסר המומרת, לעונש שנגזר בתיק הנוכחי, חפיפה מלאה, חלקית, או להורות על ריצוי מצטבר של התקופות כפי שקבע המחוקק כאמור, בהעדר הוראה אחרת של בית המשפט.  </w:t>
      </w:r>
    </w:p>
    <w:p w14:paraId="718A2F01" w14:textId="77777777" w:rsidR="000771FA" w:rsidRDefault="000771FA" w:rsidP="000771FA">
      <w:pPr>
        <w:spacing w:line="360" w:lineRule="auto"/>
        <w:ind w:firstLine="720"/>
        <w:jc w:val="both"/>
        <w:rPr>
          <w:rFonts w:ascii="David" w:hAnsi="David"/>
          <w:rtl/>
        </w:rPr>
      </w:pPr>
    </w:p>
    <w:p w14:paraId="5D3A2C87" w14:textId="77777777" w:rsidR="000771FA" w:rsidRDefault="000771FA" w:rsidP="000771FA">
      <w:pPr>
        <w:spacing w:line="360" w:lineRule="auto"/>
        <w:ind w:firstLine="720"/>
        <w:jc w:val="both"/>
        <w:rPr>
          <w:rFonts w:ascii="David" w:hAnsi="David"/>
          <w:rtl/>
        </w:rPr>
      </w:pPr>
      <w:r>
        <w:rPr>
          <w:rFonts w:ascii="David" w:hAnsi="David"/>
          <w:rtl/>
        </w:rPr>
        <w:t>בשים לב לכך שבדיון מיום 20.1.2021 ב</w:t>
      </w:r>
      <w:hyperlink r:id="rId40" w:history="1">
        <w:r w:rsidR="009B4270" w:rsidRPr="009B4270">
          <w:rPr>
            <w:rFonts w:ascii="David" w:hAnsi="David"/>
            <w:color w:val="0000FF"/>
            <w:u w:val="single"/>
            <w:rtl/>
          </w:rPr>
          <w:t>ת"פ 69718-03-18</w:t>
        </w:r>
      </w:hyperlink>
      <w:r>
        <w:rPr>
          <w:rFonts w:ascii="David" w:hAnsi="David"/>
          <w:rtl/>
        </w:rPr>
        <w:t xml:space="preserve">, הסכימה המאשימה לנכות את ימי המעצר בעת הפקעת עבודות השירות (בעמ' 72 לפרוטוקול הדיון), וכן בהתייחס למכלול תקופת המאסר שתיגזר, מצאתי לחפוף חלק מהתקופה, כך שמתוך העונש שהומר, </w:t>
      </w:r>
      <w:r>
        <w:rPr>
          <w:rFonts w:ascii="David" w:hAnsi="David"/>
          <w:b/>
          <w:bCs/>
          <w:rtl/>
        </w:rPr>
        <w:t xml:space="preserve">חמישה (5) חודשים ירוצו במצטבר לעונש המאסר בתיק זה, וחודש וחצי בחופף אליו. </w:t>
      </w:r>
    </w:p>
    <w:p w14:paraId="1BCB17EE" w14:textId="77777777" w:rsidR="000771FA" w:rsidRDefault="000771FA" w:rsidP="000771FA">
      <w:pPr>
        <w:spacing w:line="360" w:lineRule="auto"/>
        <w:ind w:firstLine="720"/>
        <w:jc w:val="both"/>
        <w:rPr>
          <w:rFonts w:ascii="David" w:hAnsi="David"/>
          <w:rtl/>
        </w:rPr>
      </w:pPr>
    </w:p>
    <w:p w14:paraId="5961B39E" w14:textId="77777777" w:rsidR="000771FA" w:rsidRDefault="000771FA" w:rsidP="000771FA">
      <w:pPr>
        <w:spacing w:line="360" w:lineRule="auto"/>
        <w:jc w:val="both"/>
        <w:rPr>
          <w:rFonts w:ascii="David" w:hAnsi="David"/>
          <w:b/>
          <w:bCs/>
          <w:u w:val="single"/>
          <w:rtl/>
        </w:rPr>
      </w:pPr>
      <w:r>
        <w:rPr>
          <w:rFonts w:ascii="David" w:hAnsi="David"/>
          <w:rtl/>
        </w:rPr>
        <w:t>19.</w:t>
      </w:r>
      <w:r>
        <w:rPr>
          <w:rFonts w:ascii="David" w:hAnsi="David"/>
          <w:rtl/>
        </w:rPr>
        <w:tab/>
      </w:r>
      <w:r>
        <w:rPr>
          <w:rFonts w:ascii="David" w:hAnsi="David"/>
          <w:b/>
          <w:bCs/>
          <w:u w:val="single"/>
          <w:rtl/>
        </w:rPr>
        <w:t>כעולה מהאמור, ירצה הנאשם בסך הכל חמישה עשר (15) חודשי מאסר לריצוי ממשי בפועל. מתקופה זו ינוכו ימי מעצרו הממשי בתיק זה מיום 3.5.2020 עד יום 2.7.2020.</w:t>
      </w:r>
    </w:p>
    <w:p w14:paraId="14348A0B" w14:textId="77777777" w:rsidR="000771FA" w:rsidRDefault="000771FA" w:rsidP="000771FA">
      <w:pPr>
        <w:spacing w:line="360" w:lineRule="auto"/>
        <w:jc w:val="both"/>
        <w:rPr>
          <w:rFonts w:ascii="David" w:hAnsi="David"/>
          <w:rtl/>
        </w:rPr>
      </w:pPr>
    </w:p>
    <w:p w14:paraId="3EA09313" w14:textId="77777777" w:rsidR="000771FA" w:rsidRPr="00C67461" w:rsidRDefault="000771FA" w:rsidP="000771FA">
      <w:pPr>
        <w:spacing w:line="360" w:lineRule="auto"/>
        <w:jc w:val="both"/>
        <w:rPr>
          <w:rFonts w:ascii="David" w:hAnsi="David"/>
          <w:b/>
          <w:bCs/>
          <w:u w:val="single"/>
          <w:rtl/>
        </w:rPr>
      </w:pPr>
      <w:r w:rsidRPr="00C67461">
        <w:rPr>
          <w:rFonts w:ascii="David" w:hAnsi="David"/>
          <w:b/>
          <w:bCs/>
          <w:u w:val="single"/>
          <w:rtl/>
        </w:rPr>
        <w:t>זכות ערעור כחוק מהיום, הודעה.</w:t>
      </w:r>
    </w:p>
    <w:p w14:paraId="313719E4" w14:textId="77777777" w:rsidR="000771FA" w:rsidRDefault="000771FA" w:rsidP="000771FA">
      <w:pPr>
        <w:spacing w:line="360" w:lineRule="auto"/>
        <w:ind w:firstLine="720"/>
        <w:jc w:val="both"/>
        <w:rPr>
          <w:rFonts w:ascii="David" w:hAnsi="David"/>
          <w:b/>
          <w:bCs/>
          <w:u w:val="single"/>
          <w:rtl/>
        </w:rPr>
      </w:pPr>
    </w:p>
    <w:p w14:paraId="29E91F70" w14:textId="77777777" w:rsidR="000771FA" w:rsidRPr="002B7D23" w:rsidRDefault="000771FA" w:rsidP="000771FA">
      <w:pPr>
        <w:rPr>
          <w:rFonts w:ascii="David" w:hAnsi="David"/>
          <w:sz w:val="26"/>
          <w:szCs w:val="26"/>
          <w:rtl/>
        </w:rPr>
      </w:pPr>
    </w:p>
    <w:p w14:paraId="6F67DCD5" w14:textId="77777777" w:rsidR="000771FA" w:rsidRDefault="009B4270" w:rsidP="000771FA">
      <w:pPr>
        <w:spacing w:line="360" w:lineRule="auto"/>
        <w:jc w:val="both"/>
        <w:rPr>
          <w:rFonts w:ascii="David" w:hAnsi="David"/>
          <w:sz w:val="26"/>
          <w:szCs w:val="26"/>
          <w:rtl/>
        </w:rPr>
      </w:pPr>
      <w:bookmarkStart w:id="7" w:name="Nitan"/>
      <w:r>
        <w:rPr>
          <w:rFonts w:ascii="David" w:hAnsi="David"/>
          <w:sz w:val="26"/>
          <w:szCs w:val="26"/>
          <w:rtl/>
        </w:rPr>
        <w:t xml:space="preserve">ניתן היום,  כ"ז תשרי תשפ"ב, 03 אוקטובר 2021, במעמד ב"כ המאשימה   עו"ד גב' אילנה </w:t>
      </w:r>
      <w:bookmarkEnd w:id="7"/>
      <w:r w:rsidR="000771FA">
        <w:rPr>
          <w:rFonts w:ascii="David" w:hAnsi="David" w:hint="cs"/>
          <w:sz w:val="26"/>
          <w:szCs w:val="26"/>
          <w:rtl/>
        </w:rPr>
        <w:t xml:space="preserve">קוזמינר; ב"כ הנאשם </w:t>
      </w:r>
      <w:r w:rsidR="000771FA">
        <w:rPr>
          <w:rFonts w:ascii="David" w:hAnsi="David"/>
          <w:sz w:val="26"/>
          <w:szCs w:val="26"/>
          <w:rtl/>
        </w:rPr>
        <w:t>–</w:t>
      </w:r>
      <w:r w:rsidR="000771FA">
        <w:rPr>
          <w:rFonts w:ascii="David" w:hAnsi="David" w:hint="cs"/>
          <w:sz w:val="26"/>
          <w:szCs w:val="26"/>
          <w:rtl/>
        </w:rPr>
        <w:t xml:space="preserve"> עו"ד תומר נווה והנאשם בעצמו </w:t>
      </w:r>
    </w:p>
    <w:p w14:paraId="7E8FCCB7" w14:textId="77777777" w:rsidR="000771FA" w:rsidRDefault="000771FA" w:rsidP="000771FA">
      <w:pPr>
        <w:spacing w:line="360" w:lineRule="auto"/>
        <w:jc w:val="both"/>
        <w:rPr>
          <w:rFonts w:ascii="David" w:hAnsi="David"/>
          <w:sz w:val="26"/>
          <w:szCs w:val="26"/>
          <w:rtl/>
        </w:rPr>
      </w:pPr>
    </w:p>
    <w:p w14:paraId="6DAD73B3" w14:textId="77777777" w:rsidR="000771FA" w:rsidRDefault="009B4270" w:rsidP="000771FA">
      <w:pPr>
        <w:spacing w:line="360" w:lineRule="auto"/>
        <w:ind w:firstLine="720"/>
        <w:jc w:val="both"/>
        <w:rPr>
          <w:rFonts w:ascii="David" w:hAnsi="David"/>
          <w:rtl/>
        </w:rPr>
      </w:pPr>
      <w:r w:rsidRPr="009B4270">
        <w:rPr>
          <w:rFonts w:ascii="David" w:hAnsi="David"/>
          <w:b/>
          <w:bCs/>
          <w:color w:val="FFFFFF"/>
          <w:sz w:val="2"/>
          <w:szCs w:val="2"/>
          <w:u w:val="single"/>
          <w:rtl/>
        </w:rPr>
        <w:t>5129371</w:t>
      </w:r>
      <w:r w:rsidR="000771FA">
        <w:rPr>
          <w:rFonts w:ascii="David" w:hAnsi="David"/>
          <w:b/>
          <w:bCs/>
          <w:u w:val="single"/>
          <w:rtl/>
        </w:rPr>
        <w:t>הצדדים קיבלו עותקי גזר הדין</w:t>
      </w:r>
      <w:r w:rsidR="000771FA">
        <w:rPr>
          <w:rFonts w:ascii="David" w:hAnsi="David"/>
          <w:rtl/>
        </w:rPr>
        <w:t xml:space="preserve">. </w:t>
      </w:r>
    </w:p>
    <w:p w14:paraId="323C9789" w14:textId="77777777" w:rsidR="000771FA" w:rsidRPr="009B4270" w:rsidRDefault="009B4270" w:rsidP="000771FA">
      <w:pPr>
        <w:spacing w:line="360" w:lineRule="auto"/>
        <w:jc w:val="both"/>
        <w:rPr>
          <w:rFonts w:ascii="David" w:hAnsi="David"/>
          <w:color w:val="FFFFFF"/>
          <w:sz w:val="2"/>
          <w:szCs w:val="2"/>
        </w:rPr>
      </w:pPr>
      <w:r w:rsidRPr="009B4270">
        <w:rPr>
          <w:rFonts w:ascii="David" w:hAnsi="David"/>
          <w:color w:val="FFFFFF"/>
          <w:sz w:val="2"/>
          <w:szCs w:val="2"/>
          <w:rtl/>
        </w:rPr>
        <w:t>54678313</w:t>
      </w:r>
    </w:p>
    <w:p w14:paraId="598E1FD6" w14:textId="77777777" w:rsidR="000771FA" w:rsidRDefault="000771FA" w:rsidP="000771FA">
      <w:pPr>
        <w:rPr>
          <w:rFonts w:ascii="David" w:hAnsi="David"/>
          <w:sz w:val="26"/>
          <w:szCs w:val="26"/>
          <w:rtl/>
        </w:rPr>
      </w:pPr>
    </w:p>
    <w:p w14:paraId="3C683001" w14:textId="77777777" w:rsidR="000771FA" w:rsidRPr="002B7D23" w:rsidRDefault="000771FA" w:rsidP="000771FA">
      <w:pPr>
        <w:rPr>
          <w:rFonts w:ascii="David" w:hAnsi="David"/>
          <w:sz w:val="26"/>
          <w:szCs w:val="26"/>
          <w:rtl/>
        </w:rPr>
      </w:pPr>
    </w:p>
    <w:p w14:paraId="04067959" w14:textId="77777777" w:rsidR="000771FA" w:rsidRPr="002B7D23" w:rsidRDefault="000771FA" w:rsidP="009B4270">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769FCCA" w14:textId="77777777" w:rsidR="000771FA" w:rsidRPr="00494F8D" w:rsidRDefault="00494F8D" w:rsidP="000771FA">
      <w:pPr>
        <w:jc w:val="center"/>
        <w:rPr>
          <w:rFonts w:ascii="David" w:hAnsi="David"/>
          <w:color w:val="FFFFFF"/>
          <w:sz w:val="2"/>
          <w:szCs w:val="2"/>
          <w:rtl/>
        </w:rPr>
      </w:pPr>
      <w:r w:rsidRPr="00494F8D">
        <w:rPr>
          <w:rFonts w:ascii="David" w:hAnsi="David"/>
          <w:color w:val="FFFFFF"/>
          <w:sz w:val="2"/>
          <w:szCs w:val="2"/>
          <w:rtl/>
        </w:rPr>
        <w:t>5129371</w:t>
      </w:r>
    </w:p>
    <w:p w14:paraId="0813805E" w14:textId="77777777" w:rsidR="009B4270" w:rsidRPr="00494F8D" w:rsidRDefault="00494F8D" w:rsidP="00494F8D">
      <w:pPr>
        <w:keepNext/>
        <w:rPr>
          <w:rFonts w:ascii="David" w:hAnsi="David" w:hint="cs"/>
          <w:color w:val="FFFFFF"/>
          <w:sz w:val="2"/>
          <w:szCs w:val="2"/>
        </w:rPr>
      </w:pPr>
      <w:r w:rsidRPr="00494F8D">
        <w:rPr>
          <w:rFonts w:ascii="David" w:hAnsi="David"/>
          <w:color w:val="FFFFFF"/>
          <w:sz w:val="2"/>
          <w:szCs w:val="2"/>
          <w:rtl/>
        </w:rPr>
        <w:t>54678313</w:t>
      </w:r>
    </w:p>
    <w:p w14:paraId="6F30455A" w14:textId="77777777" w:rsidR="009B4270" w:rsidRDefault="009B4270" w:rsidP="009B4270">
      <w:pPr>
        <w:rPr>
          <w:rtl/>
        </w:rPr>
      </w:pPr>
    </w:p>
    <w:p w14:paraId="29E1782C" w14:textId="77777777" w:rsidR="009B4270" w:rsidRDefault="009B4270" w:rsidP="009B4270">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49CBE7CE" w14:textId="77777777" w:rsidR="00494F8D" w:rsidRPr="00494F8D" w:rsidRDefault="00494F8D" w:rsidP="00494F8D">
      <w:pPr>
        <w:keepNext/>
        <w:rPr>
          <w:rFonts w:ascii="David" w:hAnsi="David"/>
          <w:color w:val="000000"/>
          <w:sz w:val="22"/>
          <w:szCs w:val="22"/>
          <w:rtl/>
        </w:rPr>
      </w:pPr>
    </w:p>
    <w:p w14:paraId="2E88B00A" w14:textId="77777777" w:rsidR="00494F8D" w:rsidRPr="00494F8D" w:rsidRDefault="00494F8D" w:rsidP="00494F8D">
      <w:pPr>
        <w:keepNext/>
        <w:rPr>
          <w:rFonts w:ascii="David" w:hAnsi="David"/>
          <w:color w:val="000000"/>
          <w:sz w:val="22"/>
          <w:szCs w:val="22"/>
          <w:rtl/>
        </w:rPr>
      </w:pPr>
      <w:r w:rsidRPr="00494F8D">
        <w:rPr>
          <w:rFonts w:ascii="David" w:hAnsi="David"/>
          <w:color w:val="000000"/>
          <w:sz w:val="22"/>
          <w:szCs w:val="22"/>
          <w:rtl/>
        </w:rPr>
        <w:t>ארז פורת 54678313-/</w:t>
      </w:r>
    </w:p>
    <w:p w14:paraId="4CD6402E" w14:textId="77777777" w:rsidR="009B4270" w:rsidRPr="009B4270" w:rsidRDefault="00494F8D" w:rsidP="00494F8D">
      <w:pPr>
        <w:rPr>
          <w:color w:val="0000FF"/>
          <w:u w:val="single"/>
        </w:rPr>
      </w:pPr>
      <w:r w:rsidRPr="00494F8D">
        <w:rPr>
          <w:color w:val="000000"/>
          <w:u w:val="single"/>
          <w:rtl/>
        </w:rPr>
        <w:t>נוסח מסמך זה כפוף לשינויי ניסוח ועריכה</w:t>
      </w:r>
    </w:p>
    <w:sectPr w:rsidR="009B4270" w:rsidRPr="009B4270" w:rsidSect="00494F8D">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271E9" w14:textId="77777777" w:rsidR="00E24163" w:rsidRDefault="00E24163" w:rsidP="007E385D">
      <w:r>
        <w:separator/>
      </w:r>
    </w:p>
  </w:endnote>
  <w:endnote w:type="continuationSeparator" w:id="0">
    <w:p w14:paraId="73E1A276" w14:textId="77777777" w:rsidR="00E24163" w:rsidRDefault="00E24163" w:rsidP="007E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42A70" w14:textId="77777777" w:rsidR="00494F8D" w:rsidRDefault="00494F8D" w:rsidP="00494F8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6CFB87" w14:textId="77777777" w:rsidR="00560069" w:rsidRPr="00494F8D" w:rsidRDefault="00494F8D" w:rsidP="00494F8D">
    <w:pPr>
      <w:pStyle w:val="a5"/>
      <w:pBdr>
        <w:top w:val="single" w:sz="4" w:space="1" w:color="auto"/>
        <w:between w:val="single" w:sz="4" w:space="0" w:color="auto"/>
      </w:pBdr>
      <w:spacing w:after="60"/>
      <w:jc w:val="center"/>
      <w:rPr>
        <w:rFonts w:ascii="FrankRuehl" w:hAnsi="FrankRuehl" w:cs="FrankRuehl"/>
        <w:color w:val="000000"/>
      </w:rPr>
    </w:pPr>
    <w:r w:rsidRPr="00494F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A262" w14:textId="77777777" w:rsidR="00494F8D" w:rsidRDefault="00494F8D" w:rsidP="00494F8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2285">
      <w:rPr>
        <w:rFonts w:ascii="FrankRuehl" w:hAnsi="FrankRuehl" w:cs="FrankRuehl"/>
        <w:noProof/>
        <w:rtl/>
      </w:rPr>
      <w:t>1</w:t>
    </w:r>
    <w:r>
      <w:rPr>
        <w:rFonts w:ascii="FrankRuehl" w:hAnsi="FrankRuehl" w:cs="FrankRuehl"/>
        <w:rtl/>
      </w:rPr>
      <w:fldChar w:fldCharType="end"/>
    </w:r>
  </w:p>
  <w:p w14:paraId="52A3385B" w14:textId="77777777" w:rsidR="00560069" w:rsidRPr="00494F8D" w:rsidRDefault="00494F8D" w:rsidP="00494F8D">
    <w:pPr>
      <w:pStyle w:val="a5"/>
      <w:pBdr>
        <w:top w:val="single" w:sz="4" w:space="1" w:color="auto"/>
        <w:between w:val="single" w:sz="4" w:space="0" w:color="auto"/>
      </w:pBdr>
      <w:spacing w:after="60"/>
      <w:jc w:val="center"/>
      <w:rPr>
        <w:rFonts w:ascii="FrankRuehl" w:hAnsi="FrankRuehl" w:cs="FrankRuehl"/>
        <w:color w:val="000000"/>
      </w:rPr>
    </w:pPr>
    <w:r w:rsidRPr="00494F8D">
      <w:rPr>
        <w:rFonts w:ascii="FrankRuehl" w:hAnsi="FrankRuehl" w:cs="FrankRuehl"/>
        <w:color w:val="000000"/>
      </w:rPr>
      <w:pict w14:anchorId="72C95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E4770" w14:textId="77777777" w:rsidR="00E24163" w:rsidRDefault="00E24163" w:rsidP="007E385D">
      <w:r>
        <w:separator/>
      </w:r>
    </w:p>
  </w:footnote>
  <w:footnote w:type="continuationSeparator" w:id="0">
    <w:p w14:paraId="208DA7BB" w14:textId="77777777" w:rsidR="00E24163" w:rsidRDefault="00E24163" w:rsidP="007E3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7BFB" w14:textId="77777777" w:rsidR="009B4270" w:rsidRPr="00494F8D" w:rsidRDefault="00494F8D" w:rsidP="00494F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57813-05-20</w:t>
    </w:r>
    <w:r>
      <w:rPr>
        <w:rFonts w:ascii="David" w:hAnsi="David"/>
        <w:color w:val="000000"/>
        <w:sz w:val="22"/>
        <w:szCs w:val="22"/>
        <w:rtl/>
      </w:rPr>
      <w:tab/>
      <w:t xml:space="preserve"> מדינת ישראל נ' מוראד אבו חמוד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19381" w14:textId="77777777" w:rsidR="009B4270" w:rsidRPr="00494F8D" w:rsidRDefault="00494F8D" w:rsidP="00494F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57813-05-20</w:t>
    </w:r>
    <w:r>
      <w:rPr>
        <w:rFonts w:ascii="David" w:hAnsi="David"/>
        <w:color w:val="000000"/>
        <w:sz w:val="22"/>
        <w:szCs w:val="22"/>
        <w:rtl/>
      </w:rPr>
      <w:tab/>
      <w:t xml:space="preserve"> מדינת ישראל נ' מוראד אבו חמוד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71FA"/>
    <w:rsid w:val="000771FA"/>
    <w:rsid w:val="001B5A3B"/>
    <w:rsid w:val="003251C0"/>
    <w:rsid w:val="00436C2D"/>
    <w:rsid w:val="00486B7C"/>
    <w:rsid w:val="00494F8D"/>
    <w:rsid w:val="00560069"/>
    <w:rsid w:val="005E5BD2"/>
    <w:rsid w:val="007E385D"/>
    <w:rsid w:val="00952285"/>
    <w:rsid w:val="009B4270"/>
    <w:rsid w:val="00A42CFE"/>
    <w:rsid w:val="00BA340B"/>
    <w:rsid w:val="00CF1F91"/>
    <w:rsid w:val="00E24163"/>
    <w:rsid w:val="00F85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C3B96B"/>
  <w15:chartTrackingRefBased/>
  <w15:docId w15:val="{6CB4B3FC-5541-4088-A989-F91DD30D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71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771FA"/>
    <w:pPr>
      <w:tabs>
        <w:tab w:val="center" w:pos="4153"/>
        <w:tab w:val="right" w:pos="8306"/>
      </w:tabs>
    </w:pPr>
  </w:style>
  <w:style w:type="character" w:customStyle="1" w:styleId="a4">
    <w:name w:val="כותרת עליונה תו"/>
    <w:link w:val="a3"/>
    <w:rsid w:val="000771FA"/>
    <w:rPr>
      <w:rFonts w:ascii="Times New Roman" w:eastAsia="Times New Roman" w:hAnsi="Times New Roman" w:cs="David"/>
      <w:sz w:val="24"/>
      <w:szCs w:val="24"/>
    </w:rPr>
  </w:style>
  <w:style w:type="paragraph" w:styleId="a5">
    <w:name w:val="footer"/>
    <w:basedOn w:val="a"/>
    <w:link w:val="a6"/>
    <w:rsid w:val="000771FA"/>
    <w:pPr>
      <w:tabs>
        <w:tab w:val="center" w:pos="4153"/>
        <w:tab w:val="right" w:pos="8306"/>
      </w:tabs>
    </w:pPr>
  </w:style>
  <w:style w:type="character" w:customStyle="1" w:styleId="a6">
    <w:name w:val="כותרת תחתונה תו"/>
    <w:link w:val="a5"/>
    <w:rsid w:val="000771FA"/>
    <w:rPr>
      <w:rFonts w:ascii="Times New Roman" w:eastAsia="Times New Roman" w:hAnsi="Times New Roman" w:cs="David"/>
      <w:sz w:val="24"/>
      <w:szCs w:val="24"/>
    </w:rPr>
  </w:style>
  <w:style w:type="table" w:styleId="a7">
    <w:name w:val="Table Grid"/>
    <w:basedOn w:val="a1"/>
    <w:rsid w:val="000771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771FA"/>
  </w:style>
  <w:style w:type="character" w:customStyle="1" w:styleId="TimesNewRomanTimesNewRoman">
    <w:name w:val="סגנון (לטיני) Times New Roman (עברית ושפות אחרות) Times New Roman..."/>
    <w:rsid w:val="000771FA"/>
    <w:rPr>
      <w:rFonts w:ascii="Times New Roman" w:hAnsi="Times New Roman" w:cs="David" w:hint="default"/>
      <w:b/>
      <w:bCs/>
      <w:sz w:val="26"/>
      <w:szCs w:val="26"/>
    </w:rPr>
  </w:style>
  <w:style w:type="character" w:styleId="Hyperlink">
    <w:name w:val="Hyperlink"/>
    <w:rsid w:val="000771FA"/>
    <w:rPr>
      <w:color w:val="0000FF"/>
      <w:u w:val="single"/>
    </w:rPr>
  </w:style>
  <w:style w:type="paragraph" w:customStyle="1" w:styleId="P22">
    <w:name w:val="P22"/>
    <w:basedOn w:val="a"/>
    <w:rsid w:val="000771FA"/>
    <w:pPr>
      <w:widowControl w:val="0"/>
      <w:tabs>
        <w:tab w:val="left" w:pos="1474"/>
        <w:tab w:val="left" w:pos="1928"/>
        <w:tab w:val="left" w:pos="2381"/>
        <w:tab w:val="left" w:pos="2835"/>
        <w:tab w:val="right" w:leader="dot" w:pos="6259"/>
      </w:tabs>
      <w:suppressAutoHyphens/>
      <w:autoSpaceDE w:val="0"/>
      <w:autoSpaceDN w:val="0"/>
      <w:spacing w:before="60"/>
      <w:ind w:left="2835" w:right="1021"/>
      <w:jc w:val="both"/>
    </w:pPr>
    <w:rPr>
      <w:rFonts w:cs="Times New Roman"/>
      <w:noProof/>
      <w:sz w:val="20"/>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7487246" TargetMode="External"/><Relationship Id="rId26" Type="http://schemas.openxmlformats.org/officeDocument/2006/relationships/hyperlink" Target="http://www.nevo.co.il/case/26230247"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51j.a.1" TargetMode="External"/><Relationship Id="rId34" Type="http://schemas.openxmlformats.org/officeDocument/2006/relationships/hyperlink" Target="http://www.nevo.co.il/case/23835794"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case/23835794" TargetMode="External"/><Relationship Id="rId29" Type="http://schemas.openxmlformats.org/officeDocument/2006/relationships/hyperlink" Target="mailto:MaasarN@ips.gov.il"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51j.a2" TargetMode="External"/><Relationship Id="rId24" Type="http://schemas.openxmlformats.org/officeDocument/2006/relationships/hyperlink" Target="http://www.nevo.co.il/case/26230247" TargetMode="External"/><Relationship Id="rId32" Type="http://schemas.openxmlformats.org/officeDocument/2006/relationships/hyperlink" Target="http://www.nevo.co.il/case/21612656" TargetMode="External"/><Relationship Id="rId37" Type="http://schemas.openxmlformats.org/officeDocument/2006/relationships/hyperlink" Target="http://www.nevo.co.il/case/27140645" TargetMode="External"/><Relationship Id="rId40" Type="http://schemas.openxmlformats.org/officeDocument/2006/relationships/hyperlink" Target="http://www.nevo.co.il/case/23835794"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583302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51j.a.1" TargetMode="External"/><Relationship Id="rId19" Type="http://schemas.openxmlformats.org/officeDocument/2006/relationships/hyperlink" Target="http://www.nevo.co.il/law/4216/6" TargetMode="External"/><Relationship Id="rId31" Type="http://schemas.openxmlformats.org/officeDocument/2006/relationships/hyperlink" Target="http://www.nevo.co.il/case/23835794"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1" TargetMode="External"/><Relationship Id="rId14" Type="http://schemas.openxmlformats.org/officeDocument/2006/relationships/hyperlink" Target="http://www.nevo.co.il/law/70301/3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2841413" TargetMode="External"/><Relationship Id="rId30" Type="http://schemas.openxmlformats.org/officeDocument/2006/relationships/hyperlink" Target="http://www.nevo.co.il/law/4216" TargetMode="External"/><Relationship Id="rId35" Type="http://schemas.openxmlformats.org/officeDocument/2006/relationships/hyperlink" Target="http://www.nevo.co.il/law/70301/51j.a.1" TargetMode="External"/><Relationship Id="rId43" Type="http://schemas.openxmlformats.org/officeDocument/2006/relationships/header" Target="header2.xml"/><Relationship Id="rId8"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4216/6" TargetMode="External"/><Relationship Id="rId17" Type="http://schemas.openxmlformats.org/officeDocument/2006/relationships/hyperlink" Target="http://www.nevo.co.il/case/21612656" TargetMode="External"/><Relationship Id="rId25" Type="http://schemas.openxmlformats.org/officeDocument/2006/relationships/hyperlink" Target="http://www.nevo.co.il/case/25977712" TargetMode="External"/><Relationship Id="rId33" Type="http://schemas.openxmlformats.org/officeDocument/2006/relationships/hyperlink" Target="http://www.nevo.co.il/case/23835794" TargetMode="External"/><Relationship Id="rId38" Type="http://schemas.openxmlformats.org/officeDocument/2006/relationships/hyperlink" Target="http://www.nevo.co.il/law/70301/51j.a2"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2630</Words>
  <Characters>13154</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15753</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3539059</vt:i4>
      </vt:variant>
      <vt:variant>
        <vt:i4>102</vt:i4>
      </vt:variant>
      <vt:variant>
        <vt:i4>0</vt:i4>
      </vt:variant>
      <vt:variant>
        <vt:i4>5</vt:i4>
      </vt:variant>
      <vt:variant>
        <vt:lpwstr>http://www.nevo.co.il/case/23835794</vt:lpwstr>
      </vt:variant>
      <vt:variant>
        <vt:lpwstr/>
      </vt:variant>
      <vt:variant>
        <vt:i4>7995492</vt:i4>
      </vt:variant>
      <vt:variant>
        <vt:i4>99</vt:i4>
      </vt:variant>
      <vt:variant>
        <vt:i4>0</vt:i4>
      </vt:variant>
      <vt:variant>
        <vt:i4>5</vt:i4>
      </vt:variant>
      <vt:variant>
        <vt:lpwstr>http://www.nevo.co.il/law/70301</vt:lpwstr>
      </vt:variant>
      <vt:variant>
        <vt:lpwstr/>
      </vt:variant>
      <vt:variant>
        <vt:i4>7864427</vt:i4>
      </vt:variant>
      <vt:variant>
        <vt:i4>96</vt:i4>
      </vt:variant>
      <vt:variant>
        <vt:i4>0</vt:i4>
      </vt:variant>
      <vt:variant>
        <vt:i4>5</vt:i4>
      </vt:variant>
      <vt:variant>
        <vt:lpwstr>http://www.nevo.co.il/law/70301/51j.a2</vt:lpwstr>
      </vt:variant>
      <vt:variant>
        <vt:lpwstr/>
      </vt:variant>
      <vt:variant>
        <vt:i4>3604593</vt:i4>
      </vt:variant>
      <vt:variant>
        <vt:i4>93</vt:i4>
      </vt:variant>
      <vt:variant>
        <vt:i4>0</vt:i4>
      </vt:variant>
      <vt:variant>
        <vt:i4>5</vt:i4>
      </vt:variant>
      <vt:variant>
        <vt:lpwstr>http://www.nevo.co.il/case/27140645</vt:lpwstr>
      </vt:variant>
      <vt:variant>
        <vt:lpwstr/>
      </vt:variant>
      <vt:variant>
        <vt:i4>7995492</vt:i4>
      </vt:variant>
      <vt:variant>
        <vt:i4>90</vt:i4>
      </vt:variant>
      <vt:variant>
        <vt:i4>0</vt:i4>
      </vt:variant>
      <vt:variant>
        <vt:i4>5</vt:i4>
      </vt:variant>
      <vt:variant>
        <vt:lpwstr>http://www.nevo.co.il/law/70301</vt:lpwstr>
      </vt:variant>
      <vt:variant>
        <vt:lpwstr/>
      </vt:variant>
      <vt:variant>
        <vt:i4>6553707</vt:i4>
      </vt:variant>
      <vt:variant>
        <vt:i4>87</vt:i4>
      </vt:variant>
      <vt:variant>
        <vt:i4>0</vt:i4>
      </vt:variant>
      <vt:variant>
        <vt:i4>5</vt:i4>
      </vt:variant>
      <vt:variant>
        <vt:lpwstr>http://www.nevo.co.il/law/70301/51j.a.1</vt:lpwstr>
      </vt:variant>
      <vt:variant>
        <vt:lpwstr/>
      </vt:variant>
      <vt:variant>
        <vt:i4>3539059</vt:i4>
      </vt:variant>
      <vt:variant>
        <vt:i4>84</vt:i4>
      </vt:variant>
      <vt:variant>
        <vt:i4>0</vt:i4>
      </vt:variant>
      <vt:variant>
        <vt:i4>5</vt:i4>
      </vt:variant>
      <vt:variant>
        <vt:lpwstr>http://www.nevo.co.il/case/23835794</vt:lpwstr>
      </vt:variant>
      <vt:variant>
        <vt:lpwstr/>
      </vt:variant>
      <vt:variant>
        <vt:i4>3539059</vt:i4>
      </vt:variant>
      <vt:variant>
        <vt:i4>81</vt:i4>
      </vt:variant>
      <vt:variant>
        <vt:i4>0</vt:i4>
      </vt:variant>
      <vt:variant>
        <vt:i4>5</vt:i4>
      </vt:variant>
      <vt:variant>
        <vt:lpwstr>http://www.nevo.co.il/case/23835794</vt:lpwstr>
      </vt:variant>
      <vt:variant>
        <vt:lpwstr/>
      </vt:variant>
      <vt:variant>
        <vt:i4>3342450</vt:i4>
      </vt:variant>
      <vt:variant>
        <vt:i4>78</vt:i4>
      </vt:variant>
      <vt:variant>
        <vt:i4>0</vt:i4>
      </vt:variant>
      <vt:variant>
        <vt:i4>5</vt:i4>
      </vt:variant>
      <vt:variant>
        <vt:lpwstr>http://www.nevo.co.il/case/21612656</vt:lpwstr>
      </vt:variant>
      <vt:variant>
        <vt:lpwstr/>
      </vt:variant>
      <vt:variant>
        <vt:i4>3539059</vt:i4>
      </vt:variant>
      <vt:variant>
        <vt:i4>75</vt:i4>
      </vt:variant>
      <vt:variant>
        <vt:i4>0</vt:i4>
      </vt:variant>
      <vt:variant>
        <vt:i4>5</vt:i4>
      </vt:variant>
      <vt:variant>
        <vt:lpwstr>http://www.nevo.co.il/case/23835794</vt:lpwstr>
      </vt:variant>
      <vt:variant>
        <vt:lpwstr/>
      </vt:variant>
      <vt:variant>
        <vt:i4>8257637</vt:i4>
      </vt:variant>
      <vt:variant>
        <vt:i4>72</vt:i4>
      </vt:variant>
      <vt:variant>
        <vt:i4>0</vt:i4>
      </vt:variant>
      <vt:variant>
        <vt:i4>5</vt:i4>
      </vt:variant>
      <vt:variant>
        <vt:lpwstr>http://www.nevo.co.il/law/4216</vt:lpwstr>
      </vt:variant>
      <vt:variant>
        <vt:lpwstr/>
      </vt:variant>
      <vt:variant>
        <vt:i4>196725</vt:i4>
      </vt:variant>
      <vt:variant>
        <vt:i4>69</vt:i4>
      </vt:variant>
      <vt:variant>
        <vt:i4>0</vt:i4>
      </vt:variant>
      <vt:variant>
        <vt:i4>5</vt:i4>
      </vt:variant>
      <vt:variant>
        <vt:lpwstr>mailto:MaasarN@ips.gov.il</vt:lpwstr>
      </vt:variant>
      <vt:variant>
        <vt:lpwstr/>
      </vt:variant>
      <vt:variant>
        <vt:i4>3866738</vt:i4>
      </vt:variant>
      <vt:variant>
        <vt:i4>66</vt:i4>
      </vt:variant>
      <vt:variant>
        <vt:i4>0</vt:i4>
      </vt:variant>
      <vt:variant>
        <vt:i4>5</vt:i4>
      </vt:variant>
      <vt:variant>
        <vt:lpwstr>http://www.nevo.co.il/case/25833021</vt:lpwstr>
      </vt:variant>
      <vt:variant>
        <vt:lpwstr/>
      </vt:variant>
      <vt:variant>
        <vt:i4>3801206</vt:i4>
      </vt:variant>
      <vt:variant>
        <vt:i4>63</vt:i4>
      </vt:variant>
      <vt:variant>
        <vt:i4>0</vt:i4>
      </vt:variant>
      <vt:variant>
        <vt:i4>5</vt:i4>
      </vt:variant>
      <vt:variant>
        <vt:lpwstr>http://www.nevo.co.il/case/22841413</vt:lpwstr>
      </vt:variant>
      <vt:variant>
        <vt:lpwstr/>
      </vt:variant>
      <vt:variant>
        <vt:i4>3407987</vt:i4>
      </vt:variant>
      <vt:variant>
        <vt:i4>60</vt:i4>
      </vt:variant>
      <vt:variant>
        <vt:i4>0</vt:i4>
      </vt:variant>
      <vt:variant>
        <vt:i4>5</vt:i4>
      </vt:variant>
      <vt:variant>
        <vt:lpwstr>http://www.nevo.co.il/case/26230247</vt:lpwstr>
      </vt:variant>
      <vt:variant>
        <vt:lpwstr/>
      </vt:variant>
      <vt:variant>
        <vt:i4>3997809</vt:i4>
      </vt:variant>
      <vt:variant>
        <vt:i4>57</vt:i4>
      </vt:variant>
      <vt:variant>
        <vt:i4>0</vt:i4>
      </vt:variant>
      <vt:variant>
        <vt:i4>5</vt:i4>
      </vt:variant>
      <vt:variant>
        <vt:lpwstr>http://www.nevo.co.il/case/25977712</vt:lpwstr>
      </vt:variant>
      <vt:variant>
        <vt:lpwstr/>
      </vt:variant>
      <vt:variant>
        <vt:i4>3407987</vt:i4>
      </vt:variant>
      <vt:variant>
        <vt:i4>54</vt:i4>
      </vt:variant>
      <vt:variant>
        <vt:i4>0</vt:i4>
      </vt:variant>
      <vt:variant>
        <vt:i4>5</vt:i4>
      </vt:variant>
      <vt:variant>
        <vt:lpwstr>http://www.nevo.co.il/case/26230247</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6553707</vt:i4>
      </vt:variant>
      <vt:variant>
        <vt:i4>45</vt:i4>
      </vt:variant>
      <vt:variant>
        <vt:i4>0</vt:i4>
      </vt:variant>
      <vt:variant>
        <vt:i4>5</vt:i4>
      </vt:variant>
      <vt:variant>
        <vt:lpwstr>http://www.nevo.co.il/law/70301/51j.a.1</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3473529</vt:i4>
      </vt:variant>
      <vt:variant>
        <vt:i4>36</vt:i4>
      </vt:variant>
      <vt:variant>
        <vt:i4>0</vt:i4>
      </vt:variant>
      <vt:variant>
        <vt:i4>5</vt:i4>
      </vt:variant>
      <vt:variant>
        <vt:lpwstr>http://www.nevo.co.il/case/27487246</vt:lpwstr>
      </vt:variant>
      <vt:variant>
        <vt:lpwstr/>
      </vt:variant>
      <vt:variant>
        <vt:i4>3342450</vt:i4>
      </vt:variant>
      <vt:variant>
        <vt:i4>33</vt:i4>
      </vt:variant>
      <vt:variant>
        <vt:i4>0</vt:i4>
      </vt:variant>
      <vt:variant>
        <vt:i4>5</vt:i4>
      </vt:variant>
      <vt:variant>
        <vt:lpwstr>http://www.nevo.co.il/case/21612656</vt:lpwstr>
      </vt:variant>
      <vt:variant>
        <vt:lpwstr/>
      </vt:variant>
      <vt:variant>
        <vt:i4>3539059</vt:i4>
      </vt:variant>
      <vt:variant>
        <vt:i4>30</vt:i4>
      </vt:variant>
      <vt:variant>
        <vt:i4>0</vt:i4>
      </vt:variant>
      <vt:variant>
        <vt:i4>5</vt:i4>
      </vt:variant>
      <vt:variant>
        <vt:lpwstr>http://www.nevo.co.il/case/23835794</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7864427</vt:i4>
      </vt:variant>
      <vt:variant>
        <vt:i4>15</vt:i4>
      </vt:variant>
      <vt:variant>
        <vt:i4>0</vt:i4>
      </vt:variant>
      <vt:variant>
        <vt:i4>5</vt:i4>
      </vt:variant>
      <vt:variant>
        <vt:lpwstr>http://www.nevo.co.il/law/70301/51j.a2</vt:lpwstr>
      </vt:variant>
      <vt:variant>
        <vt:lpwstr/>
      </vt:variant>
      <vt:variant>
        <vt:i4>6553707</vt:i4>
      </vt:variant>
      <vt:variant>
        <vt:i4>12</vt:i4>
      </vt:variant>
      <vt:variant>
        <vt:i4>0</vt:i4>
      </vt:variant>
      <vt:variant>
        <vt:i4>5</vt:i4>
      </vt:variant>
      <vt:variant>
        <vt:lpwstr>http://www.nevo.co.il/law/70301/51j.a.1</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2025-04-22T21:06:00Z</dcterms:created>
  <dcterms:modified xsi:type="dcterms:W3CDTF">2025-04-22T21:06:00Z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57813</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מוראד אבו חמוד </vt:lpwstr>
  </property>
  <property fmtid="{D5CDD505-2E9C-101B-9397-08002B2CF9AE}" pid="10" name="JUDGE">
    <vt:lpwstr>ארז פורת</vt:lpwstr>
  </property>
  <property fmtid="{D5CDD505-2E9C-101B-9397-08002B2CF9AE}" pid="11" name="CITY">
    <vt:lpwstr>חי'</vt:lpwstr>
  </property>
  <property fmtid="{D5CDD505-2E9C-101B-9397-08002B2CF9AE}" pid="12" name="DATE">
    <vt:lpwstr>20211003</vt:lpwstr>
  </property>
  <property fmtid="{D5CDD505-2E9C-101B-9397-08002B2CF9AE}" pid="13" name="TYPE_N_DATE">
    <vt:lpwstr>39020211003</vt:lpwstr>
  </property>
  <property fmtid="{D5CDD505-2E9C-101B-9397-08002B2CF9AE}" pid="14" name="WORDNUMPAGES">
    <vt:lpwstr>7</vt:lpwstr>
  </property>
  <property fmtid="{D5CDD505-2E9C-101B-9397-08002B2CF9AE}" pid="15" name="TYPE_ABS_DATE">
    <vt:lpwstr>390020211003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23835794:5;21612656:2;27487246;23827604;26230247:2;25977712;22841413;25833021;27140645</vt:lpwstr>
  </property>
  <property fmtid="{D5CDD505-2E9C-101B-9397-08002B2CF9AE}" pid="36" name="LAWLISTTMP1">
    <vt:lpwstr>4216/006:2</vt:lpwstr>
  </property>
  <property fmtid="{D5CDD505-2E9C-101B-9397-08002B2CF9AE}" pid="37" name="LAWLISTTMP2">
    <vt:lpwstr>70301/031;051j.a.1:2;051j.a2</vt:lpwstr>
  </property>
</Properties>
</file>