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B52E65" w:rsidRPr="00762BA3" w14:paraId="676D7D89" w14:textId="77777777" w:rsidTr="00304055">
        <w:trPr>
          <w:gridAfter w:val="1"/>
          <w:wAfter w:w="99" w:type="dxa"/>
          <w:trHeight w:hRule="exact" w:val="418"/>
          <w:jc w:val="center"/>
        </w:trPr>
        <w:tc>
          <w:tcPr>
            <w:tcW w:w="8721" w:type="dxa"/>
            <w:gridSpan w:val="3"/>
          </w:tcPr>
          <w:p w14:paraId="4D699B09" w14:textId="77777777" w:rsidR="00B52E65" w:rsidRPr="00762BA3" w:rsidRDefault="00B52E65" w:rsidP="0044406B">
            <w:pPr>
              <w:pStyle w:val="a4"/>
              <w:jc w:val="center"/>
              <w:rPr>
                <w:rFonts w:ascii="Tahoma" w:hAnsi="Tahoma" w:cs="Tahoma"/>
                <w:color w:val="000080"/>
                <w:rtl/>
              </w:rPr>
            </w:pPr>
            <w:bookmarkStart w:id="0" w:name="LastJudge"/>
            <w:r w:rsidRPr="00762BA3">
              <w:rPr>
                <w:rFonts w:ascii="Tahoma" w:hAnsi="Tahoma" w:cs="Tahoma"/>
                <w:b/>
                <w:bCs/>
                <w:color w:val="000080"/>
                <w:rtl/>
              </w:rPr>
              <w:t>בית המשפט המחוזי מרכז-לוד</w:t>
            </w:r>
          </w:p>
        </w:tc>
      </w:tr>
      <w:tr w:rsidR="00B52E65" w:rsidRPr="00762BA3" w14:paraId="7D417A0C" w14:textId="77777777" w:rsidTr="00304055">
        <w:trPr>
          <w:gridAfter w:val="1"/>
          <w:wAfter w:w="99" w:type="dxa"/>
          <w:trHeight w:val="337"/>
          <w:jc w:val="center"/>
        </w:trPr>
        <w:tc>
          <w:tcPr>
            <w:tcW w:w="5054" w:type="dxa"/>
            <w:gridSpan w:val="2"/>
          </w:tcPr>
          <w:p w14:paraId="6E75E5BB" w14:textId="77777777" w:rsidR="00B52E65" w:rsidRPr="00762BA3" w:rsidRDefault="00B52E65" w:rsidP="0044406B">
            <w:pPr>
              <w:rPr>
                <w:rFonts w:cs="FrankRuehl"/>
                <w:sz w:val="28"/>
                <w:szCs w:val="28"/>
                <w:rtl/>
              </w:rPr>
            </w:pPr>
            <w:r w:rsidRPr="00762BA3">
              <w:rPr>
                <w:rFonts w:cs="FrankRuehl"/>
                <w:sz w:val="28"/>
                <w:szCs w:val="28"/>
                <w:rtl/>
              </w:rPr>
              <w:t>ת"פ</w:t>
            </w:r>
            <w:r w:rsidRPr="00762BA3">
              <w:rPr>
                <w:rFonts w:cs="FrankRuehl" w:hint="cs"/>
                <w:sz w:val="28"/>
                <w:szCs w:val="28"/>
                <w:rtl/>
              </w:rPr>
              <w:t xml:space="preserve"> </w:t>
            </w:r>
            <w:r w:rsidRPr="00762BA3">
              <w:rPr>
                <w:rFonts w:cs="FrankRuehl"/>
                <w:sz w:val="28"/>
                <w:szCs w:val="28"/>
                <w:rtl/>
              </w:rPr>
              <w:t>21536-06-20</w:t>
            </w:r>
            <w:r w:rsidRPr="00762BA3">
              <w:rPr>
                <w:rFonts w:cs="FrankRuehl" w:hint="cs"/>
                <w:sz w:val="28"/>
                <w:szCs w:val="28"/>
                <w:rtl/>
              </w:rPr>
              <w:t xml:space="preserve"> </w:t>
            </w:r>
            <w:r w:rsidRPr="00762BA3">
              <w:rPr>
                <w:rFonts w:cs="FrankRuehl"/>
                <w:sz w:val="28"/>
                <w:szCs w:val="28"/>
                <w:rtl/>
              </w:rPr>
              <w:t>מדינת ישראל נ' לינדנמן</w:t>
            </w:r>
          </w:p>
          <w:p w14:paraId="3BFB2587" w14:textId="77777777" w:rsidR="00B52E65" w:rsidRPr="00762BA3" w:rsidRDefault="00B52E65" w:rsidP="0044406B">
            <w:pPr>
              <w:pStyle w:val="a4"/>
              <w:rPr>
                <w:rFonts w:cs="FrankRuehl"/>
                <w:sz w:val="28"/>
                <w:szCs w:val="28"/>
                <w:rtl/>
              </w:rPr>
            </w:pPr>
          </w:p>
        </w:tc>
        <w:tc>
          <w:tcPr>
            <w:tcW w:w="3667" w:type="dxa"/>
          </w:tcPr>
          <w:p w14:paraId="2CDB89C8" w14:textId="77777777" w:rsidR="00B52E65" w:rsidRPr="00762BA3" w:rsidRDefault="00B52E65" w:rsidP="0044406B">
            <w:pPr>
              <w:pStyle w:val="a4"/>
              <w:jc w:val="right"/>
              <w:rPr>
                <w:rFonts w:cs="FrankRuehl"/>
                <w:sz w:val="28"/>
                <w:szCs w:val="28"/>
                <w:rtl/>
              </w:rPr>
            </w:pPr>
          </w:p>
        </w:tc>
      </w:tr>
      <w:tr w:rsidR="00B52E65" w:rsidRPr="00762BA3" w14:paraId="13F8138E" w14:textId="77777777" w:rsidTr="0030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3F407A2" w14:textId="77777777" w:rsidR="00B52E65" w:rsidRPr="00762BA3" w:rsidRDefault="00B52E65" w:rsidP="00B52E65">
            <w:pPr>
              <w:jc w:val="both"/>
              <w:rPr>
                <w:rFonts w:ascii="David" w:hAnsi="David"/>
                <w:sz w:val="26"/>
                <w:szCs w:val="26"/>
              </w:rPr>
            </w:pPr>
            <w:r w:rsidRPr="00762BA3">
              <w:rPr>
                <w:rFonts w:hint="cs"/>
                <w:rtl/>
              </w:rPr>
              <w:t xml:space="preserve"> </w:t>
            </w:r>
            <w:r w:rsidRPr="00762BA3">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53D5B3A2" w14:textId="77777777" w:rsidR="00B52E65" w:rsidRPr="00762BA3" w:rsidRDefault="00B52E65" w:rsidP="0044406B">
            <w:pPr>
              <w:rPr>
                <w:rFonts w:ascii="David" w:hAnsi="David"/>
                <w:b/>
                <w:bCs/>
                <w:sz w:val="26"/>
                <w:szCs w:val="26"/>
                <w:rtl/>
              </w:rPr>
            </w:pPr>
            <w:r w:rsidRPr="00762BA3">
              <w:rPr>
                <w:rFonts w:ascii="David" w:hAnsi="David"/>
                <w:b/>
                <w:bCs/>
                <w:sz w:val="26"/>
                <w:szCs w:val="26"/>
                <w:rtl/>
              </w:rPr>
              <w:t>כבוד השופט  עמי קובו</w:t>
            </w:r>
          </w:p>
          <w:p w14:paraId="48592944" w14:textId="77777777" w:rsidR="00B52E65" w:rsidRPr="00762BA3" w:rsidRDefault="00B52E65" w:rsidP="0044406B">
            <w:pPr>
              <w:rPr>
                <w:rFonts w:ascii="David" w:hAnsi="David"/>
                <w:sz w:val="26"/>
                <w:szCs w:val="26"/>
                <w:rtl/>
              </w:rPr>
            </w:pPr>
          </w:p>
          <w:p w14:paraId="1F90E042" w14:textId="77777777" w:rsidR="00B52E65" w:rsidRPr="00762BA3" w:rsidRDefault="00B52E65" w:rsidP="00B52E65">
            <w:pPr>
              <w:jc w:val="both"/>
              <w:rPr>
                <w:rFonts w:ascii="David" w:hAnsi="David"/>
                <w:sz w:val="26"/>
                <w:szCs w:val="26"/>
              </w:rPr>
            </w:pPr>
          </w:p>
        </w:tc>
      </w:tr>
      <w:tr w:rsidR="00B52E65" w:rsidRPr="00762BA3" w14:paraId="70707BC6" w14:textId="77777777" w:rsidTr="0030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12DE51" w14:textId="77777777" w:rsidR="00B52E65" w:rsidRPr="00762BA3" w:rsidRDefault="00B52E65" w:rsidP="00B52E65">
            <w:pPr>
              <w:jc w:val="both"/>
              <w:rPr>
                <w:rFonts w:ascii="David" w:hAnsi="David"/>
                <w:sz w:val="26"/>
                <w:szCs w:val="26"/>
              </w:rPr>
            </w:pPr>
            <w:bookmarkStart w:id="1" w:name="FirstAppellant"/>
            <w:r w:rsidRPr="00762BA3">
              <w:rPr>
                <w:rFonts w:ascii="David" w:hAnsi="David"/>
                <w:sz w:val="26"/>
                <w:szCs w:val="26"/>
                <w:rtl/>
              </w:rPr>
              <w:t>בעניין:</w:t>
            </w:r>
          </w:p>
        </w:tc>
        <w:tc>
          <w:tcPr>
            <w:tcW w:w="4126" w:type="dxa"/>
            <w:tcBorders>
              <w:top w:val="nil"/>
              <w:left w:val="nil"/>
              <w:bottom w:val="nil"/>
              <w:right w:val="nil"/>
            </w:tcBorders>
            <w:shd w:val="clear" w:color="auto" w:fill="auto"/>
          </w:tcPr>
          <w:p w14:paraId="01E797F4" w14:textId="77777777" w:rsidR="00B52E65" w:rsidRPr="00762BA3" w:rsidRDefault="00B52E65" w:rsidP="0044406B">
            <w:pPr>
              <w:rPr>
                <w:rFonts w:ascii="David" w:hAnsi="David"/>
                <w:sz w:val="26"/>
                <w:szCs w:val="26"/>
              </w:rPr>
            </w:pPr>
            <w:r w:rsidRPr="00762BA3">
              <w:rPr>
                <w:rFonts w:ascii="David" w:hAnsi="David"/>
                <w:sz w:val="26"/>
                <w:szCs w:val="26"/>
                <w:rtl/>
              </w:rPr>
              <w:t>מדינת ישראל</w:t>
            </w:r>
          </w:p>
        </w:tc>
        <w:tc>
          <w:tcPr>
            <w:tcW w:w="3771" w:type="dxa"/>
            <w:gridSpan w:val="2"/>
            <w:tcBorders>
              <w:top w:val="nil"/>
              <w:left w:val="nil"/>
              <w:bottom w:val="nil"/>
              <w:right w:val="nil"/>
            </w:tcBorders>
            <w:shd w:val="clear" w:color="auto" w:fill="auto"/>
          </w:tcPr>
          <w:p w14:paraId="2CBD2CE8" w14:textId="77777777" w:rsidR="00B52E65" w:rsidRPr="00762BA3" w:rsidRDefault="00B52E65" w:rsidP="00B52E65">
            <w:pPr>
              <w:jc w:val="both"/>
              <w:rPr>
                <w:rFonts w:ascii="David" w:hAnsi="David"/>
                <w:sz w:val="26"/>
                <w:szCs w:val="26"/>
              </w:rPr>
            </w:pPr>
          </w:p>
        </w:tc>
      </w:tr>
      <w:bookmarkEnd w:id="1"/>
      <w:tr w:rsidR="00B52E65" w:rsidRPr="00762BA3" w14:paraId="6DB410CF" w14:textId="77777777" w:rsidTr="0030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495451" w14:textId="77777777" w:rsidR="00B52E65" w:rsidRPr="00762BA3" w:rsidRDefault="00B52E65" w:rsidP="00B52E65">
            <w:pPr>
              <w:jc w:val="both"/>
              <w:rPr>
                <w:rFonts w:ascii="David" w:hAnsi="David"/>
                <w:sz w:val="26"/>
                <w:szCs w:val="26"/>
                <w:rtl/>
              </w:rPr>
            </w:pPr>
          </w:p>
        </w:tc>
        <w:tc>
          <w:tcPr>
            <w:tcW w:w="4126" w:type="dxa"/>
            <w:tcBorders>
              <w:top w:val="nil"/>
              <w:left w:val="nil"/>
              <w:bottom w:val="nil"/>
              <w:right w:val="nil"/>
            </w:tcBorders>
            <w:shd w:val="clear" w:color="auto" w:fill="auto"/>
          </w:tcPr>
          <w:p w14:paraId="663464CA" w14:textId="77777777" w:rsidR="00B52E65" w:rsidRPr="00762BA3" w:rsidRDefault="00B52E65" w:rsidP="00B52E65">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030B9086" w14:textId="77777777" w:rsidR="00B52E65" w:rsidRPr="00762BA3" w:rsidRDefault="00B52E65" w:rsidP="00B52E65">
            <w:pPr>
              <w:jc w:val="right"/>
              <w:rPr>
                <w:rFonts w:ascii="David" w:hAnsi="David"/>
                <w:sz w:val="26"/>
                <w:szCs w:val="26"/>
                <w:rtl/>
              </w:rPr>
            </w:pPr>
            <w:r w:rsidRPr="00762BA3">
              <w:rPr>
                <w:rFonts w:ascii="David" w:hAnsi="David"/>
                <w:sz w:val="26"/>
                <w:szCs w:val="26"/>
                <w:rtl/>
              </w:rPr>
              <w:t>המאשימה</w:t>
            </w:r>
          </w:p>
        </w:tc>
      </w:tr>
      <w:tr w:rsidR="00B52E65" w:rsidRPr="00762BA3" w14:paraId="02AE93A9" w14:textId="77777777" w:rsidTr="0030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F5D4E1" w14:textId="77777777" w:rsidR="00B52E65" w:rsidRPr="00762BA3" w:rsidRDefault="00B52E65" w:rsidP="00B52E65">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4F49A14" w14:textId="77777777" w:rsidR="00B52E65" w:rsidRPr="00762BA3" w:rsidRDefault="00B52E65" w:rsidP="00B52E65">
            <w:pPr>
              <w:jc w:val="center"/>
              <w:rPr>
                <w:rFonts w:ascii="David" w:hAnsi="David"/>
                <w:b/>
                <w:bCs/>
                <w:sz w:val="26"/>
                <w:szCs w:val="26"/>
                <w:rtl/>
              </w:rPr>
            </w:pPr>
          </w:p>
          <w:p w14:paraId="36C798AE" w14:textId="77777777" w:rsidR="00B52E65" w:rsidRPr="00762BA3" w:rsidRDefault="00B52E65" w:rsidP="00B52E65">
            <w:pPr>
              <w:jc w:val="center"/>
              <w:rPr>
                <w:rFonts w:ascii="David" w:hAnsi="David"/>
                <w:b/>
                <w:bCs/>
                <w:sz w:val="26"/>
                <w:szCs w:val="26"/>
                <w:rtl/>
              </w:rPr>
            </w:pPr>
            <w:r w:rsidRPr="00762BA3">
              <w:rPr>
                <w:rFonts w:ascii="David" w:hAnsi="David"/>
                <w:b/>
                <w:bCs/>
                <w:sz w:val="26"/>
                <w:szCs w:val="26"/>
                <w:rtl/>
              </w:rPr>
              <w:t>נגד</w:t>
            </w:r>
          </w:p>
          <w:p w14:paraId="22391385" w14:textId="77777777" w:rsidR="00B52E65" w:rsidRPr="00762BA3" w:rsidRDefault="00B52E65" w:rsidP="00B52E65">
            <w:pPr>
              <w:jc w:val="both"/>
              <w:rPr>
                <w:rFonts w:ascii="David" w:hAnsi="David"/>
                <w:sz w:val="26"/>
                <w:szCs w:val="26"/>
              </w:rPr>
            </w:pPr>
          </w:p>
        </w:tc>
      </w:tr>
      <w:tr w:rsidR="00B52E65" w:rsidRPr="00762BA3" w14:paraId="554AFE19" w14:textId="77777777" w:rsidTr="0030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6372AA" w14:textId="77777777" w:rsidR="00B52E65" w:rsidRPr="00762BA3" w:rsidRDefault="00B52E65" w:rsidP="0044406B">
            <w:pPr>
              <w:rPr>
                <w:rFonts w:ascii="David" w:hAnsi="David"/>
                <w:sz w:val="26"/>
                <w:szCs w:val="26"/>
                <w:rtl/>
              </w:rPr>
            </w:pPr>
          </w:p>
        </w:tc>
        <w:tc>
          <w:tcPr>
            <w:tcW w:w="4126" w:type="dxa"/>
            <w:tcBorders>
              <w:top w:val="nil"/>
              <w:left w:val="nil"/>
              <w:bottom w:val="nil"/>
              <w:right w:val="nil"/>
            </w:tcBorders>
            <w:shd w:val="clear" w:color="auto" w:fill="auto"/>
          </w:tcPr>
          <w:p w14:paraId="4832CD69" w14:textId="77777777" w:rsidR="00B52E65" w:rsidRPr="00762BA3" w:rsidRDefault="00B52E65" w:rsidP="0044406B">
            <w:pPr>
              <w:rPr>
                <w:rFonts w:ascii="David" w:hAnsi="David"/>
                <w:sz w:val="26"/>
                <w:szCs w:val="26"/>
                <w:rtl/>
              </w:rPr>
            </w:pPr>
            <w:r w:rsidRPr="00762BA3">
              <w:rPr>
                <w:rFonts w:ascii="David" w:hAnsi="David"/>
                <w:sz w:val="26"/>
                <w:szCs w:val="26"/>
                <w:rtl/>
              </w:rPr>
              <w:t>מיכאל לינדנמן</w:t>
            </w:r>
          </w:p>
        </w:tc>
        <w:tc>
          <w:tcPr>
            <w:tcW w:w="3771" w:type="dxa"/>
            <w:gridSpan w:val="2"/>
            <w:tcBorders>
              <w:top w:val="nil"/>
              <w:left w:val="nil"/>
              <w:bottom w:val="nil"/>
              <w:right w:val="nil"/>
            </w:tcBorders>
            <w:shd w:val="clear" w:color="auto" w:fill="auto"/>
          </w:tcPr>
          <w:p w14:paraId="5FFF040B" w14:textId="77777777" w:rsidR="00B52E65" w:rsidRPr="00762BA3" w:rsidRDefault="00B52E65" w:rsidP="00B52E65">
            <w:pPr>
              <w:jc w:val="right"/>
              <w:rPr>
                <w:rFonts w:ascii="David" w:hAnsi="David"/>
                <w:sz w:val="26"/>
                <w:szCs w:val="26"/>
              </w:rPr>
            </w:pPr>
          </w:p>
        </w:tc>
      </w:tr>
      <w:tr w:rsidR="00B52E65" w:rsidRPr="00762BA3" w14:paraId="6C73BBF5" w14:textId="77777777" w:rsidTr="0030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02F8B2" w14:textId="77777777" w:rsidR="00B52E65" w:rsidRPr="00762BA3" w:rsidRDefault="00B52E65" w:rsidP="00B52E65">
            <w:pPr>
              <w:jc w:val="both"/>
              <w:rPr>
                <w:rFonts w:ascii="David" w:hAnsi="David"/>
                <w:sz w:val="26"/>
                <w:szCs w:val="26"/>
                <w:rtl/>
              </w:rPr>
            </w:pPr>
          </w:p>
        </w:tc>
        <w:tc>
          <w:tcPr>
            <w:tcW w:w="4126" w:type="dxa"/>
            <w:tcBorders>
              <w:top w:val="nil"/>
              <w:left w:val="nil"/>
              <w:bottom w:val="nil"/>
              <w:right w:val="nil"/>
            </w:tcBorders>
            <w:shd w:val="clear" w:color="auto" w:fill="auto"/>
          </w:tcPr>
          <w:p w14:paraId="420BA8EB" w14:textId="77777777" w:rsidR="00B52E65" w:rsidRPr="00762BA3" w:rsidRDefault="00B52E65" w:rsidP="00B52E65">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545C1A8F" w14:textId="77777777" w:rsidR="00B52E65" w:rsidRPr="00762BA3" w:rsidRDefault="00B52E65" w:rsidP="00B52E65">
            <w:pPr>
              <w:jc w:val="right"/>
              <w:rPr>
                <w:rFonts w:ascii="David" w:hAnsi="David"/>
                <w:sz w:val="26"/>
                <w:szCs w:val="26"/>
              </w:rPr>
            </w:pPr>
            <w:r w:rsidRPr="00762BA3">
              <w:rPr>
                <w:rFonts w:ascii="David" w:hAnsi="David"/>
                <w:sz w:val="26"/>
                <w:szCs w:val="26"/>
                <w:rtl/>
              </w:rPr>
              <w:t>הנאשם</w:t>
            </w:r>
          </w:p>
        </w:tc>
      </w:tr>
    </w:tbl>
    <w:p w14:paraId="2EFEA84E" w14:textId="77777777" w:rsidR="00B52E65" w:rsidRPr="00762BA3" w:rsidRDefault="00B52E65" w:rsidP="00B52E65">
      <w:pPr>
        <w:rPr>
          <w:rtl/>
        </w:rPr>
      </w:pPr>
      <w:bookmarkStart w:id="2" w:name="FirstLawyer"/>
      <w:r w:rsidRPr="00762BA3">
        <w:rPr>
          <w:rFonts w:hint="cs"/>
          <w:rtl/>
        </w:rPr>
        <w:t>ב"כ</w:t>
      </w:r>
      <w:bookmarkEnd w:id="2"/>
      <w:r w:rsidRPr="00762BA3">
        <w:rPr>
          <w:rFonts w:hint="cs"/>
          <w:rtl/>
        </w:rPr>
        <w:t xml:space="preserve"> המאשימה: עו"ד רעות אבירי</w:t>
      </w:r>
    </w:p>
    <w:p w14:paraId="7A8B8D60" w14:textId="77777777" w:rsidR="00304055" w:rsidRDefault="00B52E65" w:rsidP="00762BA3">
      <w:pPr>
        <w:spacing w:before="120" w:after="120" w:line="240" w:lineRule="exact"/>
        <w:ind w:left="283" w:hanging="283"/>
        <w:jc w:val="both"/>
        <w:rPr>
          <w:rtl/>
        </w:rPr>
      </w:pPr>
      <w:r w:rsidRPr="00762BA3">
        <w:rPr>
          <w:rFonts w:hint="cs"/>
          <w:rtl/>
        </w:rPr>
        <w:t>ב"כ הנאשם: עוה"ד יניב שגב ואנסטסיה סליאקו</w:t>
      </w:r>
      <w:r w:rsidR="00304055">
        <w:rPr>
          <w:rFonts w:hint="cs"/>
          <w:rtl/>
        </w:rPr>
        <w:t>ב</w:t>
      </w:r>
    </w:p>
    <w:p w14:paraId="56BBA24C" w14:textId="77777777" w:rsidR="00304055" w:rsidRPr="00304055" w:rsidRDefault="00304055" w:rsidP="00304055">
      <w:pPr>
        <w:spacing w:before="120" w:after="120" w:line="240" w:lineRule="exact"/>
        <w:ind w:left="283" w:hanging="283"/>
        <w:jc w:val="both"/>
        <w:rPr>
          <w:rFonts w:ascii="FrankRuehl" w:hAnsi="FrankRuehl" w:cs="FrankRuehl"/>
          <w:rtl/>
        </w:rPr>
      </w:pPr>
    </w:p>
    <w:p w14:paraId="774E125A" w14:textId="77777777" w:rsidR="00CE781B" w:rsidRDefault="00CE781B" w:rsidP="00CE781B">
      <w:pPr>
        <w:rPr>
          <w:sz w:val="26"/>
          <w:szCs w:val="26"/>
          <w:rtl/>
        </w:rPr>
      </w:pPr>
      <w:bookmarkStart w:id="3" w:name="LawTable"/>
      <w:bookmarkEnd w:id="3"/>
    </w:p>
    <w:p w14:paraId="0922F13F" w14:textId="77777777" w:rsidR="00CE781B" w:rsidRPr="00CE781B" w:rsidRDefault="00CE781B" w:rsidP="00CE781B">
      <w:pPr>
        <w:spacing w:before="120" w:after="120" w:line="240" w:lineRule="exact"/>
        <w:ind w:left="283" w:hanging="283"/>
        <w:jc w:val="both"/>
        <w:rPr>
          <w:rFonts w:ascii="FrankRuehl" w:hAnsi="FrankRuehl" w:cs="FrankRuehl"/>
          <w:rtl/>
        </w:rPr>
      </w:pPr>
    </w:p>
    <w:p w14:paraId="1C8DBCC1" w14:textId="77777777" w:rsidR="00CE781B" w:rsidRPr="00CE781B" w:rsidRDefault="00CE781B" w:rsidP="00CE781B">
      <w:pPr>
        <w:spacing w:before="120" w:after="120" w:line="240" w:lineRule="exact"/>
        <w:ind w:left="283" w:hanging="283"/>
        <w:jc w:val="both"/>
        <w:rPr>
          <w:rFonts w:ascii="FrankRuehl" w:hAnsi="FrankRuehl" w:cs="FrankRuehl"/>
          <w:rtl/>
        </w:rPr>
      </w:pPr>
    </w:p>
    <w:p w14:paraId="048EFACE" w14:textId="77777777" w:rsidR="00CE781B" w:rsidRPr="00CE781B" w:rsidRDefault="00CE781B" w:rsidP="00CE781B">
      <w:pPr>
        <w:spacing w:before="120" w:after="120" w:line="240" w:lineRule="exact"/>
        <w:ind w:left="283" w:hanging="283"/>
        <w:jc w:val="both"/>
        <w:rPr>
          <w:rFonts w:ascii="FrankRuehl" w:hAnsi="FrankRuehl" w:cs="FrankRuehl"/>
          <w:rtl/>
        </w:rPr>
      </w:pPr>
      <w:r w:rsidRPr="00CE781B">
        <w:rPr>
          <w:rFonts w:ascii="FrankRuehl" w:hAnsi="FrankRuehl" w:cs="FrankRuehl"/>
          <w:rtl/>
        </w:rPr>
        <w:t xml:space="preserve">חקיקה שאוזכרה: </w:t>
      </w:r>
    </w:p>
    <w:p w14:paraId="7C385745" w14:textId="77777777" w:rsidR="00CE781B" w:rsidRPr="00CE781B" w:rsidRDefault="00CE781B" w:rsidP="00CE781B">
      <w:pPr>
        <w:spacing w:before="120" w:after="120" w:line="240" w:lineRule="exact"/>
        <w:ind w:left="283" w:hanging="283"/>
        <w:jc w:val="both"/>
        <w:rPr>
          <w:rFonts w:ascii="FrankRuehl" w:hAnsi="FrankRuehl" w:cs="FrankRuehl"/>
          <w:rtl/>
        </w:rPr>
      </w:pPr>
      <w:hyperlink r:id="rId7" w:history="1">
        <w:r w:rsidRPr="00CE781B">
          <w:rPr>
            <w:rFonts w:ascii="FrankRuehl" w:hAnsi="FrankRuehl" w:cs="FrankRuehl"/>
            <w:color w:val="0000FF"/>
            <w:rtl/>
          </w:rPr>
          <w:t>פקודת הסמים המסוכנים [נוסח חדש], תשל"ג-1973</w:t>
        </w:r>
      </w:hyperlink>
      <w:r w:rsidRPr="00CE781B">
        <w:rPr>
          <w:rFonts w:ascii="FrankRuehl" w:hAnsi="FrankRuehl" w:cs="FrankRuehl"/>
          <w:rtl/>
        </w:rPr>
        <w:t xml:space="preserve">: סע'  </w:t>
      </w:r>
      <w:hyperlink r:id="rId8" w:history="1">
        <w:r w:rsidRPr="00CE781B">
          <w:rPr>
            <w:rFonts w:ascii="FrankRuehl" w:hAnsi="FrankRuehl" w:cs="FrankRuehl"/>
            <w:color w:val="0000FF"/>
            <w:rtl/>
          </w:rPr>
          <w:t>6</w:t>
        </w:r>
      </w:hyperlink>
    </w:p>
    <w:p w14:paraId="1878F93D" w14:textId="77777777" w:rsidR="00CE781B" w:rsidRPr="00CE781B" w:rsidRDefault="00CE781B" w:rsidP="00CE781B">
      <w:pPr>
        <w:spacing w:before="120" w:after="120" w:line="240" w:lineRule="exact"/>
        <w:ind w:left="283" w:hanging="283"/>
        <w:jc w:val="both"/>
        <w:rPr>
          <w:rFonts w:ascii="FrankRuehl" w:hAnsi="FrankRuehl" w:cs="FrankRuehl"/>
          <w:rtl/>
        </w:rPr>
      </w:pPr>
      <w:hyperlink r:id="rId9" w:history="1">
        <w:r w:rsidRPr="00CE781B">
          <w:rPr>
            <w:rFonts w:ascii="FrankRuehl" w:hAnsi="FrankRuehl" w:cs="FrankRuehl"/>
            <w:color w:val="0000FF"/>
            <w:rtl/>
          </w:rPr>
          <w:t>חוק העונשין, תשל"ז-1977</w:t>
        </w:r>
      </w:hyperlink>
      <w:r w:rsidRPr="00CE781B">
        <w:rPr>
          <w:rFonts w:ascii="FrankRuehl" w:hAnsi="FrankRuehl" w:cs="FrankRuehl"/>
          <w:rtl/>
        </w:rPr>
        <w:t xml:space="preserve">: סע'  </w:t>
      </w:r>
      <w:hyperlink r:id="rId10" w:history="1">
        <w:r w:rsidRPr="00CE781B">
          <w:rPr>
            <w:rFonts w:ascii="FrankRuehl" w:hAnsi="FrankRuehl" w:cs="FrankRuehl"/>
            <w:color w:val="0000FF"/>
            <w:rtl/>
          </w:rPr>
          <w:t>40 יג'</w:t>
        </w:r>
      </w:hyperlink>
    </w:p>
    <w:p w14:paraId="73FE66B5" w14:textId="77777777" w:rsidR="00CE781B" w:rsidRPr="00CE781B" w:rsidRDefault="00CE781B" w:rsidP="00CE781B">
      <w:pPr>
        <w:rPr>
          <w:sz w:val="26"/>
          <w:szCs w:val="26"/>
          <w:rtl/>
        </w:rPr>
      </w:pPr>
      <w:bookmarkStart w:id="4" w:name="LawTable_End"/>
      <w:bookmarkEnd w:id="4"/>
    </w:p>
    <w:p w14:paraId="01B72DE3" w14:textId="77777777" w:rsidR="00B52E65" w:rsidRPr="00762BA3" w:rsidRDefault="00B52E65" w:rsidP="00B52E6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2E65" w14:paraId="30D8240B" w14:textId="77777777" w:rsidTr="00B52E65">
        <w:trPr>
          <w:trHeight w:val="355"/>
          <w:jc w:val="center"/>
        </w:trPr>
        <w:tc>
          <w:tcPr>
            <w:tcW w:w="8820" w:type="dxa"/>
            <w:tcBorders>
              <w:top w:val="nil"/>
              <w:left w:val="nil"/>
              <w:bottom w:val="nil"/>
              <w:right w:val="nil"/>
            </w:tcBorders>
            <w:shd w:val="clear" w:color="auto" w:fill="auto"/>
          </w:tcPr>
          <w:p w14:paraId="6B6801F4" w14:textId="77777777" w:rsidR="00762BA3" w:rsidRPr="00762BA3" w:rsidRDefault="00762BA3" w:rsidP="00762BA3">
            <w:pPr>
              <w:jc w:val="center"/>
              <w:rPr>
                <w:rFonts w:ascii="David" w:hAnsi="David"/>
                <w:b/>
                <w:bCs/>
                <w:sz w:val="32"/>
                <w:szCs w:val="32"/>
                <w:u w:val="single"/>
                <w:rtl/>
              </w:rPr>
            </w:pPr>
            <w:bookmarkStart w:id="5" w:name="PsakDin" w:colFirst="0" w:colLast="0"/>
            <w:bookmarkEnd w:id="0"/>
            <w:r w:rsidRPr="00762BA3">
              <w:rPr>
                <w:rFonts w:ascii="David" w:hAnsi="David"/>
                <w:b/>
                <w:bCs/>
                <w:sz w:val="32"/>
                <w:szCs w:val="32"/>
                <w:u w:val="single"/>
                <w:rtl/>
              </w:rPr>
              <w:t>גזר דין</w:t>
            </w:r>
          </w:p>
          <w:p w14:paraId="101FD918" w14:textId="77777777" w:rsidR="00B52E65" w:rsidRPr="00762BA3" w:rsidRDefault="00B52E65" w:rsidP="00762BA3">
            <w:pPr>
              <w:jc w:val="center"/>
              <w:rPr>
                <w:rFonts w:ascii="David" w:hAnsi="David"/>
                <w:bCs/>
                <w:sz w:val="32"/>
                <w:szCs w:val="32"/>
                <w:u w:val="single"/>
                <w:rtl/>
              </w:rPr>
            </w:pPr>
          </w:p>
        </w:tc>
      </w:tr>
      <w:bookmarkEnd w:id="5"/>
    </w:tbl>
    <w:p w14:paraId="6EEB87EB" w14:textId="77777777" w:rsidR="00B52E65" w:rsidRPr="002B7D23" w:rsidRDefault="00B52E65" w:rsidP="00B52E65">
      <w:pPr>
        <w:rPr>
          <w:rFonts w:ascii="David" w:hAnsi="David"/>
          <w:sz w:val="26"/>
          <w:szCs w:val="26"/>
          <w:rtl/>
        </w:rPr>
      </w:pPr>
    </w:p>
    <w:p w14:paraId="5CCA3EFA" w14:textId="77777777" w:rsidR="00B52E65" w:rsidRPr="00884E74" w:rsidRDefault="00B52E65" w:rsidP="00B52E65">
      <w:pPr>
        <w:spacing w:after="120" w:line="360" w:lineRule="auto"/>
        <w:jc w:val="both"/>
        <w:rPr>
          <w:bCs/>
          <w:u w:val="single"/>
          <w:rtl/>
          <w:lang w:eastAsia="he-IL"/>
        </w:rPr>
      </w:pPr>
      <w:r w:rsidRPr="00884E74">
        <w:rPr>
          <w:bCs/>
          <w:u w:val="single"/>
          <w:rtl/>
          <w:lang w:eastAsia="he-IL"/>
        </w:rPr>
        <w:t>רקע</w:t>
      </w:r>
    </w:p>
    <w:p w14:paraId="55DED95B" w14:textId="77777777" w:rsidR="00B52E65" w:rsidRPr="00884E74" w:rsidRDefault="00B52E65" w:rsidP="00B52E65">
      <w:pPr>
        <w:numPr>
          <w:ilvl w:val="0"/>
          <w:numId w:val="1"/>
        </w:numPr>
        <w:spacing w:after="120" w:line="360" w:lineRule="auto"/>
        <w:jc w:val="both"/>
        <w:rPr>
          <w:rFonts w:ascii="David" w:hAnsi="David"/>
          <w:color w:val="000000"/>
        </w:rPr>
      </w:pPr>
      <w:bookmarkStart w:id="6" w:name="ABSTRACT_START"/>
      <w:bookmarkEnd w:id="6"/>
      <w:r w:rsidRPr="00884E74">
        <w:rPr>
          <w:rFonts w:ascii="David" w:hAnsi="David"/>
          <w:color w:val="000000"/>
          <w:rtl/>
        </w:rPr>
        <w:t xml:space="preserve">הנאשם הורשע בהתאם להודאתו בעובדות כתב האישום המתוקן בעבירה של </w:t>
      </w:r>
      <w:r w:rsidRPr="00884E74">
        <w:rPr>
          <w:rFonts w:ascii="David" w:hAnsi="David"/>
          <w:b/>
          <w:bCs/>
          <w:color w:val="000000"/>
          <w:rtl/>
        </w:rPr>
        <w:t>ייצור, הכנה והפקת סם,</w:t>
      </w:r>
      <w:r w:rsidRPr="00884E74">
        <w:rPr>
          <w:rFonts w:ascii="David" w:hAnsi="David"/>
          <w:color w:val="000000"/>
          <w:rtl/>
        </w:rPr>
        <w:t xml:space="preserve"> לפי </w:t>
      </w:r>
      <w:hyperlink r:id="rId11" w:history="1">
        <w:r w:rsidR="00304055" w:rsidRPr="00304055">
          <w:rPr>
            <w:rStyle w:val="Hyperlink"/>
            <w:rFonts w:ascii="David" w:hAnsi="David"/>
            <w:rtl/>
          </w:rPr>
          <w:t>סעיף 6</w:t>
        </w:r>
      </w:hyperlink>
      <w:r w:rsidRPr="00884E74">
        <w:rPr>
          <w:rFonts w:ascii="David" w:hAnsi="David"/>
          <w:color w:val="000000"/>
          <w:rtl/>
        </w:rPr>
        <w:t xml:space="preserve"> ל</w:t>
      </w:r>
      <w:hyperlink r:id="rId12" w:history="1">
        <w:r w:rsidR="00762BA3" w:rsidRPr="00762BA3">
          <w:rPr>
            <w:rFonts w:ascii="David" w:hAnsi="David"/>
            <w:color w:val="0000FF"/>
            <w:u w:val="single"/>
            <w:rtl/>
          </w:rPr>
          <w:t>פקודת הסמים המסוכנים</w:t>
        </w:r>
      </w:hyperlink>
      <w:r w:rsidRPr="00884E74">
        <w:rPr>
          <w:rFonts w:ascii="David" w:hAnsi="David"/>
          <w:color w:val="000000"/>
          <w:rtl/>
        </w:rPr>
        <w:t xml:space="preserve"> [נוסח חדש], תשל"ג-1973. </w:t>
      </w:r>
    </w:p>
    <w:p w14:paraId="61455E69" w14:textId="77777777" w:rsidR="00B52E65" w:rsidRPr="00884E74" w:rsidRDefault="00B52E65" w:rsidP="00B52E65">
      <w:pPr>
        <w:spacing w:after="120" w:line="360" w:lineRule="auto"/>
        <w:ind w:left="720"/>
        <w:jc w:val="both"/>
        <w:rPr>
          <w:rFonts w:ascii="David" w:hAnsi="David"/>
          <w:color w:val="000000"/>
        </w:rPr>
      </w:pPr>
      <w:bookmarkStart w:id="7" w:name="ABSTRACT_END"/>
      <w:bookmarkEnd w:id="7"/>
      <w:r w:rsidRPr="00884E74">
        <w:rPr>
          <w:rFonts w:ascii="David" w:hAnsi="David"/>
          <w:color w:val="000000"/>
          <w:rtl/>
        </w:rPr>
        <w:t xml:space="preserve">על פי המתואר בעובדות כתב האישום המתוקן, החל מחודש מרץ 19' שכר הנאשם מבנה תעשייה בשטח של 200 מ"ר ועובר ליום 28.5.20 הקים במבנה מעבדה לגידול סם מסוג קנאביס. לשם כך רכש שתילי קנאביס, חומרי דישון ואדניות. הנאשם צייד את המעבדה במזגנים, מאווררים, שנאים, מנורות, מפוחים ופרוז'קטור. במהלך התקופה ועד ליום 28.5.20 </w:t>
      </w:r>
      <w:r w:rsidRPr="00884E74">
        <w:rPr>
          <w:rFonts w:ascii="David" w:hAnsi="David"/>
          <w:b/>
          <w:bCs/>
          <w:color w:val="000000"/>
          <w:rtl/>
        </w:rPr>
        <w:t>הפיק הנאשם במעבדה סם מסוג קנאביס בכמות כוללת של לפחות 40 ק"ג</w:t>
      </w:r>
      <w:r w:rsidRPr="00884E74">
        <w:rPr>
          <w:rFonts w:ascii="David" w:hAnsi="David"/>
          <w:color w:val="000000"/>
          <w:rtl/>
        </w:rPr>
        <w:t>.</w:t>
      </w:r>
    </w:p>
    <w:p w14:paraId="3D43C0A1" w14:textId="77777777" w:rsidR="00B52E65" w:rsidRPr="00884E74" w:rsidRDefault="00B52E65" w:rsidP="00B52E65">
      <w:pPr>
        <w:numPr>
          <w:ilvl w:val="0"/>
          <w:numId w:val="1"/>
        </w:numPr>
        <w:spacing w:after="120" w:line="360" w:lineRule="auto"/>
        <w:jc w:val="both"/>
        <w:rPr>
          <w:rFonts w:ascii="David" w:hAnsi="David"/>
          <w:color w:val="000000"/>
          <w:rtl/>
        </w:rPr>
      </w:pPr>
      <w:r w:rsidRPr="00884E74">
        <w:rPr>
          <w:rFonts w:ascii="David" w:hAnsi="David"/>
          <w:color w:val="000000"/>
          <w:rtl/>
        </w:rPr>
        <w:t xml:space="preserve">הצדדים הגיעו להסדר טיעון, לפיו הנאשם הודה והורשע בכתב האישום המתוקן והופנה לקבלת תסקיר שירות המבחן. עוד הוסכם בין הצדדים כי המאשימה תגביל את טיעוניה </w:t>
      </w:r>
      <w:r w:rsidRPr="00884E74">
        <w:rPr>
          <w:rFonts w:ascii="David" w:hAnsi="David"/>
          <w:color w:val="000000"/>
          <w:rtl/>
        </w:rPr>
        <w:lastRenderedPageBreak/>
        <w:t>לעונש הולם של 17 חודשי מאסר בפועל, מאסר מותנה וקנס, וההגנה תהא חופשיה בטיעוניה.</w:t>
      </w:r>
    </w:p>
    <w:p w14:paraId="6B41BC33" w14:textId="77777777" w:rsidR="00B52E65" w:rsidRPr="00884E74" w:rsidRDefault="00B52E65" w:rsidP="00B52E65">
      <w:pPr>
        <w:spacing w:after="120" w:line="360" w:lineRule="auto"/>
        <w:jc w:val="both"/>
        <w:rPr>
          <w:rFonts w:ascii="David" w:hAnsi="David"/>
          <w:b/>
          <w:bCs/>
          <w:color w:val="000000"/>
          <w:u w:val="single"/>
        </w:rPr>
      </w:pPr>
      <w:r w:rsidRPr="00884E74">
        <w:rPr>
          <w:rFonts w:ascii="David" w:hAnsi="David"/>
          <w:b/>
          <w:bCs/>
          <w:color w:val="000000"/>
          <w:u w:val="single"/>
          <w:rtl/>
        </w:rPr>
        <w:t>תסקיר שירות המבחן</w:t>
      </w:r>
    </w:p>
    <w:p w14:paraId="53DDD6F4"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על פי תסקיר שירות המבחן, הנאשם בן 31, סיים 11 שנות לימוד, שירת שירות מלא כלוחם ולאחר שחרורו הקים עם אחיו עסק למכירת טלפונים ניידים. לאחר סגירת העסק ערך ניסיונות להקים עסק עצמאי, אולם ללא הצלחה והוא צבר חובות כבדים לשוק האפור. לאור לחצים אשר נושיו הפעילו עליו, חווה מצוקה רגשית. חובותיו נפרעו על ידי בני משפחתו וכיום הוא משיב להם את חובותיו. בעת היותו בתנאים מגבילים באילת, סיים קורס אינטרנטי ובהמשך השתלב בעבודה בתחום זה.</w:t>
      </w:r>
    </w:p>
    <w:p w14:paraId="008C342C" w14:textId="77777777" w:rsidR="00B52E65" w:rsidRPr="00884E74" w:rsidRDefault="00B52E65" w:rsidP="00B52E65">
      <w:pPr>
        <w:spacing w:after="120" w:line="360" w:lineRule="auto"/>
        <w:ind w:left="720"/>
        <w:jc w:val="both"/>
        <w:rPr>
          <w:rFonts w:ascii="David" w:hAnsi="David"/>
          <w:color w:val="000000"/>
        </w:rPr>
      </w:pPr>
      <w:r w:rsidRPr="00884E74">
        <w:rPr>
          <w:rFonts w:ascii="David" w:hAnsi="David"/>
          <w:color w:val="000000"/>
          <w:rtl/>
        </w:rPr>
        <w:t xml:space="preserve">בגיל 16 החל לצרוך סמים מסוג קנאביס בנסיבות חברתיות ולאחר שחרורו מצה"ל השימוש בקנאביס העמיק לכדי שימוש יומיומי, כך עד למעצרו הנוכחי. לדבריו מאז מעצרו הפחית באופן משמעותי את תדירות השימוש בסמים. </w:t>
      </w:r>
      <w:r w:rsidRPr="00884E74">
        <w:rPr>
          <w:rFonts w:ascii="David" w:hAnsi="David"/>
          <w:b/>
          <w:bCs/>
          <w:color w:val="000000"/>
          <w:rtl/>
        </w:rPr>
        <w:t>מתוך שלוש בדיקות שתן שנערכו לו, בדיקה אחת נמצאה עם שרידי סם מסוג קנאביס</w:t>
      </w:r>
      <w:r w:rsidRPr="00884E74">
        <w:rPr>
          <w:rFonts w:ascii="David" w:hAnsi="David"/>
          <w:color w:val="000000"/>
          <w:rtl/>
        </w:rPr>
        <w:t xml:space="preserve">. הנאשם שלל שימוש בסמים והתקשה להסביר את תוצאות הבדיקה. שירות המבחן שיקף לו הערכתו כי קיימת אצלו תלות בסמים, אולם </w:t>
      </w:r>
      <w:r w:rsidRPr="00884E74">
        <w:rPr>
          <w:rFonts w:ascii="David" w:hAnsi="David"/>
          <w:b/>
          <w:bCs/>
          <w:color w:val="000000"/>
          <w:rtl/>
        </w:rPr>
        <w:t>הנאשם שלל בעייתיות בתחום זה או נזקקות טיפולית בתחום ההתמכרויות</w:t>
      </w:r>
      <w:r w:rsidRPr="00884E74">
        <w:rPr>
          <w:rFonts w:ascii="David" w:hAnsi="David"/>
          <w:color w:val="000000"/>
          <w:rtl/>
        </w:rPr>
        <w:t xml:space="preserve">. </w:t>
      </w:r>
    </w:p>
    <w:p w14:paraId="1DBA342F" w14:textId="77777777" w:rsidR="00B52E65" w:rsidRPr="00884E74" w:rsidRDefault="00B52E65" w:rsidP="00B52E65">
      <w:pPr>
        <w:spacing w:after="120" w:line="360" w:lineRule="auto"/>
        <w:ind w:left="720"/>
        <w:jc w:val="both"/>
        <w:rPr>
          <w:rFonts w:ascii="David" w:hAnsi="David"/>
          <w:color w:val="000000"/>
        </w:rPr>
      </w:pPr>
      <w:r w:rsidRPr="00884E74">
        <w:rPr>
          <w:rFonts w:ascii="David" w:hAnsi="David"/>
          <w:color w:val="000000"/>
          <w:rtl/>
        </w:rPr>
        <w:t xml:space="preserve">במסגרת הליך המעצר התרשם שירות המבחן מדפוסי שימוש ממושכים בסמים, קשיי תפקוד בתקופה שקדמה למעצרו, קשיים רגשיים, חוסר יציבות ומסיכון במצבו, וסבר כי נדרשת מסגרת טיפולית אינטנסיבית וכוללנית כמענה לצרכיו הטיפוליים ודפוסי שימושו בסמים. </w:t>
      </w:r>
      <w:r w:rsidRPr="00884E74">
        <w:rPr>
          <w:rFonts w:ascii="Calibri" w:hAnsi="Calibri" w:hint="eastAsia"/>
          <w:color w:val="000000"/>
          <w:rtl/>
        </w:rPr>
        <w:t>הנאשם</w:t>
      </w:r>
      <w:r w:rsidRPr="00884E74">
        <w:rPr>
          <w:rFonts w:ascii="Calibri" w:hAnsi="Calibri"/>
          <w:color w:val="000000"/>
          <w:rtl/>
        </w:rPr>
        <w:t xml:space="preserve"> </w:t>
      </w:r>
      <w:r w:rsidRPr="00884E74">
        <w:rPr>
          <w:rFonts w:ascii="Calibri" w:hAnsi="Calibri" w:hint="eastAsia"/>
          <w:color w:val="000000"/>
          <w:rtl/>
        </w:rPr>
        <w:t>הציג</w:t>
      </w:r>
      <w:r w:rsidRPr="00884E74">
        <w:rPr>
          <w:rFonts w:ascii="Calibri" w:hAnsi="Calibri"/>
          <w:color w:val="000000"/>
          <w:rtl/>
        </w:rPr>
        <w:t xml:space="preserve"> </w:t>
      </w:r>
      <w:r w:rsidRPr="00884E74">
        <w:rPr>
          <w:rFonts w:ascii="Calibri" w:hAnsi="Calibri" w:hint="eastAsia"/>
          <w:color w:val="000000"/>
          <w:rtl/>
        </w:rPr>
        <w:t>את</w:t>
      </w:r>
      <w:r w:rsidRPr="00884E74">
        <w:rPr>
          <w:rFonts w:ascii="Calibri" w:hAnsi="Calibri"/>
          <w:color w:val="000000"/>
          <w:rtl/>
        </w:rPr>
        <w:t xml:space="preserve"> </w:t>
      </w:r>
      <w:r w:rsidRPr="00884E74">
        <w:rPr>
          <w:rFonts w:ascii="Calibri" w:hAnsi="Calibri" w:hint="eastAsia"/>
          <w:color w:val="000000"/>
          <w:rtl/>
        </w:rPr>
        <w:t>תפקודו</w:t>
      </w:r>
      <w:r w:rsidRPr="00884E74">
        <w:rPr>
          <w:rFonts w:ascii="Calibri" w:hAnsi="Calibri"/>
          <w:color w:val="000000"/>
          <w:rtl/>
        </w:rPr>
        <w:t xml:space="preserve"> </w:t>
      </w:r>
      <w:r w:rsidRPr="00884E74">
        <w:rPr>
          <w:rFonts w:ascii="Calibri" w:hAnsi="Calibri" w:hint="eastAsia"/>
          <w:color w:val="000000"/>
          <w:rtl/>
        </w:rPr>
        <w:t>כחיובי</w:t>
      </w:r>
      <w:r w:rsidRPr="00884E74">
        <w:rPr>
          <w:rFonts w:ascii="Calibri" w:hAnsi="Calibri"/>
          <w:color w:val="000000"/>
          <w:rtl/>
        </w:rPr>
        <w:t xml:space="preserve"> </w:t>
      </w:r>
      <w:r w:rsidRPr="00884E74">
        <w:rPr>
          <w:rFonts w:ascii="Calibri" w:hAnsi="Calibri" w:hint="eastAsia"/>
          <w:color w:val="000000"/>
          <w:rtl/>
        </w:rPr>
        <w:t>באופן</w:t>
      </w:r>
      <w:r w:rsidRPr="00884E74">
        <w:rPr>
          <w:rFonts w:ascii="Calibri" w:hAnsi="Calibri"/>
          <w:color w:val="000000"/>
          <w:rtl/>
        </w:rPr>
        <w:t xml:space="preserve"> </w:t>
      </w:r>
      <w:r w:rsidRPr="00884E74">
        <w:rPr>
          <w:rFonts w:ascii="Calibri" w:hAnsi="Calibri" w:hint="eastAsia"/>
          <w:color w:val="000000"/>
          <w:rtl/>
        </w:rPr>
        <w:t>מגמתי</w:t>
      </w:r>
      <w:r w:rsidRPr="00884E74">
        <w:rPr>
          <w:rFonts w:ascii="Calibri" w:hAnsi="Calibri"/>
          <w:color w:val="000000"/>
          <w:rtl/>
        </w:rPr>
        <w:t xml:space="preserve"> </w:t>
      </w:r>
      <w:r w:rsidRPr="00884E74">
        <w:rPr>
          <w:rFonts w:ascii="Calibri" w:hAnsi="Calibri" w:hint="eastAsia"/>
          <w:color w:val="000000"/>
          <w:rtl/>
        </w:rPr>
        <w:t>בפער</w:t>
      </w:r>
      <w:r w:rsidRPr="00884E74">
        <w:rPr>
          <w:rFonts w:ascii="Calibri" w:hAnsi="Calibri"/>
          <w:color w:val="000000"/>
          <w:rtl/>
        </w:rPr>
        <w:t xml:space="preserve"> </w:t>
      </w:r>
      <w:r w:rsidRPr="00884E74">
        <w:rPr>
          <w:rFonts w:ascii="Calibri" w:hAnsi="Calibri" w:hint="eastAsia"/>
          <w:color w:val="000000"/>
          <w:rtl/>
        </w:rPr>
        <w:t>לתפקודו</w:t>
      </w:r>
      <w:r w:rsidRPr="00884E74">
        <w:rPr>
          <w:rFonts w:ascii="Calibri" w:hAnsi="Calibri"/>
          <w:color w:val="000000"/>
          <w:rtl/>
        </w:rPr>
        <w:t xml:space="preserve"> </w:t>
      </w:r>
      <w:r w:rsidRPr="00884E74">
        <w:rPr>
          <w:rFonts w:ascii="Calibri" w:hAnsi="Calibri" w:hint="eastAsia"/>
          <w:color w:val="000000"/>
          <w:rtl/>
        </w:rPr>
        <w:t>בפועל</w:t>
      </w:r>
      <w:r w:rsidRPr="00884E74">
        <w:rPr>
          <w:rFonts w:ascii="Calibri" w:hAnsi="Calibri"/>
          <w:color w:val="000000"/>
          <w:rtl/>
        </w:rPr>
        <w:t xml:space="preserve"> </w:t>
      </w:r>
      <w:r w:rsidRPr="00884E74">
        <w:rPr>
          <w:rFonts w:ascii="Calibri" w:hAnsi="Calibri" w:hint="eastAsia"/>
          <w:color w:val="000000"/>
          <w:rtl/>
        </w:rPr>
        <w:t>ושירות</w:t>
      </w:r>
      <w:r w:rsidRPr="00884E74">
        <w:rPr>
          <w:rFonts w:ascii="Calibri" w:hAnsi="Calibri"/>
          <w:color w:val="000000"/>
          <w:rtl/>
        </w:rPr>
        <w:t xml:space="preserve"> </w:t>
      </w:r>
      <w:r w:rsidRPr="00884E74">
        <w:rPr>
          <w:rFonts w:ascii="Calibri" w:hAnsi="Calibri" w:hint="eastAsia"/>
          <w:color w:val="000000"/>
          <w:rtl/>
        </w:rPr>
        <w:t>המבחן</w:t>
      </w:r>
      <w:r w:rsidRPr="00884E74">
        <w:rPr>
          <w:rFonts w:ascii="Calibri" w:hAnsi="Calibri"/>
          <w:color w:val="000000"/>
          <w:rtl/>
        </w:rPr>
        <w:t xml:space="preserve"> </w:t>
      </w:r>
      <w:r w:rsidRPr="00884E74">
        <w:rPr>
          <w:rFonts w:ascii="Calibri" w:hAnsi="Calibri" w:hint="eastAsia"/>
          <w:color w:val="000000"/>
          <w:rtl/>
        </w:rPr>
        <w:t>לא</w:t>
      </w:r>
      <w:r w:rsidRPr="00884E74">
        <w:rPr>
          <w:rFonts w:ascii="Calibri" w:hAnsi="Calibri"/>
          <w:color w:val="000000"/>
          <w:rtl/>
        </w:rPr>
        <w:t xml:space="preserve"> </w:t>
      </w:r>
      <w:r w:rsidRPr="00884E74">
        <w:rPr>
          <w:rFonts w:ascii="Calibri" w:hAnsi="Calibri" w:hint="eastAsia"/>
          <w:color w:val="000000"/>
          <w:rtl/>
        </w:rPr>
        <w:t>המליץ</w:t>
      </w:r>
      <w:r w:rsidRPr="00884E74">
        <w:rPr>
          <w:rFonts w:ascii="Calibri" w:hAnsi="Calibri"/>
          <w:color w:val="000000"/>
          <w:rtl/>
        </w:rPr>
        <w:t xml:space="preserve"> </w:t>
      </w:r>
      <w:r w:rsidRPr="00884E74">
        <w:rPr>
          <w:rFonts w:ascii="Calibri" w:hAnsi="Calibri" w:hint="eastAsia"/>
          <w:color w:val="000000"/>
          <w:rtl/>
        </w:rPr>
        <w:t>על</w:t>
      </w:r>
      <w:r w:rsidRPr="00884E74">
        <w:rPr>
          <w:rFonts w:ascii="Calibri" w:hAnsi="Calibri"/>
          <w:color w:val="000000"/>
          <w:rtl/>
        </w:rPr>
        <w:t xml:space="preserve"> </w:t>
      </w:r>
      <w:r w:rsidRPr="00884E74">
        <w:rPr>
          <w:rFonts w:ascii="Calibri" w:hAnsi="Calibri" w:hint="eastAsia"/>
          <w:color w:val="000000"/>
          <w:rtl/>
        </w:rPr>
        <w:t>שחרורו</w:t>
      </w:r>
      <w:r w:rsidRPr="00884E74">
        <w:rPr>
          <w:rFonts w:ascii="Calibri" w:hAnsi="Calibri"/>
          <w:color w:val="000000"/>
          <w:rtl/>
        </w:rPr>
        <w:t xml:space="preserve">. </w:t>
      </w:r>
      <w:r w:rsidRPr="00884E74">
        <w:rPr>
          <w:rFonts w:ascii="Calibri" w:hAnsi="Calibri" w:hint="eastAsia"/>
          <w:color w:val="000000"/>
          <w:rtl/>
        </w:rPr>
        <w:t>בהמשך</w:t>
      </w:r>
      <w:r w:rsidRPr="00884E74">
        <w:rPr>
          <w:rFonts w:ascii="Calibri" w:hAnsi="Calibri"/>
          <w:color w:val="000000"/>
          <w:rtl/>
        </w:rPr>
        <w:t xml:space="preserve">, </w:t>
      </w:r>
      <w:r w:rsidRPr="00884E74">
        <w:rPr>
          <w:rFonts w:ascii="David" w:hAnsi="David"/>
          <w:color w:val="000000"/>
          <w:rtl/>
        </w:rPr>
        <w:t xml:space="preserve">מעצרו הומר לפיקוח אלקטרוני. </w:t>
      </w:r>
    </w:p>
    <w:p w14:paraId="0B70AB65" w14:textId="77777777" w:rsidR="00B52E65" w:rsidRPr="00884E74" w:rsidRDefault="00B52E65" w:rsidP="00B52E65">
      <w:pPr>
        <w:spacing w:after="120" w:line="360" w:lineRule="auto"/>
        <w:ind w:left="720"/>
        <w:jc w:val="both"/>
        <w:rPr>
          <w:rFonts w:ascii="David" w:hAnsi="David"/>
          <w:color w:val="000000"/>
          <w:rtl/>
        </w:rPr>
      </w:pPr>
      <w:r w:rsidRPr="00884E74">
        <w:rPr>
          <w:rFonts w:ascii="David" w:hAnsi="David"/>
          <w:color w:val="000000"/>
          <w:rtl/>
        </w:rPr>
        <w:t xml:space="preserve">הנאשם נעדר הרשעות קודמות. ביחסו לעבירה תאר כי ברקע למעשיו עמדו קשייו להתמודד עם חובות משמעותיים בעקבות קריסת עסקיו ובמקביל לא הצליח להשתלב במקומות עבודה כשכיר. הוא שיתף את בני משפחתו במצבו והם סייעו לו להסדיר חובותיו. לדבריו החוב לא שולם במלואו אך הוא התקשה לפנות למשפחתו בבקשת עזרה נוספת. נוכח הלחץ בו היה שרוי, ביצע את העבירה לאחר שנענה להצעת נושיו בשוק האפור תוך שסבר שמדובר בפתרון מהיר לקשייו הכלכליים. בחלוף הזמן מבין שנקט בעיוותי חשיבה ועמדות מקלות ביחס לשימוש בקנאביס וללא חשיבה על השלכות וחומרת מעשיו. הדגיש כי אינו תופס עצמו כבעל דפוסים עברייניים וכי פעל באופן עצמאי. הביע חרטה וצער על מעשיו. </w:t>
      </w:r>
    </w:p>
    <w:p w14:paraId="7C6C0922" w14:textId="77777777" w:rsidR="00B52E65" w:rsidRPr="00884E74" w:rsidRDefault="00B52E65" w:rsidP="00B52E65">
      <w:pPr>
        <w:spacing w:after="120" w:line="360" w:lineRule="auto"/>
        <w:ind w:left="720"/>
        <w:jc w:val="both"/>
        <w:rPr>
          <w:rFonts w:ascii="David" w:hAnsi="David"/>
          <w:color w:val="000000"/>
          <w:rtl/>
        </w:rPr>
      </w:pPr>
      <w:r w:rsidRPr="00884E74">
        <w:rPr>
          <w:rFonts w:ascii="David" w:hAnsi="David"/>
          <w:color w:val="000000"/>
          <w:rtl/>
        </w:rPr>
        <w:t xml:space="preserve">בסיכום התרשם שירות המבחן שהנאשם התקשה לאורך השנים לגלות יציבות במסגרות החינוך והתעסוקה, ניסה להקים עסקיים עצמאיים בהם השקיע כוחותיו אולם התקשה להסתייע בגורמי מקצוע ובסביבתו וצבר חובות כבדים לגורמים שוליים. בשל נטייתו להסתרה והכחשה, תוך ניסיון להציג כלפי סביבתו פסאדה מתפקדת, לצד החזקת עמדות מקלות ביחס לצריכת סמים מסוג קנאביס, ביצע את העבירה, כניסיון בלתי מותאם </w:t>
      </w:r>
      <w:r w:rsidRPr="00884E74">
        <w:rPr>
          <w:rFonts w:ascii="David" w:hAnsi="David"/>
          <w:color w:val="000000"/>
          <w:rtl/>
        </w:rPr>
        <w:lastRenderedPageBreak/>
        <w:t xml:space="preserve">להסדיר חובותיו ולהפיק רווח כספי מהיר. בנוסף התרשם שירות המבחן כי הנאשם צורך סמים לאורך השנים כדרך התמודדות בלתי מותאמת עם מצוקותיו. הנאשם מבין כיום את חומרת התנהגותו בעבירה ומכיר באופן ראשוני בדפוסיו המכשילים והביע נכונות להעמיק בבחינת דפוסיו במסגרת קבוצה טיפולית. שירות המבחן מנה את גורמי הסיכון במצבו ובכללם חומרת העבירה, קשייו להסתייע בגורמי טיפול לאורך השנים, נטייה לטשטוש והסתרה מסביבתו, חוסר יציבות תעסוקתית והיעדר מקורות הכנסה קבועים, עמדות מקלות ראש ביחס לשימוש בסם מסוג קנאביס ובדיקת השתן שמסר המעידה על שימוש חוזר בסם. כגורמי סיכוי לשיקום מנה שירות המבחן את שאיפותיו הנורמטיביות להמשך, האחריות שנטל לביצוע העבירה, היעדר עבר פלילי, שיתוף הפעולה עם שירות המבחן ונכונותו להשתלב בטיפול, הערכה כי ההליך המשפטי נחווה על ידו כמרתיע, ודיווחיו על סיום חובותיו וקשריו עם גורמים שוליים מהשוק האפור ושינוי ביכולתו להיעזר בגורמי תמיכה במשפחתו. </w:t>
      </w:r>
    </w:p>
    <w:p w14:paraId="57A751D4" w14:textId="77777777" w:rsidR="00B52E65" w:rsidRPr="00884E74" w:rsidRDefault="00B52E65" w:rsidP="00B52E65">
      <w:pPr>
        <w:spacing w:after="120" w:line="360" w:lineRule="auto"/>
        <w:ind w:left="720"/>
        <w:jc w:val="both"/>
        <w:rPr>
          <w:rFonts w:ascii="David" w:hAnsi="David"/>
          <w:color w:val="000000"/>
        </w:rPr>
      </w:pPr>
      <w:r w:rsidRPr="00884E74">
        <w:rPr>
          <w:rFonts w:ascii="David" w:hAnsi="David"/>
          <w:b/>
          <w:bCs/>
          <w:color w:val="000000"/>
          <w:rtl/>
        </w:rPr>
        <w:t>שירות המבחן התרשם מנזקקות טיפולית של הנאשם בתחום ההתמכרויות, אולם הנאשם שלל זאת, וטען שאינו צורך כיום סמים ומסוגל להימנע משימוש בסמים לאורך זמן בכוחות עצמו</w:t>
      </w:r>
      <w:r w:rsidRPr="00884E74">
        <w:rPr>
          <w:rFonts w:ascii="David" w:hAnsi="David"/>
          <w:color w:val="000000"/>
          <w:rtl/>
        </w:rPr>
        <w:t xml:space="preserve">. על אף שהנאשם הביע נכונות להשתלב בטיפול שירות המבחן לשם בחינת דפוסיו המכשילים, העריך שירות המבחן כי שילובו בטיפול זה עשוי לטשטש עבורו את דפוסי תלותו בסמים, ולא יספק מענה מתאים להפחתת הסיכון במצבו. </w:t>
      </w:r>
      <w:r w:rsidRPr="00884E74">
        <w:rPr>
          <w:rFonts w:ascii="David" w:hAnsi="David"/>
          <w:b/>
          <w:bCs/>
          <w:color w:val="000000"/>
          <w:rtl/>
        </w:rPr>
        <w:t>לפיכך לא נוצר בסיס להמשך התערבות טיפולית שיקומית, ושירות המבחן לא בא בהמלצה להעמידו בצו מבחן, אך המליץ על ענישה של מאסר לריצוי בעבודות שירות ברף הגבוה, מאסר על תנאי והתחייבות להימנע מביצוע עבירה</w:t>
      </w:r>
      <w:r w:rsidRPr="00884E74">
        <w:rPr>
          <w:rFonts w:ascii="David" w:hAnsi="David"/>
          <w:color w:val="000000"/>
          <w:rtl/>
        </w:rPr>
        <w:t xml:space="preserve">. </w:t>
      </w:r>
    </w:p>
    <w:p w14:paraId="48FB069C" w14:textId="77777777" w:rsidR="00B52E65" w:rsidRPr="00884E74" w:rsidRDefault="00B52E65" w:rsidP="00B52E65">
      <w:pPr>
        <w:spacing w:after="120" w:line="360" w:lineRule="auto"/>
        <w:ind w:left="-1"/>
        <w:jc w:val="both"/>
        <w:rPr>
          <w:rFonts w:ascii="David" w:hAnsi="David"/>
          <w:b/>
          <w:bCs/>
          <w:color w:val="000000"/>
          <w:u w:val="single"/>
          <w:rtl/>
        </w:rPr>
      </w:pPr>
      <w:r w:rsidRPr="00884E74">
        <w:rPr>
          <w:rFonts w:ascii="David" w:hAnsi="David"/>
          <w:b/>
          <w:bCs/>
          <w:color w:val="000000"/>
          <w:u w:val="single"/>
          <w:rtl/>
        </w:rPr>
        <w:t>ראיות לעונש</w:t>
      </w:r>
    </w:p>
    <w:p w14:paraId="61396B48" w14:textId="77777777" w:rsidR="00B52E65" w:rsidRPr="00884E74" w:rsidRDefault="00B52E65" w:rsidP="00B52E65">
      <w:pPr>
        <w:numPr>
          <w:ilvl w:val="0"/>
          <w:numId w:val="1"/>
        </w:numPr>
        <w:spacing w:after="120" w:line="360" w:lineRule="auto"/>
        <w:jc w:val="both"/>
        <w:rPr>
          <w:rFonts w:ascii="David" w:hAnsi="David"/>
          <w:color w:val="000000"/>
          <w:lang w:eastAsia="he-IL"/>
        </w:rPr>
      </w:pPr>
      <w:r w:rsidRPr="00884E74">
        <w:rPr>
          <w:rFonts w:ascii="David" w:hAnsi="David"/>
          <w:color w:val="000000"/>
          <w:rtl/>
          <w:lang w:eastAsia="he-IL"/>
        </w:rPr>
        <w:t>תעודה על השלמת קורס מיומנויות תעסוקתיות דיגיטליות (נ/1).</w:t>
      </w:r>
    </w:p>
    <w:p w14:paraId="72D59679" w14:textId="77777777" w:rsidR="00B52E65" w:rsidRPr="00884E74" w:rsidRDefault="00B52E65" w:rsidP="00B52E65">
      <w:pPr>
        <w:numPr>
          <w:ilvl w:val="0"/>
          <w:numId w:val="1"/>
        </w:numPr>
        <w:spacing w:after="120" w:line="360" w:lineRule="auto"/>
        <w:jc w:val="both"/>
        <w:rPr>
          <w:rFonts w:ascii="David" w:hAnsi="David"/>
          <w:color w:val="000000"/>
          <w:lang w:eastAsia="he-IL"/>
        </w:rPr>
      </w:pPr>
      <w:r w:rsidRPr="00884E74">
        <w:rPr>
          <w:rFonts w:ascii="David" w:hAnsi="David"/>
          <w:color w:val="000000"/>
          <w:rtl/>
          <w:lang w:eastAsia="he-IL"/>
        </w:rPr>
        <w:t xml:space="preserve">צילום של שלושה תלושי שכר של הנאשם מהחודשים מרץ-מאי 21' (נ/2).  </w:t>
      </w:r>
    </w:p>
    <w:p w14:paraId="06FAA0B0" w14:textId="77777777" w:rsidR="00B52E65" w:rsidRPr="00884E74" w:rsidRDefault="00B52E65" w:rsidP="00B52E65">
      <w:pPr>
        <w:numPr>
          <w:ilvl w:val="0"/>
          <w:numId w:val="1"/>
        </w:numPr>
        <w:spacing w:after="120" w:line="360" w:lineRule="auto"/>
        <w:jc w:val="both"/>
        <w:rPr>
          <w:rFonts w:ascii="David" w:hAnsi="David"/>
          <w:color w:val="000000"/>
          <w:rtl/>
          <w:lang w:eastAsia="he-IL"/>
        </w:rPr>
      </w:pPr>
      <w:r w:rsidRPr="00884E74">
        <w:rPr>
          <w:rFonts w:ascii="David" w:hAnsi="David"/>
          <w:color w:val="000000"/>
          <w:rtl/>
          <w:lang w:eastAsia="he-IL"/>
        </w:rPr>
        <w:t>הודעה ללשכת ההוצאה לפועל על הסכם פשרה להסדרת חובו של הנאשם לבנק (נ/3)</w:t>
      </w:r>
    </w:p>
    <w:p w14:paraId="57F335CF" w14:textId="77777777" w:rsidR="00B52E65" w:rsidRPr="00884E74" w:rsidRDefault="00B52E65" w:rsidP="00B52E65">
      <w:pPr>
        <w:spacing w:after="120" w:line="360" w:lineRule="auto"/>
        <w:jc w:val="both"/>
        <w:rPr>
          <w:bCs/>
          <w:u w:val="single"/>
          <w:rtl/>
          <w:lang w:eastAsia="he-IL"/>
        </w:rPr>
      </w:pPr>
      <w:r w:rsidRPr="00884E74">
        <w:rPr>
          <w:bCs/>
          <w:u w:val="single"/>
          <w:rtl/>
          <w:lang w:eastAsia="he-IL"/>
        </w:rPr>
        <w:t>טיעוני הצדדים</w:t>
      </w:r>
    </w:p>
    <w:p w14:paraId="2864370B"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לטענת ב"כ המאשימה, עו"ד רעות אבירי, הנאשם פגע בערכים המוגנים של שמירה על בריאות הציבור. בעוד שבעבר מרבית הסמים היו מיובאים לישראל, הרי כיום הולכת ומתרחבת תופעת גידול הסמים בשל זמינות והרווח הכספי הרב הצפוי. בתי המשפט שבים וחוזרים על המסר שיש למגר את נגע הסמים כאשר הייצור וההפקה גורמים לנזק עצום, לא רק למעגל המשתמשים בסמים אלא גם לחברה בכללותה. מדובר בפגיעה ברף גבוה, מעבדה שפעלה במשך תקופה, ציוד יקר וכמות גדולה שנתפסה ששוויה הוערך במיליוני ₪. על אף שמנעד הענישה בעבירות אלה הוא רחב, בתי המשפט קובעים שבעבירות מסוג זה הכלל הוא ענישה של מאסר בפועל ורק במקרי שיקום חריגים ויוצאי דופן, יחרוג בית המשפט ממתחם העונש ויעדיף את אינטרס השיקום. לא קיים שיקום במקרה הנוכחי. המאשימה עתרה למתחם עונש הנע בין 15 ל-36 חודשי מאסר בפועל.</w:t>
      </w:r>
    </w:p>
    <w:p w14:paraId="27A0699A" w14:textId="77777777" w:rsidR="00B52E65" w:rsidRPr="00884E74" w:rsidRDefault="00B52E65" w:rsidP="00B52E65">
      <w:pPr>
        <w:spacing w:after="120" w:line="360" w:lineRule="auto"/>
        <w:ind w:left="720"/>
        <w:jc w:val="both"/>
        <w:rPr>
          <w:rFonts w:ascii="David" w:hAnsi="David"/>
          <w:color w:val="000000"/>
          <w:rtl/>
        </w:rPr>
      </w:pPr>
      <w:r w:rsidRPr="00884E74">
        <w:rPr>
          <w:rFonts w:ascii="David" w:hAnsi="David"/>
          <w:color w:val="000000"/>
          <w:rtl/>
        </w:rPr>
        <w:t xml:space="preserve">באשר להמלצת שירות המבחן, זו אינה תואמת את תוכן התסקיר עצמו. מהתסקיר עולה שהאינטרס לביצוע העבירה היה כלכלי בשל חובות שצבר, וכי יש לנאשם דפוסי הסתרה לצד שימוש בסמים. אחת מתוך שלוש בדיקות שתן שביצע הנאשם נמצאה חיובית לסמים, והוא התקשה להסביר את הממצאים ושלל שימוש בסמים. גורמי הסיכון כללו את קשייו לגלות יציבות לאורך השנים, נטייתו להכחשה ולהסתרה, עמדותיו מקלות הראש ביחס לשימוש בסמים וניסיונו לסיים את חובותיו על ידי ביצוע העבירה. הנאשם שולל התמכרות, ושירות המבחן לא בא בהמלצה טיפולית. לכן, המלצת שירות המבחן לעבודות שירות אינה תואמת לכללים הקיימים בפסיקה בדבר שיקום יוצא דופן. הנאשם נעדר עבר פלילי. </w:t>
      </w:r>
    </w:p>
    <w:p w14:paraId="50001329" w14:textId="77777777" w:rsidR="00B52E65" w:rsidRPr="00884E74" w:rsidRDefault="00B52E65" w:rsidP="00B52E65">
      <w:pPr>
        <w:spacing w:after="120" w:line="360" w:lineRule="auto"/>
        <w:ind w:left="720"/>
        <w:jc w:val="both"/>
        <w:rPr>
          <w:rFonts w:ascii="David" w:hAnsi="David"/>
          <w:color w:val="000000"/>
        </w:rPr>
      </w:pPr>
      <w:r w:rsidRPr="00884E74">
        <w:rPr>
          <w:rFonts w:ascii="David" w:hAnsi="David"/>
          <w:color w:val="000000"/>
          <w:rtl/>
        </w:rPr>
        <w:t xml:space="preserve">כיוון שמדובר בעבירה כלכלית שמושקעים בה משאבים כלכליים והרווח הצפוי הוא רב, יש להתייחס לרכיב הקנס כרכיב משמעותי בעונש. המאשימה עתרה להטיל על הנאשם עונש של 17 חודשי מאסר בפועל, מאסר על תנאי, קנס כספי הולם, וחילוט בהסכמה של ציוד המעבדה. </w:t>
      </w:r>
    </w:p>
    <w:p w14:paraId="2DEBDA0C"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 xml:space="preserve">לטענת ב"כ הנאשם, עוה"ד יניב שגב ואנסטסיה סליאקוב, שירות המבחן ציין בתסקיר באופן חריג שהמלצתו נשקלה בכובד ראש. הנאשם בן 31, ללא עבר פלילי. כתב האישום תוקן לאחר הליך גישור בשל קושי ראייתי. לאחר התיקון זו עבירה שנדונה בבית משפט שלום, מאחר שכמות הסם היא מתחת ל-50 ק"ג. הנאשם הודה ולקח אחריות בבית-המשפט, וכן הודה כבר בחקירתו במשטרה. הנאשם היה עצור שלושה חודשים והוגשו שלושה תסקירי מעצר מפני ששירות המבחן לא נתן בו אמון. הוא שהה חצי שנה בפיקוח אלקטרוני באילת, ושירות המבחן לא הסכים לקבלו שם. בכל זאת הנאשם סיים קורס באינטרנט ובהמשך יצא לעבוד באילת. לאחר הקלה בתנאים הוא חזר למרכז והחל לעבוד בתחום הנדל"ן. היום הוא עובד בתחום הקייטרינג. הנאשם ביצע את העבירה בשל חובות כלכליים ומפני שלא רצה לערב את משפחתו ולבקשה עזרה. הוא בחר בדרך לא נכונה, כיון שחשב שזה היה פתרון קל לצאת מהחובות. הוא יודע ששגה. הוא עובר תהליך שינוי. אחרי שבני משפחתו עזרו לו, הוא הגיע להסדר עם הנושים, ובו הוא עומד עד היום. </w:t>
      </w:r>
    </w:p>
    <w:p w14:paraId="4C18C325" w14:textId="77777777" w:rsidR="00B52E65" w:rsidRPr="00884E74" w:rsidRDefault="00B52E65" w:rsidP="00B52E65">
      <w:pPr>
        <w:spacing w:after="120" w:line="360" w:lineRule="auto"/>
        <w:ind w:left="720"/>
        <w:jc w:val="both"/>
        <w:rPr>
          <w:rFonts w:ascii="Calibri" w:hAnsi="Calibri"/>
          <w:color w:val="000000"/>
          <w:rtl/>
        </w:rPr>
      </w:pPr>
      <w:r w:rsidRPr="00884E74">
        <w:rPr>
          <w:rFonts w:ascii="David" w:hAnsi="David"/>
          <w:color w:val="000000"/>
          <w:rtl/>
        </w:rPr>
        <w:t xml:space="preserve">הנאשם ששירת שירות צבאי מלא בגולני. למרות עמדת שירות המבחן בשלב המעצר, בית המשפט נתן בו אמון בהליך המעצר והוא הוכיח שהאמון ניתן לו בצדק. בסופו של יום גם שירות המבחן אשר לא רצה לקבל אותו לתהליך, אומר שהם לקחו בחשבון את האקטיביות והיוזמה שגילה ביחס למצבו והתרשמו שההליך המשפטי מהווה גורם מרתיע. </w:t>
      </w:r>
      <w:r w:rsidRPr="00884E74">
        <w:rPr>
          <w:rFonts w:ascii="Calibri" w:hAnsi="Calibri" w:hint="eastAsia"/>
          <w:color w:val="000000"/>
          <w:rtl/>
        </w:rPr>
        <w:t>ההגנה</w:t>
      </w:r>
      <w:r w:rsidRPr="00884E74">
        <w:rPr>
          <w:rFonts w:ascii="Calibri" w:hAnsi="Calibri"/>
          <w:color w:val="000000"/>
          <w:rtl/>
        </w:rPr>
        <w:t xml:space="preserve"> </w:t>
      </w:r>
      <w:r w:rsidRPr="00884E74">
        <w:rPr>
          <w:rFonts w:ascii="Calibri" w:hAnsi="Calibri" w:hint="eastAsia"/>
          <w:color w:val="000000"/>
          <w:rtl/>
        </w:rPr>
        <w:t>עתרה</w:t>
      </w:r>
      <w:r w:rsidRPr="00884E74">
        <w:rPr>
          <w:rFonts w:ascii="Calibri" w:hAnsi="Calibri"/>
          <w:color w:val="000000"/>
          <w:rtl/>
        </w:rPr>
        <w:t xml:space="preserve"> </w:t>
      </w:r>
      <w:r w:rsidRPr="00884E74">
        <w:rPr>
          <w:rFonts w:ascii="Calibri" w:hAnsi="Calibri" w:hint="eastAsia"/>
          <w:color w:val="000000"/>
          <w:rtl/>
        </w:rPr>
        <w:t>לאמץ</w:t>
      </w:r>
      <w:r w:rsidRPr="00884E74">
        <w:rPr>
          <w:rFonts w:ascii="Calibri" w:hAnsi="Calibri"/>
          <w:color w:val="000000"/>
          <w:rtl/>
        </w:rPr>
        <w:t xml:space="preserve"> </w:t>
      </w:r>
      <w:r w:rsidRPr="00884E74">
        <w:rPr>
          <w:rFonts w:ascii="Calibri" w:hAnsi="Calibri" w:hint="eastAsia"/>
          <w:color w:val="000000"/>
          <w:rtl/>
        </w:rPr>
        <w:t>את</w:t>
      </w:r>
      <w:r w:rsidRPr="00884E74">
        <w:rPr>
          <w:rFonts w:ascii="Calibri" w:hAnsi="Calibri"/>
          <w:color w:val="000000"/>
          <w:rtl/>
        </w:rPr>
        <w:t xml:space="preserve"> </w:t>
      </w:r>
      <w:r w:rsidRPr="00884E74">
        <w:rPr>
          <w:rFonts w:ascii="Calibri" w:hAnsi="Calibri" w:hint="eastAsia"/>
          <w:color w:val="000000"/>
          <w:rtl/>
        </w:rPr>
        <w:t>המלצת</w:t>
      </w:r>
      <w:r w:rsidRPr="00884E74">
        <w:rPr>
          <w:rFonts w:ascii="Calibri" w:hAnsi="Calibri"/>
          <w:color w:val="000000"/>
          <w:rtl/>
        </w:rPr>
        <w:t xml:space="preserve"> </w:t>
      </w:r>
      <w:r w:rsidRPr="00884E74">
        <w:rPr>
          <w:rFonts w:ascii="Calibri" w:hAnsi="Calibri" w:hint="eastAsia"/>
          <w:color w:val="000000"/>
          <w:rtl/>
        </w:rPr>
        <w:t>שירות</w:t>
      </w:r>
      <w:r w:rsidRPr="00884E74">
        <w:rPr>
          <w:rFonts w:ascii="Calibri" w:hAnsi="Calibri"/>
          <w:color w:val="000000"/>
          <w:rtl/>
        </w:rPr>
        <w:t xml:space="preserve"> </w:t>
      </w:r>
      <w:r w:rsidRPr="00884E74">
        <w:rPr>
          <w:rFonts w:ascii="Calibri" w:hAnsi="Calibri" w:hint="eastAsia"/>
          <w:color w:val="000000"/>
          <w:rtl/>
        </w:rPr>
        <w:t>המבחן</w:t>
      </w:r>
      <w:r w:rsidRPr="00884E74">
        <w:rPr>
          <w:rFonts w:ascii="Calibri" w:hAnsi="Calibri"/>
          <w:color w:val="000000"/>
          <w:rtl/>
        </w:rPr>
        <w:t xml:space="preserve">, </w:t>
      </w:r>
      <w:r w:rsidRPr="00884E74">
        <w:rPr>
          <w:rFonts w:ascii="Calibri" w:hAnsi="Calibri" w:hint="eastAsia"/>
          <w:color w:val="000000"/>
          <w:rtl/>
        </w:rPr>
        <w:t>ושלא</w:t>
      </w:r>
      <w:r w:rsidRPr="00884E74">
        <w:rPr>
          <w:rFonts w:ascii="Calibri" w:hAnsi="Calibri"/>
          <w:color w:val="000000"/>
          <w:rtl/>
        </w:rPr>
        <w:t xml:space="preserve"> </w:t>
      </w:r>
      <w:r w:rsidRPr="00884E74">
        <w:rPr>
          <w:rFonts w:ascii="Calibri" w:hAnsi="Calibri" w:hint="eastAsia"/>
          <w:color w:val="000000"/>
          <w:rtl/>
        </w:rPr>
        <w:t>להטיל</w:t>
      </w:r>
      <w:r w:rsidRPr="00884E74">
        <w:rPr>
          <w:rFonts w:ascii="Calibri" w:hAnsi="Calibri"/>
          <w:color w:val="000000"/>
          <w:rtl/>
        </w:rPr>
        <w:t xml:space="preserve"> </w:t>
      </w:r>
      <w:r w:rsidRPr="00884E74">
        <w:rPr>
          <w:rFonts w:ascii="Calibri" w:hAnsi="Calibri" w:hint="eastAsia"/>
          <w:color w:val="000000"/>
          <w:rtl/>
        </w:rPr>
        <w:t>על</w:t>
      </w:r>
      <w:r w:rsidRPr="00884E74">
        <w:rPr>
          <w:rFonts w:ascii="Calibri" w:hAnsi="Calibri"/>
          <w:color w:val="000000"/>
          <w:rtl/>
        </w:rPr>
        <w:t xml:space="preserve"> </w:t>
      </w:r>
      <w:r w:rsidRPr="00884E74">
        <w:rPr>
          <w:rFonts w:ascii="Calibri" w:hAnsi="Calibri" w:hint="eastAsia"/>
          <w:color w:val="000000"/>
          <w:rtl/>
        </w:rPr>
        <w:t>הנאשם</w:t>
      </w:r>
      <w:r w:rsidRPr="00884E74">
        <w:rPr>
          <w:rFonts w:ascii="Calibri" w:hAnsi="Calibri"/>
          <w:color w:val="000000"/>
          <w:rtl/>
        </w:rPr>
        <w:t xml:space="preserve"> </w:t>
      </w:r>
      <w:r w:rsidRPr="00884E74">
        <w:rPr>
          <w:rFonts w:ascii="Calibri" w:hAnsi="Calibri" w:hint="eastAsia"/>
          <w:color w:val="000000"/>
          <w:rtl/>
        </w:rPr>
        <w:t>עונש</w:t>
      </w:r>
      <w:r w:rsidRPr="00884E74">
        <w:rPr>
          <w:rFonts w:ascii="Calibri" w:hAnsi="Calibri"/>
          <w:color w:val="000000"/>
          <w:rtl/>
        </w:rPr>
        <w:t xml:space="preserve"> </w:t>
      </w:r>
      <w:r w:rsidRPr="00884E74">
        <w:rPr>
          <w:rFonts w:ascii="Calibri" w:hAnsi="Calibri" w:hint="eastAsia"/>
          <w:color w:val="000000"/>
          <w:rtl/>
        </w:rPr>
        <w:t>מאסר</w:t>
      </w:r>
      <w:r w:rsidRPr="00884E74">
        <w:rPr>
          <w:rFonts w:ascii="Calibri" w:hAnsi="Calibri"/>
          <w:color w:val="000000"/>
          <w:rtl/>
        </w:rPr>
        <w:t xml:space="preserve"> </w:t>
      </w:r>
      <w:r w:rsidRPr="00884E74">
        <w:rPr>
          <w:rFonts w:ascii="Calibri" w:hAnsi="Calibri" w:hint="eastAsia"/>
          <w:color w:val="000000"/>
          <w:rtl/>
        </w:rPr>
        <w:t>מאחורי</w:t>
      </w:r>
      <w:r w:rsidRPr="00884E74">
        <w:rPr>
          <w:rFonts w:ascii="Calibri" w:hAnsi="Calibri"/>
          <w:color w:val="000000"/>
          <w:rtl/>
        </w:rPr>
        <w:t xml:space="preserve"> </w:t>
      </w:r>
      <w:r w:rsidRPr="00884E74">
        <w:rPr>
          <w:rFonts w:ascii="Calibri" w:hAnsi="Calibri" w:hint="eastAsia"/>
          <w:color w:val="000000"/>
          <w:rtl/>
        </w:rPr>
        <w:t>סורג</w:t>
      </w:r>
      <w:r w:rsidRPr="00884E74">
        <w:rPr>
          <w:rFonts w:ascii="Calibri" w:hAnsi="Calibri"/>
          <w:color w:val="000000"/>
          <w:rtl/>
        </w:rPr>
        <w:t xml:space="preserve"> </w:t>
      </w:r>
      <w:r w:rsidRPr="00884E74">
        <w:rPr>
          <w:rFonts w:ascii="Calibri" w:hAnsi="Calibri" w:hint="eastAsia"/>
          <w:color w:val="000000"/>
          <w:rtl/>
        </w:rPr>
        <w:t>ובריח</w:t>
      </w:r>
      <w:r w:rsidRPr="00884E74">
        <w:rPr>
          <w:rFonts w:ascii="Calibri" w:hAnsi="Calibri"/>
          <w:color w:val="000000"/>
          <w:rtl/>
        </w:rPr>
        <w:t xml:space="preserve"> </w:t>
      </w:r>
      <w:r w:rsidRPr="00884E74">
        <w:rPr>
          <w:rFonts w:ascii="Calibri" w:hAnsi="Calibri" w:hint="eastAsia"/>
          <w:color w:val="000000"/>
          <w:rtl/>
        </w:rPr>
        <w:t>כך</w:t>
      </w:r>
      <w:r w:rsidRPr="00884E74">
        <w:rPr>
          <w:rFonts w:ascii="Calibri" w:hAnsi="Calibri"/>
          <w:color w:val="000000"/>
          <w:rtl/>
        </w:rPr>
        <w:t xml:space="preserve"> </w:t>
      </w:r>
      <w:r w:rsidRPr="00884E74">
        <w:rPr>
          <w:rFonts w:ascii="Calibri" w:hAnsi="Calibri" w:hint="eastAsia"/>
          <w:color w:val="000000"/>
          <w:rtl/>
        </w:rPr>
        <w:t>שניתן</w:t>
      </w:r>
      <w:r w:rsidRPr="00884E74">
        <w:rPr>
          <w:rFonts w:ascii="Calibri" w:hAnsi="Calibri"/>
          <w:color w:val="000000"/>
          <w:rtl/>
        </w:rPr>
        <w:t xml:space="preserve"> </w:t>
      </w:r>
      <w:r w:rsidRPr="00884E74">
        <w:rPr>
          <w:rFonts w:ascii="Calibri" w:hAnsi="Calibri" w:hint="eastAsia"/>
          <w:color w:val="000000"/>
          <w:rtl/>
        </w:rPr>
        <w:t>יהיה</w:t>
      </w:r>
      <w:r w:rsidRPr="00884E74">
        <w:rPr>
          <w:rFonts w:ascii="Calibri" w:hAnsi="Calibri"/>
          <w:color w:val="000000"/>
          <w:rtl/>
        </w:rPr>
        <w:t xml:space="preserve"> </w:t>
      </w:r>
      <w:r w:rsidRPr="00884E74">
        <w:rPr>
          <w:rFonts w:ascii="Calibri" w:hAnsi="Calibri" w:hint="eastAsia"/>
          <w:color w:val="000000"/>
          <w:rtl/>
        </w:rPr>
        <w:t>לשלבו</w:t>
      </w:r>
      <w:r w:rsidRPr="00884E74">
        <w:rPr>
          <w:rFonts w:ascii="Calibri" w:hAnsi="Calibri"/>
          <w:color w:val="000000"/>
          <w:rtl/>
        </w:rPr>
        <w:t xml:space="preserve"> </w:t>
      </w:r>
      <w:r w:rsidRPr="00884E74">
        <w:rPr>
          <w:rFonts w:ascii="Calibri" w:hAnsi="Calibri" w:hint="eastAsia"/>
          <w:color w:val="000000"/>
          <w:rtl/>
        </w:rPr>
        <w:t>בטיפול</w:t>
      </w:r>
      <w:r w:rsidRPr="00884E74">
        <w:rPr>
          <w:rFonts w:ascii="Calibri" w:hAnsi="Calibri"/>
          <w:color w:val="000000"/>
          <w:rtl/>
        </w:rPr>
        <w:t xml:space="preserve"> </w:t>
      </w:r>
      <w:r w:rsidRPr="00884E74">
        <w:rPr>
          <w:rFonts w:ascii="Calibri" w:hAnsi="Calibri" w:hint="eastAsia"/>
          <w:color w:val="000000"/>
          <w:rtl/>
        </w:rPr>
        <w:t>קבוצתי</w:t>
      </w:r>
      <w:r w:rsidRPr="00884E74">
        <w:rPr>
          <w:rFonts w:ascii="Calibri" w:hAnsi="Calibri"/>
          <w:color w:val="000000"/>
          <w:rtl/>
        </w:rPr>
        <w:t xml:space="preserve"> </w:t>
      </w:r>
      <w:r w:rsidRPr="00884E74">
        <w:rPr>
          <w:rFonts w:ascii="Calibri" w:hAnsi="Calibri" w:hint="eastAsia"/>
          <w:color w:val="000000"/>
          <w:rtl/>
        </w:rPr>
        <w:t>בשירות</w:t>
      </w:r>
      <w:r w:rsidRPr="00884E74">
        <w:rPr>
          <w:rFonts w:ascii="Calibri" w:hAnsi="Calibri"/>
          <w:color w:val="000000"/>
          <w:rtl/>
        </w:rPr>
        <w:t xml:space="preserve"> </w:t>
      </w:r>
      <w:r w:rsidRPr="00884E74">
        <w:rPr>
          <w:rFonts w:ascii="Calibri" w:hAnsi="Calibri" w:hint="eastAsia"/>
          <w:color w:val="000000"/>
          <w:rtl/>
        </w:rPr>
        <w:t>המבחן</w:t>
      </w:r>
      <w:r w:rsidRPr="00884E74">
        <w:rPr>
          <w:rFonts w:ascii="Calibri" w:hAnsi="Calibri"/>
          <w:color w:val="000000"/>
          <w:rtl/>
        </w:rPr>
        <w:t xml:space="preserve">. </w:t>
      </w:r>
      <w:r w:rsidRPr="00884E74">
        <w:rPr>
          <w:rFonts w:ascii="Calibri" w:hAnsi="Calibri" w:hint="eastAsia"/>
          <w:color w:val="000000"/>
          <w:rtl/>
        </w:rPr>
        <w:t>מדובר</w:t>
      </w:r>
      <w:r w:rsidRPr="00884E74">
        <w:rPr>
          <w:rFonts w:ascii="Calibri" w:hAnsi="Calibri"/>
          <w:color w:val="000000"/>
          <w:rtl/>
        </w:rPr>
        <w:t xml:space="preserve"> </w:t>
      </w:r>
      <w:r w:rsidRPr="00884E74">
        <w:rPr>
          <w:rFonts w:ascii="Calibri" w:hAnsi="Calibri" w:hint="eastAsia"/>
          <w:color w:val="000000"/>
          <w:rtl/>
        </w:rPr>
        <w:t>באדם</w:t>
      </w:r>
      <w:r w:rsidRPr="00884E74">
        <w:rPr>
          <w:rFonts w:ascii="Calibri" w:hAnsi="Calibri"/>
          <w:color w:val="000000"/>
          <w:rtl/>
        </w:rPr>
        <w:t xml:space="preserve"> </w:t>
      </w:r>
      <w:r w:rsidRPr="00884E74">
        <w:rPr>
          <w:rFonts w:ascii="Calibri" w:hAnsi="Calibri" w:hint="eastAsia"/>
          <w:color w:val="000000"/>
          <w:rtl/>
        </w:rPr>
        <w:t>שנמצא</w:t>
      </w:r>
      <w:r w:rsidRPr="00884E74">
        <w:rPr>
          <w:rFonts w:ascii="Calibri" w:hAnsi="Calibri"/>
          <w:color w:val="000000"/>
          <w:rtl/>
        </w:rPr>
        <w:t xml:space="preserve"> </w:t>
      </w:r>
      <w:r w:rsidRPr="00884E74">
        <w:rPr>
          <w:rFonts w:ascii="Calibri" w:hAnsi="Calibri" w:hint="eastAsia"/>
          <w:color w:val="000000"/>
          <w:rtl/>
        </w:rPr>
        <w:t>בכיוון</w:t>
      </w:r>
      <w:r w:rsidRPr="00884E74">
        <w:rPr>
          <w:rFonts w:ascii="Calibri" w:hAnsi="Calibri"/>
          <w:color w:val="000000"/>
          <w:rtl/>
        </w:rPr>
        <w:t xml:space="preserve"> </w:t>
      </w:r>
      <w:r w:rsidRPr="00884E74">
        <w:rPr>
          <w:rFonts w:ascii="Calibri" w:hAnsi="Calibri" w:hint="eastAsia"/>
          <w:color w:val="000000"/>
          <w:rtl/>
        </w:rPr>
        <w:t>חיובי</w:t>
      </w:r>
      <w:r w:rsidRPr="00884E74">
        <w:rPr>
          <w:rFonts w:ascii="Calibri" w:hAnsi="Calibri"/>
          <w:color w:val="000000"/>
          <w:rtl/>
        </w:rPr>
        <w:t xml:space="preserve"> </w:t>
      </w:r>
      <w:r w:rsidRPr="00884E74">
        <w:rPr>
          <w:rFonts w:ascii="Calibri" w:hAnsi="Calibri" w:hint="eastAsia"/>
          <w:color w:val="000000"/>
          <w:rtl/>
        </w:rPr>
        <w:t>של</w:t>
      </w:r>
      <w:r w:rsidRPr="00884E74">
        <w:rPr>
          <w:rFonts w:ascii="Calibri" w:hAnsi="Calibri"/>
          <w:color w:val="000000"/>
          <w:rtl/>
        </w:rPr>
        <w:t xml:space="preserve"> </w:t>
      </w:r>
      <w:r w:rsidRPr="00884E74">
        <w:rPr>
          <w:rFonts w:ascii="Calibri" w:hAnsi="Calibri" w:hint="eastAsia"/>
          <w:color w:val="000000"/>
          <w:rtl/>
        </w:rPr>
        <w:t>עשייה</w:t>
      </w:r>
      <w:r w:rsidRPr="00884E74">
        <w:rPr>
          <w:rFonts w:ascii="Calibri" w:hAnsi="Calibri"/>
          <w:color w:val="000000"/>
          <w:rtl/>
        </w:rPr>
        <w:t xml:space="preserve"> </w:t>
      </w:r>
      <w:r w:rsidRPr="00884E74">
        <w:rPr>
          <w:rFonts w:ascii="Calibri" w:hAnsi="Calibri" w:hint="eastAsia"/>
          <w:color w:val="000000"/>
          <w:rtl/>
        </w:rPr>
        <w:t>ועבודה</w:t>
      </w:r>
      <w:r w:rsidRPr="00884E74">
        <w:rPr>
          <w:rFonts w:ascii="Calibri" w:hAnsi="Calibri"/>
          <w:color w:val="000000"/>
          <w:rtl/>
        </w:rPr>
        <w:t xml:space="preserve">, </w:t>
      </w:r>
      <w:r w:rsidRPr="00884E74">
        <w:rPr>
          <w:rFonts w:ascii="Calibri" w:hAnsi="Calibri" w:hint="eastAsia"/>
          <w:color w:val="000000"/>
          <w:rtl/>
        </w:rPr>
        <w:t>ובכיוון</w:t>
      </w:r>
      <w:r w:rsidRPr="00884E74">
        <w:rPr>
          <w:rFonts w:ascii="Calibri" w:hAnsi="Calibri"/>
          <w:color w:val="000000"/>
          <w:rtl/>
        </w:rPr>
        <w:t xml:space="preserve"> </w:t>
      </w:r>
      <w:r w:rsidRPr="00884E74">
        <w:rPr>
          <w:rFonts w:ascii="Calibri" w:hAnsi="Calibri" w:hint="eastAsia"/>
          <w:color w:val="000000"/>
          <w:rtl/>
        </w:rPr>
        <w:t>של</w:t>
      </w:r>
      <w:r w:rsidRPr="00884E74">
        <w:rPr>
          <w:rFonts w:ascii="Calibri" w:hAnsi="Calibri"/>
          <w:color w:val="000000"/>
          <w:rtl/>
        </w:rPr>
        <w:t xml:space="preserve"> </w:t>
      </w:r>
      <w:r w:rsidRPr="00884E74">
        <w:rPr>
          <w:rFonts w:ascii="Calibri" w:hAnsi="Calibri" w:hint="eastAsia"/>
          <w:color w:val="000000"/>
          <w:rtl/>
        </w:rPr>
        <w:t>החזר</w:t>
      </w:r>
      <w:r w:rsidRPr="00884E74">
        <w:rPr>
          <w:rFonts w:ascii="Calibri" w:hAnsi="Calibri"/>
          <w:color w:val="000000"/>
          <w:rtl/>
        </w:rPr>
        <w:t xml:space="preserve"> </w:t>
      </w:r>
      <w:r w:rsidRPr="00884E74">
        <w:rPr>
          <w:rFonts w:ascii="Calibri" w:hAnsi="Calibri" w:hint="eastAsia"/>
          <w:color w:val="000000"/>
          <w:rtl/>
        </w:rPr>
        <w:t>חובותיו</w:t>
      </w:r>
      <w:r w:rsidRPr="00884E74">
        <w:rPr>
          <w:rFonts w:ascii="Calibri" w:hAnsi="Calibri"/>
          <w:color w:val="000000"/>
          <w:rtl/>
        </w:rPr>
        <w:t xml:space="preserve">, </w:t>
      </w:r>
      <w:r w:rsidRPr="00884E74">
        <w:rPr>
          <w:rFonts w:ascii="Calibri" w:hAnsi="Calibri" w:hint="eastAsia"/>
          <w:color w:val="000000"/>
          <w:rtl/>
        </w:rPr>
        <w:t>היה</w:t>
      </w:r>
      <w:r w:rsidRPr="00884E74">
        <w:rPr>
          <w:rFonts w:ascii="Calibri" w:hAnsi="Calibri"/>
          <w:color w:val="000000"/>
          <w:rtl/>
        </w:rPr>
        <w:t xml:space="preserve"> </w:t>
      </w:r>
      <w:r w:rsidRPr="00884E74">
        <w:rPr>
          <w:rFonts w:ascii="Calibri" w:hAnsi="Calibri" w:hint="eastAsia"/>
          <w:color w:val="000000"/>
          <w:rtl/>
        </w:rPr>
        <w:t>עצור</w:t>
      </w:r>
      <w:r w:rsidRPr="00884E74">
        <w:rPr>
          <w:rFonts w:ascii="Calibri" w:hAnsi="Calibri"/>
          <w:color w:val="000000"/>
          <w:rtl/>
        </w:rPr>
        <w:t xml:space="preserve"> </w:t>
      </w:r>
      <w:r w:rsidRPr="00884E74">
        <w:rPr>
          <w:rFonts w:ascii="Calibri" w:hAnsi="Calibri" w:hint="eastAsia"/>
          <w:color w:val="000000"/>
          <w:rtl/>
        </w:rPr>
        <w:t>כ</w:t>
      </w:r>
      <w:r w:rsidRPr="00884E74">
        <w:rPr>
          <w:rFonts w:ascii="Calibri" w:hAnsi="Calibri"/>
          <w:color w:val="000000"/>
          <w:rtl/>
        </w:rPr>
        <w:t xml:space="preserve">-3 </w:t>
      </w:r>
      <w:r w:rsidRPr="00884E74">
        <w:rPr>
          <w:rFonts w:ascii="Calibri" w:hAnsi="Calibri" w:hint="eastAsia"/>
          <w:color w:val="000000"/>
          <w:rtl/>
        </w:rPr>
        <w:t>חודשים</w:t>
      </w:r>
      <w:r w:rsidRPr="00884E74">
        <w:rPr>
          <w:rFonts w:ascii="Calibri" w:hAnsi="Calibri"/>
          <w:color w:val="000000"/>
          <w:rtl/>
        </w:rPr>
        <w:t xml:space="preserve">, </w:t>
      </w:r>
      <w:r w:rsidRPr="00884E74">
        <w:rPr>
          <w:rFonts w:ascii="Calibri" w:hAnsi="Calibri" w:hint="eastAsia"/>
          <w:color w:val="000000"/>
          <w:rtl/>
        </w:rPr>
        <w:t>משפחתו</w:t>
      </w:r>
      <w:r w:rsidRPr="00884E74">
        <w:rPr>
          <w:rFonts w:ascii="Calibri" w:hAnsi="Calibri"/>
          <w:color w:val="000000"/>
          <w:rtl/>
        </w:rPr>
        <w:t xml:space="preserve"> </w:t>
      </w:r>
      <w:r w:rsidRPr="00884E74">
        <w:rPr>
          <w:rFonts w:ascii="Calibri" w:hAnsi="Calibri" w:hint="eastAsia"/>
          <w:color w:val="000000"/>
          <w:rtl/>
        </w:rPr>
        <w:t>מגויסת</w:t>
      </w:r>
      <w:r w:rsidRPr="00884E74">
        <w:rPr>
          <w:rFonts w:ascii="Calibri" w:hAnsi="Calibri"/>
          <w:color w:val="000000"/>
          <w:rtl/>
        </w:rPr>
        <w:t xml:space="preserve"> </w:t>
      </w:r>
      <w:r w:rsidRPr="00884E74">
        <w:rPr>
          <w:rFonts w:ascii="Calibri" w:hAnsi="Calibri" w:hint="eastAsia"/>
          <w:color w:val="000000"/>
          <w:rtl/>
        </w:rPr>
        <w:t>לעזור</w:t>
      </w:r>
      <w:r w:rsidRPr="00884E74">
        <w:rPr>
          <w:rFonts w:ascii="Calibri" w:hAnsi="Calibri"/>
          <w:color w:val="000000"/>
          <w:rtl/>
        </w:rPr>
        <w:t xml:space="preserve"> </w:t>
      </w:r>
      <w:r w:rsidRPr="00884E74">
        <w:rPr>
          <w:rFonts w:ascii="Calibri" w:hAnsi="Calibri" w:hint="eastAsia"/>
          <w:color w:val="000000"/>
          <w:rtl/>
        </w:rPr>
        <w:t>לו</w:t>
      </w:r>
      <w:r w:rsidRPr="00884E74">
        <w:rPr>
          <w:rFonts w:ascii="Calibri" w:hAnsi="Calibri"/>
          <w:color w:val="000000"/>
          <w:rtl/>
        </w:rPr>
        <w:t xml:space="preserve">. </w:t>
      </w:r>
      <w:r w:rsidRPr="00884E74">
        <w:rPr>
          <w:rFonts w:ascii="Calibri" w:hAnsi="Calibri" w:hint="eastAsia"/>
          <w:color w:val="000000"/>
          <w:rtl/>
        </w:rPr>
        <w:t>לנוכח</w:t>
      </w:r>
      <w:r w:rsidRPr="00884E74">
        <w:rPr>
          <w:rFonts w:ascii="Calibri" w:hAnsi="Calibri"/>
          <w:color w:val="000000"/>
          <w:rtl/>
        </w:rPr>
        <w:t xml:space="preserve"> </w:t>
      </w:r>
      <w:r w:rsidRPr="00884E74">
        <w:rPr>
          <w:rFonts w:ascii="Calibri" w:hAnsi="Calibri" w:hint="eastAsia"/>
          <w:color w:val="000000"/>
          <w:rtl/>
        </w:rPr>
        <w:t>תקופת</w:t>
      </w:r>
      <w:r w:rsidRPr="00884E74">
        <w:rPr>
          <w:rFonts w:ascii="Calibri" w:hAnsi="Calibri"/>
          <w:color w:val="000000"/>
          <w:rtl/>
        </w:rPr>
        <w:t xml:space="preserve"> </w:t>
      </w:r>
      <w:r w:rsidRPr="00884E74">
        <w:rPr>
          <w:rFonts w:ascii="Calibri" w:hAnsi="Calibri" w:hint="eastAsia"/>
          <w:color w:val="000000"/>
          <w:rtl/>
        </w:rPr>
        <w:t>המעצר</w:t>
      </w:r>
      <w:r w:rsidRPr="00884E74">
        <w:rPr>
          <w:rFonts w:ascii="Calibri" w:hAnsi="Calibri"/>
          <w:color w:val="000000"/>
          <w:rtl/>
        </w:rPr>
        <w:t xml:space="preserve">, </w:t>
      </w:r>
      <w:r w:rsidRPr="00884E74">
        <w:rPr>
          <w:rFonts w:ascii="Calibri" w:hAnsi="Calibri" w:hint="eastAsia"/>
          <w:color w:val="000000"/>
          <w:rtl/>
        </w:rPr>
        <w:t>יש</w:t>
      </w:r>
      <w:r w:rsidRPr="00884E74">
        <w:rPr>
          <w:rFonts w:ascii="Calibri" w:hAnsi="Calibri"/>
          <w:color w:val="000000"/>
          <w:rtl/>
        </w:rPr>
        <w:t xml:space="preserve"> </w:t>
      </w:r>
      <w:r w:rsidRPr="00884E74">
        <w:rPr>
          <w:rFonts w:ascii="Calibri" w:hAnsi="Calibri" w:hint="eastAsia"/>
          <w:color w:val="000000"/>
          <w:rtl/>
        </w:rPr>
        <w:t>להעדיף</w:t>
      </w:r>
      <w:r w:rsidRPr="00884E74">
        <w:rPr>
          <w:rFonts w:ascii="Calibri" w:hAnsi="Calibri"/>
          <w:color w:val="000000"/>
          <w:rtl/>
        </w:rPr>
        <w:t xml:space="preserve"> </w:t>
      </w:r>
      <w:r w:rsidRPr="00884E74">
        <w:rPr>
          <w:rFonts w:ascii="Calibri" w:hAnsi="Calibri" w:hint="eastAsia"/>
          <w:color w:val="000000"/>
          <w:rtl/>
        </w:rPr>
        <w:t>עונש</w:t>
      </w:r>
      <w:r w:rsidRPr="00884E74">
        <w:rPr>
          <w:rFonts w:ascii="Calibri" w:hAnsi="Calibri"/>
          <w:color w:val="000000"/>
          <w:rtl/>
        </w:rPr>
        <w:t xml:space="preserve"> </w:t>
      </w:r>
      <w:r w:rsidRPr="00884E74">
        <w:rPr>
          <w:rFonts w:ascii="Calibri" w:hAnsi="Calibri" w:hint="eastAsia"/>
          <w:color w:val="000000"/>
          <w:rtl/>
        </w:rPr>
        <w:t>של</w:t>
      </w:r>
      <w:r w:rsidRPr="00884E74">
        <w:rPr>
          <w:rFonts w:ascii="Calibri" w:hAnsi="Calibri"/>
          <w:color w:val="000000"/>
          <w:rtl/>
        </w:rPr>
        <w:t xml:space="preserve"> </w:t>
      </w:r>
      <w:r w:rsidRPr="00884E74">
        <w:rPr>
          <w:rFonts w:ascii="Calibri" w:hAnsi="Calibri" w:hint="eastAsia"/>
          <w:color w:val="000000"/>
          <w:rtl/>
        </w:rPr>
        <w:t>עבודות</w:t>
      </w:r>
      <w:r w:rsidRPr="00884E74">
        <w:rPr>
          <w:rFonts w:ascii="Calibri" w:hAnsi="Calibri"/>
          <w:color w:val="000000"/>
          <w:rtl/>
        </w:rPr>
        <w:t xml:space="preserve"> </w:t>
      </w:r>
      <w:r w:rsidRPr="00884E74">
        <w:rPr>
          <w:rFonts w:ascii="Calibri" w:hAnsi="Calibri" w:hint="eastAsia"/>
          <w:color w:val="000000"/>
          <w:rtl/>
        </w:rPr>
        <w:t>שירות</w:t>
      </w:r>
      <w:r w:rsidRPr="00884E74">
        <w:rPr>
          <w:rFonts w:ascii="Calibri" w:hAnsi="Calibri"/>
          <w:color w:val="000000"/>
          <w:rtl/>
        </w:rPr>
        <w:t xml:space="preserve">, </w:t>
      </w:r>
      <w:r w:rsidRPr="00884E74">
        <w:rPr>
          <w:rFonts w:ascii="Calibri" w:hAnsi="Calibri" w:hint="eastAsia"/>
          <w:color w:val="000000"/>
          <w:rtl/>
        </w:rPr>
        <w:t>על</w:t>
      </w:r>
      <w:r w:rsidRPr="00884E74">
        <w:rPr>
          <w:rFonts w:ascii="Calibri" w:hAnsi="Calibri"/>
          <w:color w:val="000000"/>
          <w:rtl/>
        </w:rPr>
        <w:t xml:space="preserve"> </w:t>
      </w:r>
      <w:r w:rsidRPr="00884E74">
        <w:rPr>
          <w:rFonts w:ascii="Calibri" w:hAnsi="Calibri" w:hint="eastAsia"/>
          <w:color w:val="000000"/>
          <w:rtl/>
        </w:rPr>
        <w:t>פני</w:t>
      </w:r>
      <w:r w:rsidRPr="00884E74">
        <w:rPr>
          <w:rFonts w:ascii="Calibri" w:hAnsi="Calibri"/>
          <w:color w:val="000000"/>
          <w:rtl/>
        </w:rPr>
        <w:t xml:space="preserve"> </w:t>
      </w:r>
      <w:r w:rsidRPr="00884E74">
        <w:rPr>
          <w:rFonts w:ascii="Calibri" w:hAnsi="Calibri" w:hint="eastAsia"/>
          <w:color w:val="000000"/>
          <w:rtl/>
        </w:rPr>
        <w:t>עונש</w:t>
      </w:r>
      <w:r w:rsidRPr="00884E74">
        <w:rPr>
          <w:rFonts w:ascii="Calibri" w:hAnsi="Calibri"/>
          <w:color w:val="000000"/>
          <w:rtl/>
        </w:rPr>
        <w:t xml:space="preserve"> </w:t>
      </w:r>
      <w:r w:rsidRPr="00884E74">
        <w:rPr>
          <w:rFonts w:ascii="Calibri" w:hAnsi="Calibri" w:hint="eastAsia"/>
          <w:color w:val="000000"/>
          <w:rtl/>
        </w:rPr>
        <w:t>מאסר</w:t>
      </w:r>
      <w:r w:rsidRPr="00884E74">
        <w:rPr>
          <w:rFonts w:ascii="Calibri" w:hAnsi="Calibri"/>
          <w:color w:val="000000"/>
          <w:rtl/>
        </w:rPr>
        <w:t xml:space="preserve"> </w:t>
      </w:r>
      <w:r w:rsidRPr="00884E74">
        <w:rPr>
          <w:rFonts w:ascii="Calibri" w:hAnsi="Calibri" w:hint="eastAsia"/>
          <w:color w:val="000000"/>
          <w:rtl/>
        </w:rPr>
        <w:t>אשר</w:t>
      </w:r>
      <w:r w:rsidRPr="00884E74">
        <w:rPr>
          <w:rFonts w:ascii="Calibri" w:hAnsi="Calibri"/>
          <w:color w:val="000000"/>
          <w:rtl/>
        </w:rPr>
        <w:t xml:space="preserve"> </w:t>
      </w:r>
      <w:r w:rsidRPr="00884E74">
        <w:rPr>
          <w:rFonts w:ascii="Calibri" w:hAnsi="Calibri" w:hint="eastAsia"/>
          <w:color w:val="000000"/>
          <w:rtl/>
        </w:rPr>
        <w:t>יהיה</w:t>
      </w:r>
      <w:r w:rsidRPr="00884E74">
        <w:rPr>
          <w:rFonts w:ascii="Calibri" w:hAnsi="Calibri"/>
          <w:color w:val="000000"/>
          <w:rtl/>
        </w:rPr>
        <w:t xml:space="preserve"> </w:t>
      </w:r>
      <w:r w:rsidRPr="00884E74">
        <w:rPr>
          <w:rFonts w:ascii="Calibri" w:hAnsi="Calibri" w:hint="eastAsia"/>
          <w:color w:val="000000"/>
          <w:rtl/>
        </w:rPr>
        <w:t>קצר</w:t>
      </w:r>
      <w:r w:rsidRPr="00884E74">
        <w:rPr>
          <w:rFonts w:ascii="Calibri" w:hAnsi="Calibri"/>
          <w:color w:val="000000"/>
          <w:rtl/>
        </w:rPr>
        <w:t xml:space="preserve"> </w:t>
      </w:r>
      <w:r w:rsidRPr="00884E74">
        <w:rPr>
          <w:rFonts w:ascii="Calibri" w:hAnsi="Calibri" w:hint="eastAsia"/>
          <w:color w:val="000000"/>
          <w:rtl/>
        </w:rPr>
        <w:t>בניכוי</w:t>
      </w:r>
      <w:r w:rsidRPr="00884E74">
        <w:rPr>
          <w:rFonts w:ascii="Calibri" w:hAnsi="Calibri"/>
          <w:color w:val="000000"/>
          <w:rtl/>
        </w:rPr>
        <w:t xml:space="preserve"> </w:t>
      </w:r>
      <w:r w:rsidRPr="00884E74">
        <w:rPr>
          <w:rFonts w:ascii="Calibri" w:hAnsi="Calibri" w:hint="eastAsia"/>
          <w:color w:val="000000"/>
          <w:rtl/>
        </w:rPr>
        <w:t>ימי</w:t>
      </w:r>
      <w:r w:rsidRPr="00884E74">
        <w:rPr>
          <w:rFonts w:ascii="Calibri" w:hAnsi="Calibri"/>
          <w:color w:val="000000"/>
          <w:rtl/>
        </w:rPr>
        <w:t xml:space="preserve"> </w:t>
      </w:r>
      <w:r w:rsidRPr="00884E74">
        <w:rPr>
          <w:rFonts w:ascii="Calibri" w:hAnsi="Calibri" w:hint="eastAsia"/>
          <w:color w:val="000000"/>
          <w:rtl/>
        </w:rPr>
        <w:t>המעצר</w:t>
      </w:r>
      <w:r w:rsidRPr="00884E74">
        <w:rPr>
          <w:rFonts w:ascii="Calibri" w:hAnsi="Calibri"/>
          <w:color w:val="000000"/>
          <w:rtl/>
        </w:rPr>
        <w:t xml:space="preserve">. </w:t>
      </w:r>
      <w:r w:rsidRPr="00884E74">
        <w:rPr>
          <w:rFonts w:ascii="Calibri" w:hAnsi="Calibri" w:hint="eastAsia"/>
          <w:color w:val="000000"/>
          <w:rtl/>
        </w:rPr>
        <w:t>לפיכך</w:t>
      </w:r>
      <w:r w:rsidRPr="00884E74">
        <w:rPr>
          <w:rFonts w:ascii="Calibri" w:hAnsi="Calibri"/>
          <w:color w:val="000000"/>
          <w:rtl/>
        </w:rPr>
        <w:t xml:space="preserve"> </w:t>
      </w:r>
      <w:r w:rsidRPr="00884E74">
        <w:rPr>
          <w:rFonts w:ascii="Calibri" w:hAnsi="Calibri" w:hint="eastAsia"/>
          <w:color w:val="000000"/>
          <w:rtl/>
        </w:rPr>
        <w:t>עותרת</w:t>
      </w:r>
      <w:r w:rsidRPr="00884E74">
        <w:rPr>
          <w:rFonts w:ascii="Calibri" w:hAnsi="Calibri"/>
          <w:color w:val="000000"/>
          <w:rtl/>
        </w:rPr>
        <w:t xml:space="preserve"> </w:t>
      </w:r>
      <w:r w:rsidRPr="00884E74">
        <w:rPr>
          <w:rFonts w:ascii="Calibri" w:hAnsi="Calibri" w:hint="eastAsia"/>
          <w:color w:val="000000"/>
          <w:rtl/>
        </w:rPr>
        <w:t>ההגנה</w:t>
      </w:r>
      <w:r w:rsidRPr="00884E74">
        <w:rPr>
          <w:rFonts w:ascii="Calibri" w:hAnsi="Calibri"/>
          <w:color w:val="000000"/>
          <w:rtl/>
        </w:rPr>
        <w:t xml:space="preserve"> </w:t>
      </w:r>
      <w:r w:rsidRPr="00884E74">
        <w:rPr>
          <w:rFonts w:ascii="Calibri" w:hAnsi="Calibri" w:hint="eastAsia"/>
          <w:color w:val="000000"/>
          <w:rtl/>
        </w:rPr>
        <w:t>לחרוג</w:t>
      </w:r>
      <w:r w:rsidRPr="00884E74">
        <w:rPr>
          <w:rFonts w:ascii="Calibri" w:hAnsi="Calibri"/>
          <w:color w:val="000000"/>
          <w:rtl/>
        </w:rPr>
        <w:t xml:space="preserve"> </w:t>
      </w:r>
      <w:r w:rsidRPr="00884E74">
        <w:rPr>
          <w:rFonts w:ascii="Calibri" w:hAnsi="Calibri" w:hint="eastAsia"/>
          <w:color w:val="000000"/>
          <w:rtl/>
        </w:rPr>
        <w:t>ממתחם</w:t>
      </w:r>
      <w:r w:rsidRPr="00884E74">
        <w:rPr>
          <w:rFonts w:ascii="Calibri" w:hAnsi="Calibri"/>
          <w:color w:val="000000"/>
          <w:rtl/>
        </w:rPr>
        <w:t xml:space="preserve"> </w:t>
      </w:r>
      <w:r w:rsidRPr="00884E74">
        <w:rPr>
          <w:rFonts w:ascii="Calibri" w:hAnsi="Calibri" w:hint="eastAsia"/>
          <w:color w:val="000000"/>
          <w:rtl/>
        </w:rPr>
        <w:t>העונש</w:t>
      </w:r>
      <w:r w:rsidRPr="00884E74">
        <w:rPr>
          <w:rFonts w:ascii="Calibri" w:hAnsi="Calibri"/>
          <w:color w:val="000000"/>
          <w:rtl/>
        </w:rPr>
        <w:t xml:space="preserve"> </w:t>
      </w:r>
      <w:r w:rsidRPr="00884E74">
        <w:rPr>
          <w:rFonts w:ascii="Calibri" w:hAnsi="Calibri" w:hint="eastAsia"/>
          <w:color w:val="000000"/>
          <w:rtl/>
        </w:rPr>
        <w:t>משיקולי</w:t>
      </w:r>
      <w:r w:rsidRPr="00884E74">
        <w:rPr>
          <w:rFonts w:ascii="Calibri" w:hAnsi="Calibri"/>
          <w:color w:val="000000"/>
          <w:rtl/>
        </w:rPr>
        <w:t xml:space="preserve"> </w:t>
      </w:r>
      <w:r w:rsidRPr="00884E74">
        <w:rPr>
          <w:rFonts w:ascii="Calibri" w:hAnsi="Calibri" w:hint="eastAsia"/>
          <w:color w:val="000000"/>
          <w:rtl/>
        </w:rPr>
        <w:t>שיקום</w:t>
      </w:r>
      <w:r w:rsidRPr="00884E74">
        <w:rPr>
          <w:rFonts w:ascii="Calibri" w:hAnsi="Calibri"/>
          <w:color w:val="000000"/>
          <w:rtl/>
        </w:rPr>
        <w:t xml:space="preserve">. </w:t>
      </w:r>
    </w:p>
    <w:p w14:paraId="6D03328A"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 xml:space="preserve">הנאשם טען שטעה בדרכו, מעשיו נוגדים את ערכיו. בשנה וחצי האחרונות חייו השתנו מהקצה אל הקצה. עבר טלטלה גדולה בעקבת מעשיו, ובזכות עזרת משפחתו ותמיכתה לעולם לא יעשה עבירה. מתחרט ומבקש הזדמנות שנייה לשקם את חייו, ולפתוח בדף חדש. מתחייב לעשות כל הליך שיקומי כדי להראות את הנכונות שלו. </w:t>
      </w:r>
    </w:p>
    <w:p w14:paraId="2EB6B8A4" w14:textId="77777777" w:rsidR="00B52E65" w:rsidRPr="00884E74" w:rsidRDefault="00B52E65" w:rsidP="00B52E65">
      <w:pPr>
        <w:spacing w:after="120" w:line="360" w:lineRule="auto"/>
        <w:jc w:val="both"/>
        <w:rPr>
          <w:bCs/>
          <w:u w:val="single"/>
          <w:lang w:eastAsia="he-IL"/>
        </w:rPr>
      </w:pPr>
      <w:r w:rsidRPr="00884E74">
        <w:rPr>
          <w:bCs/>
          <w:u w:val="single"/>
          <w:rtl/>
          <w:lang w:eastAsia="he-IL"/>
        </w:rPr>
        <w:t>דיון – קביעת מתחם העונש ההולם</w:t>
      </w:r>
    </w:p>
    <w:p w14:paraId="32D6439F"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 xml:space="preserve">כתב האישום מתאר אירוע אחד, ומכאן שיש לקבוע בגינו </w:t>
      </w:r>
      <w:r w:rsidRPr="00884E74">
        <w:rPr>
          <w:rFonts w:ascii="David" w:hAnsi="David"/>
          <w:b/>
          <w:bCs/>
          <w:color w:val="000000"/>
          <w:rtl/>
        </w:rPr>
        <w:t>מתחם עונש הולם אחד</w:t>
      </w:r>
      <w:r w:rsidRPr="00884E74">
        <w:rPr>
          <w:rFonts w:ascii="David" w:hAnsi="David"/>
          <w:color w:val="000000"/>
          <w:rtl/>
        </w:rPr>
        <w:t xml:space="preserve">. </w:t>
      </w:r>
    </w:p>
    <w:p w14:paraId="60ECEEA5" w14:textId="77777777" w:rsidR="00B52E65" w:rsidRPr="00884E74" w:rsidRDefault="00B52E65" w:rsidP="00B52E65">
      <w:pPr>
        <w:spacing w:after="120" w:line="360" w:lineRule="auto"/>
        <w:ind w:left="720"/>
        <w:jc w:val="both"/>
        <w:rPr>
          <w:rFonts w:ascii="David" w:hAnsi="David"/>
          <w:color w:val="000000"/>
        </w:rPr>
      </w:pPr>
      <w:r w:rsidRPr="00884E74">
        <w:rPr>
          <w:rFonts w:ascii="David" w:hAnsi="David"/>
          <w:b/>
          <w:bCs/>
          <w:color w:val="000000"/>
          <w:rtl/>
        </w:rPr>
        <w:t>הערכים החברתיים</w:t>
      </w:r>
      <w:r w:rsidRPr="00884E74">
        <w:rPr>
          <w:rFonts w:ascii="David" w:hAnsi="David"/>
          <w:color w:val="000000"/>
          <w:rtl/>
        </w:rPr>
        <w:t xml:space="preserve"> שנפגעו מביצוע העבירה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הנוכחי מדובר בסם מסוג קנאביס, אשר חומרתו פחותה בהשוואה לסמים אחרים. לא בכדי קבע המחוקק לצד העבירה של גידול, הפקת והכנת סמים, עונש מרבי של עד עשרים שנות מאסר. </w:t>
      </w:r>
    </w:p>
    <w:p w14:paraId="7C8C1F82" w14:textId="77777777" w:rsidR="00B52E65" w:rsidRPr="00884E74" w:rsidRDefault="00B52E65" w:rsidP="00B52E65">
      <w:pPr>
        <w:spacing w:after="120" w:line="360" w:lineRule="auto"/>
        <w:ind w:left="707"/>
        <w:jc w:val="both"/>
        <w:rPr>
          <w:rFonts w:ascii="David" w:hAnsi="David" w:cs="Times New Roman"/>
          <w:color w:val="000000"/>
          <w:rtl/>
        </w:rPr>
      </w:pPr>
      <w:r w:rsidRPr="00884E74">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sidRPr="00884E74">
        <w:rPr>
          <w:rFonts w:ascii="David" w:hAnsi="David" w:cs="Times New Roman"/>
          <w:color w:val="000000"/>
          <w:rtl/>
        </w:rPr>
        <w:t xml:space="preserve"> </w:t>
      </w:r>
      <w:r w:rsidRPr="00884E74">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26A1A9D3" w14:textId="77777777" w:rsidR="00B52E65" w:rsidRPr="00884E74" w:rsidRDefault="00B52E65" w:rsidP="00B52E65">
      <w:pPr>
        <w:spacing w:after="120" w:line="360" w:lineRule="auto"/>
        <w:ind w:left="720"/>
        <w:jc w:val="both"/>
        <w:rPr>
          <w:rFonts w:ascii="David" w:hAnsi="David"/>
          <w:color w:val="000000"/>
          <w:rtl/>
        </w:rPr>
      </w:pPr>
      <w:r w:rsidRPr="00884E74">
        <w:rPr>
          <w:rFonts w:ascii="David" w:hAnsi="David"/>
          <w:color w:val="000000"/>
          <w:rtl/>
        </w:rPr>
        <w:t>במישור העקרוני ראוי להדגיש כי מדיניות האכיפה והענישה המקלה אשר ננקטת בשנים אחרונות כלפי המשתמשים בסמים מסוג קנאביס, כפי שהיא באה לידי ביטוי בסעיף 7(ג1) לפקודת הסמים (תיקון מס' 15 [הוראת שעה], תשע"ח-2018), אינה חלה בהתאמה על מי שמגדל לשם הפצה או סוחר בסמים מסוג זה. אמנם, דרגת חומרתו של הסם מסוג קנאביס היא פחותה בהשוואה לסמים אחרים, ויש לנקוט בגישה שמאבחנת בין סוגי הסמים השונים, בהתאם למידת חומרתו של כל סם (ראו דברי כב' השופט ע' גרוסקופף ב</w:t>
      </w:r>
      <w:hyperlink r:id="rId13" w:history="1">
        <w:r w:rsidR="00762BA3" w:rsidRPr="00762BA3">
          <w:rPr>
            <w:rFonts w:ascii="David" w:hAnsi="David"/>
            <w:color w:val="0000FF"/>
            <w:u w:val="single"/>
            <w:rtl/>
          </w:rPr>
          <w:t>בש"פ 8640/20</w:t>
        </w:r>
      </w:hyperlink>
      <w:r w:rsidRPr="00884E74">
        <w:rPr>
          <w:rFonts w:ascii="David" w:hAnsi="David"/>
          <w:color w:val="000000"/>
          <w:rtl/>
        </w:rPr>
        <w:t xml:space="preserve"> </w:t>
      </w:r>
      <w:r w:rsidRPr="00884E74">
        <w:rPr>
          <w:rFonts w:ascii="David" w:hAnsi="David"/>
          <w:b/>
          <w:bCs/>
          <w:color w:val="000000"/>
          <w:rtl/>
        </w:rPr>
        <w:t>אבו קרינאת נ' מדינת ישראל</w:t>
      </w:r>
      <w:r w:rsidRPr="00884E74">
        <w:rPr>
          <w:rFonts w:ascii="David" w:hAnsi="David"/>
          <w:color w:val="000000"/>
          <w:rtl/>
        </w:rPr>
        <w:t xml:space="preserve"> [23.12.20]). עם זאת, מדיניות הענישה הנוהגת לגבי מגדלי המעבדות והסוחרים בסם זה, לא נועדה להקל עם מי שנמצא בשלבי הייצור או ההספקה של הסמים, אלא נותרה משמעותית ומרתיעה (ראו דברי של כב' השופט י' עמית ב</w:t>
      </w:r>
      <w:hyperlink r:id="rId14" w:history="1">
        <w:r w:rsidR="00762BA3" w:rsidRPr="00762BA3">
          <w:rPr>
            <w:rFonts w:ascii="David" w:hAnsi="David"/>
            <w:color w:val="0000FF"/>
            <w:u w:val="single"/>
            <w:rtl/>
          </w:rPr>
          <w:t>ע"פ 2596/18</w:t>
        </w:r>
      </w:hyperlink>
      <w:r w:rsidRPr="00884E74">
        <w:rPr>
          <w:rFonts w:ascii="David" w:hAnsi="David"/>
          <w:color w:val="000000"/>
          <w:rtl/>
        </w:rPr>
        <w:t xml:space="preserve"> </w:t>
      </w:r>
      <w:r w:rsidRPr="00884E74">
        <w:rPr>
          <w:rFonts w:ascii="David" w:hAnsi="David"/>
          <w:b/>
          <w:bCs/>
          <w:color w:val="000000"/>
          <w:rtl/>
        </w:rPr>
        <w:t>זנזורי נ' מדינת ישראל</w:t>
      </w:r>
      <w:r w:rsidRPr="00884E74">
        <w:rPr>
          <w:rFonts w:ascii="David" w:hAnsi="David"/>
          <w:color w:val="000000"/>
          <w:rtl/>
        </w:rPr>
        <w:t xml:space="preserve"> [12.8.18], דברי כב' השופט נ' הנדל ב</w:t>
      </w:r>
      <w:hyperlink r:id="rId15" w:history="1">
        <w:r w:rsidR="00762BA3" w:rsidRPr="00762BA3">
          <w:rPr>
            <w:rFonts w:ascii="David" w:hAnsi="David"/>
            <w:color w:val="0000FF"/>
            <w:u w:val="single"/>
            <w:rtl/>
          </w:rPr>
          <w:t>ע"פ 5807/17</w:t>
        </w:r>
      </w:hyperlink>
      <w:r w:rsidRPr="00884E74">
        <w:rPr>
          <w:rFonts w:ascii="David" w:hAnsi="David"/>
          <w:color w:val="000000"/>
          <w:rtl/>
        </w:rPr>
        <w:t xml:space="preserve"> </w:t>
      </w:r>
      <w:r w:rsidRPr="00884E74">
        <w:rPr>
          <w:rFonts w:ascii="David" w:hAnsi="David"/>
          <w:b/>
          <w:bCs/>
          <w:color w:val="000000"/>
          <w:rtl/>
        </w:rPr>
        <w:t>דרחי נ' מדינת ישראל</w:t>
      </w:r>
      <w:r w:rsidRPr="00884E74">
        <w:rPr>
          <w:rFonts w:ascii="David" w:hAnsi="David"/>
          <w:color w:val="000000"/>
          <w:rtl/>
        </w:rPr>
        <w:t xml:space="preserve"> [18.6.18], דברי כב' הש' קרא ב</w:t>
      </w:r>
      <w:hyperlink r:id="rId16" w:history="1">
        <w:r w:rsidR="00762BA3" w:rsidRPr="00762BA3">
          <w:rPr>
            <w:rFonts w:ascii="David" w:hAnsi="David"/>
            <w:color w:val="0000FF"/>
            <w:u w:val="single"/>
            <w:rtl/>
          </w:rPr>
          <w:t>רע"פ 174/21</w:t>
        </w:r>
      </w:hyperlink>
      <w:r w:rsidRPr="00884E74">
        <w:rPr>
          <w:rFonts w:ascii="David" w:hAnsi="David"/>
          <w:color w:val="000000"/>
          <w:rtl/>
        </w:rPr>
        <w:t xml:space="preserve"> </w:t>
      </w:r>
      <w:r w:rsidRPr="00884E74">
        <w:rPr>
          <w:rFonts w:ascii="David" w:hAnsi="David"/>
          <w:b/>
          <w:bCs/>
          <w:color w:val="000000"/>
          <w:rtl/>
        </w:rPr>
        <w:t>סויסה נ' מדינת ישראל</w:t>
      </w:r>
      <w:r w:rsidRPr="00884E74">
        <w:rPr>
          <w:rFonts w:ascii="David" w:hAnsi="David"/>
          <w:color w:val="000000"/>
          <w:rtl/>
        </w:rPr>
        <w:t xml:space="preserve"> [25.2.21] וכן ראו </w:t>
      </w:r>
      <w:hyperlink r:id="rId17" w:history="1">
        <w:r w:rsidR="00762BA3" w:rsidRPr="00762BA3">
          <w:rPr>
            <w:rFonts w:ascii="David" w:hAnsi="David"/>
            <w:color w:val="0000FF"/>
            <w:u w:val="single"/>
            <w:rtl/>
          </w:rPr>
          <w:t>ע"פ 6299/20</w:t>
        </w:r>
      </w:hyperlink>
      <w:r w:rsidRPr="00884E74">
        <w:rPr>
          <w:rFonts w:ascii="David" w:hAnsi="David"/>
          <w:color w:val="000000"/>
          <w:rtl/>
        </w:rPr>
        <w:t xml:space="preserve"> </w:t>
      </w:r>
      <w:r w:rsidRPr="00884E74">
        <w:rPr>
          <w:rFonts w:ascii="David" w:hAnsi="David"/>
          <w:b/>
          <w:bCs/>
          <w:color w:val="000000"/>
          <w:rtl/>
        </w:rPr>
        <w:t>חן נ' מדינת ישראל</w:t>
      </w:r>
      <w:r w:rsidRPr="00884E74">
        <w:rPr>
          <w:rFonts w:ascii="David" w:hAnsi="David"/>
          <w:color w:val="000000"/>
          <w:rtl/>
        </w:rPr>
        <w:t xml:space="preserve"> [4.2.21]).</w:t>
      </w:r>
    </w:p>
    <w:p w14:paraId="22FCD733" w14:textId="77777777" w:rsidR="00B52E65" w:rsidRPr="00884E74" w:rsidRDefault="00B52E65" w:rsidP="00B52E65">
      <w:pPr>
        <w:numPr>
          <w:ilvl w:val="0"/>
          <w:numId w:val="1"/>
        </w:numPr>
        <w:spacing w:after="120" w:line="360" w:lineRule="auto"/>
        <w:jc w:val="both"/>
        <w:rPr>
          <w:color w:val="000000"/>
        </w:rPr>
      </w:pPr>
      <w:r w:rsidRPr="00884E74">
        <w:rPr>
          <w:rFonts w:ascii="David" w:hAnsi="David"/>
          <w:color w:val="000000"/>
          <w:rtl/>
        </w:rPr>
        <w:t xml:space="preserve">בחינת </w:t>
      </w:r>
      <w:r w:rsidRPr="00884E74">
        <w:rPr>
          <w:rFonts w:ascii="David" w:hAnsi="David"/>
          <w:b/>
          <w:bCs/>
          <w:color w:val="000000"/>
          <w:rtl/>
        </w:rPr>
        <w:t xml:space="preserve">מידת הפגיעה בערך המוגן </w:t>
      </w:r>
      <w:r w:rsidRPr="00884E74">
        <w:rPr>
          <w:rFonts w:ascii="David" w:hAnsi="David"/>
          <w:color w:val="000000"/>
          <w:rtl/>
        </w:rPr>
        <w:t xml:space="preserve">מובילה למסקנה כי הפגיעה היא ברף בינוני-נמוך וזאת בהתייחס לכמות הסם שנתפס במעבדה, בהיקף של כ-40 ק"ג, אשר אינה גבוהה באופן יחסי לתיקים דומים אשר נדונים בבית-המשפט המחוזי. בהקשר זה יצוין כי תיקי מעבדות בכמויות דומות, אשר פחותות מ-50 ק"ג, מוגשים על פי רוב לבתי משפט השלום, על פי מדיניות העמדה לדין של המאשימה. </w:t>
      </w:r>
    </w:p>
    <w:p w14:paraId="58D8874F" w14:textId="77777777" w:rsidR="00B52E65" w:rsidRPr="00884E74" w:rsidRDefault="00B52E65" w:rsidP="00B52E65">
      <w:pPr>
        <w:numPr>
          <w:ilvl w:val="0"/>
          <w:numId w:val="1"/>
        </w:numPr>
        <w:spacing w:after="120" w:line="360" w:lineRule="auto"/>
        <w:jc w:val="both"/>
        <w:rPr>
          <w:color w:val="000000"/>
        </w:rPr>
      </w:pPr>
      <w:r w:rsidRPr="00884E74">
        <w:rPr>
          <w:rFonts w:ascii="David" w:hAnsi="David"/>
          <w:color w:val="000000"/>
          <w:rtl/>
        </w:rPr>
        <w:t xml:space="preserve">במסגרת </w:t>
      </w:r>
      <w:r w:rsidRPr="00884E74">
        <w:rPr>
          <w:rFonts w:ascii="David" w:hAnsi="David"/>
          <w:b/>
          <w:bCs/>
          <w:color w:val="000000"/>
          <w:rtl/>
        </w:rPr>
        <w:t>הנסיבות הקשורות בביצוע העבירה</w:t>
      </w:r>
      <w:r w:rsidRPr="00884E74">
        <w:rPr>
          <w:rFonts w:ascii="David" w:hAnsi="David"/>
          <w:color w:val="000000"/>
          <w:rtl/>
        </w:rPr>
        <w:t xml:space="preserve">, יש לתת את הדעת </w:t>
      </w:r>
      <w:r w:rsidRPr="00884E74">
        <w:rPr>
          <w:color w:val="000000"/>
          <w:rtl/>
        </w:rPr>
        <w:t xml:space="preserve">לכך שלעבירה קדם תכנון אשר כלל שכירת מבנה תעשייה בו הנאשם הקים מעבדה לגידול סם מסוג קנאביס, לשם כך צייד את המעבדה בציוד הכולל מזגנים, שנאים, מפוחים ועוד. במעבדה נתפסו סמים מסוג קנאביס במשקל כולל של לפחות 40 ק"ג. הנזקים הצפויים להיגרם מביצוע העבירה נוגעים לחשש שהסמים יופצו בציבור על ידי גורמים עברייניים. עבירות הסמים מסוג זה ובהיקף זה הן בגדר מחולל פשיעה. הסיבה שהביאה את הנאשם לבצע את העבירה היא בצע כסף – רצונו להסדיר חובותיו על ידי הפקת רווח מהיר. </w:t>
      </w:r>
    </w:p>
    <w:p w14:paraId="05CBBBFE"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 xml:space="preserve">בחינת </w:t>
      </w:r>
      <w:r w:rsidRPr="00884E74">
        <w:rPr>
          <w:rFonts w:ascii="David" w:hAnsi="David"/>
          <w:b/>
          <w:bCs/>
          <w:color w:val="000000"/>
          <w:rtl/>
        </w:rPr>
        <w:t>מדיניות הענישה הנוהגת</w:t>
      </w:r>
      <w:r w:rsidRPr="00884E74">
        <w:rPr>
          <w:rFonts w:ascii="David" w:hAnsi="David"/>
          <w:color w:val="000000"/>
          <w:rtl/>
        </w:rPr>
        <w:t xml:space="preserve"> מעלה כי במקרים דומים הוטלו על נאשמים עונשי מאסר במנעד רחב כמפורט להלן:</w:t>
      </w:r>
    </w:p>
    <w:p w14:paraId="73F7AE07"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18" w:history="1">
        <w:r w:rsidR="00762BA3" w:rsidRPr="00762BA3">
          <w:rPr>
            <w:color w:val="0000FF"/>
            <w:u w:val="single"/>
            <w:rtl/>
          </w:rPr>
          <w:t>ע"פ 2194/14</w:t>
        </w:r>
      </w:hyperlink>
      <w:r w:rsidRPr="00884E74">
        <w:rPr>
          <w:rtl/>
        </w:rPr>
        <w:t xml:space="preserve"> </w:t>
      </w:r>
      <w:r w:rsidRPr="00884E74">
        <w:rPr>
          <w:b/>
          <w:bCs/>
          <w:rtl/>
        </w:rPr>
        <w:t>בן שמעון נ' מדינת ישראל</w:t>
      </w:r>
      <w:r w:rsidRPr="00884E74">
        <w:rPr>
          <w:rtl/>
        </w:rPr>
        <w:t xml:space="preserve"> (10.9.14) התקבל ערעור נאשם אשר הורשע בהתאם להודאתו בעבירות של גידול סמים. הנאשם גידל בדירה שכורה סם מסוג קנאביס במשקל של </w:t>
      </w:r>
      <w:r w:rsidRPr="00884E74">
        <w:rPr>
          <w:b/>
          <w:bCs/>
          <w:rtl/>
        </w:rPr>
        <w:t>33.5 ק"ג</w:t>
      </w:r>
      <w:r w:rsidRPr="00884E74">
        <w:rPr>
          <w:rtl/>
        </w:rPr>
        <w:t xml:space="preserve">. בית המשפט המחוזי קבע </w:t>
      </w:r>
      <w:r w:rsidRPr="00884E74">
        <w:rPr>
          <w:b/>
          <w:bCs/>
          <w:rtl/>
        </w:rPr>
        <w:t>מתחם שבין 18 ל-30 חודשי מאסר בפועל</w:t>
      </w:r>
      <w:r w:rsidRPr="00884E74">
        <w:rPr>
          <w:rtl/>
        </w:rPr>
        <w:t xml:space="preserve">, והשית על הנאשם 23 חודשי מאסר (27 חודשים כולל הפעלת מאסר על תנאי). בית-המשפט העליון הקל בעונשו לעונש של </w:t>
      </w:r>
      <w:r w:rsidRPr="00884E74">
        <w:rPr>
          <w:b/>
          <w:bCs/>
          <w:rtl/>
        </w:rPr>
        <w:t>20 חודשי מאסר בפועל</w:t>
      </w:r>
      <w:r w:rsidRPr="00884E74">
        <w:rPr>
          <w:rtl/>
        </w:rPr>
        <w:t xml:space="preserve"> (והפעלת התנאי בן 8 חודשים בחופף).  </w:t>
      </w:r>
    </w:p>
    <w:p w14:paraId="7FDC2991"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19" w:history="1">
        <w:r w:rsidR="00762BA3" w:rsidRPr="00762BA3">
          <w:rPr>
            <w:color w:val="0000FF"/>
            <w:u w:val="single"/>
            <w:rtl/>
          </w:rPr>
          <w:t>רע"פ 6041/18</w:t>
        </w:r>
      </w:hyperlink>
      <w:r w:rsidRPr="00884E74">
        <w:rPr>
          <w:rtl/>
        </w:rPr>
        <w:t xml:space="preserve"> </w:t>
      </w:r>
      <w:r w:rsidRPr="00884E74">
        <w:rPr>
          <w:b/>
          <w:bCs/>
          <w:rtl/>
        </w:rPr>
        <w:t>כהן נ' מדינת ישראל</w:t>
      </w:r>
      <w:r w:rsidRPr="00884E74">
        <w:rPr>
          <w:rtl/>
        </w:rPr>
        <w:t xml:space="preserve"> (2.10.18), נדחתה בקשת רשות ערעור של נאשם שהורשע על פי הודאתו בעבירות של ייצור והפקת סם, וגניבת חשמל. הנאשם הקים מעבדה לגידול סם מסוג קנאביס וביצע שינויים במערכת החשמל. במעבדה נתפסו סמים מסוג קנאביס במשקל של </w:t>
      </w:r>
      <w:r w:rsidRPr="00884E74">
        <w:rPr>
          <w:b/>
          <w:bCs/>
          <w:rtl/>
        </w:rPr>
        <w:t>כ-40 ק"ג</w:t>
      </w:r>
      <w:r w:rsidRPr="00884E74">
        <w:rPr>
          <w:rtl/>
        </w:rPr>
        <w:t xml:space="preserve">. בית המשפט קבע </w:t>
      </w:r>
      <w:r w:rsidRPr="00884E74">
        <w:rPr>
          <w:b/>
          <w:bCs/>
          <w:rtl/>
        </w:rPr>
        <w:t>מתחם עונש הנע בין 18 ל-36 חודשי מאסר בפועל</w:t>
      </w:r>
      <w:r w:rsidRPr="00884E74">
        <w:rPr>
          <w:rtl/>
        </w:rPr>
        <w:t xml:space="preserve">. הנאשם צעיר ללא עבר פלילי, אשר שולב בטיפול ושירות המבחן המליץ על עבודות שירות, נדון לעונש של </w:t>
      </w:r>
      <w:r w:rsidRPr="00884E74">
        <w:rPr>
          <w:b/>
          <w:bCs/>
          <w:rtl/>
        </w:rPr>
        <w:t>20 חודשי מאסר בפועל</w:t>
      </w:r>
      <w:r w:rsidRPr="00884E74">
        <w:rPr>
          <w:rtl/>
        </w:rPr>
        <w:t>.</w:t>
      </w:r>
    </w:p>
    <w:p w14:paraId="3C339696"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20" w:history="1">
        <w:r w:rsidR="00762BA3" w:rsidRPr="00762BA3">
          <w:rPr>
            <w:color w:val="0000FF"/>
            <w:u w:val="single"/>
            <w:rtl/>
          </w:rPr>
          <w:t>רע"פ 8095/17</w:t>
        </w:r>
      </w:hyperlink>
      <w:r w:rsidRPr="00884E74">
        <w:rPr>
          <w:rtl/>
        </w:rPr>
        <w:t xml:space="preserve"> </w:t>
      </w:r>
      <w:r w:rsidRPr="00884E74">
        <w:rPr>
          <w:b/>
          <w:bCs/>
          <w:rtl/>
        </w:rPr>
        <w:t>סטרוסטה נ' מדינת ישראל</w:t>
      </w:r>
      <w:r w:rsidRPr="00884E74">
        <w:rPr>
          <w:rtl/>
        </w:rPr>
        <w:t xml:space="preserve"> (26.10.17), נדחתה בקשת רשות ערעור של נאשם שהורשע על פי הודאתו בעבירות של ייצור סם. הנאשם החזיק במספר רב של עציצים ובהם סם מסוג קנאביס במשקל של </w:t>
      </w:r>
      <w:r w:rsidRPr="00884E74">
        <w:rPr>
          <w:b/>
          <w:bCs/>
          <w:rtl/>
        </w:rPr>
        <w:t>52.3</w:t>
      </w:r>
      <w:r w:rsidRPr="00884E74">
        <w:rPr>
          <w:rtl/>
        </w:rPr>
        <w:t xml:space="preserve"> </w:t>
      </w:r>
      <w:r w:rsidRPr="00884E74">
        <w:rPr>
          <w:b/>
          <w:bCs/>
          <w:rtl/>
        </w:rPr>
        <w:t>ק"ג</w:t>
      </w:r>
      <w:r w:rsidRPr="00884E74">
        <w:rPr>
          <w:rtl/>
        </w:rPr>
        <w:t xml:space="preserve"> וכן מספר עציצים קטנים ובהם קנאביס במשקל של 611 גרם. בית המשפט קבע </w:t>
      </w:r>
      <w:r w:rsidRPr="00884E74">
        <w:rPr>
          <w:b/>
          <w:bCs/>
          <w:rtl/>
        </w:rPr>
        <w:t>מתחם עונש הנע בין 20 ל-32 חודשי מאסר</w:t>
      </w:r>
      <w:r w:rsidRPr="00884E74">
        <w:rPr>
          <w:rtl/>
        </w:rPr>
        <w:t xml:space="preserve">. הנאשם ללא עבר פלילי ונסיבות חייו קשות. בית המשפט חרג ממתחם העונש משיקולי שיקום והשית עליו עונש של </w:t>
      </w:r>
      <w:r w:rsidRPr="00884E74">
        <w:rPr>
          <w:b/>
          <w:bCs/>
          <w:rtl/>
        </w:rPr>
        <w:t>16 חודשי מאסר בפועל</w:t>
      </w:r>
      <w:r w:rsidRPr="00884E74">
        <w:rPr>
          <w:rtl/>
        </w:rPr>
        <w:t xml:space="preserve">. </w:t>
      </w:r>
    </w:p>
    <w:p w14:paraId="2224DC86"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21" w:history="1">
        <w:r w:rsidR="00762BA3" w:rsidRPr="00762BA3">
          <w:rPr>
            <w:color w:val="0000FF"/>
            <w:u w:val="single"/>
            <w:rtl/>
          </w:rPr>
          <w:t>ע"פ 3378/21</w:t>
        </w:r>
      </w:hyperlink>
      <w:r w:rsidRPr="00884E74">
        <w:rPr>
          <w:rtl/>
        </w:rPr>
        <w:t xml:space="preserve"> </w:t>
      </w:r>
      <w:r w:rsidRPr="00884E74">
        <w:rPr>
          <w:b/>
          <w:bCs/>
          <w:rtl/>
        </w:rPr>
        <w:t>אליהו נ' מדינת ישראל</w:t>
      </w:r>
      <w:r w:rsidRPr="00884E74">
        <w:rPr>
          <w:rtl/>
        </w:rPr>
        <w:t xml:space="preserve"> (10.8.21), קיבל בית המשפט העליון ערעור נאשם אשר הורשע על פי הודאתו בעבירות של גידול והפקת סם ונטילת חשמל. הנאשם שכר בית והקים בו מעבדה לגידול סם מסוג קנאביס. לצורך כך צייד את המעבדה בציוד מתאים ונטל חשמל. במעבדה נמצאו סמים במשקל של </w:t>
      </w:r>
      <w:r w:rsidRPr="00884E74">
        <w:rPr>
          <w:b/>
          <w:bCs/>
          <w:rtl/>
        </w:rPr>
        <w:t>54 ק"ג</w:t>
      </w:r>
      <w:r w:rsidRPr="00884E74">
        <w:rPr>
          <w:rtl/>
        </w:rPr>
        <w:t xml:space="preserve">. בית המשפט קבע </w:t>
      </w:r>
      <w:r w:rsidRPr="00884E74">
        <w:rPr>
          <w:b/>
          <w:bCs/>
          <w:rtl/>
        </w:rPr>
        <w:t>מתחם עונש הנע בין 14 ל-36 חודשי מאסר בפועל</w:t>
      </w:r>
      <w:r w:rsidRPr="00884E74">
        <w:rPr>
          <w:rtl/>
        </w:rPr>
        <w:t xml:space="preserve">. הנאשם ללא עבר פלילי עבר הליך שיקום בשירות המבחן. בית המשפט חרג ממתחם העונש בשל שיקולי שיקום והטיל עליו עונש של 10 חודשי מאסר בפועל. בית המשפט העליון הקל בעונשו משיקולי שיקום, והעמידו על </w:t>
      </w:r>
      <w:r w:rsidRPr="00884E74">
        <w:rPr>
          <w:b/>
          <w:bCs/>
          <w:rtl/>
        </w:rPr>
        <w:t>9 חודשי מאסר לריצוי בעבודות שירות</w:t>
      </w:r>
      <w:r w:rsidRPr="00884E74">
        <w:rPr>
          <w:rtl/>
        </w:rPr>
        <w:t xml:space="preserve">. </w:t>
      </w:r>
    </w:p>
    <w:p w14:paraId="7B2CC6F6"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22" w:history="1">
        <w:r w:rsidR="00762BA3" w:rsidRPr="00762BA3">
          <w:rPr>
            <w:color w:val="0000FF"/>
            <w:u w:val="single"/>
            <w:rtl/>
          </w:rPr>
          <w:t>רע"פ 174/21</w:t>
        </w:r>
      </w:hyperlink>
      <w:r w:rsidRPr="00884E74">
        <w:rPr>
          <w:rtl/>
        </w:rPr>
        <w:t xml:space="preserve"> </w:t>
      </w:r>
      <w:r w:rsidRPr="00884E74">
        <w:rPr>
          <w:b/>
          <w:bCs/>
          <w:rtl/>
        </w:rPr>
        <w:t>סויסה נ' מדינת ישראל</w:t>
      </w:r>
      <w:r w:rsidRPr="00884E74">
        <w:rPr>
          <w:rtl/>
        </w:rPr>
        <w:t xml:space="preserve"> (25.2.21), דחה בית המשפט העליון בר"ע של נאשם שהורשע בעבירת ייצור סם. הנאשם הקים מעבדה וגידל בה סם מסוג קנאביס במשקל של כ</w:t>
      </w:r>
      <w:r w:rsidRPr="00884E74">
        <w:rPr>
          <w:b/>
          <w:bCs/>
          <w:rtl/>
        </w:rPr>
        <w:t>-38 ק"ג</w:t>
      </w:r>
      <w:r w:rsidRPr="00884E74">
        <w:rPr>
          <w:rtl/>
        </w:rPr>
        <w:t xml:space="preserve">. בית משפט השלום קבע מתחם עונש שבין 10 ל-28 חודשי מאסר, חרג מהמתחם, והשית על הנאשם 9 חודשי עבודות שירות. בית המשפט המחוזי קבע כי </w:t>
      </w:r>
      <w:r w:rsidRPr="00884E74">
        <w:rPr>
          <w:b/>
          <w:bCs/>
          <w:rtl/>
        </w:rPr>
        <w:t>מתחם עונש נע בין 15 ל-30 חודשי מאסר בפועל</w:t>
      </w:r>
      <w:r w:rsidRPr="00884E74">
        <w:rPr>
          <w:rtl/>
        </w:rPr>
        <w:t xml:space="preserve">, והעמיד את עונשו של הנאשם, משיקולי שיקום, על </w:t>
      </w:r>
      <w:r w:rsidRPr="00884E74">
        <w:rPr>
          <w:b/>
          <w:bCs/>
          <w:rtl/>
        </w:rPr>
        <w:t>12 חודשי מאסר בפועל</w:t>
      </w:r>
      <w:r w:rsidRPr="00884E74">
        <w:rPr>
          <w:rtl/>
        </w:rPr>
        <w:t>.</w:t>
      </w:r>
    </w:p>
    <w:p w14:paraId="7FD9B3BD"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23" w:history="1">
        <w:r w:rsidR="00762BA3" w:rsidRPr="00762BA3">
          <w:rPr>
            <w:color w:val="0000FF"/>
            <w:u w:val="single"/>
            <w:rtl/>
          </w:rPr>
          <w:t>ת"פ (מח' ת"א) 28847-09-20</w:t>
        </w:r>
      </w:hyperlink>
      <w:r w:rsidRPr="00884E74">
        <w:rPr>
          <w:rtl/>
        </w:rPr>
        <w:t xml:space="preserve"> </w:t>
      </w:r>
      <w:r w:rsidRPr="00884E74">
        <w:rPr>
          <w:b/>
          <w:bCs/>
          <w:rtl/>
        </w:rPr>
        <w:t>מדינת ישראל נ' יבלונקה</w:t>
      </w:r>
      <w:r w:rsidRPr="00884E74">
        <w:rPr>
          <w:rtl/>
        </w:rPr>
        <w:t xml:space="preserve"> (12.9.21), הורשע נאשם על פי הודאתו בעבירות של ייצור, הכנה והפקת סם וכן בהחזקת סם והחזקת כלים וחצרים. הנאשם שכר בית והקים בו מעבדה לגידול סם מסוג קנאביס. לשם כך צייד את המעבדה בציוד מתאים ובמעבדה נתפסו סמים מסוג קנאביס במשקל של </w:t>
      </w:r>
      <w:r w:rsidRPr="00884E74">
        <w:rPr>
          <w:b/>
          <w:bCs/>
          <w:rtl/>
        </w:rPr>
        <w:t>47 ק"ג</w:t>
      </w:r>
      <w:r w:rsidRPr="00884E74">
        <w:rPr>
          <w:rtl/>
        </w:rPr>
        <w:t xml:space="preserve">. בית המשפט קבע </w:t>
      </w:r>
      <w:r w:rsidRPr="00884E74">
        <w:rPr>
          <w:b/>
          <w:bCs/>
          <w:rtl/>
        </w:rPr>
        <w:t>מתחם עונש הנע בין 20 ל-45 חודשי מאסר בפועל</w:t>
      </w:r>
      <w:r w:rsidRPr="00884E74">
        <w:rPr>
          <w:rtl/>
        </w:rPr>
        <w:t xml:space="preserve">. הנאשם ללא עבר פלילי נדון לעונש של </w:t>
      </w:r>
      <w:r w:rsidRPr="00884E74">
        <w:rPr>
          <w:b/>
          <w:bCs/>
          <w:rtl/>
        </w:rPr>
        <w:t>20 חודשי מאסר בפועל</w:t>
      </w:r>
      <w:r w:rsidRPr="00884E74">
        <w:rPr>
          <w:rtl/>
        </w:rPr>
        <w:t xml:space="preserve"> לצד ענישה נלווית. </w:t>
      </w:r>
    </w:p>
    <w:p w14:paraId="5DD15AE9"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24" w:history="1">
        <w:r w:rsidR="00762BA3" w:rsidRPr="00762BA3">
          <w:rPr>
            <w:color w:val="0000FF"/>
            <w:u w:val="single"/>
            <w:rtl/>
          </w:rPr>
          <w:t>עפ"ג (מח' מר') 33120-05-19</w:t>
        </w:r>
      </w:hyperlink>
      <w:r w:rsidRPr="00884E74">
        <w:rPr>
          <w:rtl/>
        </w:rPr>
        <w:t xml:space="preserve"> </w:t>
      </w:r>
      <w:r w:rsidRPr="00884E74">
        <w:rPr>
          <w:b/>
          <w:bCs/>
          <w:rtl/>
        </w:rPr>
        <w:t>מדינת ישראל נ' שחר</w:t>
      </w:r>
      <w:r w:rsidRPr="00884E74">
        <w:rPr>
          <w:rtl/>
        </w:rPr>
        <w:t xml:space="preserve"> (28.1.20), קיבל בית המשפט את ערעור המדינה על קולת עונשו של נאשם שהורשע על פי הודאתו בעבירות של גידול סם וגניבת חשמל. הנאשם הקים מעבדה לגידול סם, ובה נתפסו סמים מסוג קנאביס במשקל של </w:t>
      </w:r>
      <w:r w:rsidRPr="00884E74">
        <w:rPr>
          <w:b/>
          <w:bCs/>
          <w:rtl/>
        </w:rPr>
        <w:t xml:space="preserve">45.8 </w:t>
      </w:r>
      <w:r w:rsidRPr="00884E74">
        <w:rPr>
          <w:rtl/>
        </w:rPr>
        <w:t xml:space="preserve">ק"ג. בית משפט השלום קבע </w:t>
      </w:r>
      <w:r w:rsidRPr="00884E74">
        <w:rPr>
          <w:b/>
          <w:bCs/>
          <w:rtl/>
        </w:rPr>
        <w:t>מתחם עונש הנע בין 18 ל-36 חודשי מאסר בפועל</w:t>
      </w:r>
      <w:r w:rsidRPr="00884E74">
        <w:rPr>
          <w:rtl/>
        </w:rPr>
        <w:t xml:space="preserve">, חרג מהמתחם משיקולי שיקום והשית על הנאשם 9 חודשי עבודות שירות. בית המשפט המחוזי קבע כי מתחם העונש נכון, ואולם השיקום אינו מצדיק חריגה משמעותית, וקבע את עונשו על </w:t>
      </w:r>
      <w:r w:rsidRPr="00884E74">
        <w:rPr>
          <w:b/>
          <w:bCs/>
          <w:rtl/>
        </w:rPr>
        <w:t>15 חודשי מאסר בפועל</w:t>
      </w:r>
      <w:r w:rsidRPr="00884E74">
        <w:rPr>
          <w:rtl/>
        </w:rPr>
        <w:t>.</w:t>
      </w:r>
    </w:p>
    <w:p w14:paraId="43998339" w14:textId="77777777" w:rsidR="00B52E65" w:rsidRPr="00884E74" w:rsidRDefault="00B52E65" w:rsidP="00B52E65">
      <w:pPr>
        <w:numPr>
          <w:ilvl w:val="1"/>
          <w:numId w:val="1"/>
        </w:numPr>
        <w:tabs>
          <w:tab w:val="clear" w:pos="1620"/>
          <w:tab w:val="num" w:pos="1286"/>
        </w:tabs>
        <w:spacing w:after="120" w:line="360" w:lineRule="auto"/>
        <w:ind w:left="1286" w:hanging="540"/>
        <w:jc w:val="both"/>
      </w:pPr>
      <w:r w:rsidRPr="00884E74">
        <w:rPr>
          <w:rtl/>
        </w:rPr>
        <w:t>ב</w:t>
      </w:r>
      <w:hyperlink r:id="rId25" w:history="1">
        <w:r w:rsidR="00762BA3" w:rsidRPr="00762BA3">
          <w:rPr>
            <w:color w:val="0000FF"/>
            <w:u w:val="single"/>
            <w:rtl/>
          </w:rPr>
          <w:t>עפ"ג (מח' חי') 71508-12-19</w:t>
        </w:r>
      </w:hyperlink>
      <w:r w:rsidRPr="00884E74">
        <w:rPr>
          <w:rtl/>
        </w:rPr>
        <w:t xml:space="preserve"> </w:t>
      </w:r>
      <w:r w:rsidRPr="00884E74">
        <w:rPr>
          <w:b/>
          <w:bCs/>
          <w:rtl/>
        </w:rPr>
        <w:t>מדינת ישראל נ' בן חיים</w:t>
      </w:r>
      <w:r w:rsidRPr="00884E74">
        <w:rPr>
          <w:rtl/>
        </w:rPr>
        <w:t xml:space="preserve"> (27.2.20), קיבל בית המשפט ערעור המדינה בעניינו של נאשם אשר הורשע על פי הודאתו בעבירות של ייצור, הכנה והפקת סם. הנאשם הקים מעבדה לגידול סם במשקל של</w:t>
      </w:r>
      <w:r w:rsidRPr="00884E74">
        <w:rPr>
          <w:b/>
          <w:bCs/>
          <w:rtl/>
        </w:rPr>
        <w:t xml:space="preserve"> 38.6 ק"ג </w:t>
      </w:r>
      <w:r w:rsidRPr="00884E74">
        <w:rPr>
          <w:rtl/>
        </w:rPr>
        <w:t xml:space="preserve">וחלקי צמח במשקל של 49.4 ג'. בית משפט השלום קבע מתחם עונש הנע בין 8 ל-24 חודשי מאסר בפועל והטיל עונש של 10 חודשי מאסר בפועל. בית המשפט המחוזי העמיד את עונשו של הנאשם על </w:t>
      </w:r>
      <w:r w:rsidRPr="00884E74">
        <w:rPr>
          <w:b/>
          <w:bCs/>
          <w:rtl/>
        </w:rPr>
        <w:t>15 חודשי מאסר בפועל</w:t>
      </w:r>
      <w:r w:rsidRPr="00884E74">
        <w:rPr>
          <w:rtl/>
        </w:rPr>
        <w:t>.</w:t>
      </w:r>
    </w:p>
    <w:p w14:paraId="734BEEBB"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בהתאם לתיקון 113 ל</w:t>
      </w:r>
      <w:hyperlink r:id="rId26" w:history="1">
        <w:r w:rsidR="00762BA3" w:rsidRPr="00762BA3">
          <w:rPr>
            <w:rFonts w:ascii="David" w:hAnsi="David"/>
            <w:color w:val="0000FF"/>
            <w:u w:val="single"/>
            <w:rtl/>
          </w:rPr>
          <w:t>חוק העונשין</w:t>
        </w:r>
      </w:hyperlink>
      <w:r w:rsidRPr="00884E74">
        <w:rPr>
          <w:rFonts w:ascii="David" w:hAnsi="David"/>
          <w:color w:val="000000"/>
          <w:rtl/>
        </w:rPr>
        <w:t xml:space="preserve"> (סעיף </w:t>
      </w:r>
      <w:hyperlink r:id="rId27" w:history="1">
        <w:r w:rsidR="00304055" w:rsidRPr="00304055">
          <w:rPr>
            <w:rStyle w:val="Hyperlink"/>
            <w:rFonts w:ascii="David" w:hAnsi="David"/>
            <w:rtl/>
          </w:rPr>
          <w:t>40 יג'</w:t>
        </w:r>
      </w:hyperlink>
      <w:r w:rsidRPr="00884E74">
        <w:rPr>
          <w:rFonts w:ascii="David" w:hAnsi="David"/>
          <w:color w:val="000000"/>
          <w:rtl/>
        </w:rPr>
        <w:t xml:space="preserve">), אני קובע כי </w:t>
      </w:r>
      <w:r w:rsidRPr="00884E74">
        <w:rPr>
          <w:rFonts w:ascii="David" w:hAnsi="David"/>
          <w:b/>
          <w:bCs/>
          <w:color w:val="000000"/>
          <w:rtl/>
        </w:rPr>
        <w:t>מתחם העונש ההולם הוא החל מ-13 ועד ל-30 חודשי מאסר בפועל</w:t>
      </w:r>
      <w:r w:rsidRPr="00884E74">
        <w:rPr>
          <w:rFonts w:ascii="David" w:hAnsi="David"/>
          <w:color w:val="000000"/>
          <w:rtl/>
        </w:rPr>
        <w:t xml:space="preserve">.  </w:t>
      </w:r>
    </w:p>
    <w:p w14:paraId="431271A5"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 xml:space="preserve">במקרה דנן, לא קיימים שיקולים אשר מצדיקים חריגה מהמתחם, לחומרה או לקולה. נתתי דעתי להמלצת שירות המבחן להטלת עונש מאסר לריצוי בעבודות שירות ואולם סבורני שאין לקבל את המלצת שירות המבחן ולחרוג ממתחם העונש. שירות המבחן התרשם מנזקקות הנאשם לטיפול ייעודי בתחום ההתמכרויות ואולם הנאשם שלל בעייתיות בתחום זה ונזקקות טיפולית בהתאם. הנאשם מכיר באופן ראשוני בדפוסיו המכשילים והביע נכונות להשתלב בטיפול קבוצתי בשירות המבחן ואולם שירות המבחן התרשם כי שילובו של הנאשם בקבוצה טיפולית, לא יספק מענה מתאים שיוכל להפחית את הסיכון להישנות ביצוע עבירות ואף עשוי לטשטש עבורו את דפוסי תלותו בסמים ולכן נמנעו מהמלצה להעמידו בצו מבחן. מובן שבמצב דברים זה לא ניתן לקבוע שהנאשם השתקם או שקיים סיכוי ממשי לשיקומו.  </w:t>
      </w:r>
    </w:p>
    <w:p w14:paraId="359EAE91" w14:textId="77777777" w:rsidR="00B52E65" w:rsidRPr="00884E74" w:rsidRDefault="00B52E65" w:rsidP="00B52E65">
      <w:pPr>
        <w:spacing w:after="120" w:line="360" w:lineRule="auto"/>
        <w:jc w:val="both"/>
        <w:rPr>
          <w:bCs/>
          <w:u w:val="single"/>
          <w:lang w:eastAsia="he-IL"/>
        </w:rPr>
      </w:pPr>
      <w:r w:rsidRPr="00884E74">
        <w:rPr>
          <w:bCs/>
          <w:u w:val="single"/>
          <w:rtl/>
          <w:lang w:eastAsia="he-IL"/>
        </w:rPr>
        <w:t>גזירת העונש המתאים לנאשם</w:t>
      </w:r>
    </w:p>
    <w:p w14:paraId="239BD289"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color w:val="000000"/>
          <w:rtl/>
        </w:rPr>
        <w:t xml:space="preserve">בגזירת העונש המתאים לנאשם, בגדרי מתחם העונש ההולם, יש להתחשב </w:t>
      </w:r>
      <w:r w:rsidRPr="00884E74">
        <w:rPr>
          <w:rFonts w:ascii="David" w:hAnsi="David"/>
          <w:b/>
          <w:bCs/>
          <w:color w:val="000000"/>
          <w:rtl/>
        </w:rPr>
        <w:t>בנסיבות שאינן קשורות בביצוע העבירה</w:t>
      </w:r>
      <w:r w:rsidRPr="00884E74">
        <w:rPr>
          <w:rFonts w:ascii="David" w:hAnsi="David"/>
          <w:color w:val="000000"/>
          <w:rtl/>
        </w:rPr>
        <w:t xml:space="preserve">. במסגרת זו </w:t>
      </w:r>
      <w:r w:rsidRPr="00884E74">
        <w:rPr>
          <w:color w:val="000000"/>
          <w:rtl/>
        </w:rPr>
        <w:t xml:space="preserve">מן הראוי לתת את הדעת לכך שמדובר בנאשם בן 31 אשר מגיל צעיר צרך סמים מסוג קנאביס והתקשה לגלות יציבות במסגרות חייו. הנאשם צבר חובות כבדים לגורמים שונים על רקע ניסיונותיו להקמת עסקים עצמאיים שכשלו. הנאשם התקשה לפנות לעזרת משפחתו וסביבתו והתמודד עם לחצים שהופעלו עליו מצד נושיו. מובן שעונש מאסר יקשה על הנאשם בהיותו מאסר ראשון ובפרט נוכח מצבו הכלכלי. הנאשם הודה ונטל אחריות מלאה על ביצוע העבירה והוא מביע חרטה. הביע נכונות להשתלב בטיפול קבוצתי בשירות המבחן ואולם שירות המבחן התרשם שהנאשם זקוק לטיפול ייעודי בתחום ההתמכרויות וכי הטיפול בו מעוניין הנאשם לא יספק מענה לצרכיו הטיפוליים ולהפחתת הסיכון במצבו. הנאשם שלל בעייתיות בתחום ההתמכרות וטען כי אינו צורך סמים כיום וכי הוא מסוגל בכוחות עצמו להימנע מצריכת סמים לאורך זמן, זאת בפער לכך שבבדיקה שביצע בשירות המבחן נמצאו שרידי סם מסוג קנאביס. הנאשם נעדר עבר פלילי. </w:t>
      </w:r>
    </w:p>
    <w:p w14:paraId="2BE88DCA" w14:textId="77777777" w:rsidR="00B52E65" w:rsidRPr="00884E74" w:rsidRDefault="00B52E65" w:rsidP="00B52E65">
      <w:pPr>
        <w:spacing w:after="120" w:line="360" w:lineRule="auto"/>
        <w:ind w:left="720"/>
        <w:jc w:val="both"/>
        <w:rPr>
          <w:rFonts w:ascii="David" w:hAnsi="David"/>
          <w:color w:val="000000"/>
        </w:rPr>
      </w:pPr>
      <w:r w:rsidRPr="00884E74">
        <w:rPr>
          <w:rFonts w:ascii="David" w:hAnsi="David"/>
          <w:color w:val="000000"/>
          <w:rtl/>
        </w:rPr>
        <w:t xml:space="preserve">נתתי דעתי לחלוף הזמן בן השנה וחצי מעת ביצוע עבירה ולתקופה משך קרוב ל-3 חודשים שבה שהה הנאשם במעצר ובהמשך בפיקוח אלקטרוני ובתנאים מגבילים.  </w:t>
      </w:r>
    </w:p>
    <w:p w14:paraId="139444D2" w14:textId="77777777" w:rsidR="00B52E65" w:rsidRPr="00884E74" w:rsidRDefault="00B52E65" w:rsidP="00B52E65">
      <w:pPr>
        <w:numPr>
          <w:ilvl w:val="0"/>
          <w:numId w:val="1"/>
        </w:numPr>
        <w:spacing w:after="120" w:line="360" w:lineRule="auto"/>
        <w:jc w:val="both"/>
        <w:rPr>
          <w:color w:val="000000"/>
          <w:rtl/>
        </w:rPr>
      </w:pPr>
      <w:r w:rsidRPr="00884E74">
        <w:rPr>
          <w:color w:val="000000"/>
          <w:rtl/>
        </w:rPr>
        <w:t xml:space="preserve">באיזון בין השיקולים השונים, סבורני כי יש לגזור על הנאשם עונש ברף התחתון של מתחם העונש, לצד מאסר מותנה. כמו כן, יש להטיל על הנאשם קנס כספי, בהתחשב מחד גיסא בכך שמדובר בעבירה שבוצעה למטרה כלכלית, ומאידך גיסא במצבו הכלכלי של שהנאשם. </w:t>
      </w:r>
    </w:p>
    <w:p w14:paraId="3A20D5E0" w14:textId="77777777" w:rsidR="00B52E65" w:rsidRPr="00884E74" w:rsidRDefault="00B52E65" w:rsidP="00B52E65">
      <w:pPr>
        <w:spacing w:after="120" w:line="360" w:lineRule="auto"/>
        <w:jc w:val="both"/>
        <w:rPr>
          <w:b/>
          <w:bCs/>
          <w:u w:val="single"/>
          <w:rtl/>
        </w:rPr>
      </w:pPr>
      <w:r w:rsidRPr="00884E74">
        <w:rPr>
          <w:b/>
          <w:bCs/>
          <w:u w:val="single"/>
          <w:rtl/>
        </w:rPr>
        <w:t>סוף דבר</w:t>
      </w:r>
    </w:p>
    <w:p w14:paraId="18B9C4F3" w14:textId="77777777" w:rsidR="00B52E65" w:rsidRPr="00884E74" w:rsidRDefault="00B52E65" w:rsidP="00B52E65">
      <w:pPr>
        <w:numPr>
          <w:ilvl w:val="0"/>
          <w:numId w:val="1"/>
        </w:numPr>
        <w:spacing w:after="120" w:line="360" w:lineRule="auto"/>
        <w:jc w:val="both"/>
        <w:rPr>
          <w:rFonts w:ascii="David" w:hAnsi="David"/>
          <w:color w:val="000000"/>
        </w:rPr>
      </w:pPr>
      <w:r w:rsidRPr="00884E74">
        <w:rPr>
          <w:rFonts w:ascii="David" w:hAnsi="David"/>
          <w:b/>
          <w:bCs/>
          <w:color w:val="000000"/>
          <w:u w:val="single"/>
          <w:rtl/>
        </w:rPr>
        <w:t>אשר על-כן, הנני גוזר על הנאשם את העונשים הבאים</w:t>
      </w:r>
      <w:r w:rsidRPr="00884E74">
        <w:rPr>
          <w:rFonts w:ascii="David" w:hAnsi="David"/>
          <w:color w:val="000000"/>
          <w:rtl/>
        </w:rPr>
        <w:t>:</w:t>
      </w:r>
    </w:p>
    <w:p w14:paraId="29C55833" w14:textId="77777777" w:rsidR="00B52E65" w:rsidRPr="00884E74" w:rsidRDefault="00B52E65" w:rsidP="00B52E65">
      <w:pPr>
        <w:numPr>
          <w:ilvl w:val="1"/>
          <w:numId w:val="1"/>
        </w:numPr>
        <w:tabs>
          <w:tab w:val="clear" w:pos="1620"/>
          <w:tab w:val="num" w:pos="1286"/>
        </w:tabs>
        <w:spacing w:after="120" w:line="360" w:lineRule="auto"/>
        <w:ind w:left="1287" w:hanging="539"/>
        <w:jc w:val="both"/>
      </w:pPr>
      <w:r w:rsidRPr="00884E74">
        <w:rPr>
          <w:b/>
          <w:bCs/>
          <w:rtl/>
        </w:rPr>
        <w:t>13 חודשי מאסר בפועל</w:t>
      </w:r>
      <w:r w:rsidRPr="00884E74">
        <w:rPr>
          <w:rtl/>
        </w:rPr>
        <w:t xml:space="preserve">, בניכוי ימי מעצרו החל מיום 28.5.20 ועד ליום 17.8.20. </w:t>
      </w:r>
    </w:p>
    <w:p w14:paraId="12D55FAB" w14:textId="77777777" w:rsidR="00B52E65" w:rsidRPr="00884E74" w:rsidRDefault="00B52E65" w:rsidP="00B52E65">
      <w:pPr>
        <w:numPr>
          <w:ilvl w:val="1"/>
          <w:numId w:val="1"/>
        </w:numPr>
        <w:tabs>
          <w:tab w:val="clear" w:pos="1620"/>
          <w:tab w:val="num" w:pos="1286"/>
        </w:tabs>
        <w:spacing w:after="120" w:line="360" w:lineRule="auto"/>
        <w:ind w:left="1287" w:hanging="540"/>
        <w:jc w:val="both"/>
      </w:pPr>
      <w:r w:rsidRPr="00884E74">
        <w:rPr>
          <w:rtl/>
        </w:rPr>
        <w:t xml:space="preserve">12 חודשי מאסר על תנאי, לבל יעבור הנאשם במשך 3 שנים מיום שחרורו ממאסר כל עבירת סמים מסוג פשע. </w:t>
      </w:r>
    </w:p>
    <w:p w14:paraId="1EC3CD02" w14:textId="77777777" w:rsidR="00B52E65" w:rsidRPr="00884E74" w:rsidRDefault="00B52E65" w:rsidP="00B52E65">
      <w:pPr>
        <w:numPr>
          <w:ilvl w:val="1"/>
          <w:numId w:val="1"/>
        </w:numPr>
        <w:tabs>
          <w:tab w:val="clear" w:pos="1620"/>
          <w:tab w:val="num" w:pos="1286"/>
        </w:tabs>
        <w:spacing w:after="120" w:line="360" w:lineRule="auto"/>
        <w:ind w:left="1287" w:hanging="540"/>
        <w:jc w:val="both"/>
        <w:rPr>
          <w:lang w:eastAsia="he-IL"/>
        </w:rPr>
      </w:pPr>
      <w:r w:rsidRPr="00884E74">
        <w:rPr>
          <w:rtl/>
        </w:rPr>
        <w:t>קנס כספי בסך של 12,000 ₪ או 60 ימי מאסר תמורתו. הקנס ישולם ב- 10 תשלומים חודשיים שווים</w:t>
      </w:r>
      <w:r w:rsidRPr="00884E74">
        <w:rPr>
          <w:rtl/>
          <w:lang w:eastAsia="he-IL"/>
        </w:rPr>
        <w:t xml:space="preserve"> ורצופים, שהראשון שבהם ביום 1.9.22. אם לא ישולם תשלום כלשהו במועדו, תעמוד היתרה לפירעון מיידי.</w:t>
      </w:r>
    </w:p>
    <w:p w14:paraId="589C8DCE" w14:textId="77777777" w:rsidR="00B52E65" w:rsidRPr="00884E74" w:rsidRDefault="00B52E65" w:rsidP="00B52E65">
      <w:pPr>
        <w:numPr>
          <w:ilvl w:val="1"/>
          <w:numId w:val="1"/>
        </w:numPr>
        <w:tabs>
          <w:tab w:val="clear" w:pos="1620"/>
          <w:tab w:val="num" w:pos="1286"/>
        </w:tabs>
        <w:spacing w:after="120" w:line="360" w:lineRule="auto"/>
        <w:ind w:left="1287" w:hanging="540"/>
        <w:jc w:val="both"/>
        <w:rPr>
          <w:lang w:eastAsia="he-IL"/>
        </w:rPr>
      </w:pPr>
      <w:r w:rsidRPr="00884E74">
        <w:rPr>
          <w:rtl/>
          <w:lang w:eastAsia="he-IL"/>
        </w:rPr>
        <w:t xml:space="preserve">חילוט ציוד המעבדה. </w:t>
      </w:r>
    </w:p>
    <w:p w14:paraId="08F90E00" w14:textId="77777777" w:rsidR="00B52E65" w:rsidRPr="00884E74" w:rsidRDefault="00B52E65" w:rsidP="00B52E65">
      <w:pPr>
        <w:spacing w:after="120" w:line="360" w:lineRule="auto"/>
        <w:ind w:left="1287"/>
        <w:jc w:val="both"/>
        <w:rPr>
          <w:lang w:eastAsia="he-IL"/>
        </w:rPr>
      </w:pPr>
      <w:r w:rsidRPr="00884E74">
        <w:rPr>
          <w:rtl/>
          <w:lang w:eastAsia="he-IL"/>
        </w:rPr>
        <w:t xml:space="preserve">הסם יושמד. </w:t>
      </w:r>
    </w:p>
    <w:p w14:paraId="559ADAA2" w14:textId="77777777" w:rsidR="00B52E65" w:rsidRPr="00884E74" w:rsidRDefault="00B52E65" w:rsidP="00B52E65">
      <w:pPr>
        <w:spacing w:after="120" w:line="360" w:lineRule="auto"/>
        <w:ind w:left="720"/>
        <w:jc w:val="both"/>
        <w:rPr>
          <w:rFonts w:ascii="David" w:hAnsi="David"/>
          <w:color w:val="000000"/>
          <w:rtl/>
          <w:lang w:eastAsia="he-IL"/>
        </w:rPr>
      </w:pPr>
    </w:p>
    <w:p w14:paraId="30C26161" w14:textId="77777777" w:rsidR="00B52E65" w:rsidRPr="00884E74" w:rsidRDefault="00B52E65" w:rsidP="00B52E65">
      <w:pPr>
        <w:spacing w:after="120" w:line="360" w:lineRule="auto"/>
        <w:ind w:left="720"/>
        <w:jc w:val="both"/>
        <w:rPr>
          <w:color w:val="000000"/>
        </w:rPr>
      </w:pPr>
      <w:r w:rsidRPr="00884E74">
        <w:rPr>
          <w:rFonts w:ascii="David" w:hAnsi="David"/>
          <w:color w:val="000000"/>
          <w:rtl/>
          <w:lang w:eastAsia="he-IL"/>
        </w:rPr>
        <w:t xml:space="preserve">הנאשם יתייצב לריצוי מאסרו בבית הסוהר הדרים ביום </w:t>
      </w:r>
      <w:r>
        <w:rPr>
          <w:rFonts w:ascii="David" w:hAnsi="David" w:hint="cs"/>
          <w:color w:val="000000"/>
          <w:rtl/>
          <w:lang w:eastAsia="he-IL"/>
        </w:rPr>
        <w:t xml:space="preserve">1.3.22 </w:t>
      </w:r>
      <w:r w:rsidRPr="00884E74">
        <w:rPr>
          <w:rFonts w:ascii="David" w:hAnsi="David"/>
          <w:color w:val="000000"/>
          <w:rtl/>
          <w:lang w:eastAsia="he-IL"/>
        </w:rPr>
        <w:t>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2C1E88A0" w14:textId="77777777" w:rsidR="00B52E65" w:rsidRPr="00884E74" w:rsidRDefault="00B52E65" w:rsidP="00B52E65">
      <w:pPr>
        <w:spacing w:after="120" w:line="360" w:lineRule="auto"/>
        <w:ind w:left="720"/>
        <w:jc w:val="both"/>
        <w:rPr>
          <w:rFonts w:ascii="David" w:hAnsi="David"/>
          <w:color w:val="000000"/>
          <w:rtl/>
          <w:lang w:eastAsia="he-IL"/>
        </w:rPr>
      </w:pPr>
      <w:r w:rsidRPr="00884E74">
        <w:rPr>
          <w:rFonts w:ascii="David" w:hAnsi="David"/>
          <w:color w:val="000000"/>
          <w:rtl/>
          <w:lang w:eastAsia="he-IL"/>
        </w:rPr>
        <w:t>מזכירות בית המשפט תמציא העתק גזר דין לשירות המבחן.</w:t>
      </w:r>
    </w:p>
    <w:p w14:paraId="2A6C396B" w14:textId="77777777" w:rsidR="00B52E65" w:rsidRPr="00884E74" w:rsidRDefault="00B52E65" w:rsidP="00B52E65">
      <w:pPr>
        <w:spacing w:after="120" w:line="360" w:lineRule="auto"/>
        <w:ind w:firstLine="360"/>
        <w:jc w:val="both"/>
        <w:rPr>
          <w:rtl/>
          <w:lang w:eastAsia="he-IL"/>
        </w:rPr>
      </w:pPr>
      <w:r w:rsidRPr="00884E74">
        <w:rPr>
          <w:rtl/>
          <w:lang w:eastAsia="he-IL"/>
        </w:rPr>
        <w:tab/>
        <w:t xml:space="preserve">זכות ערעור לבית-המשפט העליון תוך 45 ימים. </w:t>
      </w:r>
    </w:p>
    <w:p w14:paraId="14E388CD" w14:textId="77777777" w:rsidR="00B52E65" w:rsidRPr="00884E74" w:rsidRDefault="00B52E65" w:rsidP="00B52E65">
      <w:pPr>
        <w:jc w:val="both"/>
        <w:rPr>
          <w:rFonts w:cs="Times New Roman"/>
        </w:rPr>
      </w:pPr>
    </w:p>
    <w:p w14:paraId="7803EC86" w14:textId="77777777" w:rsidR="00B52E65" w:rsidRPr="00762BA3" w:rsidRDefault="00762BA3" w:rsidP="00B52E65">
      <w:pPr>
        <w:rPr>
          <w:rFonts w:ascii="David" w:hAnsi="David"/>
          <w:color w:val="FFFFFF"/>
          <w:sz w:val="2"/>
          <w:szCs w:val="2"/>
          <w:rtl/>
        </w:rPr>
      </w:pPr>
      <w:r w:rsidRPr="00762BA3">
        <w:rPr>
          <w:rFonts w:ascii="David" w:hAnsi="David"/>
          <w:color w:val="FFFFFF"/>
          <w:sz w:val="2"/>
          <w:szCs w:val="2"/>
          <w:rtl/>
        </w:rPr>
        <w:t>5129371</w:t>
      </w:r>
    </w:p>
    <w:p w14:paraId="4995B888" w14:textId="77777777" w:rsidR="00B52E65" w:rsidRPr="00762BA3" w:rsidRDefault="00762BA3" w:rsidP="00B52E65">
      <w:pPr>
        <w:rPr>
          <w:rFonts w:ascii="David" w:hAnsi="David"/>
          <w:color w:val="FFFFFF"/>
          <w:sz w:val="2"/>
          <w:szCs w:val="2"/>
          <w:rtl/>
        </w:rPr>
      </w:pPr>
      <w:r w:rsidRPr="00762BA3">
        <w:rPr>
          <w:rFonts w:ascii="David" w:hAnsi="David"/>
          <w:color w:val="FFFFFF"/>
          <w:sz w:val="2"/>
          <w:szCs w:val="2"/>
          <w:rtl/>
        </w:rPr>
        <w:t>54678313</w:t>
      </w:r>
    </w:p>
    <w:p w14:paraId="0FD509F5" w14:textId="77777777" w:rsidR="00B52E65" w:rsidRPr="002B7D23" w:rsidRDefault="00B52E65" w:rsidP="00B52E65">
      <w:pPr>
        <w:rPr>
          <w:rFonts w:ascii="David" w:hAnsi="David"/>
          <w:sz w:val="26"/>
          <w:szCs w:val="26"/>
          <w:rtl/>
        </w:rPr>
      </w:pPr>
    </w:p>
    <w:p w14:paraId="7AEBB997" w14:textId="77777777" w:rsidR="00B52E65" w:rsidRPr="002B7D23" w:rsidRDefault="00762BA3" w:rsidP="00B52E65">
      <w:pPr>
        <w:rPr>
          <w:rFonts w:ascii="David" w:hAnsi="David"/>
          <w:sz w:val="26"/>
          <w:szCs w:val="26"/>
          <w:rtl/>
        </w:rPr>
      </w:pPr>
      <w:bookmarkStart w:id="8" w:name="Nitan"/>
      <w:r>
        <w:rPr>
          <w:rFonts w:ascii="David" w:hAnsi="David"/>
          <w:sz w:val="26"/>
          <w:szCs w:val="26"/>
          <w:rtl/>
        </w:rPr>
        <w:t xml:space="preserve">ניתן היום,  ח' טבת תשפ"ב, 12 דצמבר 2021, בנוכחות הצדדים. </w:t>
      </w:r>
      <w:bookmarkEnd w:id="8"/>
    </w:p>
    <w:p w14:paraId="403BE1E6" w14:textId="77777777" w:rsidR="00B52E65" w:rsidRPr="002B7D23" w:rsidRDefault="00B52E65" w:rsidP="00762BA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455FAC3" w14:textId="77777777" w:rsidR="00762BA3" w:rsidRDefault="00304055" w:rsidP="00762BA3">
      <w:r w:rsidRPr="00304055">
        <w:rPr>
          <w:rFonts w:ascii="David" w:hAnsi="David"/>
          <w:color w:val="FFFFFF"/>
          <w:sz w:val="2"/>
          <w:szCs w:val="2"/>
          <w:rtl/>
        </w:rPr>
        <w:t>5129371</w:t>
      </w:r>
    </w:p>
    <w:p w14:paraId="0181EC40" w14:textId="77777777" w:rsidR="00762BA3" w:rsidRDefault="00762BA3" w:rsidP="00762BA3">
      <w:pPr>
        <w:rPr>
          <w:rtl/>
        </w:rPr>
      </w:pPr>
    </w:p>
    <w:p w14:paraId="70510BD1" w14:textId="77777777" w:rsidR="00762BA3" w:rsidRDefault="00762BA3" w:rsidP="00762BA3">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03F5672" w14:textId="77777777" w:rsidR="00304055" w:rsidRPr="00304055" w:rsidRDefault="00304055" w:rsidP="00304055">
      <w:pPr>
        <w:keepNext/>
        <w:rPr>
          <w:rFonts w:ascii="David" w:hAnsi="David"/>
          <w:color w:val="000000"/>
          <w:sz w:val="22"/>
          <w:szCs w:val="22"/>
          <w:rtl/>
        </w:rPr>
      </w:pPr>
    </w:p>
    <w:p w14:paraId="48E45304" w14:textId="77777777" w:rsidR="00304055" w:rsidRPr="00304055" w:rsidRDefault="00304055" w:rsidP="00304055">
      <w:pPr>
        <w:keepNext/>
        <w:rPr>
          <w:rFonts w:ascii="David" w:hAnsi="David"/>
          <w:color w:val="000000"/>
          <w:sz w:val="22"/>
          <w:szCs w:val="22"/>
          <w:rtl/>
        </w:rPr>
      </w:pPr>
      <w:r w:rsidRPr="00304055">
        <w:rPr>
          <w:rFonts w:ascii="David" w:hAnsi="David"/>
          <w:color w:val="000000"/>
          <w:sz w:val="22"/>
          <w:szCs w:val="22"/>
          <w:rtl/>
        </w:rPr>
        <w:t>עמי קובו 54678313-/</w:t>
      </w:r>
    </w:p>
    <w:p w14:paraId="7A51A72D" w14:textId="77777777" w:rsidR="00762BA3" w:rsidRPr="00762BA3" w:rsidRDefault="00304055" w:rsidP="00304055">
      <w:pPr>
        <w:rPr>
          <w:rFonts w:hint="cs"/>
          <w:color w:val="0000FF"/>
          <w:u w:val="single"/>
        </w:rPr>
      </w:pPr>
      <w:r w:rsidRPr="00304055">
        <w:rPr>
          <w:color w:val="000000"/>
          <w:u w:val="single"/>
          <w:rtl/>
        </w:rPr>
        <w:t>נוסח מסמך זה כפוף לשינויי ניסוח ועריכה</w:t>
      </w:r>
      <w:r w:rsidR="00855EC7">
        <w:rPr>
          <w:rFonts w:hint="cs"/>
          <w:color w:val="0000FF"/>
          <w:u w:val="single"/>
          <w:rtl/>
        </w:rPr>
        <w:t xml:space="preserve"> </w:t>
      </w:r>
    </w:p>
    <w:sectPr w:rsidR="00762BA3" w:rsidRPr="00762BA3" w:rsidSect="0030405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1D2E1" w14:textId="77777777" w:rsidR="003C52A4" w:rsidRDefault="003C52A4" w:rsidP="00746A1F">
      <w:r>
        <w:separator/>
      </w:r>
    </w:p>
  </w:endnote>
  <w:endnote w:type="continuationSeparator" w:id="0">
    <w:p w14:paraId="4332FB21" w14:textId="77777777" w:rsidR="003C52A4" w:rsidRDefault="003C52A4" w:rsidP="0074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72D04" w14:textId="77777777" w:rsidR="00304055" w:rsidRDefault="00304055" w:rsidP="0030405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56D848" w14:textId="77777777" w:rsidR="0044406B" w:rsidRPr="00304055" w:rsidRDefault="00304055" w:rsidP="00304055">
    <w:pPr>
      <w:pStyle w:val="a6"/>
      <w:pBdr>
        <w:top w:val="single" w:sz="4" w:space="1" w:color="auto"/>
        <w:between w:val="single" w:sz="4" w:space="0" w:color="auto"/>
      </w:pBdr>
      <w:spacing w:after="60"/>
      <w:jc w:val="center"/>
      <w:rPr>
        <w:rFonts w:ascii="FrankRuehl" w:hAnsi="FrankRuehl" w:cs="FrankRuehl"/>
        <w:color w:val="000000"/>
      </w:rPr>
    </w:pPr>
    <w:r w:rsidRPr="003040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8145" w14:textId="77777777" w:rsidR="00304055" w:rsidRDefault="00304055" w:rsidP="0030405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3CCD">
      <w:rPr>
        <w:rFonts w:ascii="FrankRuehl" w:hAnsi="FrankRuehl" w:cs="FrankRuehl"/>
        <w:noProof/>
        <w:rtl/>
      </w:rPr>
      <w:t>1</w:t>
    </w:r>
    <w:r>
      <w:rPr>
        <w:rFonts w:ascii="FrankRuehl" w:hAnsi="FrankRuehl" w:cs="FrankRuehl"/>
        <w:rtl/>
      </w:rPr>
      <w:fldChar w:fldCharType="end"/>
    </w:r>
  </w:p>
  <w:p w14:paraId="4AFCF182" w14:textId="77777777" w:rsidR="0044406B" w:rsidRPr="00304055" w:rsidRDefault="00304055" w:rsidP="00304055">
    <w:pPr>
      <w:pStyle w:val="a6"/>
      <w:pBdr>
        <w:top w:val="single" w:sz="4" w:space="1" w:color="auto"/>
        <w:between w:val="single" w:sz="4" w:space="0" w:color="auto"/>
      </w:pBdr>
      <w:spacing w:after="60"/>
      <w:jc w:val="center"/>
      <w:rPr>
        <w:rFonts w:ascii="FrankRuehl" w:hAnsi="FrankRuehl" w:cs="FrankRuehl"/>
        <w:color w:val="000000"/>
      </w:rPr>
    </w:pPr>
    <w:r w:rsidRPr="00304055">
      <w:rPr>
        <w:rFonts w:ascii="FrankRuehl" w:hAnsi="FrankRuehl" w:cs="FrankRuehl"/>
        <w:color w:val="000000"/>
      </w:rPr>
      <w:pict w14:anchorId="74390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4361B" w14:textId="77777777" w:rsidR="003C52A4" w:rsidRDefault="003C52A4" w:rsidP="00746A1F">
      <w:r>
        <w:separator/>
      </w:r>
    </w:p>
  </w:footnote>
  <w:footnote w:type="continuationSeparator" w:id="0">
    <w:p w14:paraId="1984FA2E" w14:textId="77777777" w:rsidR="003C52A4" w:rsidRDefault="003C52A4" w:rsidP="0074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25D40" w14:textId="77777777" w:rsidR="00762BA3" w:rsidRPr="00304055" w:rsidRDefault="00304055" w:rsidP="0030405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21536-06-20</w:t>
    </w:r>
    <w:r>
      <w:rPr>
        <w:rFonts w:ascii="David" w:hAnsi="David"/>
        <w:color w:val="000000"/>
        <w:sz w:val="22"/>
        <w:szCs w:val="22"/>
        <w:rtl/>
      </w:rPr>
      <w:tab/>
      <w:t xml:space="preserve"> מדינת ישראל נ' מיכאל לינדנמן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F180" w14:textId="77777777" w:rsidR="00762BA3" w:rsidRPr="00304055" w:rsidRDefault="00304055" w:rsidP="0030405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21536-06-20</w:t>
    </w:r>
    <w:r>
      <w:rPr>
        <w:rFonts w:ascii="David" w:hAnsi="David"/>
        <w:color w:val="000000"/>
        <w:sz w:val="22"/>
        <w:szCs w:val="22"/>
        <w:rtl/>
      </w:rPr>
      <w:tab/>
      <w:t xml:space="preserve"> מדינת ישראל נ' מיכאל לינדנמן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F3A6C55E"/>
    <w:lvl w:ilvl="0" w:tplc="800A5CAC">
      <w:start w:val="1"/>
      <w:numFmt w:val="decimal"/>
      <w:pStyle w:val="a"/>
      <w:lvlText w:val="%1."/>
      <w:lvlJc w:val="left"/>
      <w:pPr>
        <w:tabs>
          <w:tab w:val="num" w:pos="720"/>
        </w:tabs>
        <w:ind w:left="720" w:hanging="720"/>
      </w:pPr>
      <w:rPr>
        <w:rFonts w:cs="Times New Roman" w:hint="default"/>
        <w:b w:val="0"/>
        <w:bCs w:val="0"/>
      </w:rPr>
    </w:lvl>
    <w:lvl w:ilvl="1" w:tplc="1C2AF0B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5713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2E65"/>
    <w:rsid w:val="00003CCD"/>
    <w:rsid w:val="001B5A3B"/>
    <w:rsid w:val="00304055"/>
    <w:rsid w:val="003C52A4"/>
    <w:rsid w:val="0042353D"/>
    <w:rsid w:val="0044406B"/>
    <w:rsid w:val="00746A1F"/>
    <w:rsid w:val="00762BA3"/>
    <w:rsid w:val="00855EC7"/>
    <w:rsid w:val="009A162E"/>
    <w:rsid w:val="00A718F8"/>
    <w:rsid w:val="00B11635"/>
    <w:rsid w:val="00B52E65"/>
    <w:rsid w:val="00BA3239"/>
    <w:rsid w:val="00CE781B"/>
    <w:rsid w:val="00F86243"/>
    <w:rsid w:val="00FA7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23273F"/>
  <w15:chartTrackingRefBased/>
  <w15:docId w15:val="{9DBB014F-4E20-4B89-8AB3-5188745C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52E65"/>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B52E65"/>
    <w:pPr>
      <w:tabs>
        <w:tab w:val="center" w:pos="4153"/>
        <w:tab w:val="right" w:pos="8306"/>
      </w:tabs>
    </w:pPr>
  </w:style>
  <w:style w:type="character" w:customStyle="1" w:styleId="a5">
    <w:name w:val="כותרת עליונה תו"/>
    <w:link w:val="a4"/>
    <w:rsid w:val="00B52E65"/>
    <w:rPr>
      <w:rFonts w:ascii="Times New Roman" w:eastAsia="Times New Roman" w:hAnsi="Times New Roman" w:cs="David"/>
      <w:sz w:val="24"/>
      <w:szCs w:val="24"/>
    </w:rPr>
  </w:style>
  <w:style w:type="paragraph" w:styleId="a6">
    <w:name w:val="footer"/>
    <w:basedOn w:val="a0"/>
    <w:link w:val="a7"/>
    <w:rsid w:val="00B52E65"/>
    <w:pPr>
      <w:tabs>
        <w:tab w:val="center" w:pos="4153"/>
        <w:tab w:val="right" w:pos="8306"/>
      </w:tabs>
    </w:pPr>
  </w:style>
  <w:style w:type="character" w:customStyle="1" w:styleId="a7">
    <w:name w:val="כותרת תחתונה תו"/>
    <w:link w:val="a6"/>
    <w:rsid w:val="00B52E65"/>
    <w:rPr>
      <w:rFonts w:ascii="Times New Roman" w:eastAsia="Times New Roman" w:hAnsi="Times New Roman" w:cs="David"/>
      <w:sz w:val="24"/>
      <w:szCs w:val="24"/>
    </w:rPr>
  </w:style>
  <w:style w:type="table" w:styleId="a8">
    <w:name w:val="Table Grid"/>
    <w:basedOn w:val="a2"/>
    <w:rsid w:val="00B52E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52E65"/>
  </w:style>
  <w:style w:type="paragraph" w:customStyle="1" w:styleId="a">
    <w:name w:val="ממוספר"/>
    <w:basedOn w:val="a0"/>
    <w:rsid w:val="00B52E65"/>
    <w:pPr>
      <w:numPr>
        <w:numId w:val="1"/>
      </w:numPr>
      <w:spacing w:after="120" w:line="360" w:lineRule="auto"/>
    </w:pPr>
    <w:rPr>
      <w:rFonts w:ascii="David" w:hAnsi="David"/>
      <w:color w:val="000000"/>
    </w:rPr>
  </w:style>
  <w:style w:type="character" w:styleId="Hyperlink">
    <w:name w:val="Hyperlink"/>
    <w:rsid w:val="00762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229615" TargetMode="External"/><Relationship Id="rId18" Type="http://schemas.openxmlformats.org/officeDocument/2006/relationships/hyperlink" Target="http://www.nevo.co.il/case/13070717"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7624179"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991436" TargetMode="External"/><Relationship Id="rId25" Type="http://schemas.openxmlformats.org/officeDocument/2006/relationships/hyperlink" Target="http://www.nevo.co.il/case/263161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313460" TargetMode="External"/><Relationship Id="rId20" Type="http://schemas.openxmlformats.org/officeDocument/2006/relationships/hyperlink" Target="http://www.nevo.co.il/case/2322623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569574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2841413" TargetMode="External"/><Relationship Id="rId23" Type="http://schemas.openxmlformats.org/officeDocument/2006/relationships/hyperlink" Target="http://www.nevo.co.il/case/2699824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case/2492912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3827604" TargetMode="External"/><Relationship Id="rId22" Type="http://schemas.openxmlformats.org/officeDocument/2006/relationships/hyperlink" Target="http://www.nevo.co.il/case/27313460" TargetMode="External"/><Relationship Id="rId27" Type="http://schemas.openxmlformats.org/officeDocument/2006/relationships/hyperlink" Target="http://www.nevo.co.il/law/70301/40jc"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3109</Words>
  <Characters>15550</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18622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3604594</vt:i4>
      </vt:variant>
      <vt:variant>
        <vt:i4>54</vt:i4>
      </vt:variant>
      <vt:variant>
        <vt:i4>0</vt:i4>
      </vt:variant>
      <vt:variant>
        <vt:i4>5</vt:i4>
      </vt:variant>
      <vt:variant>
        <vt:lpwstr>http://www.nevo.co.il/case/26316101</vt:lpwstr>
      </vt:variant>
      <vt:variant>
        <vt:lpwstr/>
      </vt:variant>
      <vt:variant>
        <vt:i4>3473535</vt:i4>
      </vt:variant>
      <vt:variant>
        <vt:i4>51</vt:i4>
      </vt:variant>
      <vt:variant>
        <vt:i4>0</vt:i4>
      </vt:variant>
      <vt:variant>
        <vt:i4>5</vt:i4>
      </vt:variant>
      <vt:variant>
        <vt:lpwstr>http://www.nevo.co.il/case/25695748</vt:lpwstr>
      </vt:variant>
      <vt:variant>
        <vt:lpwstr/>
      </vt:variant>
      <vt:variant>
        <vt:i4>3604601</vt:i4>
      </vt:variant>
      <vt:variant>
        <vt:i4>48</vt:i4>
      </vt:variant>
      <vt:variant>
        <vt:i4>0</vt:i4>
      </vt:variant>
      <vt:variant>
        <vt:i4>5</vt:i4>
      </vt:variant>
      <vt:variant>
        <vt:lpwstr>http://www.nevo.co.il/case/26998241</vt:lpwstr>
      </vt:variant>
      <vt:variant>
        <vt:lpwstr/>
      </vt:variant>
      <vt:variant>
        <vt:i4>3407990</vt:i4>
      </vt:variant>
      <vt:variant>
        <vt:i4>45</vt:i4>
      </vt:variant>
      <vt:variant>
        <vt:i4>0</vt:i4>
      </vt:variant>
      <vt:variant>
        <vt:i4>5</vt:i4>
      </vt:variant>
      <vt:variant>
        <vt:lpwstr>http://www.nevo.co.il/case/27313460</vt:lpwstr>
      </vt:variant>
      <vt:variant>
        <vt:lpwstr/>
      </vt:variant>
      <vt:variant>
        <vt:i4>3604592</vt:i4>
      </vt:variant>
      <vt:variant>
        <vt:i4>42</vt:i4>
      </vt:variant>
      <vt:variant>
        <vt:i4>0</vt:i4>
      </vt:variant>
      <vt:variant>
        <vt:i4>5</vt:i4>
      </vt:variant>
      <vt:variant>
        <vt:lpwstr>http://www.nevo.co.il/case/27624179</vt:lpwstr>
      </vt:variant>
      <vt:variant>
        <vt:lpwstr/>
      </vt:variant>
      <vt:variant>
        <vt:i4>3473527</vt:i4>
      </vt:variant>
      <vt:variant>
        <vt:i4>39</vt:i4>
      </vt:variant>
      <vt:variant>
        <vt:i4>0</vt:i4>
      </vt:variant>
      <vt:variant>
        <vt:i4>5</vt:i4>
      </vt:variant>
      <vt:variant>
        <vt:lpwstr>http://www.nevo.co.il/case/23226235</vt:lpwstr>
      </vt:variant>
      <vt:variant>
        <vt:lpwstr/>
      </vt:variant>
      <vt:variant>
        <vt:i4>3145843</vt:i4>
      </vt:variant>
      <vt:variant>
        <vt:i4>36</vt:i4>
      </vt:variant>
      <vt:variant>
        <vt:i4>0</vt:i4>
      </vt:variant>
      <vt:variant>
        <vt:i4>5</vt:i4>
      </vt:variant>
      <vt:variant>
        <vt:lpwstr>http://www.nevo.co.il/case/24929127</vt:lpwstr>
      </vt:variant>
      <vt:variant>
        <vt:lpwstr/>
      </vt:variant>
      <vt:variant>
        <vt:i4>3145847</vt:i4>
      </vt:variant>
      <vt:variant>
        <vt:i4>33</vt:i4>
      </vt:variant>
      <vt:variant>
        <vt:i4>0</vt:i4>
      </vt:variant>
      <vt:variant>
        <vt:i4>5</vt:i4>
      </vt:variant>
      <vt:variant>
        <vt:lpwstr>http://www.nevo.co.il/case/13070717</vt:lpwstr>
      </vt:variant>
      <vt:variant>
        <vt:lpwstr/>
      </vt:variant>
      <vt:variant>
        <vt:i4>3735679</vt:i4>
      </vt:variant>
      <vt:variant>
        <vt:i4>30</vt:i4>
      </vt:variant>
      <vt:variant>
        <vt:i4>0</vt:i4>
      </vt:variant>
      <vt:variant>
        <vt:i4>5</vt:i4>
      </vt:variant>
      <vt:variant>
        <vt:lpwstr>http://www.nevo.co.il/case/26991436</vt:lpwstr>
      </vt:variant>
      <vt:variant>
        <vt:lpwstr/>
      </vt:variant>
      <vt:variant>
        <vt:i4>3407990</vt:i4>
      </vt:variant>
      <vt:variant>
        <vt:i4>27</vt:i4>
      </vt:variant>
      <vt:variant>
        <vt:i4>0</vt:i4>
      </vt:variant>
      <vt:variant>
        <vt:i4>5</vt:i4>
      </vt:variant>
      <vt:variant>
        <vt:lpwstr>http://www.nevo.co.il/case/27313460</vt:lpwstr>
      </vt:variant>
      <vt:variant>
        <vt:lpwstr/>
      </vt:variant>
      <vt:variant>
        <vt:i4>3801206</vt:i4>
      </vt:variant>
      <vt:variant>
        <vt:i4>24</vt:i4>
      </vt:variant>
      <vt:variant>
        <vt:i4>0</vt:i4>
      </vt:variant>
      <vt:variant>
        <vt:i4>5</vt:i4>
      </vt:variant>
      <vt:variant>
        <vt:lpwstr>http://www.nevo.co.il/case/22841413</vt:lpwstr>
      </vt:variant>
      <vt:variant>
        <vt:lpwstr/>
      </vt:variant>
      <vt:variant>
        <vt:i4>3997811</vt:i4>
      </vt:variant>
      <vt:variant>
        <vt:i4>21</vt:i4>
      </vt:variant>
      <vt:variant>
        <vt:i4>0</vt:i4>
      </vt:variant>
      <vt:variant>
        <vt:i4>5</vt:i4>
      </vt:variant>
      <vt:variant>
        <vt:lpwstr>http://www.nevo.co.il/case/23827604</vt:lpwstr>
      </vt:variant>
      <vt:variant>
        <vt:lpwstr/>
      </vt:variant>
      <vt:variant>
        <vt:i4>3670135</vt:i4>
      </vt:variant>
      <vt:variant>
        <vt:i4>18</vt:i4>
      </vt:variant>
      <vt:variant>
        <vt:i4>0</vt:i4>
      </vt:variant>
      <vt:variant>
        <vt:i4>5</vt:i4>
      </vt:variant>
      <vt:variant>
        <vt:lpwstr>http://www.nevo.co.il/case/27229615</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21536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מיכאל לינדנמן</vt:lpwstr>
  </property>
  <property fmtid="{D5CDD505-2E9C-101B-9397-08002B2CF9AE}" pid="10" name="LAWYER">
    <vt:lpwstr>רעות אבירי;יניב שגב;אנסטסיה סליאקוב</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20211212</vt:lpwstr>
  </property>
  <property fmtid="{D5CDD505-2E9C-101B-9397-08002B2CF9AE}" pid="14" name="TYPE_N_DATE">
    <vt:lpwstr>39020211212</vt:lpwstr>
  </property>
  <property fmtid="{D5CDD505-2E9C-101B-9397-08002B2CF9AE}" pid="15" name="WORDNUMPAGES">
    <vt:lpwstr>9</vt:lpwstr>
  </property>
  <property fmtid="{D5CDD505-2E9C-101B-9397-08002B2CF9AE}" pid="16" name="TYPE_ABS_DATE">
    <vt:lpwstr>390020211212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27229615;23827604;22841413;27313460:2;26991436;13070717;24929127;23226235;27624179;26998241;25695748;26316101</vt:lpwstr>
  </property>
  <property fmtid="{D5CDD505-2E9C-101B-9397-08002B2CF9AE}" pid="36" name="LAWLISTTMP1">
    <vt:lpwstr>4216/006</vt:lpwstr>
  </property>
  <property fmtid="{D5CDD505-2E9C-101B-9397-08002B2CF9AE}" pid="37" name="LAWLISTTMP2">
    <vt:lpwstr>70301/40jc</vt:lpwstr>
  </property>
</Properties>
</file>