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B75BB" w:rsidRPr="000F5A41" w14:paraId="3B3A4DAE" w14:textId="77777777" w:rsidTr="00E5195C">
        <w:trPr>
          <w:trHeight w:hRule="exact" w:val="418"/>
          <w:jc w:val="center"/>
        </w:trPr>
        <w:tc>
          <w:tcPr>
            <w:tcW w:w="8721" w:type="dxa"/>
            <w:gridSpan w:val="2"/>
          </w:tcPr>
          <w:p w14:paraId="036E5833" w14:textId="77777777" w:rsidR="00EB75BB" w:rsidRPr="000F5A41" w:rsidRDefault="00EB75BB" w:rsidP="000A0DC9">
            <w:pPr>
              <w:pStyle w:val="a4"/>
              <w:jc w:val="center"/>
              <w:rPr>
                <w:rFonts w:ascii="Tahoma" w:hAnsi="Tahoma" w:cs="Tahoma"/>
                <w:color w:val="000080"/>
                <w:rtl/>
              </w:rPr>
            </w:pPr>
            <w:bookmarkStart w:id="0" w:name="LastJudge"/>
            <w:r w:rsidRPr="000F5A41">
              <w:rPr>
                <w:rFonts w:ascii="Tahoma" w:hAnsi="Tahoma" w:cs="Tahoma"/>
                <w:b/>
                <w:bCs/>
                <w:color w:val="000080"/>
                <w:rtl/>
              </w:rPr>
              <w:t>בית המשפט המחוזי בחיפה</w:t>
            </w:r>
          </w:p>
        </w:tc>
      </w:tr>
      <w:tr w:rsidR="00EB75BB" w:rsidRPr="000F5A41" w14:paraId="3C45F213" w14:textId="77777777" w:rsidTr="00E5195C">
        <w:trPr>
          <w:trHeight w:val="337"/>
          <w:jc w:val="center"/>
        </w:trPr>
        <w:tc>
          <w:tcPr>
            <w:tcW w:w="5058" w:type="dxa"/>
          </w:tcPr>
          <w:p w14:paraId="46C2EC0B" w14:textId="77777777" w:rsidR="00EB75BB" w:rsidRPr="000F5A41" w:rsidRDefault="00EB75BB" w:rsidP="000A0DC9">
            <w:pPr>
              <w:rPr>
                <w:rFonts w:cs="FrankRuehl"/>
                <w:sz w:val="28"/>
                <w:szCs w:val="28"/>
                <w:rtl/>
              </w:rPr>
            </w:pPr>
            <w:r w:rsidRPr="000F5A41">
              <w:rPr>
                <w:rFonts w:cs="FrankRuehl"/>
                <w:sz w:val="28"/>
                <w:szCs w:val="28"/>
                <w:rtl/>
              </w:rPr>
              <w:t>ת"פ</w:t>
            </w:r>
            <w:r w:rsidRPr="000F5A41">
              <w:rPr>
                <w:rFonts w:cs="FrankRuehl" w:hint="cs"/>
                <w:sz w:val="28"/>
                <w:szCs w:val="28"/>
                <w:rtl/>
              </w:rPr>
              <w:t xml:space="preserve"> </w:t>
            </w:r>
            <w:r w:rsidRPr="000F5A41">
              <w:rPr>
                <w:rFonts w:cs="FrankRuehl"/>
                <w:sz w:val="28"/>
                <w:szCs w:val="28"/>
                <w:rtl/>
              </w:rPr>
              <w:t>25530-06-20</w:t>
            </w:r>
            <w:r w:rsidRPr="000F5A41">
              <w:rPr>
                <w:rFonts w:cs="FrankRuehl" w:hint="cs"/>
                <w:sz w:val="28"/>
                <w:szCs w:val="28"/>
                <w:rtl/>
              </w:rPr>
              <w:t xml:space="preserve"> </w:t>
            </w:r>
            <w:r w:rsidRPr="000F5A41">
              <w:rPr>
                <w:rFonts w:cs="FrankRuehl"/>
                <w:sz w:val="28"/>
                <w:szCs w:val="28"/>
                <w:rtl/>
              </w:rPr>
              <w:t>מדינת ישראל נ' סואעד(עציר)</w:t>
            </w:r>
          </w:p>
          <w:p w14:paraId="3EE6480C" w14:textId="77777777" w:rsidR="00EB75BB" w:rsidRPr="000F5A41" w:rsidRDefault="00EB75BB" w:rsidP="000A0DC9">
            <w:pPr>
              <w:pStyle w:val="a4"/>
              <w:rPr>
                <w:rFonts w:cs="FrankRuehl"/>
                <w:sz w:val="28"/>
                <w:szCs w:val="28"/>
                <w:rtl/>
              </w:rPr>
            </w:pPr>
          </w:p>
        </w:tc>
        <w:tc>
          <w:tcPr>
            <w:tcW w:w="3663" w:type="dxa"/>
          </w:tcPr>
          <w:p w14:paraId="2366DD56" w14:textId="77777777" w:rsidR="00EB75BB" w:rsidRPr="000F5A41" w:rsidRDefault="00EB75BB" w:rsidP="000A0DC9">
            <w:pPr>
              <w:pStyle w:val="a4"/>
              <w:jc w:val="right"/>
              <w:rPr>
                <w:rFonts w:cs="FrankRuehl"/>
                <w:sz w:val="28"/>
                <w:szCs w:val="28"/>
                <w:rtl/>
              </w:rPr>
            </w:pPr>
          </w:p>
        </w:tc>
      </w:tr>
    </w:tbl>
    <w:p w14:paraId="6264A7D4" w14:textId="77777777" w:rsidR="00EB75BB" w:rsidRPr="000F5A41" w:rsidRDefault="00EB75BB" w:rsidP="00EB75BB">
      <w:pPr>
        <w:pStyle w:val="a4"/>
        <w:rPr>
          <w:rtl/>
        </w:rPr>
      </w:pPr>
      <w:r w:rsidRPr="000F5A41">
        <w:rPr>
          <w:rFonts w:hint="cs"/>
          <w:rtl/>
        </w:rPr>
        <w:t xml:space="preserve"> </w:t>
      </w:r>
    </w:p>
    <w:p w14:paraId="4A87638E" w14:textId="77777777" w:rsidR="00EB75BB" w:rsidRPr="000F5A41" w:rsidRDefault="00EB75BB" w:rsidP="00EB75BB">
      <w:pPr>
        <w:rPr>
          <w:rtl/>
        </w:rPr>
      </w:pPr>
    </w:p>
    <w:p w14:paraId="47031BDF" w14:textId="77777777" w:rsidR="00EB75BB" w:rsidRPr="000F5A41" w:rsidRDefault="00EB75BB" w:rsidP="00EB75B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B75BB" w:rsidRPr="000F5A41" w14:paraId="2A9FA3B0" w14:textId="77777777" w:rsidTr="00EB75BB">
        <w:trPr>
          <w:trHeight w:val="295"/>
          <w:jc w:val="center"/>
        </w:trPr>
        <w:tc>
          <w:tcPr>
            <w:tcW w:w="923" w:type="dxa"/>
            <w:tcBorders>
              <w:top w:val="nil"/>
              <w:left w:val="nil"/>
              <w:bottom w:val="nil"/>
              <w:right w:val="nil"/>
            </w:tcBorders>
            <w:shd w:val="clear" w:color="auto" w:fill="auto"/>
          </w:tcPr>
          <w:p w14:paraId="5D511952" w14:textId="77777777" w:rsidR="00EB75BB" w:rsidRPr="000F5A41" w:rsidRDefault="00EB75BB" w:rsidP="00EB75BB">
            <w:pPr>
              <w:jc w:val="both"/>
              <w:rPr>
                <w:rFonts w:ascii="David" w:hAnsi="David"/>
                <w:sz w:val="26"/>
                <w:szCs w:val="26"/>
              </w:rPr>
            </w:pPr>
            <w:r w:rsidRPr="000F5A4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B453A6E" w14:textId="77777777" w:rsidR="00EB75BB" w:rsidRPr="000F5A41" w:rsidRDefault="00EB75BB" w:rsidP="000A0DC9">
            <w:pPr>
              <w:rPr>
                <w:rFonts w:ascii="David" w:hAnsi="David"/>
                <w:b/>
                <w:bCs/>
                <w:sz w:val="26"/>
                <w:szCs w:val="26"/>
                <w:rtl/>
              </w:rPr>
            </w:pPr>
            <w:r w:rsidRPr="000F5A41">
              <w:rPr>
                <w:rFonts w:ascii="David" w:hAnsi="David"/>
                <w:b/>
                <w:bCs/>
                <w:sz w:val="26"/>
                <w:szCs w:val="26"/>
                <w:rtl/>
              </w:rPr>
              <w:t>כבוד השופטת  גלית ציגלר</w:t>
            </w:r>
          </w:p>
          <w:p w14:paraId="79DF470E" w14:textId="77777777" w:rsidR="00EB75BB" w:rsidRPr="000F5A41" w:rsidRDefault="00EB75BB" w:rsidP="000A0DC9">
            <w:pPr>
              <w:rPr>
                <w:rFonts w:ascii="David" w:hAnsi="David"/>
                <w:sz w:val="26"/>
                <w:szCs w:val="26"/>
                <w:rtl/>
              </w:rPr>
            </w:pPr>
          </w:p>
          <w:p w14:paraId="05B5CDAA" w14:textId="77777777" w:rsidR="00EB75BB" w:rsidRPr="000F5A41" w:rsidRDefault="00EB75BB" w:rsidP="00EB75BB">
            <w:pPr>
              <w:jc w:val="both"/>
              <w:rPr>
                <w:rFonts w:ascii="David" w:hAnsi="David"/>
                <w:sz w:val="26"/>
                <w:szCs w:val="26"/>
              </w:rPr>
            </w:pPr>
          </w:p>
        </w:tc>
      </w:tr>
      <w:tr w:rsidR="00EB75BB" w:rsidRPr="000F5A41" w14:paraId="4CB08F23" w14:textId="77777777" w:rsidTr="00EB75BB">
        <w:trPr>
          <w:trHeight w:val="355"/>
          <w:jc w:val="center"/>
        </w:trPr>
        <w:tc>
          <w:tcPr>
            <w:tcW w:w="923" w:type="dxa"/>
            <w:tcBorders>
              <w:top w:val="nil"/>
              <w:left w:val="nil"/>
              <w:bottom w:val="nil"/>
              <w:right w:val="nil"/>
            </w:tcBorders>
            <w:shd w:val="clear" w:color="auto" w:fill="auto"/>
          </w:tcPr>
          <w:p w14:paraId="495761DE" w14:textId="77777777" w:rsidR="00EB75BB" w:rsidRPr="000F5A41" w:rsidRDefault="00EB75BB" w:rsidP="00EB75BB">
            <w:pPr>
              <w:jc w:val="both"/>
              <w:rPr>
                <w:rFonts w:ascii="David" w:hAnsi="David"/>
                <w:sz w:val="26"/>
                <w:szCs w:val="26"/>
              </w:rPr>
            </w:pPr>
            <w:bookmarkStart w:id="1" w:name="FirstAppellant"/>
            <w:r w:rsidRPr="000F5A41">
              <w:rPr>
                <w:rFonts w:ascii="David" w:hAnsi="David"/>
                <w:sz w:val="26"/>
                <w:szCs w:val="26"/>
                <w:rtl/>
              </w:rPr>
              <w:t>בעניין:</w:t>
            </w:r>
          </w:p>
        </w:tc>
        <w:tc>
          <w:tcPr>
            <w:tcW w:w="4126" w:type="dxa"/>
            <w:tcBorders>
              <w:top w:val="nil"/>
              <w:left w:val="nil"/>
              <w:bottom w:val="nil"/>
              <w:right w:val="nil"/>
            </w:tcBorders>
            <w:shd w:val="clear" w:color="auto" w:fill="auto"/>
          </w:tcPr>
          <w:p w14:paraId="38524DB4" w14:textId="77777777" w:rsidR="00EB75BB" w:rsidRPr="000F5A41" w:rsidRDefault="00EB75BB" w:rsidP="000A0DC9">
            <w:pPr>
              <w:rPr>
                <w:rFonts w:ascii="David" w:hAnsi="David"/>
                <w:sz w:val="26"/>
                <w:szCs w:val="26"/>
              </w:rPr>
            </w:pPr>
            <w:r w:rsidRPr="000F5A41">
              <w:rPr>
                <w:rFonts w:ascii="David" w:hAnsi="David"/>
                <w:sz w:val="26"/>
                <w:szCs w:val="26"/>
                <w:rtl/>
              </w:rPr>
              <w:t>מדינת ישראל</w:t>
            </w:r>
          </w:p>
        </w:tc>
        <w:tc>
          <w:tcPr>
            <w:tcW w:w="3771" w:type="dxa"/>
            <w:tcBorders>
              <w:top w:val="nil"/>
              <w:left w:val="nil"/>
              <w:bottom w:val="nil"/>
              <w:right w:val="nil"/>
            </w:tcBorders>
            <w:shd w:val="clear" w:color="auto" w:fill="auto"/>
          </w:tcPr>
          <w:p w14:paraId="487BB3E1" w14:textId="77777777" w:rsidR="00EB75BB" w:rsidRPr="000F5A41" w:rsidRDefault="00EB75BB" w:rsidP="00EB75BB">
            <w:pPr>
              <w:jc w:val="both"/>
              <w:rPr>
                <w:rFonts w:ascii="David" w:hAnsi="David"/>
                <w:sz w:val="26"/>
                <w:szCs w:val="26"/>
              </w:rPr>
            </w:pPr>
          </w:p>
        </w:tc>
      </w:tr>
      <w:bookmarkEnd w:id="1"/>
      <w:tr w:rsidR="00EB75BB" w:rsidRPr="000F5A41" w14:paraId="433A6B08" w14:textId="77777777" w:rsidTr="00EB75BB">
        <w:trPr>
          <w:trHeight w:val="355"/>
          <w:jc w:val="center"/>
        </w:trPr>
        <w:tc>
          <w:tcPr>
            <w:tcW w:w="923" w:type="dxa"/>
            <w:tcBorders>
              <w:top w:val="nil"/>
              <w:left w:val="nil"/>
              <w:bottom w:val="nil"/>
              <w:right w:val="nil"/>
            </w:tcBorders>
            <w:shd w:val="clear" w:color="auto" w:fill="auto"/>
          </w:tcPr>
          <w:p w14:paraId="2C7007BC" w14:textId="77777777" w:rsidR="00EB75BB" w:rsidRPr="000F5A41" w:rsidRDefault="00EB75BB" w:rsidP="00EB75BB">
            <w:pPr>
              <w:jc w:val="both"/>
              <w:rPr>
                <w:rFonts w:ascii="David" w:hAnsi="David"/>
                <w:sz w:val="26"/>
                <w:szCs w:val="26"/>
                <w:rtl/>
              </w:rPr>
            </w:pPr>
          </w:p>
        </w:tc>
        <w:tc>
          <w:tcPr>
            <w:tcW w:w="4126" w:type="dxa"/>
            <w:tcBorders>
              <w:top w:val="nil"/>
              <w:left w:val="nil"/>
              <w:bottom w:val="nil"/>
              <w:right w:val="nil"/>
            </w:tcBorders>
            <w:shd w:val="clear" w:color="auto" w:fill="auto"/>
          </w:tcPr>
          <w:p w14:paraId="60E57EDA" w14:textId="77777777" w:rsidR="00EB75BB" w:rsidRPr="000F5A41" w:rsidRDefault="00EB75BB" w:rsidP="00EB75BB">
            <w:pPr>
              <w:jc w:val="both"/>
              <w:rPr>
                <w:rFonts w:ascii="David" w:hAnsi="David"/>
                <w:sz w:val="26"/>
                <w:szCs w:val="26"/>
                <w:rtl/>
              </w:rPr>
            </w:pPr>
          </w:p>
        </w:tc>
        <w:tc>
          <w:tcPr>
            <w:tcW w:w="3771" w:type="dxa"/>
            <w:tcBorders>
              <w:top w:val="nil"/>
              <w:left w:val="nil"/>
              <w:bottom w:val="nil"/>
              <w:right w:val="nil"/>
            </w:tcBorders>
            <w:shd w:val="clear" w:color="auto" w:fill="auto"/>
          </w:tcPr>
          <w:p w14:paraId="5F405CF1" w14:textId="77777777" w:rsidR="00EB75BB" w:rsidRPr="000F5A41" w:rsidRDefault="00EB75BB" w:rsidP="00EB75BB">
            <w:pPr>
              <w:jc w:val="right"/>
              <w:rPr>
                <w:rFonts w:ascii="David" w:hAnsi="David"/>
                <w:sz w:val="26"/>
                <w:szCs w:val="26"/>
                <w:rtl/>
              </w:rPr>
            </w:pPr>
            <w:r w:rsidRPr="000F5A41">
              <w:rPr>
                <w:rFonts w:ascii="David" w:hAnsi="David"/>
                <w:sz w:val="26"/>
                <w:szCs w:val="26"/>
                <w:rtl/>
              </w:rPr>
              <w:t>המאשימה</w:t>
            </w:r>
          </w:p>
        </w:tc>
      </w:tr>
      <w:tr w:rsidR="00EB75BB" w:rsidRPr="000F5A41" w14:paraId="461E110A" w14:textId="77777777" w:rsidTr="00EB75BB">
        <w:trPr>
          <w:trHeight w:val="355"/>
          <w:jc w:val="center"/>
        </w:trPr>
        <w:tc>
          <w:tcPr>
            <w:tcW w:w="923" w:type="dxa"/>
            <w:tcBorders>
              <w:top w:val="nil"/>
              <w:left w:val="nil"/>
              <w:bottom w:val="nil"/>
              <w:right w:val="nil"/>
            </w:tcBorders>
            <w:shd w:val="clear" w:color="auto" w:fill="auto"/>
          </w:tcPr>
          <w:p w14:paraId="3328F7CF" w14:textId="77777777" w:rsidR="00EB75BB" w:rsidRPr="000F5A41" w:rsidRDefault="00EB75BB" w:rsidP="00EB75B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5B79B3D" w14:textId="77777777" w:rsidR="00EB75BB" w:rsidRPr="000F5A41" w:rsidRDefault="00EB75BB" w:rsidP="00EB75BB">
            <w:pPr>
              <w:jc w:val="center"/>
              <w:rPr>
                <w:rFonts w:ascii="David" w:hAnsi="David"/>
                <w:b/>
                <w:bCs/>
                <w:sz w:val="26"/>
                <w:szCs w:val="26"/>
                <w:rtl/>
              </w:rPr>
            </w:pPr>
          </w:p>
          <w:p w14:paraId="2FCB413D" w14:textId="77777777" w:rsidR="00EB75BB" w:rsidRPr="000F5A41" w:rsidRDefault="00EB75BB" w:rsidP="00EB75BB">
            <w:pPr>
              <w:jc w:val="center"/>
              <w:rPr>
                <w:rFonts w:ascii="David" w:hAnsi="David"/>
                <w:b/>
                <w:bCs/>
                <w:sz w:val="26"/>
                <w:szCs w:val="26"/>
                <w:rtl/>
              </w:rPr>
            </w:pPr>
            <w:r w:rsidRPr="000F5A41">
              <w:rPr>
                <w:rFonts w:ascii="David" w:hAnsi="David"/>
                <w:b/>
                <w:bCs/>
                <w:sz w:val="26"/>
                <w:szCs w:val="26"/>
                <w:rtl/>
              </w:rPr>
              <w:t>נגד</w:t>
            </w:r>
          </w:p>
          <w:p w14:paraId="23927EFA" w14:textId="77777777" w:rsidR="00EB75BB" w:rsidRPr="000F5A41" w:rsidRDefault="00EB75BB" w:rsidP="00EB75BB">
            <w:pPr>
              <w:jc w:val="both"/>
              <w:rPr>
                <w:rFonts w:ascii="David" w:hAnsi="David"/>
                <w:sz w:val="26"/>
                <w:szCs w:val="26"/>
              </w:rPr>
            </w:pPr>
          </w:p>
        </w:tc>
      </w:tr>
      <w:tr w:rsidR="00EB75BB" w:rsidRPr="000F5A41" w14:paraId="0A83B500" w14:textId="77777777" w:rsidTr="00EB75BB">
        <w:trPr>
          <w:trHeight w:val="355"/>
          <w:jc w:val="center"/>
        </w:trPr>
        <w:tc>
          <w:tcPr>
            <w:tcW w:w="923" w:type="dxa"/>
            <w:tcBorders>
              <w:top w:val="nil"/>
              <w:left w:val="nil"/>
              <w:bottom w:val="nil"/>
              <w:right w:val="nil"/>
            </w:tcBorders>
            <w:shd w:val="clear" w:color="auto" w:fill="auto"/>
          </w:tcPr>
          <w:p w14:paraId="0A808CC5" w14:textId="77777777" w:rsidR="00EB75BB" w:rsidRPr="000F5A41" w:rsidRDefault="00EB75BB" w:rsidP="000A0DC9">
            <w:pPr>
              <w:rPr>
                <w:rFonts w:ascii="David" w:hAnsi="David"/>
                <w:sz w:val="26"/>
                <w:szCs w:val="26"/>
                <w:rtl/>
              </w:rPr>
            </w:pPr>
          </w:p>
        </w:tc>
        <w:tc>
          <w:tcPr>
            <w:tcW w:w="4126" w:type="dxa"/>
            <w:tcBorders>
              <w:top w:val="nil"/>
              <w:left w:val="nil"/>
              <w:bottom w:val="nil"/>
              <w:right w:val="nil"/>
            </w:tcBorders>
            <w:shd w:val="clear" w:color="auto" w:fill="auto"/>
          </w:tcPr>
          <w:p w14:paraId="00A516C5" w14:textId="77777777" w:rsidR="00EB75BB" w:rsidRPr="000F5A41" w:rsidRDefault="00EB75BB" w:rsidP="000A0DC9">
            <w:pPr>
              <w:rPr>
                <w:rFonts w:ascii="David" w:hAnsi="David"/>
                <w:sz w:val="26"/>
                <w:szCs w:val="26"/>
                <w:rtl/>
              </w:rPr>
            </w:pPr>
            <w:r w:rsidRPr="000F5A41">
              <w:rPr>
                <w:rFonts w:ascii="David" w:hAnsi="David"/>
                <w:sz w:val="26"/>
                <w:szCs w:val="26"/>
                <w:rtl/>
              </w:rPr>
              <w:t>עלא סואעד (עציר)</w:t>
            </w:r>
          </w:p>
        </w:tc>
        <w:tc>
          <w:tcPr>
            <w:tcW w:w="3771" w:type="dxa"/>
            <w:tcBorders>
              <w:top w:val="nil"/>
              <w:left w:val="nil"/>
              <w:bottom w:val="nil"/>
              <w:right w:val="nil"/>
            </w:tcBorders>
            <w:shd w:val="clear" w:color="auto" w:fill="auto"/>
          </w:tcPr>
          <w:p w14:paraId="586735B1" w14:textId="77777777" w:rsidR="00EB75BB" w:rsidRPr="000F5A41" w:rsidRDefault="00EB75BB" w:rsidP="00EB75BB">
            <w:pPr>
              <w:jc w:val="right"/>
              <w:rPr>
                <w:rFonts w:ascii="David" w:hAnsi="David"/>
                <w:sz w:val="26"/>
                <w:szCs w:val="26"/>
              </w:rPr>
            </w:pPr>
          </w:p>
        </w:tc>
      </w:tr>
      <w:tr w:rsidR="00EB75BB" w:rsidRPr="000F5A41" w14:paraId="173E18C5" w14:textId="77777777" w:rsidTr="00EB75BB">
        <w:trPr>
          <w:trHeight w:val="355"/>
          <w:jc w:val="center"/>
        </w:trPr>
        <w:tc>
          <w:tcPr>
            <w:tcW w:w="923" w:type="dxa"/>
            <w:tcBorders>
              <w:top w:val="nil"/>
              <w:left w:val="nil"/>
              <w:bottom w:val="nil"/>
              <w:right w:val="nil"/>
            </w:tcBorders>
            <w:shd w:val="clear" w:color="auto" w:fill="auto"/>
          </w:tcPr>
          <w:p w14:paraId="79C37CF0" w14:textId="77777777" w:rsidR="00EB75BB" w:rsidRPr="000F5A41" w:rsidRDefault="00EB75BB" w:rsidP="00EB75BB">
            <w:pPr>
              <w:jc w:val="both"/>
              <w:rPr>
                <w:rFonts w:ascii="David" w:hAnsi="David"/>
                <w:sz w:val="26"/>
                <w:szCs w:val="26"/>
                <w:rtl/>
              </w:rPr>
            </w:pPr>
          </w:p>
        </w:tc>
        <w:tc>
          <w:tcPr>
            <w:tcW w:w="4126" w:type="dxa"/>
            <w:tcBorders>
              <w:top w:val="nil"/>
              <w:left w:val="nil"/>
              <w:bottom w:val="nil"/>
              <w:right w:val="nil"/>
            </w:tcBorders>
            <w:shd w:val="clear" w:color="auto" w:fill="auto"/>
          </w:tcPr>
          <w:p w14:paraId="5B9D0F61" w14:textId="77777777" w:rsidR="00EB75BB" w:rsidRPr="000F5A41" w:rsidRDefault="00EB75BB" w:rsidP="00EB75BB">
            <w:pPr>
              <w:jc w:val="both"/>
              <w:rPr>
                <w:rFonts w:ascii="David" w:hAnsi="David"/>
                <w:sz w:val="26"/>
                <w:szCs w:val="26"/>
                <w:rtl/>
              </w:rPr>
            </w:pPr>
          </w:p>
        </w:tc>
        <w:tc>
          <w:tcPr>
            <w:tcW w:w="3771" w:type="dxa"/>
            <w:tcBorders>
              <w:top w:val="nil"/>
              <w:left w:val="nil"/>
              <w:bottom w:val="nil"/>
              <w:right w:val="nil"/>
            </w:tcBorders>
            <w:shd w:val="clear" w:color="auto" w:fill="auto"/>
          </w:tcPr>
          <w:p w14:paraId="3363D062" w14:textId="77777777" w:rsidR="00EB75BB" w:rsidRPr="000F5A41" w:rsidRDefault="00EB75BB" w:rsidP="00EB75BB">
            <w:pPr>
              <w:jc w:val="right"/>
              <w:rPr>
                <w:rFonts w:ascii="David" w:hAnsi="David"/>
                <w:sz w:val="26"/>
                <w:szCs w:val="26"/>
              </w:rPr>
            </w:pPr>
            <w:r w:rsidRPr="000F5A41">
              <w:rPr>
                <w:rFonts w:ascii="David" w:hAnsi="David"/>
                <w:sz w:val="26"/>
                <w:szCs w:val="26"/>
                <w:rtl/>
              </w:rPr>
              <w:t>הנאשם</w:t>
            </w:r>
          </w:p>
        </w:tc>
      </w:tr>
    </w:tbl>
    <w:p w14:paraId="4448F6E3" w14:textId="77777777" w:rsidR="00E5195C" w:rsidRDefault="00E5195C" w:rsidP="000F5A41">
      <w:pPr>
        <w:rPr>
          <w:sz w:val="26"/>
          <w:szCs w:val="26"/>
          <w:rtl/>
        </w:rPr>
      </w:pPr>
    </w:p>
    <w:p w14:paraId="3E343A95" w14:textId="77777777" w:rsidR="00E5195C" w:rsidRPr="00E5195C" w:rsidRDefault="00E5195C" w:rsidP="00E5195C">
      <w:pPr>
        <w:spacing w:after="120" w:line="240" w:lineRule="exact"/>
        <w:ind w:left="283" w:hanging="283"/>
        <w:jc w:val="both"/>
        <w:rPr>
          <w:rFonts w:ascii="FrankRuehl" w:hAnsi="FrankRuehl" w:cs="FrankRuehl"/>
          <w:rtl/>
        </w:rPr>
      </w:pPr>
    </w:p>
    <w:p w14:paraId="74B830FB" w14:textId="77777777" w:rsidR="005B21F3" w:rsidRDefault="005B21F3" w:rsidP="005B21F3">
      <w:pPr>
        <w:rPr>
          <w:sz w:val="26"/>
          <w:szCs w:val="26"/>
          <w:rtl/>
        </w:rPr>
      </w:pPr>
      <w:bookmarkStart w:id="2" w:name="LawTable"/>
      <w:bookmarkEnd w:id="2"/>
    </w:p>
    <w:p w14:paraId="593BF8A1" w14:textId="77777777" w:rsidR="005B21F3" w:rsidRPr="005B21F3" w:rsidRDefault="005B21F3" w:rsidP="005B21F3">
      <w:pPr>
        <w:spacing w:before="120" w:after="120" w:line="240" w:lineRule="exact"/>
        <w:ind w:left="283" w:hanging="283"/>
        <w:jc w:val="both"/>
        <w:rPr>
          <w:rFonts w:ascii="FrankRuehl" w:hAnsi="FrankRuehl" w:cs="FrankRuehl"/>
          <w:rtl/>
        </w:rPr>
      </w:pPr>
    </w:p>
    <w:p w14:paraId="6CBE249B" w14:textId="77777777" w:rsidR="005B21F3" w:rsidRPr="005B21F3" w:rsidRDefault="005B21F3" w:rsidP="005B21F3">
      <w:pPr>
        <w:spacing w:before="120" w:after="120" w:line="240" w:lineRule="exact"/>
        <w:ind w:left="283" w:hanging="283"/>
        <w:jc w:val="both"/>
        <w:rPr>
          <w:rFonts w:ascii="FrankRuehl" w:hAnsi="FrankRuehl" w:cs="FrankRuehl"/>
          <w:rtl/>
        </w:rPr>
      </w:pPr>
    </w:p>
    <w:p w14:paraId="558F52A2" w14:textId="77777777" w:rsidR="005B21F3" w:rsidRPr="005B21F3" w:rsidRDefault="005B21F3" w:rsidP="005B21F3">
      <w:pPr>
        <w:spacing w:before="120" w:after="120" w:line="240" w:lineRule="exact"/>
        <w:ind w:left="283" w:hanging="283"/>
        <w:jc w:val="both"/>
        <w:rPr>
          <w:rFonts w:ascii="FrankRuehl" w:hAnsi="FrankRuehl" w:cs="FrankRuehl"/>
          <w:rtl/>
        </w:rPr>
      </w:pPr>
      <w:r w:rsidRPr="005B21F3">
        <w:rPr>
          <w:rFonts w:ascii="FrankRuehl" w:hAnsi="FrankRuehl" w:cs="FrankRuehl"/>
          <w:rtl/>
        </w:rPr>
        <w:t xml:space="preserve">חקיקה שאוזכרה: </w:t>
      </w:r>
    </w:p>
    <w:p w14:paraId="7661E24C" w14:textId="77777777" w:rsidR="005B21F3" w:rsidRPr="005B21F3" w:rsidRDefault="005B21F3" w:rsidP="005B21F3">
      <w:pPr>
        <w:spacing w:before="120" w:after="120" w:line="240" w:lineRule="exact"/>
        <w:ind w:left="283" w:hanging="283"/>
        <w:jc w:val="both"/>
        <w:rPr>
          <w:rFonts w:ascii="FrankRuehl" w:hAnsi="FrankRuehl" w:cs="FrankRuehl"/>
          <w:rtl/>
        </w:rPr>
      </w:pPr>
      <w:hyperlink r:id="rId7" w:history="1">
        <w:r w:rsidRPr="005B21F3">
          <w:rPr>
            <w:rFonts w:ascii="FrankRuehl" w:hAnsi="FrankRuehl" w:cs="FrankRuehl"/>
            <w:color w:val="0000FF"/>
            <w:rtl/>
          </w:rPr>
          <w:t>חוק העונשין, תשל"ז-1977</w:t>
        </w:r>
      </w:hyperlink>
      <w:r w:rsidRPr="005B21F3">
        <w:rPr>
          <w:rFonts w:ascii="FrankRuehl" w:hAnsi="FrankRuehl" w:cs="FrankRuehl"/>
          <w:rtl/>
        </w:rPr>
        <w:t xml:space="preserve">: סע'  </w:t>
      </w:r>
      <w:hyperlink r:id="rId8" w:history="1">
        <w:r w:rsidRPr="005B21F3">
          <w:rPr>
            <w:rFonts w:ascii="FrankRuehl" w:hAnsi="FrankRuehl" w:cs="FrankRuehl"/>
            <w:color w:val="0000FF"/>
            <w:rtl/>
          </w:rPr>
          <w:t>40ט'</w:t>
        </w:r>
      </w:hyperlink>
      <w:r w:rsidRPr="005B21F3">
        <w:rPr>
          <w:rFonts w:ascii="FrankRuehl" w:hAnsi="FrankRuehl" w:cs="FrankRuehl"/>
          <w:rtl/>
        </w:rPr>
        <w:t xml:space="preserve">, </w:t>
      </w:r>
      <w:hyperlink r:id="rId9" w:history="1">
        <w:r w:rsidRPr="005B21F3">
          <w:rPr>
            <w:rFonts w:ascii="FrankRuehl" w:hAnsi="FrankRuehl" w:cs="FrankRuehl"/>
            <w:color w:val="0000FF"/>
            <w:rtl/>
          </w:rPr>
          <w:t>333</w:t>
        </w:r>
      </w:hyperlink>
      <w:r w:rsidRPr="005B21F3">
        <w:rPr>
          <w:rFonts w:ascii="FrankRuehl" w:hAnsi="FrankRuehl" w:cs="FrankRuehl"/>
          <w:rtl/>
        </w:rPr>
        <w:t xml:space="preserve">, </w:t>
      </w:r>
      <w:hyperlink r:id="rId10" w:history="1">
        <w:r w:rsidRPr="005B21F3">
          <w:rPr>
            <w:rFonts w:ascii="FrankRuehl" w:hAnsi="FrankRuehl" w:cs="FrankRuehl"/>
            <w:color w:val="0000FF"/>
            <w:rtl/>
          </w:rPr>
          <w:t>335(א)(1)</w:t>
        </w:r>
      </w:hyperlink>
      <w:r w:rsidRPr="005B21F3">
        <w:rPr>
          <w:rFonts w:ascii="FrankRuehl" w:hAnsi="FrankRuehl" w:cs="FrankRuehl"/>
          <w:rtl/>
        </w:rPr>
        <w:t xml:space="preserve">, </w:t>
      </w:r>
      <w:hyperlink r:id="rId11" w:history="1">
        <w:r w:rsidRPr="005B21F3">
          <w:rPr>
            <w:rFonts w:ascii="FrankRuehl" w:hAnsi="FrankRuehl" w:cs="FrankRuehl"/>
            <w:color w:val="0000FF"/>
            <w:rtl/>
          </w:rPr>
          <w:t>40יא'</w:t>
        </w:r>
      </w:hyperlink>
    </w:p>
    <w:p w14:paraId="24336876" w14:textId="77777777" w:rsidR="005B21F3" w:rsidRPr="005B21F3" w:rsidRDefault="005B21F3" w:rsidP="005B21F3">
      <w:pPr>
        <w:spacing w:before="120" w:after="120" w:line="240" w:lineRule="exact"/>
        <w:ind w:left="283" w:hanging="283"/>
        <w:jc w:val="both"/>
        <w:rPr>
          <w:rFonts w:ascii="FrankRuehl" w:hAnsi="FrankRuehl" w:cs="FrankRuehl"/>
          <w:rtl/>
        </w:rPr>
      </w:pPr>
      <w:hyperlink r:id="rId12" w:history="1">
        <w:r w:rsidRPr="005B21F3">
          <w:rPr>
            <w:rFonts w:ascii="FrankRuehl" w:hAnsi="FrankRuehl" w:cs="FrankRuehl"/>
            <w:color w:val="0000FF"/>
            <w:rtl/>
          </w:rPr>
          <w:t>פקודת הסמים המסוכנים [נוסח חדש], תשל"ג-1973</w:t>
        </w:r>
      </w:hyperlink>
    </w:p>
    <w:p w14:paraId="633B2B3E" w14:textId="77777777" w:rsidR="005B21F3" w:rsidRPr="005B21F3" w:rsidRDefault="005B21F3" w:rsidP="005B21F3">
      <w:pPr>
        <w:rPr>
          <w:sz w:val="26"/>
          <w:szCs w:val="26"/>
          <w:rtl/>
        </w:rPr>
      </w:pPr>
      <w:bookmarkStart w:id="3" w:name="LawTable_End"/>
      <w:bookmarkEnd w:id="3"/>
    </w:p>
    <w:p w14:paraId="6FF6C216" w14:textId="77777777" w:rsidR="00EB75BB" w:rsidRPr="000F5A41" w:rsidRDefault="00EB75BB" w:rsidP="00EB75B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75BB" w14:paraId="783840D6" w14:textId="77777777" w:rsidTr="00EB75BB">
        <w:trPr>
          <w:trHeight w:val="355"/>
          <w:jc w:val="center"/>
        </w:trPr>
        <w:tc>
          <w:tcPr>
            <w:tcW w:w="8820" w:type="dxa"/>
            <w:tcBorders>
              <w:top w:val="nil"/>
              <w:left w:val="nil"/>
              <w:bottom w:val="nil"/>
              <w:right w:val="nil"/>
            </w:tcBorders>
            <w:shd w:val="clear" w:color="auto" w:fill="auto"/>
          </w:tcPr>
          <w:p w14:paraId="6880BAA7" w14:textId="77777777" w:rsidR="000F5A41" w:rsidRPr="000F5A41" w:rsidRDefault="000F5A41" w:rsidP="000F5A41">
            <w:pPr>
              <w:jc w:val="center"/>
              <w:rPr>
                <w:rFonts w:ascii="David" w:hAnsi="David"/>
                <w:b/>
                <w:bCs/>
                <w:sz w:val="32"/>
                <w:szCs w:val="32"/>
                <w:u w:val="single"/>
                <w:rtl/>
              </w:rPr>
            </w:pPr>
            <w:bookmarkStart w:id="4" w:name="PsakDin" w:colFirst="0" w:colLast="0"/>
            <w:bookmarkEnd w:id="0"/>
            <w:r w:rsidRPr="000F5A41">
              <w:rPr>
                <w:rFonts w:ascii="David" w:hAnsi="David"/>
                <w:b/>
                <w:bCs/>
                <w:sz w:val="32"/>
                <w:szCs w:val="32"/>
                <w:u w:val="single"/>
                <w:rtl/>
              </w:rPr>
              <w:t>גזר דין</w:t>
            </w:r>
          </w:p>
          <w:p w14:paraId="2D8591D4" w14:textId="77777777" w:rsidR="00EB75BB" w:rsidRPr="000F5A41" w:rsidRDefault="00EB75BB" w:rsidP="000F5A41">
            <w:pPr>
              <w:jc w:val="center"/>
              <w:rPr>
                <w:rFonts w:ascii="David" w:hAnsi="David"/>
                <w:bCs/>
                <w:sz w:val="32"/>
                <w:szCs w:val="32"/>
                <w:u w:val="single"/>
                <w:rtl/>
              </w:rPr>
            </w:pPr>
          </w:p>
        </w:tc>
      </w:tr>
      <w:bookmarkEnd w:id="4"/>
    </w:tbl>
    <w:p w14:paraId="211C553E" w14:textId="77777777" w:rsidR="00EB75BB" w:rsidRPr="002B7D23" w:rsidRDefault="00EB75BB" w:rsidP="00EB75BB">
      <w:pPr>
        <w:rPr>
          <w:rFonts w:ascii="David" w:hAnsi="David"/>
          <w:sz w:val="26"/>
          <w:szCs w:val="26"/>
          <w:rtl/>
        </w:rPr>
      </w:pPr>
    </w:p>
    <w:p w14:paraId="56FEFCF8" w14:textId="77777777" w:rsidR="00EB75BB" w:rsidRPr="002B7D23" w:rsidRDefault="00EB75BB" w:rsidP="00EB75BB">
      <w:pPr>
        <w:rPr>
          <w:rFonts w:ascii="David" w:hAnsi="David"/>
          <w:sz w:val="26"/>
          <w:szCs w:val="26"/>
          <w:rtl/>
        </w:rPr>
      </w:pPr>
    </w:p>
    <w:p w14:paraId="0F3BA0F2" w14:textId="77777777" w:rsidR="00EB75BB" w:rsidRDefault="00EB75BB" w:rsidP="00EB75BB">
      <w:pPr>
        <w:spacing w:line="360" w:lineRule="auto"/>
        <w:ind w:firstLine="720"/>
        <w:jc w:val="both"/>
        <w:rPr>
          <w:rFonts w:ascii="David" w:hAnsi="David"/>
          <w:b/>
          <w:bCs/>
          <w:u w:val="single"/>
          <w:rtl/>
        </w:rPr>
      </w:pPr>
      <w:r>
        <w:rPr>
          <w:rFonts w:ascii="David" w:hAnsi="David"/>
          <w:b/>
          <w:bCs/>
          <w:u w:val="single"/>
          <w:rtl/>
        </w:rPr>
        <w:t>כללי</w:t>
      </w:r>
    </w:p>
    <w:p w14:paraId="7D9A1823" w14:textId="77777777" w:rsidR="00EB75BB" w:rsidRDefault="00EB75BB" w:rsidP="00EB75BB">
      <w:pPr>
        <w:spacing w:line="360" w:lineRule="auto"/>
        <w:ind w:firstLine="720"/>
        <w:jc w:val="both"/>
        <w:rPr>
          <w:rFonts w:ascii="David" w:hAnsi="David"/>
          <w:b/>
          <w:bCs/>
          <w:u w:val="single"/>
          <w:rtl/>
        </w:rPr>
      </w:pPr>
    </w:p>
    <w:p w14:paraId="1B9CE7B6" w14:textId="77777777" w:rsidR="00EB75BB" w:rsidRDefault="00EB75BB" w:rsidP="00EB75BB">
      <w:pPr>
        <w:pStyle w:val="aa"/>
        <w:numPr>
          <w:ilvl w:val="0"/>
          <w:numId w:val="2"/>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על פי הודאתו, בעובדות כתב האישום המתוקן בעבירה של חבלה חמורה בנסיבות מחמירות, לפי </w:t>
      </w:r>
      <w:hyperlink r:id="rId13" w:history="1">
        <w:r w:rsidR="00E5195C" w:rsidRPr="00E5195C">
          <w:rPr>
            <w:rStyle w:val="Hyperlink"/>
            <w:rFonts w:ascii="David" w:hAnsi="David" w:cs="David"/>
            <w:sz w:val="24"/>
            <w:szCs w:val="24"/>
            <w:rtl/>
          </w:rPr>
          <w:t>סעיפים 333</w:t>
        </w:r>
      </w:hyperlink>
      <w:r>
        <w:rPr>
          <w:rFonts w:ascii="David" w:hAnsi="David" w:cs="David"/>
          <w:sz w:val="24"/>
          <w:szCs w:val="24"/>
          <w:rtl/>
        </w:rPr>
        <w:t xml:space="preserve"> ו- </w:t>
      </w:r>
      <w:hyperlink r:id="rId14" w:history="1">
        <w:r w:rsidR="00E5195C" w:rsidRPr="00E5195C">
          <w:rPr>
            <w:rStyle w:val="Hyperlink"/>
            <w:rFonts w:ascii="David" w:hAnsi="David" w:cs="David"/>
            <w:sz w:val="24"/>
            <w:szCs w:val="24"/>
            <w:rtl/>
          </w:rPr>
          <w:t>335(א)(1)</w:t>
        </w:r>
      </w:hyperlink>
      <w:r>
        <w:rPr>
          <w:rFonts w:ascii="David" w:hAnsi="David" w:cs="David"/>
          <w:sz w:val="24"/>
          <w:szCs w:val="24"/>
          <w:rtl/>
        </w:rPr>
        <w:t xml:space="preserve"> ל</w:t>
      </w:r>
      <w:hyperlink r:id="rId15" w:history="1">
        <w:r w:rsidR="000F5A41" w:rsidRPr="000F5A41">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6D71E14B" w14:textId="77777777" w:rsidR="00EB75BB" w:rsidRDefault="00EB75BB" w:rsidP="00EB75BB">
      <w:pPr>
        <w:pStyle w:val="aa"/>
        <w:spacing w:line="360" w:lineRule="auto"/>
        <w:jc w:val="both"/>
        <w:rPr>
          <w:rFonts w:ascii="David" w:hAnsi="David" w:cs="David"/>
          <w:sz w:val="24"/>
          <w:szCs w:val="24"/>
        </w:rPr>
      </w:pPr>
    </w:p>
    <w:p w14:paraId="44DCF295" w14:textId="77777777" w:rsidR="00EB75BB" w:rsidRDefault="00EB75BB" w:rsidP="00EB75BB">
      <w:pPr>
        <w:pStyle w:val="aa"/>
        <w:numPr>
          <w:ilvl w:val="0"/>
          <w:numId w:val="2"/>
        </w:numPr>
        <w:spacing w:line="360" w:lineRule="auto"/>
        <w:jc w:val="both"/>
        <w:rPr>
          <w:rFonts w:ascii="David" w:hAnsi="David" w:cs="David"/>
          <w:sz w:val="24"/>
          <w:szCs w:val="24"/>
        </w:rPr>
      </w:pPr>
      <w:r>
        <w:rPr>
          <w:rFonts w:ascii="David" w:hAnsi="David" w:cs="David"/>
          <w:sz w:val="24"/>
          <w:szCs w:val="24"/>
          <w:rtl/>
        </w:rPr>
        <w:t>הודאת הנאשם באה במסגרת הסדר טיעון אליו הגיעו הצדדים, ביום 02.03.21, לאחר שנשמעו חלק מעדי התביעה ובהם המתלונן</w:t>
      </w:r>
      <w:r>
        <w:rPr>
          <w:rFonts w:ascii="David" w:hAnsi="David" w:cs="David" w:hint="cs"/>
          <w:sz w:val="24"/>
          <w:szCs w:val="24"/>
          <w:rtl/>
        </w:rPr>
        <w:t>, ולאחר תיקון של כתב האישום</w:t>
      </w:r>
      <w:r>
        <w:rPr>
          <w:rFonts w:ascii="David" w:hAnsi="David" w:cs="David"/>
          <w:sz w:val="24"/>
          <w:szCs w:val="24"/>
          <w:rtl/>
        </w:rPr>
        <w:t>. הסדר הטיעון לא כלל הסכמות לעניין העונש.</w:t>
      </w:r>
    </w:p>
    <w:p w14:paraId="6B530D2D" w14:textId="77777777" w:rsidR="00EB75BB" w:rsidRPr="00755A6A" w:rsidRDefault="00EB75BB" w:rsidP="00EB75BB">
      <w:pPr>
        <w:pStyle w:val="aa"/>
        <w:rPr>
          <w:rFonts w:ascii="David" w:hAnsi="David" w:cs="David"/>
          <w:sz w:val="24"/>
          <w:szCs w:val="24"/>
          <w:rtl/>
        </w:rPr>
      </w:pPr>
    </w:p>
    <w:p w14:paraId="6C2D6963" w14:textId="77777777" w:rsidR="00EB75BB" w:rsidRDefault="00EB75BB" w:rsidP="00EB75BB">
      <w:pPr>
        <w:pStyle w:val="aa"/>
        <w:spacing w:line="360" w:lineRule="auto"/>
        <w:jc w:val="both"/>
        <w:rPr>
          <w:rFonts w:ascii="David" w:hAnsi="David" w:cs="David"/>
          <w:sz w:val="24"/>
          <w:szCs w:val="24"/>
          <w:rtl/>
        </w:rPr>
      </w:pPr>
      <w:bookmarkStart w:id="6" w:name="ABSTRACT_END"/>
      <w:bookmarkEnd w:id="6"/>
    </w:p>
    <w:p w14:paraId="2530E67D" w14:textId="77777777" w:rsidR="00EB75BB" w:rsidRDefault="00EB75BB" w:rsidP="00EB75BB">
      <w:pPr>
        <w:spacing w:line="360" w:lineRule="auto"/>
        <w:ind w:firstLine="720"/>
        <w:jc w:val="both"/>
        <w:rPr>
          <w:rFonts w:ascii="David" w:hAnsi="David"/>
          <w:b/>
          <w:bCs/>
          <w:u w:val="single"/>
          <w:rtl/>
        </w:rPr>
      </w:pPr>
      <w:r>
        <w:rPr>
          <w:rFonts w:ascii="David" w:hAnsi="David"/>
          <w:b/>
          <w:bCs/>
          <w:u w:val="single"/>
          <w:rtl/>
        </w:rPr>
        <w:lastRenderedPageBreak/>
        <w:t>כתב האישום המתוקן</w:t>
      </w:r>
    </w:p>
    <w:p w14:paraId="6007160F" w14:textId="77777777" w:rsidR="00EB75BB" w:rsidRDefault="00EB75BB" w:rsidP="00EB75BB">
      <w:pPr>
        <w:spacing w:line="360" w:lineRule="auto"/>
        <w:ind w:firstLine="720"/>
        <w:jc w:val="both"/>
        <w:rPr>
          <w:rFonts w:ascii="David" w:hAnsi="David"/>
          <w:b/>
          <w:bCs/>
          <w:u w:val="single"/>
          <w:rtl/>
        </w:rPr>
      </w:pPr>
    </w:p>
    <w:p w14:paraId="0AE636B0" w14:textId="77777777" w:rsidR="00EB75BB" w:rsidRDefault="00EB75BB" w:rsidP="00EB75BB">
      <w:pPr>
        <w:pStyle w:val="aa"/>
        <w:numPr>
          <w:ilvl w:val="0"/>
          <w:numId w:val="2"/>
        </w:numPr>
        <w:spacing w:line="360" w:lineRule="auto"/>
        <w:jc w:val="both"/>
        <w:rPr>
          <w:rFonts w:ascii="David" w:hAnsi="David" w:cs="David"/>
          <w:sz w:val="24"/>
          <w:szCs w:val="24"/>
          <w:rtl/>
        </w:rPr>
      </w:pPr>
      <w:r>
        <w:rPr>
          <w:rFonts w:ascii="David" w:hAnsi="David" w:cs="David"/>
          <w:sz w:val="24"/>
          <w:szCs w:val="24"/>
          <w:rtl/>
        </w:rPr>
        <w:t>בכתב האישום המתוקן מפורטות הנסיבות הקשורות במעשה העבירה, כך שבמועדים הרלוונטיים שררו בין הנאשם והמתלונן יחסי חברות, וביום 27.05.20 בסמוך לשעה 16:41 נפגשו השניים בקרבת חנות "יין בעיר" בכרמיאל, לאחר שתיאמו זאת ב</w:t>
      </w:r>
      <w:r>
        <w:rPr>
          <w:rFonts w:ascii="David" w:hAnsi="David" w:cs="David" w:hint="cs"/>
          <w:sz w:val="24"/>
          <w:szCs w:val="24"/>
          <w:rtl/>
        </w:rPr>
        <w:t xml:space="preserve">שיחת </w:t>
      </w:r>
      <w:r>
        <w:rPr>
          <w:rFonts w:ascii="David" w:hAnsi="David" w:cs="David"/>
          <w:sz w:val="24"/>
          <w:szCs w:val="24"/>
          <w:rtl/>
        </w:rPr>
        <w:t xml:space="preserve">טלפון </w:t>
      </w:r>
      <w:r>
        <w:rPr>
          <w:rFonts w:ascii="David" w:hAnsi="David" w:cs="David" w:hint="cs"/>
          <w:sz w:val="24"/>
          <w:szCs w:val="24"/>
          <w:rtl/>
        </w:rPr>
        <w:t xml:space="preserve">כשעה קודם לכן. </w:t>
      </w:r>
      <w:r>
        <w:rPr>
          <w:rFonts w:ascii="David" w:hAnsi="David" w:cs="David"/>
          <w:sz w:val="24"/>
          <w:szCs w:val="24"/>
          <w:rtl/>
        </w:rPr>
        <w:t xml:space="preserve"> </w:t>
      </w:r>
    </w:p>
    <w:p w14:paraId="3CCCAD5E" w14:textId="77777777" w:rsidR="00EB75BB" w:rsidRDefault="00EB75BB" w:rsidP="00EB75BB">
      <w:pPr>
        <w:pStyle w:val="aa"/>
        <w:spacing w:line="360" w:lineRule="auto"/>
        <w:jc w:val="both"/>
        <w:rPr>
          <w:rFonts w:ascii="David" w:hAnsi="David" w:cs="David"/>
          <w:sz w:val="24"/>
          <w:szCs w:val="24"/>
        </w:rPr>
      </w:pPr>
      <w:r>
        <w:rPr>
          <w:rFonts w:ascii="David" w:hAnsi="David" w:cs="David"/>
          <w:sz w:val="24"/>
          <w:szCs w:val="24"/>
          <w:rtl/>
        </w:rPr>
        <w:t xml:space="preserve">המתלונן הגיע לפגישה כשהוא נוהג ברכבו מסוג רנו פלואנס. הנאשם נכנס לרכב וישב לצידו של המתלונן, ביקש ממנו לנסוע לכיוון אזור התעשייה בכרמיאל ולחנות שם בשטח פתוח באזור בנייה, בסמוך למפעל "קליל" (להלן: </w:t>
      </w:r>
      <w:r>
        <w:rPr>
          <w:rFonts w:ascii="David" w:hAnsi="David" w:cs="David"/>
          <w:b/>
          <w:bCs/>
          <w:sz w:val="24"/>
          <w:szCs w:val="24"/>
          <w:rtl/>
        </w:rPr>
        <w:t>"מקום האירוע"</w:t>
      </w:r>
      <w:r>
        <w:rPr>
          <w:rFonts w:ascii="David" w:hAnsi="David" w:cs="David"/>
          <w:sz w:val="24"/>
          <w:szCs w:val="24"/>
          <w:rtl/>
        </w:rPr>
        <w:t xml:space="preserve">) .  </w:t>
      </w:r>
    </w:p>
    <w:p w14:paraId="1323C82B" w14:textId="77777777" w:rsidR="00EB75BB" w:rsidRDefault="00EB75BB" w:rsidP="00EB75BB">
      <w:pPr>
        <w:pStyle w:val="aa"/>
        <w:spacing w:line="360" w:lineRule="auto"/>
        <w:jc w:val="both"/>
        <w:rPr>
          <w:rFonts w:ascii="David" w:hAnsi="David" w:cs="David"/>
          <w:sz w:val="24"/>
          <w:szCs w:val="24"/>
          <w:rtl/>
        </w:rPr>
      </w:pPr>
    </w:p>
    <w:p w14:paraId="5EC2C501" w14:textId="77777777" w:rsidR="00EB75BB" w:rsidRPr="00580C27" w:rsidRDefault="00EB75BB" w:rsidP="00EB75BB">
      <w:pPr>
        <w:pStyle w:val="aa"/>
        <w:numPr>
          <w:ilvl w:val="0"/>
          <w:numId w:val="2"/>
        </w:numPr>
        <w:spacing w:line="360" w:lineRule="auto"/>
        <w:jc w:val="both"/>
        <w:rPr>
          <w:rFonts w:ascii="David" w:hAnsi="David" w:cs="David"/>
          <w:sz w:val="24"/>
          <w:szCs w:val="24"/>
        </w:rPr>
      </w:pPr>
      <w:r w:rsidRPr="00580C27">
        <w:rPr>
          <w:rFonts w:ascii="David" w:hAnsi="David" w:cs="David"/>
          <w:sz w:val="24"/>
          <w:szCs w:val="24"/>
          <w:rtl/>
        </w:rPr>
        <w:t>בעודם יושבים בתוך הרכב התפתחה ביניהם שיחה, במהלכה הטיח הנאשם במתלונן כי אמר עליו שהוא "סמוי" והמתלונן הכחיש זאת. תוך כדי כך יצא הנאשם מהרכב, הלך לכיוון החלון הפתוח בצד בו ישב המתלונן, ואז תקף אותו באמצעות חפץ חד וגרם לו שני חתכים, אחד בחזהו השמאלי סמוך לבית השחי והשני בבטנו. בהמשך, יצא המתלונן מהרכב, נאבק בנאשם בניסיון לתפוס את החפץ החד בידו השמאלית, ואז דקר אותו הנאשם שתי דקירות נוספות בירך שמאל. בשלב זה, הצליח המתלונן לתפוס את החפץ החד ולהשליכו ארצה, אך הנאשם לא חדל ממעשיו והמשיך ל</w:t>
      </w:r>
      <w:r>
        <w:rPr>
          <w:rFonts w:ascii="David" w:hAnsi="David" w:cs="David" w:hint="cs"/>
          <w:sz w:val="24"/>
          <w:szCs w:val="24"/>
          <w:rtl/>
        </w:rPr>
        <w:t>חבוט במ</w:t>
      </w:r>
      <w:r w:rsidRPr="00580C27">
        <w:rPr>
          <w:rFonts w:ascii="David" w:hAnsi="David" w:cs="David"/>
          <w:sz w:val="24"/>
          <w:szCs w:val="24"/>
          <w:rtl/>
        </w:rPr>
        <w:t>תלונן באגרופים ו</w:t>
      </w:r>
      <w:r>
        <w:rPr>
          <w:rFonts w:ascii="David" w:hAnsi="David" w:cs="David" w:hint="cs"/>
          <w:sz w:val="24"/>
          <w:szCs w:val="24"/>
          <w:rtl/>
        </w:rPr>
        <w:t>ב</w:t>
      </w:r>
      <w:r w:rsidRPr="00580C27">
        <w:rPr>
          <w:rFonts w:ascii="David" w:hAnsi="David" w:cs="David"/>
          <w:sz w:val="24"/>
          <w:szCs w:val="24"/>
          <w:rtl/>
        </w:rPr>
        <w:t xml:space="preserve">מכות. </w:t>
      </w:r>
    </w:p>
    <w:p w14:paraId="710C97B8" w14:textId="77777777" w:rsidR="00EB75BB" w:rsidRDefault="00EB75BB" w:rsidP="00EB75BB">
      <w:pPr>
        <w:pStyle w:val="aa"/>
        <w:spacing w:line="360" w:lineRule="auto"/>
        <w:jc w:val="both"/>
        <w:rPr>
          <w:rFonts w:ascii="David" w:hAnsi="David" w:cs="David"/>
          <w:sz w:val="24"/>
          <w:szCs w:val="24"/>
          <w:rtl/>
        </w:rPr>
      </w:pPr>
    </w:p>
    <w:p w14:paraId="0B255E51" w14:textId="77777777" w:rsidR="00EB75BB" w:rsidRDefault="00EB75BB" w:rsidP="00EB75BB">
      <w:pPr>
        <w:spacing w:line="360" w:lineRule="auto"/>
        <w:ind w:left="720"/>
        <w:jc w:val="both"/>
        <w:rPr>
          <w:rFonts w:ascii="David" w:hAnsi="David"/>
          <w:rtl/>
        </w:rPr>
      </w:pPr>
      <w:r>
        <w:rPr>
          <w:rFonts w:ascii="David" w:hAnsi="David"/>
          <w:rtl/>
        </w:rPr>
        <w:t xml:space="preserve">הנאשם הותיר את המתלונן חבול ומדמם במקום האירוע, נכנס לרכבו של המתלונן ונסע בו כ- 20 מטרים ואז נטש אותו ונמלט מהמקום ברגל. בשלב זה, נכנס המתלונן לרכבו ונסע בו כ- 50 מטרים עד שחש כי אינו מסוגל </w:t>
      </w:r>
      <w:r>
        <w:rPr>
          <w:rFonts w:ascii="David" w:hAnsi="David" w:hint="cs"/>
          <w:rtl/>
        </w:rPr>
        <w:t xml:space="preserve">עוד </w:t>
      </w:r>
      <w:r>
        <w:rPr>
          <w:rFonts w:ascii="David" w:hAnsi="David"/>
          <w:rtl/>
        </w:rPr>
        <w:t>להמשיך לנהוג בשל הדימום הרב בגופו. ה</w:t>
      </w:r>
      <w:r>
        <w:rPr>
          <w:rFonts w:ascii="David" w:hAnsi="David" w:hint="cs"/>
          <w:rtl/>
        </w:rPr>
        <w:t xml:space="preserve">מתלונן </w:t>
      </w:r>
      <w:r>
        <w:rPr>
          <w:rFonts w:ascii="David" w:hAnsi="David"/>
          <w:rtl/>
        </w:rPr>
        <w:t>יצא מרכבו ושני עוברי אורח אספו אותו וסייעו לו, ובהמשך הוא פונה ע"י בן דודו למוקד הרפואי ב"טרם" בכרמיאל, ומשם הובהל לבי</w:t>
      </w:r>
      <w:r>
        <w:rPr>
          <w:rFonts w:ascii="David" w:hAnsi="David" w:hint="cs"/>
          <w:rtl/>
        </w:rPr>
        <w:t xml:space="preserve">ת החולים </w:t>
      </w:r>
      <w:r>
        <w:rPr>
          <w:rFonts w:ascii="David" w:hAnsi="David"/>
          <w:rtl/>
        </w:rPr>
        <w:t>"זיו" בצפת.</w:t>
      </w:r>
    </w:p>
    <w:p w14:paraId="339FEF44" w14:textId="77777777" w:rsidR="00EB75BB" w:rsidRDefault="00EB75BB" w:rsidP="00EB75BB">
      <w:pPr>
        <w:spacing w:line="360" w:lineRule="auto"/>
        <w:ind w:left="720"/>
        <w:jc w:val="both"/>
        <w:rPr>
          <w:rFonts w:ascii="David" w:hAnsi="David"/>
          <w:rtl/>
        </w:rPr>
      </w:pPr>
    </w:p>
    <w:p w14:paraId="19AAD321" w14:textId="77777777" w:rsidR="00EB75BB" w:rsidRPr="00EB75BB" w:rsidRDefault="00EB75BB" w:rsidP="00EB75BB">
      <w:pPr>
        <w:spacing w:line="360" w:lineRule="auto"/>
        <w:ind w:firstLine="360"/>
        <w:jc w:val="both"/>
        <w:rPr>
          <w:rFonts w:ascii="David" w:eastAsia="Calibri" w:hAnsi="David"/>
          <w:rtl/>
        </w:rPr>
      </w:pPr>
      <w:r>
        <w:rPr>
          <w:rFonts w:ascii="David" w:hAnsi="David" w:hint="cs"/>
          <w:rtl/>
        </w:rPr>
        <w:t>6.</w:t>
      </w:r>
      <w:r>
        <w:rPr>
          <w:rFonts w:ascii="David" w:hAnsi="David" w:hint="cs"/>
          <w:rtl/>
        </w:rPr>
        <w:tab/>
      </w:r>
      <w:r>
        <w:rPr>
          <w:rFonts w:ascii="David" w:hAnsi="David"/>
          <w:rtl/>
        </w:rPr>
        <w:t>כתוצאה ממעשיו של הנאשם, נגרמו למתלונן חמישה חתכים בגופו:</w:t>
      </w:r>
    </w:p>
    <w:p w14:paraId="49726125" w14:textId="77777777" w:rsidR="00EB75BB" w:rsidRDefault="00EB75BB" w:rsidP="00EB75BB">
      <w:pPr>
        <w:spacing w:line="360" w:lineRule="auto"/>
        <w:ind w:firstLine="720"/>
        <w:jc w:val="both"/>
        <w:rPr>
          <w:rFonts w:ascii="David" w:hAnsi="David"/>
          <w:rtl/>
        </w:rPr>
      </w:pPr>
      <w:r>
        <w:rPr>
          <w:rFonts w:ascii="David" w:hAnsi="David"/>
          <w:rtl/>
        </w:rPr>
        <w:t xml:space="preserve">- שני חתכים רוחביים ועמוקים באורך של 10 ס"מ כל אחד בירך; </w:t>
      </w:r>
    </w:p>
    <w:p w14:paraId="44059F35" w14:textId="77777777" w:rsidR="00EB75BB" w:rsidRDefault="00EB75BB" w:rsidP="00EB75BB">
      <w:pPr>
        <w:spacing w:line="360" w:lineRule="auto"/>
        <w:ind w:firstLine="720"/>
        <w:jc w:val="both"/>
        <w:rPr>
          <w:rFonts w:ascii="David" w:hAnsi="David"/>
          <w:rtl/>
        </w:rPr>
      </w:pPr>
      <w:r>
        <w:rPr>
          <w:rFonts w:ascii="David" w:hAnsi="David"/>
          <w:rtl/>
        </w:rPr>
        <w:t>- חתך שטחי ברוחב של 1 ס"מ ובאורך של 15 ס"מ בחזה שמאל מתחת לבית השחי;</w:t>
      </w:r>
    </w:p>
    <w:p w14:paraId="26B99B22" w14:textId="77777777" w:rsidR="00EB75BB" w:rsidRDefault="00EB75BB" w:rsidP="00EB75BB">
      <w:pPr>
        <w:spacing w:line="360" w:lineRule="auto"/>
        <w:ind w:firstLine="720"/>
        <w:jc w:val="both"/>
        <w:rPr>
          <w:rFonts w:ascii="David" w:hAnsi="David"/>
          <w:rtl/>
        </w:rPr>
      </w:pPr>
      <w:r>
        <w:rPr>
          <w:rFonts w:ascii="David" w:hAnsi="David"/>
          <w:rtl/>
        </w:rPr>
        <w:t>- חתך שטחי באורך של 20 ס"מ באמצע הבטן;</w:t>
      </w:r>
    </w:p>
    <w:p w14:paraId="398129E3" w14:textId="77777777" w:rsidR="00EB75BB" w:rsidRDefault="00EB75BB" w:rsidP="00EB75BB">
      <w:pPr>
        <w:spacing w:line="360" w:lineRule="auto"/>
        <w:ind w:firstLine="720"/>
        <w:jc w:val="both"/>
        <w:rPr>
          <w:rFonts w:ascii="David" w:hAnsi="David"/>
          <w:rtl/>
        </w:rPr>
      </w:pPr>
      <w:r>
        <w:rPr>
          <w:rFonts w:ascii="David" w:hAnsi="David"/>
          <w:rtl/>
        </w:rPr>
        <w:t>- חתך עמוק באורך 6 ס"מ בכף יד שמאל.</w:t>
      </w:r>
    </w:p>
    <w:p w14:paraId="2B30CEB2" w14:textId="77777777" w:rsidR="00EB75BB" w:rsidRDefault="00EB75BB" w:rsidP="00EB75BB">
      <w:pPr>
        <w:spacing w:line="360" w:lineRule="auto"/>
        <w:ind w:left="720"/>
        <w:jc w:val="both"/>
        <w:rPr>
          <w:rFonts w:ascii="David" w:hAnsi="David"/>
          <w:rtl/>
        </w:rPr>
      </w:pPr>
    </w:p>
    <w:p w14:paraId="0A76455B" w14:textId="77777777" w:rsidR="00EB75BB" w:rsidRDefault="00EB75BB" w:rsidP="00EB75BB">
      <w:pPr>
        <w:spacing w:line="360" w:lineRule="auto"/>
        <w:ind w:left="720"/>
        <w:jc w:val="both"/>
        <w:rPr>
          <w:rFonts w:ascii="David" w:hAnsi="David"/>
          <w:rtl/>
        </w:rPr>
      </w:pPr>
      <w:r>
        <w:rPr>
          <w:rFonts w:ascii="David" w:hAnsi="David" w:hint="cs"/>
          <w:rtl/>
        </w:rPr>
        <w:t xml:space="preserve">בשל מצבו נאלץ </w:t>
      </w:r>
      <w:r>
        <w:rPr>
          <w:rFonts w:ascii="David" w:hAnsi="David"/>
          <w:rtl/>
        </w:rPr>
        <w:t>המתלונן</w:t>
      </w:r>
      <w:r>
        <w:rPr>
          <w:rFonts w:ascii="David" w:hAnsi="David" w:hint="cs"/>
          <w:rtl/>
        </w:rPr>
        <w:t xml:space="preserve"> </w:t>
      </w:r>
      <w:r>
        <w:rPr>
          <w:rFonts w:ascii="David" w:hAnsi="David"/>
          <w:rtl/>
        </w:rPr>
        <w:t>לעבור ניתוח בהרדמה מלאה</w:t>
      </w:r>
      <w:r>
        <w:rPr>
          <w:rFonts w:ascii="David" w:hAnsi="David" w:hint="cs"/>
          <w:rtl/>
        </w:rPr>
        <w:t>,</w:t>
      </w:r>
      <w:r>
        <w:rPr>
          <w:rFonts w:ascii="David" w:hAnsi="David"/>
          <w:rtl/>
        </w:rPr>
        <w:t xml:space="preserve"> ו</w:t>
      </w:r>
      <w:r>
        <w:rPr>
          <w:rFonts w:ascii="David" w:hAnsi="David" w:hint="cs"/>
          <w:rtl/>
        </w:rPr>
        <w:t xml:space="preserve">הוא </w:t>
      </w:r>
      <w:r>
        <w:rPr>
          <w:rFonts w:ascii="David" w:hAnsi="David"/>
          <w:rtl/>
        </w:rPr>
        <w:t xml:space="preserve">היה מאושפז בבית החולים </w:t>
      </w:r>
      <w:r>
        <w:rPr>
          <w:rFonts w:ascii="David" w:hAnsi="David" w:hint="cs"/>
          <w:rtl/>
        </w:rPr>
        <w:t xml:space="preserve">מיום האירוע 27.5.20 עד ליום 31.5.20. </w:t>
      </w:r>
    </w:p>
    <w:p w14:paraId="764F5A7E" w14:textId="77777777" w:rsidR="00EB75BB" w:rsidRDefault="00EB75BB" w:rsidP="00EB75BB">
      <w:pPr>
        <w:spacing w:line="360" w:lineRule="auto"/>
        <w:ind w:left="720"/>
        <w:jc w:val="both"/>
        <w:rPr>
          <w:rFonts w:ascii="David" w:hAnsi="David"/>
          <w:rtl/>
        </w:rPr>
      </w:pPr>
    </w:p>
    <w:p w14:paraId="5D4F9AF1" w14:textId="77777777" w:rsidR="00EB75BB" w:rsidRDefault="00EB75BB" w:rsidP="00EB75BB">
      <w:pPr>
        <w:spacing w:line="360" w:lineRule="auto"/>
        <w:ind w:left="720" w:hanging="720"/>
        <w:jc w:val="both"/>
        <w:rPr>
          <w:rFonts w:ascii="David" w:hAnsi="David"/>
          <w:rtl/>
        </w:rPr>
      </w:pPr>
      <w:r>
        <w:rPr>
          <w:rFonts w:ascii="David" w:hAnsi="David" w:hint="cs"/>
          <w:rtl/>
        </w:rPr>
        <w:t>7.</w:t>
      </w:r>
      <w:r>
        <w:rPr>
          <w:rFonts w:ascii="David" w:hAnsi="David" w:hint="cs"/>
          <w:rtl/>
        </w:rPr>
        <w:tab/>
      </w:r>
      <w:r w:rsidRPr="00580C27">
        <w:rPr>
          <w:rFonts w:ascii="David" w:hAnsi="David"/>
          <w:rtl/>
        </w:rPr>
        <w:t xml:space="preserve">כאמור, לאחר שמיעת חלק מהראיות, לרבות עדות המתלונן, תוקן כתב האישום והנאשם הודה בעבירה המיוחסת לו- חבלה חמורה בנסיבות מחמירות. </w:t>
      </w:r>
    </w:p>
    <w:p w14:paraId="51F80377" w14:textId="77777777" w:rsidR="00EB75BB" w:rsidRPr="00580C27" w:rsidRDefault="00EB75BB" w:rsidP="00EB75BB">
      <w:pPr>
        <w:spacing w:line="360" w:lineRule="auto"/>
        <w:ind w:left="720" w:hanging="720"/>
        <w:jc w:val="both"/>
        <w:rPr>
          <w:rFonts w:ascii="David" w:hAnsi="David"/>
          <w:rtl/>
        </w:rPr>
      </w:pPr>
    </w:p>
    <w:p w14:paraId="32A9C5FF" w14:textId="77777777" w:rsidR="00EB75BB" w:rsidRDefault="00EB75BB" w:rsidP="00EB75BB">
      <w:pPr>
        <w:spacing w:line="360" w:lineRule="auto"/>
        <w:ind w:firstLine="720"/>
        <w:jc w:val="both"/>
        <w:rPr>
          <w:rFonts w:ascii="David" w:hAnsi="David"/>
          <w:b/>
          <w:bCs/>
          <w:u w:val="single"/>
          <w:rtl/>
        </w:rPr>
      </w:pPr>
      <w:r>
        <w:rPr>
          <w:rFonts w:ascii="David" w:hAnsi="David"/>
          <w:b/>
          <w:bCs/>
          <w:u w:val="single"/>
          <w:rtl/>
        </w:rPr>
        <w:t>תסקיר שירות מבחן</w:t>
      </w:r>
    </w:p>
    <w:p w14:paraId="361D9257" w14:textId="77777777" w:rsidR="00EB75BB" w:rsidRDefault="00EB75BB" w:rsidP="00EB75BB">
      <w:pPr>
        <w:spacing w:line="360" w:lineRule="auto"/>
        <w:ind w:firstLine="720"/>
        <w:jc w:val="both"/>
        <w:rPr>
          <w:rFonts w:ascii="David" w:hAnsi="David"/>
          <w:b/>
          <w:bCs/>
          <w:u w:val="single"/>
        </w:rPr>
      </w:pPr>
    </w:p>
    <w:p w14:paraId="2783F11E" w14:textId="77777777" w:rsidR="00EB75BB" w:rsidRPr="00340252" w:rsidRDefault="00EB75BB" w:rsidP="00EB75BB">
      <w:pPr>
        <w:pStyle w:val="aa"/>
        <w:numPr>
          <w:ilvl w:val="0"/>
          <w:numId w:val="3"/>
        </w:numPr>
        <w:spacing w:line="360" w:lineRule="auto"/>
        <w:jc w:val="both"/>
        <w:rPr>
          <w:rFonts w:ascii="David" w:hAnsi="David" w:cs="David"/>
          <w:sz w:val="24"/>
          <w:szCs w:val="24"/>
          <w:rtl/>
        </w:rPr>
      </w:pPr>
      <w:r w:rsidRPr="00340252">
        <w:rPr>
          <w:rFonts w:ascii="David" w:hAnsi="David" w:cs="David"/>
          <w:sz w:val="24"/>
          <w:szCs w:val="24"/>
          <w:rtl/>
        </w:rPr>
        <w:t>לבקשת ב"כ הנאשם הכין שירות המבחן תסקיר בעניינו של הנאשם</w:t>
      </w:r>
      <w:r>
        <w:rPr>
          <w:rFonts w:ascii="David" w:hAnsi="David" w:cs="David" w:hint="cs"/>
          <w:sz w:val="24"/>
          <w:szCs w:val="24"/>
          <w:rtl/>
        </w:rPr>
        <w:t>;</w:t>
      </w:r>
      <w:r w:rsidRPr="00340252">
        <w:rPr>
          <w:rFonts w:ascii="David" w:hAnsi="David" w:cs="David"/>
          <w:sz w:val="24"/>
          <w:szCs w:val="24"/>
          <w:rtl/>
        </w:rPr>
        <w:t xml:space="preserve"> </w:t>
      </w:r>
    </w:p>
    <w:p w14:paraId="0BC5D9C1" w14:textId="77777777" w:rsidR="00EB75BB" w:rsidRDefault="00EB75BB" w:rsidP="00EB75BB">
      <w:pPr>
        <w:pStyle w:val="aa"/>
        <w:spacing w:line="360" w:lineRule="auto"/>
        <w:jc w:val="both"/>
        <w:rPr>
          <w:rFonts w:ascii="David" w:hAnsi="David" w:cs="David"/>
          <w:sz w:val="24"/>
          <w:szCs w:val="24"/>
        </w:rPr>
      </w:pPr>
    </w:p>
    <w:p w14:paraId="403F6A06"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התסקיר מ</w:t>
      </w:r>
      <w:r>
        <w:rPr>
          <w:rFonts w:ascii="David" w:hAnsi="David" w:cs="David" w:hint="cs"/>
          <w:sz w:val="24"/>
          <w:szCs w:val="24"/>
          <w:rtl/>
        </w:rPr>
        <w:t xml:space="preserve">ונה </w:t>
      </w:r>
      <w:r>
        <w:rPr>
          <w:rFonts w:ascii="David" w:hAnsi="David" w:cs="David"/>
          <w:sz w:val="24"/>
          <w:szCs w:val="24"/>
          <w:rtl/>
        </w:rPr>
        <w:t xml:space="preserve">את נתוניו האישיים והמשפחתיים של הנאשם </w:t>
      </w:r>
      <w:r>
        <w:rPr>
          <w:rFonts w:ascii="David" w:hAnsi="David" w:cs="David" w:hint="cs"/>
          <w:sz w:val="24"/>
          <w:szCs w:val="24"/>
          <w:rtl/>
        </w:rPr>
        <w:t xml:space="preserve">- </w:t>
      </w:r>
      <w:r>
        <w:rPr>
          <w:rFonts w:ascii="David" w:hAnsi="David" w:cs="David"/>
          <w:sz w:val="24"/>
          <w:szCs w:val="24"/>
          <w:rtl/>
        </w:rPr>
        <w:t>כבן 33</w:t>
      </w:r>
      <w:r>
        <w:rPr>
          <w:rFonts w:ascii="David" w:hAnsi="David" w:cs="David" w:hint="cs"/>
          <w:sz w:val="24"/>
          <w:szCs w:val="24"/>
          <w:rtl/>
        </w:rPr>
        <w:t xml:space="preserve">, </w:t>
      </w:r>
      <w:r>
        <w:rPr>
          <w:rFonts w:ascii="David" w:hAnsi="David" w:cs="David"/>
          <w:sz w:val="24"/>
          <w:szCs w:val="24"/>
          <w:rtl/>
        </w:rPr>
        <w:t xml:space="preserve">פרוד מאשתו ללא ילדים, </w:t>
      </w:r>
      <w:r>
        <w:rPr>
          <w:rFonts w:ascii="David" w:hAnsi="David" w:cs="David" w:hint="cs"/>
          <w:sz w:val="24"/>
          <w:szCs w:val="24"/>
          <w:rtl/>
        </w:rPr>
        <w:t xml:space="preserve">ובעבר עבד </w:t>
      </w:r>
      <w:r>
        <w:rPr>
          <w:rFonts w:ascii="David" w:hAnsi="David" w:cs="David"/>
          <w:sz w:val="24"/>
          <w:szCs w:val="24"/>
          <w:rtl/>
        </w:rPr>
        <w:t xml:space="preserve">לסירוגין בעבודות צנרת. </w:t>
      </w:r>
    </w:p>
    <w:p w14:paraId="5BD348C3" w14:textId="77777777" w:rsidR="00EB75BB" w:rsidRDefault="00EB75BB" w:rsidP="00EB75BB">
      <w:pPr>
        <w:spacing w:line="360" w:lineRule="auto"/>
        <w:ind w:left="720"/>
        <w:jc w:val="both"/>
        <w:rPr>
          <w:rFonts w:ascii="David" w:hAnsi="David"/>
          <w:rtl/>
        </w:rPr>
      </w:pPr>
      <w:r>
        <w:rPr>
          <w:rFonts w:ascii="David" w:hAnsi="David"/>
          <w:rtl/>
        </w:rPr>
        <w:t>התסקיר מפרט את שנות ילדותו ובגרותו הלא קלות של הנאשם, את הקשר עם הוריו</w:t>
      </w:r>
      <w:r>
        <w:rPr>
          <w:rFonts w:ascii="David" w:hAnsi="David" w:hint="cs"/>
          <w:rtl/>
        </w:rPr>
        <w:t xml:space="preserve"> ואחיו</w:t>
      </w:r>
      <w:r>
        <w:rPr>
          <w:rFonts w:ascii="David" w:hAnsi="David"/>
          <w:rtl/>
        </w:rPr>
        <w:t xml:space="preserve">, ואת מצבה הכלכלי הקשה של המשפחה שכתוצאה ממנו הוא נשר ממסגרת הלימודים לאחר כתשע שנות לימוד. עוד עלו בתסקיר התמכרותו של הנאשם לסמים ואלכוהול, הקשיים במסגרת הזוגית וחוויות טראומתיות ומשברים שעבר בהיותו קטין ובמסגרת נישואיו, ובין היתר מות בנו הפעוט סמוך לאחר לידתו. </w:t>
      </w:r>
    </w:p>
    <w:p w14:paraId="539B3FD9" w14:textId="77777777" w:rsidR="00EB75BB" w:rsidRDefault="00EB75BB" w:rsidP="00EB75BB">
      <w:pPr>
        <w:spacing w:line="360" w:lineRule="auto"/>
        <w:ind w:left="720"/>
        <w:jc w:val="both"/>
        <w:rPr>
          <w:rFonts w:ascii="David" w:hAnsi="David"/>
          <w:rtl/>
        </w:rPr>
      </w:pPr>
    </w:p>
    <w:p w14:paraId="05ED4DF7"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hint="cs"/>
          <w:sz w:val="24"/>
          <w:szCs w:val="24"/>
          <w:rtl/>
        </w:rPr>
        <w:t xml:space="preserve">עוד מפרט </w:t>
      </w:r>
      <w:r>
        <w:rPr>
          <w:rFonts w:ascii="David" w:hAnsi="David" w:cs="David"/>
          <w:sz w:val="24"/>
          <w:szCs w:val="24"/>
          <w:rtl/>
        </w:rPr>
        <w:t>התסקיר את הסתבכויותיו של הנאשם מאז היותו כבן 14, ואת העבר הפלילי שצבר לחובתו הכולל  8 הרשעות קודמות בעבירות שונות, ובין היתר אלימות, רכוש, מין וסמים, שבעקבות חלק גדול מהן אף ריצה עונשי מאסר בפועל</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המאסר הראשון נגזר על הנאשם עוד בהיותו קטין, </w:t>
      </w:r>
      <w:r>
        <w:rPr>
          <w:rFonts w:ascii="David" w:hAnsi="David" w:cs="David"/>
          <w:sz w:val="24"/>
          <w:szCs w:val="24"/>
          <w:rtl/>
        </w:rPr>
        <w:t>כבן 17 שנים בלבד, והסתבכותו האחרונה הי</w:t>
      </w:r>
      <w:r>
        <w:rPr>
          <w:rFonts w:ascii="David" w:hAnsi="David" w:cs="David" w:hint="cs"/>
          <w:sz w:val="24"/>
          <w:szCs w:val="24"/>
          <w:rtl/>
        </w:rPr>
        <w:t>ת</w:t>
      </w:r>
      <w:r>
        <w:rPr>
          <w:rFonts w:ascii="David" w:hAnsi="David" w:cs="David"/>
          <w:sz w:val="24"/>
          <w:szCs w:val="24"/>
          <w:rtl/>
        </w:rPr>
        <w:t xml:space="preserve">ה בעבירה על פי </w:t>
      </w:r>
      <w:hyperlink r:id="rId16" w:history="1">
        <w:r w:rsidR="000F5A41" w:rsidRPr="000F5A41">
          <w:rPr>
            <w:rFonts w:ascii="David" w:hAnsi="David" w:cs="David"/>
            <w:color w:val="0000FF"/>
            <w:sz w:val="24"/>
            <w:szCs w:val="24"/>
            <w:u w:val="single"/>
            <w:rtl/>
          </w:rPr>
          <w:t>פקודת הסמים המסוכנים</w:t>
        </w:r>
      </w:hyperlink>
      <w:r>
        <w:rPr>
          <w:rFonts w:ascii="David" w:hAnsi="David" w:cs="David"/>
          <w:sz w:val="24"/>
          <w:szCs w:val="24"/>
          <w:rtl/>
        </w:rPr>
        <w:t>, בגינה הורשע ביום 08.03.21  ונידון ל- 3 חודשי מאסר בפועל, מאסר על תנאי ועונשים נלווים</w:t>
      </w:r>
      <w:r>
        <w:rPr>
          <w:rFonts w:ascii="David" w:hAnsi="David" w:cs="David" w:hint="cs"/>
          <w:sz w:val="24"/>
          <w:szCs w:val="24"/>
          <w:rtl/>
        </w:rPr>
        <w:t>.</w:t>
      </w:r>
      <w:r>
        <w:rPr>
          <w:rFonts w:ascii="David" w:hAnsi="David" w:cs="David"/>
          <w:sz w:val="24"/>
          <w:szCs w:val="24"/>
          <w:rtl/>
        </w:rPr>
        <w:t xml:space="preserve"> </w:t>
      </w:r>
    </w:p>
    <w:p w14:paraId="7BD49FF2" w14:textId="77777777" w:rsidR="00EB75BB" w:rsidRDefault="00EB75BB" w:rsidP="00EB75BB">
      <w:pPr>
        <w:pStyle w:val="aa"/>
        <w:spacing w:line="360" w:lineRule="auto"/>
        <w:jc w:val="both"/>
        <w:rPr>
          <w:rFonts w:ascii="David" w:hAnsi="David" w:cs="David"/>
          <w:sz w:val="24"/>
          <w:szCs w:val="24"/>
          <w:rtl/>
        </w:rPr>
      </w:pPr>
    </w:p>
    <w:p w14:paraId="2708EEFE"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במהלך השנים נחשף הנאשם לשימוש בסמים ואלכוהול ופיתח התמכרות ותלות בהם, </w:t>
      </w:r>
      <w:r>
        <w:rPr>
          <w:rFonts w:ascii="David" w:hAnsi="David" w:cs="David" w:hint="cs"/>
          <w:sz w:val="24"/>
          <w:szCs w:val="24"/>
          <w:rtl/>
        </w:rPr>
        <w:t>עד ש</w:t>
      </w:r>
      <w:r>
        <w:rPr>
          <w:rFonts w:ascii="David" w:hAnsi="David" w:cs="David"/>
          <w:sz w:val="24"/>
          <w:szCs w:val="24"/>
          <w:rtl/>
        </w:rPr>
        <w:t>באחת מתקופות מאסרו בשנת 2012, עבר הליך טיפולי והצליח להשתלב בשיקום ו</w:t>
      </w:r>
      <w:r>
        <w:rPr>
          <w:rFonts w:ascii="David" w:hAnsi="David" w:cs="David" w:hint="cs"/>
          <w:sz w:val="24"/>
          <w:szCs w:val="24"/>
          <w:rtl/>
        </w:rPr>
        <w:t>ב</w:t>
      </w:r>
      <w:r>
        <w:rPr>
          <w:rFonts w:ascii="David" w:hAnsi="David" w:cs="David"/>
          <w:sz w:val="24"/>
          <w:szCs w:val="24"/>
          <w:rtl/>
        </w:rPr>
        <w:t>עבודה</w:t>
      </w:r>
      <w:r>
        <w:rPr>
          <w:rFonts w:ascii="David" w:hAnsi="David" w:cs="David" w:hint="cs"/>
          <w:sz w:val="24"/>
          <w:szCs w:val="24"/>
          <w:rtl/>
        </w:rPr>
        <w:t xml:space="preserve">. אלא שהדבר לא צלח לאורך זמן, והנאשם </w:t>
      </w:r>
      <w:r>
        <w:rPr>
          <w:rFonts w:ascii="David" w:hAnsi="David" w:cs="David"/>
          <w:sz w:val="24"/>
          <w:szCs w:val="24"/>
          <w:rtl/>
        </w:rPr>
        <w:t xml:space="preserve">כשל שוב וחזר לבצע עבירות ולצרוך אלכוהול וחומרים פסיכו-אקטיביים. </w:t>
      </w:r>
    </w:p>
    <w:p w14:paraId="1CC5454A" w14:textId="77777777" w:rsidR="00EB75BB" w:rsidRDefault="00EB75BB" w:rsidP="00EB75BB">
      <w:pPr>
        <w:pStyle w:val="aa"/>
        <w:spacing w:line="360" w:lineRule="auto"/>
        <w:jc w:val="both"/>
        <w:rPr>
          <w:rFonts w:ascii="David" w:hAnsi="David" w:cs="David"/>
          <w:sz w:val="24"/>
          <w:szCs w:val="24"/>
          <w:rtl/>
        </w:rPr>
      </w:pPr>
    </w:p>
    <w:p w14:paraId="56FFF881"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בהתייחס</w:t>
      </w:r>
      <w:r>
        <w:rPr>
          <w:rFonts w:ascii="David" w:hAnsi="David" w:cs="David"/>
          <w:sz w:val="24"/>
          <w:szCs w:val="24"/>
        </w:rPr>
        <w:t xml:space="preserve"> </w:t>
      </w:r>
      <w:r>
        <w:rPr>
          <w:rFonts w:ascii="David" w:hAnsi="David" w:cs="David"/>
          <w:sz w:val="24"/>
          <w:szCs w:val="24"/>
          <w:rtl/>
        </w:rPr>
        <w:t>לעבירה</w:t>
      </w:r>
      <w:r>
        <w:rPr>
          <w:rFonts w:ascii="David" w:hAnsi="David" w:cs="David"/>
          <w:sz w:val="24"/>
          <w:szCs w:val="24"/>
        </w:rPr>
        <w:t xml:space="preserve"> </w:t>
      </w:r>
      <w:r>
        <w:rPr>
          <w:rFonts w:ascii="David" w:hAnsi="David" w:cs="David"/>
          <w:sz w:val="24"/>
          <w:szCs w:val="24"/>
          <w:rtl/>
        </w:rPr>
        <w:t xml:space="preserve">בענייננו, הנאשם הסביר לקצינת המבחן כי האירוע החל לאחר שהגיעו לאוזניו שמועות שהמתלונן אמר שהוא עובד עם המשטרה, והוא רצה להבהיר את הדברים עימו. בפגישה שהתקיימה החל ביניהם ויכוח אשר הוביל למעשיו. הנאשם טען שאינו זוכר אם היה תחת השפעת סמים או אלכוהול, וכן ציין </w:t>
      </w:r>
      <w:r>
        <w:rPr>
          <w:rFonts w:ascii="David" w:hAnsi="David" w:cs="David" w:hint="cs"/>
          <w:sz w:val="24"/>
          <w:szCs w:val="24"/>
          <w:rtl/>
        </w:rPr>
        <w:t>ש</w:t>
      </w:r>
      <w:r>
        <w:rPr>
          <w:rFonts w:ascii="David" w:hAnsi="David" w:cs="David"/>
          <w:sz w:val="24"/>
          <w:szCs w:val="24"/>
          <w:rtl/>
        </w:rPr>
        <w:t xml:space="preserve">נערכה סולחה בין המשפחות. עובדה </w:t>
      </w:r>
      <w:r>
        <w:rPr>
          <w:rFonts w:ascii="David" w:hAnsi="David" w:cs="David" w:hint="cs"/>
          <w:sz w:val="24"/>
          <w:szCs w:val="24"/>
          <w:rtl/>
        </w:rPr>
        <w:t xml:space="preserve">אחרונה </w:t>
      </w:r>
      <w:r>
        <w:rPr>
          <w:rFonts w:ascii="David" w:hAnsi="David" w:cs="David"/>
          <w:sz w:val="24"/>
          <w:szCs w:val="24"/>
          <w:rtl/>
        </w:rPr>
        <w:t>זו אושרה גם ע"י המתלונן בשיחה שקיימה עמו קצינת המבחן, שבה סיפר על הסולחה ועל כך שהוא סולח לנאשם על מעשיו, מסר שהוא מתפקד כרגיל, ציין כי הוא הופתע ממעשי הנאשם כלפיו, והבהיר כי נסיבות חייו הקשות של הנאשם הן אלו שהובילו אותו להתנהגותו הבעייתית.</w:t>
      </w:r>
    </w:p>
    <w:p w14:paraId="34ED57C9" w14:textId="77777777" w:rsidR="00EB75BB" w:rsidRDefault="00EB75BB" w:rsidP="00EB75BB">
      <w:pPr>
        <w:pStyle w:val="aa"/>
        <w:spacing w:line="360" w:lineRule="auto"/>
        <w:jc w:val="both"/>
        <w:rPr>
          <w:rFonts w:ascii="David" w:hAnsi="David" w:cs="David"/>
          <w:sz w:val="24"/>
          <w:szCs w:val="24"/>
          <w:rtl/>
        </w:rPr>
      </w:pPr>
    </w:p>
    <w:p w14:paraId="104D9B94"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הנאשם הביע בפני קצינת המבחן רצון לעבור הליך טיפולי לשינוי התנהגותו, ו</w:t>
      </w:r>
      <w:r>
        <w:rPr>
          <w:rFonts w:ascii="David" w:hAnsi="David" w:cs="David" w:hint="cs"/>
          <w:sz w:val="24"/>
          <w:szCs w:val="24"/>
          <w:rtl/>
        </w:rPr>
        <w:t>לדבריו הוא כבר מ</w:t>
      </w:r>
      <w:r>
        <w:rPr>
          <w:rFonts w:ascii="David" w:hAnsi="David" w:cs="David"/>
          <w:sz w:val="24"/>
          <w:szCs w:val="24"/>
          <w:rtl/>
        </w:rPr>
        <w:t xml:space="preserve">שולב בקבוצות טיפול </w:t>
      </w:r>
      <w:r>
        <w:rPr>
          <w:rFonts w:ascii="David" w:hAnsi="David" w:cs="David" w:hint="cs"/>
          <w:sz w:val="24"/>
          <w:szCs w:val="24"/>
          <w:rtl/>
        </w:rPr>
        <w:t xml:space="preserve">שונות </w:t>
      </w:r>
      <w:r>
        <w:rPr>
          <w:rFonts w:ascii="David" w:hAnsi="David" w:cs="David"/>
          <w:sz w:val="24"/>
          <w:szCs w:val="24"/>
          <w:rtl/>
        </w:rPr>
        <w:t xml:space="preserve">אשר מסייעות לו בקבלת כלים טיפוליים להתמודדות עתידית. </w:t>
      </w:r>
    </w:p>
    <w:p w14:paraId="0C564347" w14:textId="77777777" w:rsidR="00EB75BB" w:rsidRDefault="00EB75BB" w:rsidP="00EB75BB">
      <w:pPr>
        <w:pStyle w:val="aa"/>
        <w:spacing w:line="360" w:lineRule="auto"/>
        <w:jc w:val="both"/>
        <w:rPr>
          <w:rFonts w:ascii="David" w:hAnsi="David" w:cs="David"/>
          <w:sz w:val="24"/>
          <w:szCs w:val="24"/>
          <w:rtl/>
        </w:rPr>
      </w:pPr>
    </w:p>
    <w:p w14:paraId="645FAB58"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עם זאת, למרות שהנאשם הודה במעשיו בפני קצינת המבחן, היא התרשמה שהוא מתקשה לקחת אחריות מלאה עליהם, שהוא נעדר חיבור רגשי לפגיעה שנגרמה למתלונן,  וכי מעשיו בוצעו כתגובה לפגיעה בכבודו. עוד התרשמה קצינת המבחן שמדובר בנאשם </w:t>
      </w:r>
      <w:r>
        <w:rPr>
          <w:rFonts w:ascii="David" w:hAnsi="David" w:cs="David" w:hint="cs"/>
          <w:sz w:val="24"/>
          <w:szCs w:val="24"/>
          <w:rtl/>
        </w:rPr>
        <w:t>אשר מתקשה להתנהל בצורה יציבה במישורים שונים</w:t>
      </w:r>
      <w:r>
        <w:rPr>
          <w:rFonts w:ascii="David" w:hAnsi="David" w:cs="David"/>
          <w:sz w:val="24"/>
          <w:szCs w:val="24"/>
          <w:rtl/>
        </w:rPr>
        <w:t xml:space="preserve">, שקיימים באישיותו דפוסים אלימים, ושקיים סיכון שבהיתקלות במצבי איום ופגיעה בכבודו הוא יתנהג באימפולסיביות ויתקשה בוויסות דחפיו. </w:t>
      </w:r>
      <w:r>
        <w:rPr>
          <w:rFonts w:ascii="David" w:hAnsi="David" w:cs="David" w:hint="cs"/>
          <w:sz w:val="24"/>
          <w:szCs w:val="24"/>
          <w:rtl/>
        </w:rPr>
        <w:t xml:space="preserve">עוד </w:t>
      </w:r>
      <w:r>
        <w:rPr>
          <w:rFonts w:ascii="David" w:hAnsi="David" w:cs="David"/>
          <w:sz w:val="24"/>
          <w:szCs w:val="24"/>
          <w:rtl/>
        </w:rPr>
        <w:t>נמצא</w:t>
      </w:r>
      <w:r>
        <w:rPr>
          <w:rFonts w:ascii="David" w:hAnsi="David" w:cs="David" w:hint="cs"/>
          <w:sz w:val="24"/>
          <w:szCs w:val="24"/>
          <w:rtl/>
        </w:rPr>
        <w:t>ו אצל הנאשם גורמי סיכון נוספים</w:t>
      </w:r>
      <w:r>
        <w:rPr>
          <w:rFonts w:ascii="David" w:hAnsi="David" w:cs="David"/>
          <w:sz w:val="24"/>
          <w:szCs w:val="24"/>
          <w:rtl/>
        </w:rPr>
        <w:t xml:space="preserve">, </w:t>
      </w:r>
      <w:r>
        <w:rPr>
          <w:rFonts w:ascii="David" w:hAnsi="David" w:cs="David" w:hint="cs"/>
          <w:sz w:val="24"/>
          <w:szCs w:val="24"/>
          <w:rtl/>
        </w:rPr>
        <w:t xml:space="preserve">ובהם </w:t>
      </w:r>
      <w:r>
        <w:rPr>
          <w:rFonts w:ascii="David" w:hAnsi="David" w:cs="David"/>
          <w:sz w:val="24"/>
          <w:szCs w:val="24"/>
          <w:rtl/>
        </w:rPr>
        <w:t xml:space="preserve">התמכרותו לסמים ולאלכוהול </w:t>
      </w:r>
      <w:r>
        <w:rPr>
          <w:rFonts w:ascii="David" w:hAnsi="David" w:cs="David" w:hint="cs"/>
          <w:sz w:val="24"/>
          <w:szCs w:val="24"/>
          <w:rtl/>
        </w:rPr>
        <w:t>ש</w:t>
      </w:r>
      <w:r>
        <w:rPr>
          <w:rFonts w:ascii="David" w:hAnsi="David" w:cs="David"/>
          <w:sz w:val="24"/>
          <w:szCs w:val="24"/>
          <w:rtl/>
        </w:rPr>
        <w:t xml:space="preserve">עלולים להגביר את התנהגותו האלימה, </w:t>
      </w:r>
      <w:r>
        <w:rPr>
          <w:rFonts w:ascii="David" w:hAnsi="David" w:cs="David" w:hint="cs"/>
          <w:sz w:val="24"/>
          <w:szCs w:val="24"/>
          <w:rtl/>
        </w:rPr>
        <w:t>כמו גם העובדה ש</w:t>
      </w:r>
      <w:r>
        <w:rPr>
          <w:rFonts w:ascii="David" w:hAnsi="David" w:cs="David"/>
          <w:sz w:val="24"/>
          <w:szCs w:val="24"/>
          <w:rtl/>
        </w:rPr>
        <w:t>סנקציות עונשיות שהוטלו עליו בעבר לא הרתיעו אותו מביצוע עבירות נוספות, משום שהוא לא היטיב ל</w:t>
      </w:r>
      <w:r>
        <w:rPr>
          <w:rFonts w:ascii="David" w:hAnsi="David" w:cs="David" w:hint="cs"/>
          <w:sz w:val="24"/>
          <w:szCs w:val="24"/>
          <w:rtl/>
        </w:rPr>
        <w:t xml:space="preserve">הפנים </w:t>
      </w:r>
      <w:r>
        <w:rPr>
          <w:rFonts w:ascii="David" w:hAnsi="David" w:cs="David"/>
          <w:sz w:val="24"/>
          <w:szCs w:val="24"/>
          <w:rtl/>
        </w:rPr>
        <w:t>את תכני הטיפול ואת הכלים שרכש במסגרתם</w:t>
      </w:r>
      <w:r>
        <w:rPr>
          <w:rFonts w:ascii="David" w:hAnsi="David" w:cs="David" w:hint="cs"/>
          <w:sz w:val="24"/>
          <w:szCs w:val="24"/>
          <w:rtl/>
        </w:rPr>
        <w:t xml:space="preserve"> לאורך זמן</w:t>
      </w:r>
      <w:r>
        <w:rPr>
          <w:rFonts w:ascii="David" w:hAnsi="David" w:cs="David"/>
          <w:sz w:val="24"/>
          <w:szCs w:val="24"/>
          <w:rtl/>
        </w:rPr>
        <w:t>.</w:t>
      </w:r>
    </w:p>
    <w:p w14:paraId="453D43C8" w14:textId="77777777" w:rsidR="00EB75BB" w:rsidRPr="00194648" w:rsidRDefault="00EB75BB" w:rsidP="00EB75BB">
      <w:pPr>
        <w:pStyle w:val="aa"/>
        <w:spacing w:line="360" w:lineRule="auto"/>
        <w:jc w:val="both"/>
        <w:rPr>
          <w:rFonts w:ascii="David" w:hAnsi="David" w:cs="David"/>
          <w:sz w:val="24"/>
          <w:szCs w:val="24"/>
        </w:rPr>
      </w:pPr>
    </w:p>
    <w:p w14:paraId="5A5E3050"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בסיכומו של התסקיר ובהתחשב בכל הנתונים הנ"ל, הגיעה קצינת המבחן למסקנה כי קיים בנאשם </w:t>
      </w:r>
      <w:r w:rsidRPr="00380A23">
        <w:rPr>
          <w:rFonts w:ascii="David" w:hAnsi="David" w:cs="David"/>
          <w:sz w:val="24"/>
          <w:szCs w:val="24"/>
          <w:u w:val="single"/>
          <w:rtl/>
        </w:rPr>
        <w:t>סיכון גבוה</w:t>
      </w:r>
      <w:r>
        <w:rPr>
          <w:rFonts w:ascii="David" w:hAnsi="David" w:cs="David"/>
          <w:sz w:val="24"/>
          <w:szCs w:val="24"/>
          <w:rtl/>
        </w:rPr>
        <w:t xml:space="preserve"> להישנות עבירות דומות בעתיד, ולכן לא ניתנה כל המלצה טיפולית </w:t>
      </w:r>
      <w:r>
        <w:rPr>
          <w:rFonts w:ascii="David" w:hAnsi="David" w:cs="David" w:hint="cs"/>
          <w:sz w:val="24"/>
          <w:szCs w:val="24"/>
          <w:rtl/>
        </w:rPr>
        <w:t xml:space="preserve">או שיקומית </w:t>
      </w:r>
      <w:r>
        <w:rPr>
          <w:rFonts w:ascii="David" w:hAnsi="David" w:cs="David"/>
          <w:sz w:val="24"/>
          <w:szCs w:val="24"/>
          <w:rtl/>
        </w:rPr>
        <w:t xml:space="preserve">בעניינו. </w:t>
      </w:r>
    </w:p>
    <w:p w14:paraId="6A70530A" w14:textId="77777777" w:rsidR="00EB75BB" w:rsidRDefault="00EB75BB" w:rsidP="00EB75BB">
      <w:pPr>
        <w:pStyle w:val="aa"/>
        <w:spacing w:line="360" w:lineRule="auto"/>
        <w:jc w:val="both"/>
        <w:rPr>
          <w:rFonts w:ascii="David" w:hAnsi="David" w:cs="David"/>
          <w:sz w:val="24"/>
          <w:szCs w:val="24"/>
        </w:rPr>
      </w:pPr>
      <w:r>
        <w:rPr>
          <w:rFonts w:ascii="David" w:hAnsi="David" w:cs="David"/>
          <w:sz w:val="24"/>
          <w:szCs w:val="24"/>
          <w:rtl/>
        </w:rPr>
        <w:t>אשר למאסר המותנה התלוי כנגד הנאשם, ציינה קצינת המבחן שהארכתו לא תהא אפקטיבית עבורו ולא תפחית מהסיכון כאמור.  עם זאת, ועל רקע הצהרת הנאשם לנזקקות טיפולית ולרצון לערוך שינוי בחייו, הוסיפה המלצה לשילובו בתכנית טיפולית מתאימה בכלא.</w:t>
      </w:r>
    </w:p>
    <w:p w14:paraId="722E88A3" w14:textId="77777777" w:rsidR="00EB75BB" w:rsidRDefault="00EB75BB" w:rsidP="00EB75BB">
      <w:pPr>
        <w:pStyle w:val="aa"/>
        <w:spacing w:line="360" w:lineRule="auto"/>
        <w:jc w:val="both"/>
        <w:rPr>
          <w:rFonts w:ascii="David" w:hAnsi="David" w:cs="David"/>
          <w:sz w:val="24"/>
          <w:szCs w:val="24"/>
          <w:rtl/>
        </w:rPr>
      </w:pPr>
    </w:p>
    <w:p w14:paraId="7E3CC587" w14:textId="77777777" w:rsidR="00EB75BB" w:rsidRDefault="00EB75BB" w:rsidP="00EB75BB">
      <w:pPr>
        <w:pStyle w:val="aa"/>
        <w:spacing w:line="360" w:lineRule="auto"/>
        <w:jc w:val="both"/>
        <w:rPr>
          <w:rFonts w:ascii="David" w:hAnsi="David" w:cs="David"/>
          <w:b/>
          <w:bCs/>
          <w:sz w:val="24"/>
          <w:szCs w:val="24"/>
          <w:u w:val="single"/>
          <w:rtl/>
        </w:rPr>
      </w:pPr>
      <w:r>
        <w:rPr>
          <w:rFonts w:ascii="David" w:hAnsi="David" w:cs="David"/>
          <w:b/>
          <w:bCs/>
          <w:sz w:val="24"/>
          <w:szCs w:val="24"/>
          <w:u w:val="single"/>
          <w:rtl/>
        </w:rPr>
        <w:t>ראיות וטיעוני הצדדים לעונש</w:t>
      </w:r>
    </w:p>
    <w:p w14:paraId="7C72D708" w14:textId="77777777" w:rsidR="00EB75BB" w:rsidRDefault="00EB75BB" w:rsidP="00EB75BB">
      <w:pPr>
        <w:pStyle w:val="aa"/>
        <w:spacing w:line="360" w:lineRule="auto"/>
        <w:jc w:val="both"/>
        <w:rPr>
          <w:rFonts w:ascii="David" w:hAnsi="David" w:cs="David"/>
          <w:b/>
          <w:bCs/>
          <w:sz w:val="24"/>
          <w:szCs w:val="24"/>
          <w:u w:val="single"/>
          <w:rtl/>
        </w:rPr>
      </w:pPr>
    </w:p>
    <w:p w14:paraId="5CB04C02"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מטעם המאשימה הוגש גיליון הרישום הפלילי של הנאשם (ת/2), ממנו עולה כי לחובתו שבע הרשעות בעבירות שונות של אלימות, רכוש, מין וסמים ועבירה אחת ללא הרשעה שביצע בהיותו קטין. הרשעתו האחרונה של הנאשם </w:t>
      </w:r>
      <w:r>
        <w:rPr>
          <w:rFonts w:ascii="David" w:hAnsi="David" w:cs="David" w:hint="cs"/>
          <w:sz w:val="24"/>
          <w:szCs w:val="24"/>
          <w:rtl/>
        </w:rPr>
        <w:t xml:space="preserve">כאמור, </w:t>
      </w:r>
      <w:r>
        <w:rPr>
          <w:rFonts w:ascii="David" w:hAnsi="David" w:cs="David"/>
          <w:sz w:val="24"/>
          <w:szCs w:val="24"/>
          <w:rtl/>
        </w:rPr>
        <w:t>היא מיום 08.03.21 בעבירה של סחר ואספקת סמים מסוכנים, בגינה הוטל עליו מאסר בפועל לשלושה חודשים ושבועיים, שאותו הוא עדיין מרצה כיום. (העונש נגזר ב</w:t>
      </w:r>
      <w:hyperlink r:id="rId17" w:history="1">
        <w:r w:rsidR="000F5A41" w:rsidRPr="000F5A41">
          <w:rPr>
            <w:rFonts w:ascii="David" w:hAnsi="David" w:cs="David"/>
            <w:color w:val="0000FF"/>
            <w:sz w:val="24"/>
            <w:szCs w:val="24"/>
            <w:u w:val="single"/>
            <w:rtl/>
          </w:rPr>
          <w:t>ת"פ (ק. שמונה) 51306-08-19</w:t>
        </w:r>
      </w:hyperlink>
      <w:r>
        <w:rPr>
          <w:rFonts w:ascii="David" w:hAnsi="David" w:cs="David"/>
          <w:sz w:val="24"/>
          <w:szCs w:val="24"/>
          <w:rtl/>
        </w:rPr>
        <w:t xml:space="preserve">). </w:t>
      </w:r>
    </w:p>
    <w:p w14:paraId="7260DD89" w14:textId="77777777" w:rsidR="00EB75BB" w:rsidRDefault="00EB75BB" w:rsidP="00EB75BB">
      <w:pPr>
        <w:pStyle w:val="aa"/>
        <w:spacing w:line="360" w:lineRule="auto"/>
        <w:jc w:val="both"/>
        <w:rPr>
          <w:rFonts w:ascii="David" w:hAnsi="David" w:cs="David"/>
          <w:sz w:val="24"/>
          <w:szCs w:val="24"/>
          <w:rtl/>
        </w:rPr>
      </w:pPr>
      <w:r>
        <w:rPr>
          <w:rFonts w:ascii="David" w:hAnsi="David" w:cs="David" w:hint="cs"/>
          <w:sz w:val="24"/>
          <w:szCs w:val="24"/>
          <w:rtl/>
        </w:rPr>
        <w:t xml:space="preserve">בנוסף הציגה </w:t>
      </w:r>
      <w:r>
        <w:rPr>
          <w:rFonts w:ascii="David" w:hAnsi="David" w:cs="David"/>
          <w:sz w:val="24"/>
          <w:szCs w:val="24"/>
          <w:rtl/>
        </w:rPr>
        <w:t xml:space="preserve">המאשימה </w:t>
      </w:r>
      <w:r>
        <w:rPr>
          <w:rFonts w:ascii="David" w:hAnsi="David" w:cs="David" w:hint="cs"/>
          <w:sz w:val="24"/>
          <w:szCs w:val="24"/>
          <w:rtl/>
        </w:rPr>
        <w:t xml:space="preserve">את </w:t>
      </w:r>
      <w:r>
        <w:rPr>
          <w:rFonts w:ascii="David" w:hAnsi="David" w:cs="David"/>
          <w:sz w:val="24"/>
          <w:szCs w:val="24"/>
          <w:rtl/>
        </w:rPr>
        <w:t xml:space="preserve">כתב </w:t>
      </w:r>
      <w:r>
        <w:rPr>
          <w:rFonts w:ascii="David" w:hAnsi="David" w:cs="David" w:hint="cs"/>
          <w:sz w:val="24"/>
          <w:szCs w:val="24"/>
          <w:rtl/>
        </w:rPr>
        <w:t>ה</w:t>
      </w:r>
      <w:r>
        <w:rPr>
          <w:rFonts w:ascii="David" w:hAnsi="David" w:cs="David"/>
          <w:sz w:val="24"/>
          <w:szCs w:val="24"/>
          <w:rtl/>
        </w:rPr>
        <w:t>אישום</w:t>
      </w:r>
      <w:r>
        <w:rPr>
          <w:rFonts w:ascii="David" w:hAnsi="David" w:cs="David" w:hint="cs"/>
          <w:sz w:val="24"/>
          <w:szCs w:val="24"/>
          <w:rtl/>
        </w:rPr>
        <w:t xml:space="preserve"> המתוקן</w:t>
      </w:r>
      <w:r>
        <w:rPr>
          <w:rFonts w:ascii="David" w:hAnsi="David" w:cs="David"/>
          <w:sz w:val="24"/>
          <w:szCs w:val="24"/>
          <w:rtl/>
        </w:rPr>
        <w:t xml:space="preserve">, הכרעת </w:t>
      </w:r>
      <w:r>
        <w:rPr>
          <w:rFonts w:ascii="David" w:hAnsi="David" w:cs="David" w:hint="cs"/>
          <w:sz w:val="24"/>
          <w:szCs w:val="24"/>
          <w:rtl/>
        </w:rPr>
        <w:t>ה</w:t>
      </w:r>
      <w:r>
        <w:rPr>
          <w:rFonts w:ascii="David" w:hAnsi="David" w:cs="David"/>
          <w:sz w:val="24"/>
          <w:szCs w:val="24"/>
          <w:rtl/>
        </w:rPr>
        <w:t xml:space="preserve">דין וגזר </w:t>
      </w:r>
      <w:r>
        <w:rPr>
          <w:rFonts w:ascii="David" w:hAnsi="David" w:cs="David" w:hint="cs"/>
          <w:sz w:val="24"/>
          <w:szCs w:val="24"/>
          <w:rtl/>
        </w:rPr>
        <w:t>ה</w:t>
      </w:r>
      <w:r>
        <w:rPr>
          <w:rFonts w:ascii="David" w:hAnsi="David" w:cs="David"/>
          <w:sz w:val="24"/>
          <w:szCs w:val="24"/>
          <w:rtl/>
        </w:rPr>
        <w:t xml:space="preserve">דין שניתן כנגד הנאשם ביום 21.05.18, </w:t>
      </w:r>
      <w:r>
        <w:rPr>
          <w:rFonts w:ascii="David" w:hAnsi="David" w:cs="David" w:hint="cs"/>
          <w:sz w:val="24"/>
          <w:szCs w:val="24"/>
          <w:rtl/>
        </w:rPr>
        <w:t xml:space="preserve">לאחר שהודה בעבירה של פציעה כשהעבריין מזויין (לפי </w:t>
      </w:r>
      <w:hyperlink r:id="rId18" w:history="1">
        <w:r w:rsidR="00E5195C" w:rsidRPr="00E5195C">
          <w:rPr>
            <w:rStyle w:val="Hyperlink"/>
            <w:rFonts w:ascii="David" w:hAnsi="David" w:cs="David" w:hint="cs"/>
            <w:sz w:val="24"/>
            <w:szCs w:val="24"/>
            <w:rtl/>
          </w:rPr>
          <w:t>סעיף</w:t>
        </w:r>
        <w:r w:rsidR="00E5195C" w:rsidRPr="00E5195C">
          <w:rPr>
            <w:rStyle w:val="Hyperlink"/>
            <w:rFonts w:ascii="David" w:hAnsi="David" w:cs="David"/>
            <w:sz w:val="24"/>
            <w:szCs w:val="24"/>
            <w:rtl/>
          </w:rPr>
          <w:t xml:space="preserve"> 335(א)(1)</w:t>
        </w:r>
      </w:hyperlink>
      <w:r>
        <w:rPr>
          <w:rFonts w:ascii="David" w:hAnsi="David" w:cs="David" w:hint="cs"/>
          <w:sz w:val="24"/>
          <w:szCs w:val="24"/>
          <w:rtl/>
        </w:rPr>
        <w:t xml:space="preserve"> לחוק), ו</w:t>
      </w:r>
      <w:r>
        <w:rPr>
          <w:rFonts w:ascii="David" w:hAnsi="David" w:cs="David"/>
          <w:sz w:val="24"/>
          <w:szCs w:val="24"/>
          <w:rtl/>
        </w:rPr>
        <w:t>במסגרתו הושת</w:t>
      </w:r>
      <w:r>
        <w:rPr>
          <w:rFonts w:ascii="David" w:hAnsi="David" w:cs="David" w:hint="cs"/>
          <w:sz w:val="24"/>
          <w:szCs w:val="24"/>
          <w:rtl/>
        </w:rPr>
        <w:t xml:space="preserve"> </w:t>
      </w:r>
      <w:r>
        <w:rPr>
          <w:rFonts w:ascii="David" w:hAnsi="David" w:cs="David"/>
          <w:sz w:val="24"/>
          <w:szCs w:val="24"/>
          <w:rtl/>
        </w:rPr>
        <w:t xml:space="preserve">על הנאשם מאסר </w:t>
      </w:r>
      <w:r>
        <w:rPr>
          <w:rFonts w:ascii="David" w:hAnsi="David" w:cs="David" w:hint="cs"/>
          <w:sz w:val="24"/>
          <w:szCs w:val="24"/>
          <w:rtl/>
        </w:rPr>
        <w:t xml:space="preserve">בפועל לתקופה של 12 חודשים, ומאסר </w:t>
      </w:r>
      <w:r>
        <w:rPr>
          <w:rFonts w:ascii="David" w:hAnsi="David" w:cs="David"/>
          <w:sz w:val="24"/>
          <w:szCs w:val="24"/>
          <w:rtl/>
        </w:rPr>
        <w:t>על תנאי לתקופה של שמונה חודשים, שהוא בר הפעלה בתיק זה (העונש נגזר ב</w:t>
      </w:r>
      <w:hyperlink r:id="rId19" w:history="1">
        <w:r w:rsidR="000F5A41" w:rsidRPr="000F5A41">
          <w:rPr>
            <w:rFonts w:ascii="David" w:hAnsi="David" w:cs="David"/>
            <w:color w:val="0000FF"/>
            <w:sz w:val="24"/>
            <w:szCs w:val="24"/>
            <w:u w:val="single"/>
            <w:rtl/>
          </w:rPr>
          <w:t>ת"פ (עכו) 2020-10-17</w:t>
        </w:r>
      </w:hyperlink>
      <w:r>
        <w:rPr>
          <w:rFonts w:ascii="David" w:hAnsi="David" w:cs="David" w:hint="cs"/>
          <w:sz w:val="24"/>
          <w:szCs w:val="24"/>
          <w:rtl/>
        </w:rPr>
        <w:t>)</w:t>
      </w:r>
      <w:r>
        <w:rPr>
          <w:rFonts w:ascii="David" w:hAnsi="David" w:cs="David"/>
          <w:sz w:val="24"/>
          <w:szCs w:val="24"/>
          <w:rtl/>
        </w:rPr>
        <w:t xml:space="preserve">. </w:t>
      </w:r>
    </w:p>
    <w:p w14:paraId="091FD7CB" w14:textId="77777777" w:rsidR="00EB75BB" w:rsidRDefault="00EB75BB" w:rsidP="00EB75BB">
      <w:pPr>
        <w:pStyle w:val="aa"/>
        <w:spacing w:line="360" w:lineRule="auto"/>
        <w:jc w:val="both"/>
        <w:rPr>
          <w:rFonts w:ascii="David" w:hAnsi="David" w:cs="David"/>
          <w:sz w:val="24"/>
          <w:szCs w:val="24"/>
          <w:rtl/>
        </w:rPr>
      </w:pPr>
      <w:r>
        <w:rPr>
          <w:rFonts w:ascii="David" w:hAnsi="David" w:cs="David"/>
          <w:sz w:val="24"/>
          <w:szCs w:val="24"/>
          <w:rtl/>
        </w:rPr>
        <w:t xml:space="preserve">עוד הפנתה המאשימה לתיעוד הרפואי ולתמונתו של המתלונן, שהוגשו במסגרת שמיעת הראיות (ת/34-ת/38 ו- ת/40), ולעובדה שכנגד הנאשם </w:t>
      </w:r>
      <w:r>
        <w:rPr>
          <w:rFonts w:ascii="David" w:hAnsi="David" w:cs="David" w:hint="cs"/>
          <w:sz w:val="24"/>
          <w:szCs w:val="24"/>
          <w:rtl/>
        </w:rPr>
        <w:t>תלוי ו</w:t>
      </w:r>
      <w:r>
        <w:rPr>
          <w:rFonts w:ascii="David" w:hAnsi="David" w:cs="David"/>
          <w:sz w:val="24"/>
          <w:szCs w:val="24"/>
          <w:rtl/>
        </w:rPr>
        <w:t>עומד כתב אישום נוסף מיום 25.01.20.</w:t>
      </w:r>
    </w:p>
    <w:p w14:paraId="25A64683" w14:textId="77777777" w:rsidR="00EB75BB" w:rsidRDefault="00EB75BB" w:rsidP="00EB75BB">
      <w:pPr>
        <w:pStyle w:val="aa"/>
        <w:spacing w:line="360" w:lineRule="auto"/>
        <w:jc w:val="both"/>
        <w:rPr>
          <w:rFonts w:ascii="David" w:hAnsi="David" w:cs="David"/>
          <w:sz w:val="24"/>
          <w:szCs w:val="24"/>
          <w:rtl/>
        </w:rPr>
      </w:pPr>
      <w:r>
        <w:rPr>
          <w:rFonts w:ascii="David" w:hAnsi="David" w:cs="David"/>
          <w:sz w:val="24"/>
          <w:szCs w:val="24"/>
          <w:rtl/>
        </w:rPr>
        <w:t xml:space="preserve"> </w:t>
      </w:r>
    </w:p>
    <w:p w14:paraId="76EBD92B"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מטעם הנאשם הוגש תצהיר שנחתם ע"י המתלונן ביום 20.10.20 (נ/1), בו פירט המתלונן את  ניסיונותיו לבטל את התלונה כנגד הנאשם, ואת העובדה שהשלים עמו ושבכוונתם לח</w:t>
      </w:r>
      <w:r>
        <w:rPr>
          <w:rFonts w:ascii="David" w:hAnsi="David" w:cs="David" w:hint="cs"/>
          <w:sz w:val="24"/>
          <w:szCs w:val="24"/>
          <w:rtl/>
        </w:rPr>
        <w:t>ת</w:t>
      </w:r>
      <w:r>
        <w:rPr>
          <w:rFonts w:ascii="David" w:hAnsi="David" w:cs="David"/>
          <w:sz w:val="24"/>
          <w:szCs w:val="24"/>
          <w:rtl/>
        </w:rPr>
        <w:t>ום על הסכם סולחה בקרוב.</w:t>
      </w:r>
    </w:p>
    <w:p w14:paraId="50F72EB2" w14:textId="77777777" w:rsidR="00EB75BB" w:rsidRDefault="00EB75BB" w:rsidP="00EB75BB">
      <w:pPr>
        <w:pStyle w:val="aa"/>
        <w:spacing w:line="360" w:lineRule="auto"/>
        <w:jc w:val="both"/>
        <w:rPr>
          <w:rFonts w:ascii="David" w:hAnsi="David" w:cs="David"/>
          <w:sz w:val="24"/>
          <w:szCs w:val="24"/>
          <w:rtl/>
        </w:rPr>
      </w:pPr>
      <w:r>
        <w:rPr>
          <w:rFonts w:ascii="David" w:hAnsi="David" w:cs="David"/>
          <w:sz w:val="24"/>
          <w:szCs w:val="24"/>
          <w:rtl/>
        </w:rPr>
        <w:t xml:space="preserve">המתלונן אף שב והעיד לטובת הנאשם, וביקש להקל עמו ולשלבו במסגרת טיפול מחוץ לכותלי הכלא. המתלונן מסר כי "לא מגיע לו", כי האירוע היה מעין "בעיה קטנה" שהוא והנאשם היו צריכים לפתור ביניהם, והוסיף שכיום הוא מרגיש טוב והחבלות הגופניות שנגרמו לו כתוצאה מהאירוע נעלמו, וכי הוא סלח לנאשם ושכח את מה שקרה.  המתלונן אישר שהיה לו קשר חברי טוב וקרוב עם הנאשם וכי נערכה סולחה ביניהם, הגם שהוא לא קיבל פיצוי כספי.   </w:t>
      </w:r>
    </w:p>
    <w:p w14:paraId="35C7480B" w14:textId="77777777" w:rsidR="00EB75BB" w:rsidRDefault="00EB75BB" w:rsidP="00EB75BB">
      <w:pPr>
        <w:pStyle w:val="aa"/>
        <w:spacing w:line="360" w:lineRule="auto"/>
        <w:jc w:val="both"/>
        <w:rPr>
          <w:rFonts w:ascii="David" w:hAnsi="David" w:cs="David"/>
          <w:sz w:val="24"/>
          <w:szCs w:val="24"/>
          <w:rtl/>
        </w:rPr>
      </w:pPr>
    </w:p>
    <w:p w14:paraId="39239E9F"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עוד העידו מטעמו של הנאשם – דודו סוא</w:t>
      </w:r>
      <w:r>
        <w:rPr>
          <w:rFonts w:ascii="David" w:hAnsi="David" w:cs="David" w:hint="cs"/>
          <w:sz w:val="24"/>
          <w:szCs w:val="24"/>
          <w:rtl/>
        </w:rPr>
        <w:t>ע</w:t>
      </w:r>
      <w:r>
        <w:rPr>
          <w:rFonts w:ascii="David" w:hAnsi="David" w:cs="David"/>
          <w:sz w:val="24"/>
          <w:szCs w:val="24"/>
          <w:rtl/>
        </w:rPr>
        <w:t>ד מחמוד ודודו של אביו סוא</w:t>
      </w:r>
      <w:r>
        <w:rPr>
          <w:rFonts w:ascii="David" w:hAnsi="David" w:cs="David" w:hint="cs"/>
          <w:sz w:val="24"/>
          <w:szCs w:val="24"/>
          <w:rtl/>
        </w:rPr>
        <w:t>ע</w:t>
      </w:r>
      <w:r>
        <w:rPr>
          <w:rFonts w:ascii="David" w:hAnsi="David" w:cs="David"/>
          <w:sz w:val="24"/>
          <w:szCs w:val="24"/>
          <w:rtl/>
        </w:rPr>
        <w:t>ד סאלח, ו</w:t>
      </w:r>
      <w:r>
        <w:rPr>
          <w:rFonts w:ascii="David" w:hAnsi="David" w:cs="David" w:hint="cs"/>
          <w:sz w:val="24"/>
          <w:szCs w:val="24"/>
          <w:rtl/>
        </w:rPr>
        <w:t>שני</w:t>
      </w:r>
      <w:r>
        <w:rPr>
          <w:rFonts w:ascii="David" w:hAnsi="David" w:cs="David"/>
          <w:sz w:val="24"/>
          <w:szCs w:val="24"/>
          <w:rtl/>
        </w:rPr>
        <w:t xml:space="preserve">הם מסרו כי בכוונתם לקחת אחריות ולעזור לנאשם להתקדם בחיים וללכת בדרך הישר. עוד העידו על הסולחה שנערכה בין משפחת הנאשם והמתלונן, ועל כך שכיום שוררים יחסים טובים בין המשפחות. </w:t>
      </w:r>
    </w:p>
    <w:p w14:paraId="2688FE53" w14:textId="77777777" w:rsidR="00EB75BB" w:rsidRDefault="00EB75BB" w:rsidP="00EB75BB">
      <w:pPr>
        <w:pStyle w:val="aa"/>
        <w:spacing w:line="360" w:lineRule="auto"/>
        <w:jc w:val="both"/>
        <w:rPr>
          <w:rFonts w:ascii="David" w:hAnsi="David" w:cs="David"/>
          <w:sz w:val="24"/>
          <w:szCs w:val="24"/>
        </w:rPr>
      </w:pPr>
    </w:p>
    <w:p w14:paraId="70917158" w14:textId="77777777" w:rsidR="00EB75BB" w:rsidRDefault="00EB75BB" w:rsidP="00EB75BB">
      <w:pPr>
        <w:spacing w:line="360" w:lineRule="auto"/>
        <w:ind w:firstLine="720"/>
        <w:jc w:val="both"/>
        <w:rPr>
          <w:rFonts w:ascii="David" w:hAnsi="David"/>
          <w:b/>
          <w:bCs/>
          <w:u w:val="single"/>
          <w:rtl/>
        </w:rPr>
      </w:pPr>
      <w:r>
        <w:rPr>
          <w:rFonts w:ascii="David" w:hAnsi="David"/>
          <w:b/>
          <w:bCs/>
          <w:u w:val="single"/>
          <w:rtl/>
        </w:rPr>
        <w:t>טיעוני המאשימה לעונש</w:t>
      </w:r>
    </w:p>
    <w:p w14:paraId="16B629D8" w14:textId="77777777" w:rsidR="00EB75BB" w:rsidRDefault="00EB75BB" w:rsidP="00EB75BB">
      <w:pPr>
        <w:spacing w:line="360" w:lineRule="auto"/>
        <w:ind w:firstLine="720"/>
        <w:jc w:val="both"/>
        <w:rPr>
          <w:rFonts w:ascii="David" w:hAnsi="David"/>
          <w:b/>
          <w:bCs/>
          <w:u w:val="single"/>
          <w:rtl/>
        </w:rPr>
      </w:pPr>
    </w:p>
    <w:p w14:paraId="656FF418"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המאשימה</w:t>
      </w:r>
      <w:r>
        <w:rPr>
          <w:rFonts w:ascii="David" w:hAnsi="David" w:cs="David"/>
          <w:sz w:val="24"/>
          <w:szCs w:val="24"/>
        </w:rPr>
        <w:t xml:space="preserve"> </w:t>
      </w:r>
      <w:r>
        <w:rPr>
          <w:rFonts w:ascii="David" w:hAnsi="David" w:cs="David"/>
          <w:sz w:val="24"/>
          <w:szCs w:val="24"/>
          <w:rtl/>
        </w:rPr>
        <w:t>הגישה</w:t>
      </w:r>
      <w:r>
        <w:rPr>
          <w:rFonts w:ascii="David" w:hAnsi="David" w:cs="David"/>
          <w:sz w:val="24"/>
          <w:szCs w:val="24"/>
        </w:rPr>
        <w:t xml:space="preserve"> </w:t>
      </w:r>
      <w:r>
        <w:rPr>
          <w:rFonts w:ascii="David" w:hAnsi="David" w:cs="David"/>
          <w:sz w:val="24"/>
          <w:szCs w:val="24"/>
          <w:rtl/>
        </w:rPr>
        <w:t>את</w:t>
      </w:r>
      <w:r>
        <w:rPr>
          <w:rFonts w:ascii="David" w:hAnsi="David" w:cs="David"/>
          <w:sz w:val="24"/>
          <w:szCs w:val="24"/>
        </w:rPr>
        <w:t xml:space="preserve"> </w:t>
      </w:r>
      <w:r>
        <w:rPr>
          <w:rFonts w:ascii="David" w:hAnsi="David" w:cs="David"/>
          <w:sz w:val="24"/>
          <w:szCs w:val="24"/>
          <w:rtl/>
        </w:rPr>
        <w:t>עיקר</w:t>
      </w:r>
      <w:r>
        <w:rPr>
          <w:rFonts w:ascii="David" w:hAnsi="David" w:cs="David"/>
          <w:sz w:val="24"/>
          <w:szCs w:val="24"/>
        </w:rPr>
        <w:t xml:space="preserve"> </w:t>
      </w:r>
      <w:r>
        <w:rPr>
          <w:rFonts w:ascii="David" w:hAnsi="David" w:cs="David"/>
          <w:sz w:val="24"/>
          <w:szCs w:val="24"/>
          <w:rtl/>
        </w:rPr>
        <w:t>טיעוניה</w:t>
      </w:r>
      <w:r>
        <w:rPr>
          <w:rFonts w:ascii="David" w:hAnsi="David" w:cs="David"/>
          <w:sz w:val="24"/>
          <w:szCs w:val="24"/>
        </w:rPr>
        <w:t xml:space="preserve"> </w:t>
      </w:r>
      <w:r>
        <w:rPr>
          <w:rFonts w:ascii="David" w:hAnsi="David" w:cs="David"/>
          <w:sz w:val="24"/>
          <w:szCs w:val="24"/>
          <w:rtl/>
        </w:rPr>
        <w:t>בכתב (ת/1)</w:t>
      </w:r>
      <w:r>
        <w:rPr>
          <w:rFonts w:ascii="David" w:hAnsi="David" w:cs="David"/>
          <w:sz w:val="24"/>
          <w:szCs w:val="24"/>
        </w:rPr>
        <w:t xml:space="preserve"> </w:t>
      </w:r>
      <w:r>
        <w:rPr>
          <w:rFonts w:ascii="David" w:hAnsi="David" w:cs="David"/>
          <w:sz w:val="24"/>
          <w:szCs w:val="24"/>
          <w:rtl/>
        </w:rPr>
        <w:t>והוסיפה</w:t>
      </w:r>
      <w:r>
        <w:rPr>
          <w:rFonts w:ascii="David" w:hAnsi="David" w:cs="David"/>
          <w:sz w:val="24"/>
          <w:szCs w:val="24"/>
        </w:rPr>
        <w:t xml:space="preserve"> </w:t>
      </w:r>
      <w:r>
        <w:rPr>
          <w:rFonts w:ascii="David" w:hAnsi="David" w:cs="David"/>
          <w:sz w:val="24"/>
          <w:szCs w:val="24"/>
          <w:rtl/>
        </w:rPr>
        <w:t>והשלימה</w:t>
      </w:r>
      <w:r>
        <w:rPr>
          <w:rFonts w:ascii="David" w:hAnsi="David" w:cs="David"/>
          <w:sz w:val="24"/>
          <w:szCs w:val="24"/>
        </w:rPr>
        <w:t xml:space="preserve"> </w:t>
      </w:r>
      <w:r>
        <w:rPr>
          <w:rFonts w:ascii="David" w:hAnsi="David" w:cs="David"/>
          <w:sz w:val="24"/>
          <w:szCs w:val="24"/>
          <w:rtl/>
        </w:rPr>
        <w:t>טיעונים</w:t>
      </w:r>
      <w:r>
        <w:rPr>
          <w:rFonts w:ascii="David" w:hAnsi="David" w:cs="David"/>
          <w:sz w:val="24"/>
          <w:szCs w:val="24"/>
        </w:rPr>
        <w:t xml:space="preserve"> </w:t>
      </w:r>
      <w:r>
        <w:rPr>
          <w:rFonts w:ascii="David" w:hAnsi="David" w:cs="David"/>
          <w:sz w:val="24"/>
          <w:szCs w:val="24"/>
          <w:rtl/>
        </w:rPr>
        <w:t>בעל</w:t>
      </w:r>
      <w:r>
        <w:rPr>
          <w:rFonts w:ascii="David" w:hAnsi="David" w:cs="David"/>
          <w:sz w:val="24"/>
          <w:szCs w:val="24"/>
        </w:rPr>
        <w:t xml:space="preserve"> </w:t>
      </w:r>
      <w:r>
        <w:rPr>
          <w:rFonts w:ascii="David" w:hAnsi="David" w:cs="David"/>
          <w:sz w:val="24"/>
          <w:szCs w:val="24"/>
          <w:rtl/>
        </w:rPr>
        <w:t>פה.</w:t>
      </w:r>
    </w:p>
    <w:p w14:paraId="12F43881" w14:textId="77777777" w:rsidR="00EB75BB" w:rsidRDefault="00EB75BB" w:rsidP="00EB75BB">
      <w:pPr>
        <w:suppressLineNumbers/>
        <w:spacing w:line="360" w:lineRule="auto"/>
        <w:ind w:left="720"/>
        <w:jc w:val="both"/>
        <w:rPr>
          <w:rFonts w:ascii="David" w:hAnsi="David"/>
          <w:rtl/>
        </w:rPr>
      </w:pPr>
      <w:r>
        <w:rPr>
          <w:rFonts w:ascii="David" w:hAnsi="David"/>
          <w:rtl/>
        </w:rPr>
        <w:t xml:space="preserve">המאשימה ציינה את הערכים החברתיים בהם פגע הנאשם בבצעו את עבירת החבלה החמורה, והם הפגיעה בשלמות הגוף והזכות לשמירה על החיים, והדגישה את מדיניות הענישה המחמירה  והמכבידה ששמה דגש על שיקולי גמול והרתעה בעבירות אלימות בכלל,  ובפרט כשאלה כרוכות בשימוש בנשק קר ונעשות כדרך לפתרון סכסוכים, כפי העולה מהפסיקה אליה הפנתה. </w:t>
      </w:r>
    </w:p>
    <w:p w14:paraId="3E286309" w14:textId="77777777" w:rsidR="00EB75BB" w:rsidRDefault="00EB75BB" w:rsidP="00EB75BB">
      <w:pPr>
        <w:suppressLineNumbers/>
        <w:spacing w:line="360" w:lineRule="auto"/>
        <w:ind w:left="720"/>
        <w:jc w:val="both"/>
        <w:rPr>
          <w:rFonts w:ascii="David" w:hAnsi="David"/>
          <w:rtl/>
        </w:rPr>
      </w:pPr>
      <w:r>
        <w:rPr>
          <w:rFonts w:ascii="David" w:hAnsi="David"/>
          <w:rtl/>
        </w:rPr>
        <w:t xml:space="preserve">המאשימה עמדה על הנסיבות הקשורות בביצוע העבירה, וטענה כי הגעתו של הנאשם לפגישה עם המתלונן כשהוא מצויד מבעוד מועד בחפץ חד בנוסף להובלתו למקום "צדדי", מעידים על התכנון </w:t>
      </w:r>
      <w:r>
        <w:rPr>
          <w:rFonts w:ascii="David" w:hAnsi="David" w:hint="cs"/>
          <w:rtl/>
        </w:rPr>
        <w:t xml:space="preserve">ועל כוונתו של </w:t>
      </w:r>
      <w:r w:rsidRPr="003E3573">
        <w:rPr>
          <w:rFonts w:ascii="David" w:hAnsi="David"/>
          <w:rtl/>
        </w:rPr>
        <w:t>הנאשם</w:t>
      </w:r>
      <w:r>
        <w:rPr>
          <w:rFonts w:ascii="David" w:hAnsi="David"/>
          <w:rtl/>
        </w:rPr>
        <w:t xml:space="preserve"> לבצע עבירה. עוד הדגישה המאשימה, את המניע הבלתי מוצדק שהוביל את הנאשם לביצוע העבירה - חשדו כי המתלונן הפיץ עליו שמועה, </w:t>
      </w:r>
      <w:r>
        <w:rPr>
          <w:rFonts w:ascii="David" w:hAnsi="David" w:hint="cs"/>
          <w:rtl/>
        </w:rPr>
        <w:t xml:space="preserve">וכן </w:t>
      </w:r>
      <w:r>
        <w:rPr>
          <w:rFonts w:ascii="David" w:hAnsi="David"/>
          <w:rtl/>
        </w:rPr>
        <w:t xml:space="preserve">את אחריותו ושליטתו הבלעדית על מעשיו והיכולת שלו להימנע מהם. </w:t>
      </w:r>
    </w:p>
    <w:p w14:paraId="2E6C369F" w14:textId="77777777" w:rsidR="00EB75BB" w:rsidRDefault="00EB75BB" w:rsidP="00EB75BB">
      <w:pPr>
        <w:suppressLineNumbers/>
        <w:spacing w:line="360" w:lineRule="auto"/>
        <w:ind w:left="720"/>
        <w:jc w:val="both"/>
        <w:rPr>
          <w:rFonts w:ascii="David" w:hAnsi="David"/>
          <w:rtl/>
        </w:rPr>
      </w:pPr>
      <w:r>
        <w:rPr>
          <w:rFonts w:ascii="David" w:hAnsi="David"/>
          <w:rtl/>
        </w:rPr>
        <w:t xml:space="preserve">המאשימה הפנתה לפגיעה שנגרמה למתלונן כתוצאה מהשימוש בחפץ החד, כעולה מהתמונות ומהתיעוד הרפואי, והוסיפה כי יש לתת משקל לפוטנציאל הנזק שהיה גלום במעשי הנאשם ולכך שהמתלונן ניצל בנס מפגיעה חמורה וקיפוח חיים.  </w:t>
      </w:r>
    </w:p>
    <w:p w14:paraId="08785040" w14:textId="77777777" w:rsidR="00EB75BB" w:rsidRDefault="00EB75BB" w:rsidP="00EB75BB">
      <w:pPr>
        <w:suppressLineNumbers/>
        <w:spacing w:line="360" w:lineRule="auto"/>
        <w:ind w:left="720"/>
        <w:jc w:val="both"/>
        <w:rPr>
          <w:rFonts w:ascii="David" w:hAnsi="David"/>
          <w:rtl/>
        </w:rPr>
      </w:pPr>
    </w:p>
    <w:p w14:paraId="0AAB5C9A" w14:textId="77777777" w:rsidR="00EB75BB" w:rsidRDefault="00EB75BB" w:rsidP="00EB75BB">
      <w:pPr>
        <w:pStyle w:val="aa"/>
        <w:numPr>
          <w:ilvl w:val="0"/>
          <w:numId w:val="3"/>
        </w:numPr>
        <w:spacing w:line="360" w:lineRule="auto"/>
        <w:jc w:val="both"/>
        <w:rPr>
          <w:rFonts w:ascii="David" w:hAnsi="David" w:cs="David"/>
          <w:sz w:val="24"/>
          <w:szCs w:val="24"/>
        </w:rPr>
      </w:pPr>
      <w:r w:rsidRPr="006163AC">
        <w:rPr>
          <w:rFonts w:ascii="David" w:hAnsi="David" w:cs="David"/>
          <w:sz w:val="24"/>
          <w:szCs w:val="24"/>
          <w:rtl/>
        </w:rPr>
        <w:t>המאשימה</w:t>
      </w:r>
      <w:r w:rsidRPr="006163AC">
        <w:rPr>
          <w:rFonts w:ascii="David" w:hAnsi="David" w:cs="David"/>
          <w:sz w:val="24"/>
          <w:szCs w:val="24"/>
        </w:rPr>
        <w:t xml:space="preserve"> </w:t>
      </w:r>
      <w:r w:rsidRPr="006163AC">
        <w:rPr>
          <w:rFonts w:ascii="David" w:hAnsi="David" w:cs="David"/>
          <w:sz w:val="24"/>
          <w:szCs w:val="24"/>
          <w:rtl/>
        </w:rPr>
        <w:t xml:space="preserve">עתרה לקביעת מתחם ענישה </w:t>
      </w:r>
      <w:r w:rsidRPr="006163AC">
        <w:rPr>
          <w:rFonts w:ascii="David" w:hAnsi="David" w:cs="David" w:hint="cs"/>
          <w:sz w:val="24"/>
          <w:szCs w:val="24"/>
          <w:rtl/>
        </w:rPr>
        <w:t>ה</w:t>
      </w:r>
      <w:r w:rsidRPr="006163AC">
        <w:rPr>
          <w:rFonts w:ascii="David" w:hAnsi="David" w:cs="David"/>
          <w:sz w:val="24"/>
          <w:szCs w:val="24"/>
          <w:rtl/>
        </w:rPr>
        <w:t>נע בין 4 ל- 6 שנות מאסר בפועל, בצירוף עונשים נלווים ופיצוי למתלונן</w:t>
      </w:r>
      <w:r>
        <w:rPr>
          <w:rFonts w:ascii="David" w:hAnsi="David" w:cs="David" w:hint="cs"/>
          <w:sz w:val="24"/>
          <w:szCs w:val="24"/>
          <w:rtl/>
        </w:rPr>
        <w:t xml:space="preserve">, </w:t>
      </w:r>
      <w:r w:rsidRPr="006163AC">
        <w:rPr>
          <w:rFonts w:ascii="David" w:hAnsi="David" w:cs="David"/>
          <w:sz w:val="24"/>
          <w:szCs w:val="24"/>
          <w:rtl/>
        </w:rPr>
        <w:t>בהתאם לפסיקה שהגישה</w:t>
      </w:r>
      <w:r>
        <w:rPr>
          <w:rFonts w:ascii="David" w:hAnsi="David" w:cs="David" w:hint="cs"/>
          <w:sz w:val="24"/>
          <w:szCs w:val="24"/>
          <w:rtl/>
        </w:rPr>
        <w:t xml:space="preserve">. </w:t>
      </w:r>
    </w:p>
    <w:p w14:paraId="6B0C4002" w14:textId="77777777" w:rsidR="00EB75BB" w:rsidRPr="006163AC" w:rsidRDefault="00EB75BB" w:rsidP="00EB75BB">
      <w:pPr>
        <w:pStyle w:val="aa"/>
        <w:spacing w:line="360" w:lineRule="auto"/>
        <w:jc w:val="both"/>
        <w:rPr>
          <w:rFonts w:ascii="David" w:hAnsi="David" w:cs="David"/>
          <w:sz w:val="24"/>
          <w:szCs w:val="24"/>
          <w:rtl/>
        </w:rPr>
      </w:pPr>
      <w:r w:rsidRPr="006163AC">
        <w:rPr>
          <w:rFonts w:ascii="David" w:hAnsi="David" w:cs="David"/>
          <w:sz w:val="24"/>
          <w:szCs w:val="24"/>
          <w:rtl/>
        </w:rPr>
        <w:t>אשר</w:t>
      </w:r>
      <w:r w:rsidRPr="006163AC">
        <w:rPr>
          <w:rFonts w:ascii="David" w:hAnsi="David" w:cs="David"/>
          <w:sz w:val="24"/>
          <w:szCs w:val="24"/>
        </w:rPr>
        <w:t xml:space="preserve"> </w:t>
      </w:r>
      <w:r w:rsidRPr="006163AC">
        <w:rPr>
          <w:rFonts w:ascii="David" w:hAnsi="David" w:cs="David"/>
          <w:sz w:val="24"/>
          <w:szCs w:val="24"/>
          <w:rtl/>
        </w:rPr>
        <w:t>לקביעת</w:t>
      </w:r>
      <w:r w:rsidRPr="006163AC">
        <w:rPr>
          <w:rFonts w:ascii="David" w:hAnsi="David" w:cs="David"/>
          <w:sz w:val="24"/>
          <w:szCs w:val="24"/>
        </w:rPr>
        <w:t xml:space="preserve"> </w:t>
      </w:r>
      <w:r w:rsidRPr="006163AC">
        <w:rPr>
          <w:rFonts w:ascii="David" w:hAnsi="David" w:cs="David"/>
          <w:sz w:val="24"/>
          <w:szCs w:val="24"/>
          <w:rtl/>
        </w:rPr>
        <w:t>העונש</w:t>
      </w:r>
      <w:r w:rsidRPr="006163AC">
        <w:rPr>
          <w:rFonts w:ascii="David" w:hAnsi="David" w:cs="David"/>
          <w:sz w:val="24"/>
          <w:szCs w:val="24"/>
        </w:rPr>
        <w:t xml:space="preserve"> </w:t>
      </w:r>
      <w:r w:rsidRPr="006163AC">
        <w:rPr>
          <w:rFonts w:ascii="David" w:hAnsi="David" w:cs="David"/>
          <w:sz w:val="24"/>
          <w:szCs w:val="24"/>
          <w:rtl/>
        </w:rPr>
        <w:t>בתוך המתחם,</w:t>
      </w:r>
      <w:r w:rsidRPr="006163AC">
        <w:rPr>
          <w:rFonts w:ascii="David" w:hAnsi="David" w:cs="David"/>
          <w:sz w:val="24"/>
          <w:szCs w:val="24"/>
        </w:rPr>
        <w:t xml:space="preserve"> </w:t>
      </w:r>
      <w:r w:rsidRPr="006163AC">
        <w:rPr>
          <w:rFonts w:ascii="David" w:hAnsi="David" w:cs="David"/>
          <w:sz w:val="24"/>
          <w:szCs w:val="24"/>
          <w:rtl/>
        </w:rPr>
        <w:t xml:space="preserve">ציינה המאשימה לזכות הנאשם את הודאתו בכתב האישום המתוקן ונטילת האחריות על מעשיו, הגם שהודייתו ניתנה בשלב מתקדם של ההליך. לצד זאת </w:t>
      </w:r>
      <w:r>
        <w:rPr>
          <w:rFonts w:ascii="David" w:hAnsi="David" w:cs="David" w:hint="cs"/>
          <w:sz w:val="24"/>
          <w:szCs w:val="24"/>
          <w:rtl/>
        </w:rPr>
        <w:t xml:space="preserve">הפנתה </w:t>
      </w:r>
      <w:r w:rsidRPr="006163AC">
        <w:rPr>
          <w:rFonts w:ascii="David" w:hAnsi="David" w:cs="David"/>
          <w:sz w:val="24"/>
          <w:szCs w:val="24"/>
          <w:rtl/>
        </w:rPr>
        <w:t>המאשימה</w:t>
      </w:r>
      <w:r>
        <w:rPr>
          <w:rFonts w:ascii="David" w:hAnsi="David" w:cs="David" w:hint="cs"/>
          <w:sz w:val="24"/>
          <w:szCs w:val="24"/>
          <w:rtl/>
        </w:rPr>
        <w:t xml:space="preserve"> ל</w:t>
      </w:r>
      <w:r w:rsidRPr="006163AC">
        <w:rPr>
          <w:rFonts w:ascii="David" w:hAnsi="David" w:cs="David"/>
          <w:sz w:val="24"/>
          <w:szCs w:val="24"/>
          <w:rtl/>
        </w:rPr>
        <w:t>תסקיר שירות המבחן</w:t>
      </w:r>
      <w:r>
        <w:rPr>
          <w:rFonts w:ascii="David" w:hAnsi="David" w:cs="David" w:hint="cs"/>
          <w:sz w:val="24"/>
          <w:szCs w:val="24"/>
          <w:rtl/>
        </w:rPr>
        <w:t>,</w:t>
      </w:r>
      <w:r w:rsidRPr="006163AC">
        <w:rPr>
          <w:rFonts w:ascii="David" w:hAnsi="David" w:cs="David"/>
          <w:sz w:val="24"/>
          <w:szCs w:val="24"/>
          <w:rtl/>
        </w:rPr>
        <w:t xml:space="preserve"> </w:t>
      </w:r>
      <w:r>
        <w:rPr>
          <w:rFonts w:ascii="David" w:hAnsi="David" w:cs="David" w:hint="cs"/>
          <w:sz w:val="24"/>
          <w:szCs w:val="24"/>
          <w:rtl/>
        </w:rPr>
        <w:t xml:space="preserve">ממנו </w:t>
      </w:r>
      <w:r w:rsidRPr="006163AC">
        <w:rPr>
          <w:rFonts w:ascii="David" w:hAnsi="David" w:cs="David"/>
          <w:sz w:val="24"/>
          <w:szCs w:val="24"/>
          <w:rtl/>
        </w:rPr>
        <w:t>עולה ש</w:t>
      </w:r>
      <w:r>
        <w:rPr>
          <w:rFonts w:ascii="David" w:hAnsi="David" w:cs="David" w:hint="cs"/>
          <w:sz w:val="24"/>
          <w:szCs w:val="24"/>
          <w:rtl/>
        </w:rPr>
        <w:t>אף ש</w:t>
      </w:r>
      <w:r w:rsidRPr="006163AC">
        <w:rPr>
          <w:rFonts w:ascii="David" w:hAnsi="David" w:cs="David"/>
          <w:sz w:val="24"/>
          <w:szCs w:val="24"/>
          <w:rtl/>
        </w:rPr>
        <w:t xml:space="preserve">הנאשם </w:t>
      </w:r>
      <w:r>
        <w:rPr>
          <w:rFonts w:ascii="David" w:hAnsi="David" w:cs="David" w:hint="cs"/>
          <w:sz w:val="24"/>
          <w:szCs w:val="24"/>
          <w:rtl/>
        </w:rPr>
        <w:t xml:space="preserve">הודה במעשיו והביע צער עליהם הוא </w:t>
      </w:r>
      <w:r w:rsidRPr="006163AC">
        <w:rPr>
          <w:rFonts w:ascii="David" w:hAnsi="David" w:cs="David"/>
          <w:sz w:val="24"/>
          <w:szCs w:val="24"/>
          <w:rtl/>
        </w:rPr>
        <w:t>לקח אחריות חלקית בלבד.</w:t>
      </w:r>
    </w:p>
    <w:p w14:paraId="5000722E" w14:textId="77777777" w:rsidR="00EB75BB" w:rsidRDefault="00EB75BB" w:rsidP="00EB75BB">
      <w:pPr>
        <w:pStyle w:val="aa"/>
        <w:spacing w:line="360" w:lineRule="auto"/>
        <w:jc w:val="both"/>
        <w:rPr>
          <w:rFonts w:ascii="David" w:hAnsi="David" w:cs="David"/>
          <w:sz w:val="24"/>
          <w:szCs w:val="24"/>
          <w:rtl/>
        </w:rPr>
      </w:pPr>
      <w:r>
        <w:rPr>
          <w:rFonts w:ascii="David" w:hAnsi="David" w:cs="David"/>
          <w:sz w:val="24"/>
          <w:szCs w:val="24"/>
          <w:rtl/>
        </w:rPr>
        <w:t>המאשימה מנתה גם את הנסיבות העומדות לחובת הנאשם, ובהן התסקיר השלילי של שירות המבחן, עברו הפלילי המכביד וריצוי מאסרים רבים קודמים</w:t>
      </w:r>
      <w:r>
        <w:rPr>
          <w:rFonts w:ascii="David" w:hAnsi="David" w:cs="David" w:hint="cs"/>
          <w:sz w:val="24"/>
          <w:szCs w:val="24"/>
          <w:rtl/>
        </w:rPr>
        <w:t xml:space="preserve"> שלא הרתיעו אותו</w:t>
      </w:r>
      <w:r>
        <w:rPr>
          <w:rFonts w:ascii="David" w:hAnsi="David" w:cs="David"/>
          <w:sz w:val="24"/>
          <w:szCs w:val="24"/>
          <w:rtl/>
        </w:rPr>
        <w:t xml:space="preserve">, </w:t>
      </w:r>
      <w:r>
        <w:rPr>
          <w:rFonts w:ascii="David" w:hAnsi="David" w:cs="David" w:hint="cs"/>
          <w:sz w:val="24"/>
          <w:szCs w:val="24"/>
          <w:rtl/>
        </w:rPr>
        <w:t xml:space="preserve">כמו גם </w:t>
      </w:r>
      <w:r>
        <w:rPr>
          <w:rFonts w:ascii="David" w:hAnsi="David" w:cs="David"/>
          <w:sz w:val="24"/>
          <w:szCs w:val="24"/>
          <w:rtl/>
        </w:rPr>
        <w:t>אמירת שירות המבחן כי הארכת התנאי לא תפחית את מסוכנותו. עוד הודגש, כי מעשי הנאשם מעידים על רצדיביזם ועל דפוס התנהגות אלים שעלול להתגבר עקב שימושו בחומרים פסיכו-אקטיביים, כאשר למרות ההליך הטיפולי שעבר הוא חזר לבצע אותן עבירות.</w:t>
      </w:r>
    </w:p>
    <w:p w14:paraId="3C292674" w14:textId="77777777" w:rsidR="00EB75BB" w:rsidRDefault="00EB75BB" w:rsidP="00EB75BB">
      <w:pPr>
        <w:pStyle w:val="aa"/>
        <w:spacing w:line="360" w:lineRule="auto"/>
        <w:ind w:left="644"/>
        <w:jc w:val="both"/>
        <w:rPr>
          <w:rFonts w:ascii="David" w:hAnsi="David" w:cs="David"/>
          <w:sz w:val="24"/>
          <w:szCs w:val="24"/>
          <w:rtl/>
        </w:rPr>
      </w:pPr>
    </w:p>
    <w:p w14:paraId="11B4FE85" w14:textId="77777777" w:rsidR="00EB75BB" w:rsidRDefault="00EB75BB" w:rsidP="00EB75BB">
      <w:pPr>
        <w:pStyle w:val="aa"/>
        <w:numPr>
          <w:ilvl w:val="0"/>
          <w:numId w:val="3"/>
        </w:numPr>
        <w:suppressLineNumbers/>
        <w:spacing w:line="360" w:lineRule="auto"/>
        <w:jc w:val="both"/>
        <w:rPr>
          <w:rFonts w:ascii="David" w:hAnsi="David" w:cs="David"/>
          <w:b/>
          <w:bCs/>
          <w:sz w:val="24"/>
          <w:szCs w:val="24"/>
          <w:u w:val="single"/>
          <w:rtl/>
        </w:rPr>
      </w:pPr>
      <w:r>
        <w:rPr>
          <w:rFonts w:ascii="David" w:hAnsi="David" w:cs="David"/>
          <w:sz w:val="24"/>
          <w:szCs w:val="24"/>
          <w:rtl/>
        </w:rPr>
        <w:t>לאור כל האמור, עתרה המאשימה להטיל על הנאשם עונש של מאסר בפועל הנמצא בחלקו העליון</w:t>
      </w:r>
      <w:r>
        <w:rPr>
          <w:rFonts w:ascii="David" w:hAnsi="David" w:cs="David"/>
          <w:sz w:val="24"/>
          <w:szCs w:val="24"/>
        </w:rPr>
        <w:t xml:space="preserve"> </w:t>
      </w:r>
      <w:r>
        <w:rPr>
          <w:rFonts w:ascii="David" w:hAnsi="David" w:cs="David"/>
          <w:sz w:val="24"/>
          <w:szCs w:val="24"/>
          <w:rtl/>
        </w:rPr>
        <w:t>של</w:t>
      </w:r>
      <w:r>
        <w:rPr>
          <w:rFonts w:ascii="David" w:hAnsi="David" w:cs="David"/>
          <w:sz w:val="24"/>
          <w:szCs w:val="24"/>
        </w:rPr>
        <w:t xml:space="preserve"> </w:t>
      </w:r>
      <w:r>
        <w:rPr>
          <w:rFonts w:ascii="David" w:hAnsi="David" w:cs="David"/>
          <w:sz w:val="24"/>
          <w:szCs w:val="24"/>
          <w:rtl/>
        </w:rPr>
        <w:t>המתחם המבוקש, מאסר על תנאי ארוך ומשמעותי ופיצוי למתלונן, כמו גם הפעלה במצטבר של עונש המאסר המותנה התלוי ועומד כנגד הנאשם. בנוסף ביקשה המאשימה, שלא לנכות את ימי מעצרו מתקופת המאסר</w:t>
      </w:r>
      <w:r>
        <w:rPr>
          <w:rtl/>
        </w:rPr>
        <w:t xml:space="preserve"> </w:t>
      </w:r>
      <w:r>
        <w:rPr>
          <w:rFonts w:ascii="David" w:hAnsi="David" w:cs="David"/>
          <w:sz w:val="24"/>
          <w:szCs w:val="24"/>
          <w:rtl/>
        </w:rPr>
        <w:t xml:space="preserve">בגין הרשעתו האחרונה מיום 08.03.21, אותה טרם סיים לרצות. </w:t>
      </w:r>
    </w:p>
    <w:p w14:paraId="6794E7A4" w14:textId="77777777" w:rsidR="00EB75BB" w:rsidRDefault="00EB75BB" w:rsidP="00EB75BB">
      <w:pPr>
        <w:suppressLineNumbers/>
        <w:spacing w:line="360" w:lineRule="auto"/>
        <w:ind w:firstLine="720"/>
        <w:jc w:val="both"/>
        <w:rPr>
          <w:rFonts w:ascii="David" w:hAnsi="David"/>
          <w:b/>
          <w:bCs/>
          <w:u w:val="single"/>
          <w:rtl/>
        </w:rPr>
      </w:pPr>
      <w:r>
        <w:rPr>
          <w:rFonts w:ascii="David" w:hAnsi="David"/>
          <w:b/>
          <w:bCs/>
          <w:u w:val="single"/>
          <w:rtl/>
        </w:rPr>
        <w:t>טיעוני ההגנה לעונש ודברי הנאשם</w:t>
      </w:r>
    </w:p>
    <w:p w14:paraId="568768AD" w14:textId="77777777" w:rsidR="00EB75BB" w:rsidRDefault="00EB75BB" w:rsidP="00EB75BB">
      <w:pPr>
        <w:suppressLineNumbers/>
        <w:spacing w:line="360" w:lineRule="auto"/>
        <w:ind w:firstLine="720"/>
        <w:jc w:val="both"/>
        <w:rPr>
          <w:rFonts w:ascii="David" w:hAnsi="David"/>
          <w:b/>
          <w:bCs/>
          <w:u w:val="single"/>
          <w:rtl/>
        </w:rPr>
      </w:pPr>
    </w:p>
    <w:p w14:paraId="23C7967B" w14:textId="77777777" w:rsidR="00EB75BB" w:rsidRDefault="00EB75BB" w:rsidP="00EB75BB">
      <w:pPr>
        <w:pStyle w:val="aa"/>
        <w:numPr>
          <w:ilvl w:val="0"/>
          <w:numId w:val="3"/>
        </w:numPr>
        <w:suppressLineNumbers/>
        <w:spacing w:line="360" w:lineRule="auto"/>
        <w:jc w:val="both"/>
        <w:rPr>
          <w:rFonts w:ascii="David" w:hAnsi="David" w:cs="David"/>
          <w:sz w:val="24"/>
          <w:szCs w:val="24"/>
          <w:rtl/>
        </w:rPr>
      </w:pPr>
      <w:r>
        <w:rPr>
          <w:rFonts w:ascii="David" w:hAnsi="David" w:cs="David"/>
          <w:sz w:val="24"/>
          <w:szCs w:val="24"/>
          <w:rtl/>
        </w:rPr>
        <w:t xml:space="preserve">בפתח </w:t>
      </w:r>
      <w:r>
        <w:rPr>
          <w:rFonts w:ascii="David" w:hAnsi="David" w:cs="David" w:hint="cs"/>
          <w:sz w:val="24"/>
          <w:szCs w:val="24"/>
          <w:rtl/>
        </w:rPr>
        <w:t xml:space="preserve">טיעוניה </w:t>
      </w:r>
      <w:r>
        <w:rPr>
          <w:rFonts w:ascii="David" w:hAnsi="David" w:cs="David"/>
          <w:sz w:val="24"/>
          <w:szCs w:val="24"/>
          <w:rtl/>
        </w:rPr>
        <w:t>הפנתה ב"כ הנאשם לפסיקת בית המשפט העליון בכל הנוגע לשיקול הדעת של בית המשפט בגזירת העונש, ולחשיבות הטלת עונש הולם בהתאם לנסיבות האישיות של הנאשם ובהתאם לכל מקרה לגופו (</w:t>
      </w:r>
      <w:hyperlink r:id="rId20" w:history="1">
        <w:r w:rsidR="000F5A41" w:rsidRPr="000F5A41">
          <w:rPr>
            <w:rFonts w:ascii="David" w:hAnsi="David" w:cs="David"/>
            <w:color w:val="0000FF"/>
            <w:sz w:val="24"/>
            <w:szCs w:val="24"/>
            <w:u w:val="single"/>
            <w:rtl/>
          </w:rPr>
          <w:t>ע"פ 433/89</w:t>
        </w:r>
      </w:hyperlink>
      <w:r>
        <w:rPr>
          <w:rFonts w:ascii="David" w:hAnsi="David" w:cs="David"/>
          <w:sz w:val="24"/>
          <w:szCs w:val="24"/>
          <w:rtl/>
        </w:rPr>
        <w:t xml:space="preserve"> </w:t>
      </w:r>
      <w:r>
        <w:rPr>
          <w:rFonts w:ascii="David" w:hAnsi="David" w:cs="David"/>
          <w:b/>
          <w:bCs/>
          <w:sz w:val="24"/>
          <w:szCs w:val="24"/>
          <w:rtl/>
        </w:rPr>
        <w:t>אטיאס נ' מדינת ישראל</w:t>
      </w:r>
      <w:r>
        <w:rPr>
          <w:rFonts w:ascii="David" w:hAnsi="David" w:cs="David"/>
          <w:sz w:val="24"/>
          <w:szCs w:val="24"/>
          <w:rtl/>
        </w:rPr>
        <w:t xml:space="preserve">  ו</w:t>
      </w:r>
      <w:hyperlink r:id="rId21" w:history="1">
        <w:r w:rsidR="000F5A41" w:rsidRPr="000F5A41">
          <w:rPr>
            <w:rFonts w:ascii="David" w:hAnsi="David" w:cs="David"/>
            <w:color w:val="0000FF"/>
            <w:sz w:val="24"/>
            <w:szCs w:val="24"/>
            <w:u w:val="single"/>
            <w:rtl/>
          </w:rPr>
          <w:t>רע"פ 3173/09</w:t>
        </w:r>
      </w:hyperlink>
      <w:r>
        <w:rPr>
          <w:rFonts w:ascii="David" w:hAnsi="David" w:cs="David"/>
          <w:sz w:val="24"/>
          <w:szCs w:val="24"/>
          <w:rtl/>
        </w:rPr>
        <w:t xml:space="preserve">). </w:t>
      </w:r>
    </w:p>
    <w:p w14:paraId="3AE4BA29" w14:textId="77777777" w:rsidR="00EB75BB" w:rsidRDefault="00EB75BB" w:rsidP="00EB75BB">
      <w:pPr>
        <w:suppressLineNumbers/>
        <w:spacing w:line="360" w:lineRule="auto"/>
        <w:ind w:left="720"/>
        <w:jc w:val="both"/>
        <w:rPr>
          <w:rFonts w:ascii="David" w:hAnsi="David"/>
          <w:rtl/>
        </w:rPr>
      </w:pPr>
      <w:r>
        <w:rPr>
          <w:rFonts w:ascii="David" w:hAnsi="David"/>
          <w:rtl/>
        </w:rPr>
        <w:t>ב"כ הנאשם ביקשה לאבחן את הפסיקה שהציגה המאשימה, שלטענתה נבדלת בנסיבותיה ועוסקת במקרים חמורים יותר מזה של הנאשם, אם באמצעי ששימש לביצוע העבירה ואם בתוצאה של הפגיעה הגופנית שנגרמה לקורבן.</w:t>
      </w:r>
    </w:p>
    <w:p w14:paraId="73C689B0" w14:textId="77777777" w:rsidR="00EB75BB" w:rsidRDefault="00EB75BB" w:rsidP="00EB75BB">
      <w:pPr>
        <w:suppressLineNumbers/>
        <w:spacing w:line="360" w:lineRule="auto"/>
        <w:ind w:left="720"/>
        <w:jc w:val="both"/>
        <w:rPr>
          <w:rFonts w:ascii="David" w:hAnsi="David"/>
          <w:rtl/>
        </w:rPr>
      </w:pPr>
      <w:r>
        <w:rPr>
          <w:rFonts w:ascii="David" w:hAnsi="David"/>
          <w:rtl/>
        </w:rPr>
        <w:t xml:space="preserve">מבלי להקל מחומרת מעשי הנאשם, טענה </w:t>
      </w:r>
      <w:r>
        <w:rPr>
          <w:rFonts w:ascii="David" w:hAnsi="David" w:hint="cs"/>
          <w:rtl/>
        </w:rPr>
        <w:t xml:space="preserve">באת כוחו </w:t>
      </w:r>
      <w:r>
        <w:rPr>
          <w:rFonts w:ascii="David" w:hAnsi="David"/>
          <w:rtl/>
        </w:rPr>
        <w:t>כי מעשיו הם תוצאה של ויכוח מילולי שהתפתח לאירוע אלים חסר שליטה, תוך "מעידה" של הנאשם על רקע קנטור שחש בשל אמירות שייחס לו המתלונן על היותו "מלשן", ובשעה שהוא חש פגוע וכמי שאיבד את מעמדו בחברה, במיוחד לאחר מאמץ שעשה כדי להשתקם אחרי ריצוי מאסרים ממושכים.</w:t>
      </w:r>
    </w:p>
    <w:p w14:paraId="229D1A21" w14:textId="77777777" w:rsidR="00EB75BB" w:rsidRDefault="00EB75BB" w:rsidP="00EB75BB">
      <w:pPr>
        <w:suppressLineNumbers/>
        <w:spacing w:line="360" w:lineRule="auto"/>
        <w:ind w:left="720"/>
        <w:jc w:val="both"/>
        <w:rPr>
          <w:rFonts w:ascii="David" w:hAnsi="David"/>
          <w:rtl/>
        </w:rPr>
      </w:pPr>
      <w:r>
        <w:rPr>
          <w:rFonts w:ascii="David" w:hAnsi="David"/>
          <w:rtl/>
        </w:rPr>
        <w:t xml:space="preserve">עוד טענה ב"כ הנאשם, כי מעשה העבירה </w:t>
      </w:r>
      <w:r>
        <w:rPr>
          <w:rFonts w:ascii="David" w:hAnsi="David" w:hint="cs"/>
          <w:rtl/>
        </w:rPr>
        <w:t xml:space="preserve">לא </w:t>
      </w:r>
      <w:r>
        <w:rPr>
          <w:rFonts w:ascii="David" w:hAnsi="David"/>
          <w:rtl/>
        </w:rPr>
        <w:t xml:space="preserve">הותיר אצל המתלונן נזקים, כפי שעלה מעדותו לפני בית המשפט. </w:t>
      </w:r>
    </w:p>
    <w:p w14:paraId="00001AC4" w14:textId="77777777" w:rsidR="00EB75BB" w:rsidRDefault="00EB75BB" w:rsidP="00EB75BB">
      <w:pPr>
        <w:suppressLineNumbers/>
        <w:spacing w:line="360" w:lineRule="auto"/>
        <w:ind w:left="720"/>
        <w:jc w:val="both"/>
        <w:rPr>
          <w:rFonts w:ascii="David" w:hAnsi="David"/>
          <w:rtl/>
        </w:rPr>
      </w:pPr>
    </w:p>
    <w:p w14:paraId="1F0F7C37" w14:textId="77777777" w:rsidR="00EB75BB" w:rsidRDefault="00EB75BB" w:rsidP="00EB75BB">
      <w:pPr>
        <w:pStyle w:val="aa"/>
        <w:numPr>
          <w:ilvl w:val="0"/>
          <w:numId w:val="3"/>
        </w:numPr>
        <w:suppressLineNumbers/>
        <w:spacing w:line="360" w:lineRule="auto"/>
        <w:jc w:val="both"/>
        <w:rPr>
          <w:rFonts w:ascii="David" w:hAnsi="David" w:cs="David"/>
          <w:sz w:val="24"/>
          <w:szCs w:val="24"/>
          <w:rtl/>
        </w:rPr>
      </w:pPr>
      <w:r>
        <w:rPr>
          <w:rFonts w:ascii="David" w:hAnsi="David" w:cs="David"/>
          <w:sz w:val="24"/>
          <w:szCs w:val="24"/>
          <w:rtl/>
        </w:rPr>
        <w:t>נוכח זאת, ובהתאם למתחמי ענישה במקרים דומים</w:t>
      </w:r>
      <w:r>
        <w:rPr>
          <w:rFonts w:ascii="David" w:hAnsi="David" w:cs="David" w:hint="cs"/>
          <w:sz w:val="24"/>
          <w:szCs w:val="24"/>
          <w:rtl/>
        </w:rPr>
        <w:t xml:space="preserve"> (הגם שלא הוצגה פסיקה)</w:t>
      </w:r>
      <w:r>
        <w:rPr>
          <w:rFonts w:ascii="David" w:hAnsi="David" w:cs="David"/>
          <w:sz w:val="24"/>
          <w:szCs w:val="24"/>
          <w:rtl/>
        </w:rPr>
        <w:t xml:space="preserve">, טענה ב"כ הנאשם כי מתחם הענישה נע בין 6 ל- 18 חודשי מאסר, תוך שהדגישה כי יש לתת משקל נכבד לסולחה שנערכה בין הצדדים. </w:t>
      </w:r>
    </w:p>
    <w:p w14:paraId="301D0780" w14:textId="77777777" w:rsidR="00EB75BB" w:rsidRDefault="00EB75BB" w:rsidP="00EB75BB">
      <w:pPr>
        <w:pStyle w:val="aa"/>
        <w:suppressLineNumbers/>
        <w:spacing w:line="360" w:lineRule="auto"/>
        <w:jc w:val="both"/>
        <w:rPr>
          <w:rFonts w:ascii="David" w:hAnsi="David" w:cs="David"/>
          <w:sz w:val="24"/>
          <w:szCs w:val="24"/>
          <w:rtl/>
        </w:rPr>
      </w:pPr>
    </w:p>
    <w:p w14:paraId="64B57FA2"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אשר לנסיבות שאינן קשורות בביצוע העבירה וגזירת עונשו של הנאשם בתוך המתחם, הדגישה ב"כ הנאשם את הנסיבות המקלות ובעיקר את הודאת הנאשם בכתב האישום המתוקן והחיסכון בזמן השיפוטי, במיוחד כש</w:t>
      </w:r>
      <w:r>
        <w:rPr>
          <w:rFonts w:ascii="David" w:hAnsi="David" w:cs="David" w:hint="cs"/>
          <w:sz w:val="24"/>
          <w:szCs w:val="24"/>
          <w:rtl/>
        </w:rPr>
        <w:t xml:space="preserve">ההודיה </w:t>
      </w:r>
      <w:r>
        <w:rPr>
          <w:rFonts w:ascii="David" w:hAnsi="David" w:cs="David"/>
          <w:sz w:val="24"/>
          <w:szCs w:val="24"/>
          <w:rtl/>
        </w:rPr>
        <w:t>ניתנה לאחר שהמתלונן ביקש לחזור בו מהתלונה ובעדותו אף הגן על הנאשם.</w:t>
      </w:r>
    </w:p>
    <w:p w14:paraId="21EE444B" w14:textId="77777777" w:rsidR="00EB75BB" w:rsidRDefault="00EB75BB" w:rsidP="00EB75BB">
      <w:pPr>
        <w:pStyle w:val="aa"/>
        <w:spacing w:line="360" w:lineRule="auto"/>
        <w:jc w:val="both"/>
        <w:rPr>
          <w:rFonts w:ascii="David" w:hAnsi="David" w:cs="David"/>
          <w:sz w:val="24"/>
          <w:szCs w:val="24"/>
          <w:rtl/>
        </w:rPr>
      </w:pPr>
      <w:r>
        <w:rPr>
          <w:rFonts w:ascii="David" w:hAnsi="David" w:cs="David"/>
          <w:sz w:val="24"/>
          <w:szCs w:val="24"/>
          <w:rtl/>
        </w:rPr>
        <w:t>ב"כ הנאשם ביקשה להתחשב בנסיבות חייו הקשות של הנאשם, כעולה מתסקיר שירות המבחן - מצבו המשפחתי המורכב, החוויות הקשות שעבר בילדותו ואי קבלת טיפול תומך, וכן לרצונו של הנאשם להשתקם. עוד הוסיפה, כי הנאשם השתלב בתוכנית טיפולית הן באופן פרטי והן במסגרת בית הסוהר ועבר שינוי חיובי ומהותי, לרבות העובדה שכיום הוא במערכת יחסים זוגית</w:t>
      </w:r>
      <w:r>
        <w:rPr>
          <w:rFonts w:ascii="David" w:hAnsi="David" w:cs="David" w:hint="cs"/>
          <w:sz w:val="24"/>
          <w:szCs w:val="24"/>
          <w:rtl/>
        </w:rPr>
        <w:t xml:space="preserve">. </w:t>
      </w:r>
      <w:r>
        <w:rPr>
          <w:rFonts w:ascii="David" w:hAnsi="David" w:cs="David"/>
          <w:sz w:val="24"/>
          <w:szCs w:val="24"/>
          <w:rtl/>
        </w:rPr>
        <w:t xml:space="preserve"> </w:t>
      </w:r>
    </w:p>
    <w:p w14:paraId="4CBEADF0" w14:textId="77777777" w:rsidR="00EB75BB" w:rsidRDefault="00EB75BB" w:rsidP="00EB75BB">
      <w:pPr>
        <w:pStyle w:val="aa"/>
        <w:spacing w:line="360" w:lineRule="auto"/>
        <w:jc w:val="both"/>
        <w:rPr>
          <w:rFonts w:ascii="David" w:hAnsi="David" w:cs="David"/>
          <w:sz w:val="24"/>
          <w:szCs w:val="24"/>
          <w:rtl/>
        </w:rPr>
      </w:pPr>
      <w:r>
        <w:rPr>
          <w:rFonts w:ascii="David" w:hAnsi="David" w:cs="David" w:hint="cs"/>
          <w:sz w:val="24"/>
          <w:szCs w:val="24"/>
          <w:rtl/>
        </w:rPr>
        <w:t>לצד כל אלו טענה ב"כ הנאשם</w:t>
      </w:r>
      <w:r>
        <w:rPr>
          <w:rFonts w:ascii="David" w:hAnsi="David" w:cs="David"/>
          <w:sz w:val="24"/>
          <w:szCs w:val="24"/>
          <w:rtl/>
        </w:rPr>
        <w:t>, שתסקיר שירות המבחן לוקה בחסר ואינו משקף תמונה מלאה, שעה שלא התייחס לסוגיות שנתבקשו כנדרש, כגון בדיקת האפשרות של הארכת המאסר המותנה ובחינת פוטנציאל השיקום של הנאשם, כשלהערכתה התסקיר נסמך על תסקירים קודמים</w:t>
      </w:r>
      <w:r>
        <w:rPr>
          <w:rFonts w:ascii="David" w:hAnsi="David" w:cs="David" w:hint="cs"/>
          <w:sz w:val="24"/>
          <w:szCs w:val="24"/>
          <w:rtl/>
        </w:rPr>
        <w:t xml:space="preserve"> שניתנו</w:t>
      </w:r>
      <w:r>
        <w:rPr>
          <w:rFonts w:ascii="David" w:hAnsi="David" w:cs="David"/>
          <w:sz w:val="24"/>
          <w:szCs w:val="24"/>
          <w:rtl/>
        </w:rPr>
        <w:t>.</w:t>
      </w:r>
    </w:p>
    <w:p w14:paraId="4A23AEF9" w14:textId="77777777" w:rsidR="00EB75BB" w:rsidRDefault="00EB75BB" w:rsidP="00EB75BB">
      <w:pPr>
        <w:pStyle w:val="aa"/>
        <w:spacing w:line="360" w:lineRule="auto"/>
        <w:jc w:val="both"/>
        <w:rPr>
          <w:rFonts w:ascii="David" w:hAnsi="David" w:cs="David"/>
          <w:sz w:val="24"/>
          <w:szCs w:val="24"/>
          <w:rtl/>
        </w:rPr>
      </w:pPr>
    </w:p>
    <w:p w14:paraId="55FC57AE" w14:textId="77777777" w:rsidR="00EB75BB" w:rsidRDefault="00EB75BB" w:rsidP="00EB75BB">
      <w:pPr>
        <w:pStyle w:val="aa"/>
        <w:numPr>
          <w:ilvl w:val="0"/>
          <w:numId w:val="3"/>
        </w:numPr>
        <w:spacing w:line="360" w:lineRule="auto"/>
        <w:jc w:val="both"/>
        <w:rPr>
          <w:rFonts w:ascii="David" w:hAnsi="David" w:cs="David"/>
          <w:sz w:val="24"/>
          <w:szCs w:val="24"/>
        </w:rPr>
      </w:pPr>
      <w:r>
        <w:rPr>
          <w:rFonts w:ascii="David" w:hAnsi="David" w:cs="David"/>
          <w:sz w:val="24"/>
          <w:szCs w:val="24"/>
          <w:rtl/>
        </w:rPr>
        <w:t>ב"כ הנאשם הפנתה גם לסולחה שנערכה בין הצדדים, ולדברי המתלונן על כך שהוא סלח לנאשם, וביקשה להקל עם הנאשם בגזירת העונש ולהפעיל את המאסר המותנה בחופף למאסר שייגזר ולחילופין להאריכו.</w:t>
      </w:r>
    </w:p>
    <w:p w14:paraId="4CBC8427" w14:textId="77777777" w:rsidR="00EB75BB" w:rsidRPr="0097021B" w:rsidRDefault="00EB75BB" w:rsidP="00EB75BB">
      <w:pPr>
        <w:pStyle w:val="aa"/>
        <w:rPr>
          <w:rFonts w:ascii="David" w:hAnsi="David" w:cs="David"/>
          <w:sz w:val="24"/>
          <w:szCs w:val="24"/>
          <w:rtl/>
        </w:rPr>
      </w:pPr>
    </w:p>
    <w:p w14:paraId="7726B31E" w14:textId="77777777" w:rsidR="00EB75BB" w:rsidRDefault="00EB75BB" w:rsidP="00EB75BB">
      <w:pPr>
        <w:pStyle w:val="aa"/>
        <w:numPr>
          <w:ilvl w:val="0"/>
          <w:numId w:val="3"/>
        </w:numPr>
        <w:suppressLineNumbers/>
        <w:spacing w:line="360" w:lineRule="auto"/>
        <w:jc w:val="both"/>
        <w:rPr>
          <w:rFonts w:ascii="David" w:hAnsi="David" w:cs="David"/>
          <w:sz w:val="24"/>
          <w:szCs w:val="24"/>
          <w:rtl/>
        </w:rPr>
      </w:pPr>
      <w:r>
        <w:rPr>
          <w:rFonts w:ascii="David" w:hAnsi="David" w:cs="David"/>
          <w:sz w:val="24"/>
          <w:szCs w:val="24"/>
          <w:rtl/>
        </w:rPr>
        <w:t xml:space="preserve">בדברו האחרון טרם גזירת הדין מסר הנאשם כי הוא לוקח אחריות על מעשיו והוא מודע לכך שביצע עבירה חמורה. הנאשם ביקש סליחה על מה שעשה למתלונן והודה לאנשים שהיו מעורבים בסולחה. עוד מסר הנאשם, שהוא נמצא בהליך טיפולי מזה </w:t>
      </w:r>
      <w:r>
        <w:rPr>
          <w:rFonts w:ascii="David" w:hAnsi="David" w:cs="David" w:hint="cs"/>
          <w:sz w:val="24"/>
          <w:szCs w:val="24"/>
          <w:rtl/>
        </w:rPr>
        <w:t xml:space="preserve">כ- </w:t>
      </w:r>
      <w:r>
        <w:rPr>
          <w:rFonts w:ascii="David" w:hAnsi="David" w:cs="David"/>
          <w:sz w:val="24"/>
          <w:szCs w:val="24"/>
          <w:rtl/>
        </w:rPr>
        <w:t>11 חודשים הכולל טיפול אישי וקבוצתי, הדגיש שהוא עשה עבודה עצמית, למד ורכש כלים, וכי הוא מאס בתקופה הארוכה ששהה בבית הסוהר ו</w:t>
      </w:r>
      <w:r>
        <w:rPr>
          <w:rFonts w:ascii="David" w:hAnsi="David" w:cs="David" w:hint="cs"/>
          <w:sz w:val="24"/>
          <w:szCs w:val="24"/>
          <w:rtl/>
        </w:rPr>
        <w:t>בר</w:t>
      </w:r>
      <w:r>
        <w:rPr>
          <w:rFonts w:ascii="David" w:hAnsi="David" w:cs="David"/>
          <w:sz w:val="24"/>
          <w:szCs w:val="24"/>
          <w:rtl/>
        </w:rPr>
        <w:t>צונו להשתפר ולהתקדם, וביקש שבית המשפט יתחשב בו ויקל בעונשו.</w:t>
      </w:r>
    </w:p>
    <w:p w14:paraId="22B275C5" w14:textId="77777777" w:rsidR="00EB75BB" w:rsidRDefault="00EB75BB" w:rsidP="00EB75BB">
      <w:pPr>
        <w:suppressLineNumbers/>
        <w:spacing w:line="360" w:lineRule="auto"/>
        <w:ind w:firstLine="720"/>
        <w:jc w:val="both"/>
        <w:rPr>
          <w:rFonts w:ascii="David" w:hAnsi="David"/>
          <w:b/>
          <w:bCs/>
          <w:u w:val="single"/>
          <w:rtl/>
        </w:rPr>
      </w:pPr>
    </w:p>
    <w:p w14:paraId="335CC163" w14:textId="77777777" w:rsidR="00EB75BB" w:rsidRDefault="00EB75BB" w:rsidP="00EB75BB">
      <w:pPr>
        <w:suppressLineNumbers/>
        <w:spacing w:line="360" w:lineRule="auto"/>
        <w:ind w:firstLine="720"/>
        <w:jc w:val="both"/>
        <w:rPr>
          <w:rFonts w:ascii="David" w:hAnsi="David"/>
          <w:b/>
          <w:bCs/>
          <w:u w:val="single"/>
          <w:rtl/>
        </w:rPr>
      </w:pPr>
      <w:r>
        <w:rPr>
          <w:rFonts w:ascii="David" w:hAnsi="David"/>
          <w:b/>
          <w:bCs/>
          <w:u w:val="single"/>
          <w:rtl/>
        </w:rPr>
        <w:t>דיון ומסקנות</w:t>
      </w:r>
    </w:p>
    <w:p w14:paraId="0873BCFF" w14:textId="77777777" w:rsidR="00EB75BB" w:rsidRDefault="00EB75BB" w:rsidP="00EB75BB">
      <w:pPr>
        <w:suppressLineNumbers/>
        <w:spacing w:line="360" w:lineRule="auto"/>
        <w:ind w:firstLine="720"/>
        <w:jc w:val="both"/>
        <w:rPr>
          <w:rFonts w:ascii="David" w:hAnsi="David"/>
          <w:b/>
          <w:bCs/>
          <w:u w:val="single"/>
          <w:rtl/>
        </w:rPr>
      </w:pPr>
    </w:p>
    <w:p w14:paraId="5B2647CB" w14:textId="77777777" w:rsidR="00EB75BB" w:rsidRDefault="00EB75BB" w:rsidP="00EB75BB">
      <w:pPr>
        <w:pStyle w:val="aa"/>
        <w:numPr>
          <w:ilvl w:val="0"/>
          <w:numId w:val="3"/>
        </w:numPr>
        <w:suppressLineNumbers/>
        <w:spacing w:line="360" w:lineRule="auto"/>
        <w:jc w:val="both"/>
        <w:rPr>
          <w:rFonts w:ascii="David" w:hAnsi="David" w:cs="David"/>
          <w:sz w:val="24"/>
          <w:szCs w:val="24"/>
          <w:rtl/>
        </w:rPr>
      </w:pPr>
      <w:r>
        <w:rPr>
          <w:rFonts w:ascii="David" w:hAnsi="David" w:cs="David"/>
          <w:sz w:val="24"/>
          <w:szCs w:val="24"/>
          <w:rtl/>
        </w:rPr>
        <w:t xml:space="preserve">בהתאם </w:t>
      </w:r>
      <w:hyperlink r:id="rId22" w:history="1">
        <w:r w:rsidR="00E5195C" w:rsidRPr="00E5195C">
          <w:rPr>
            <w:rStyle w:val="Hyperlink"/>
            <w:rFonts w:ascii="David" w:hAnsi="David" w:cs="David"/>
            <w:sz w:val="24"/>
            <w:szCs w:val="24"/>
            <w:rtl/>
          </w:rPr>
          <w:t>לסעיף 40ט'</w:t>
        </w:r>
      </w:hyperlink>
      <w:r>
        <w:rPr>
          <w:rFonts w:ascii="David" w:hAnsi="David" w:cs="David"/>
          <w:sz w:val="24"/>
          <w:szCs w:val="24"/>
          <w:rtl/>
        </w:rPr>
        <w:t xml:space="preserve"> ל</w:t>
      </w:r>
      <w:hyperlink r:id="rId23" w:history="1">
        <w:r w:rsidR="000F5A41" w:rsidRPr="000F5A41">
          <w:rPr>
            <w:rFonts w:ascii="David" w:hAnsi="David" w:cs="David"/>
            <w:color w:val="0000FF"/>
            <w:sz w:val="24"/>
            <w:szCs w:val="24"/>
            <w:u w:val="single"/>
            <w:rtl/>
          </w:rPr>
          <w:t>חוק העונשין</w:t>
        </w:r>
      </w:hyperlink>
      <w:r>
        <w:rPr>
          <w:rFonts w:ascii="David" w:hAnsi="David" w:cs="David"/>
          <w:sz w:val="24"/>
          <w:szCs w:val="24"/>
          <w:rtl/>
        </w:rPr>
        <w:t xml:space="preserve">, ייקבע מתחם העונש ההולם ע"פ הערכים החברתיים שנפגעו מביצוע העבירות, מידת הפגיעה בהם, הנסיבות הקשורות בביצוען ומדיניות הענישה הנוהגת; </w:t>
      </w:r>
    </w:p>
    <w:p w14:paraId="669D29AF" w14:textId="77777777" w:rsidR="00EB75BB" w:rsidRDefault="00EB75BB" w:rsidP="00EB75BB">
      <w:pPr>
        <w:suppressLineNumbers/>
        <w:spacing w:line="360" w:lineRule="auto"/>
        <w:ind w:left="720"/>
        <w:jc w:val="both"/>
        <w:rPr>
          <w:rFonts w:ascii="David" w:hAnsi="David"/>
          <w:rtl/>
        </w:rPr>
      </w:pPr>
      <w:r>
        <w:rPr>
          <w:rFonts w:ascii="David" w:hAnsi="David"/>
          <w:rtl/>
        </w:rPr>
        <w:t xml:space="preserve">בענייננו, מעשי הנאשם פגעו במידה משמעותית בזכותו של המתלונן לביטחון אישי ושלוות נפש, וכן בזכותו לכבוד ולשמירה והגנה על שלום גופו ונפשו. </w:t>
      </w:r>
    </w:p>
    <w:p w14:paraId="365510D7" w14:textId="77777777" w:rsidR="00EB75BB" w:rsidRDefault="00EB75BB" w:rsidP="00EB75BB">
      <w:pPr>
        <w:suppressLineNumbers/>
        <w:spacing w:line="360" w:lineRule="auto"/>
        <w:ind w:left="720"/>
        <w:jc w:val="both"/>
        <w:rPr>
          <w:rFonts w:ascii="David" w:hAnsi="David"/>
          <w:rtl/>
        </w:rPr>
      </w:pPr>
      <w:r>
        <w:rPr>
          <w:rFonts w:ascii="David" w:hAnsi="David"/>
          <w:rtl/>
        </w:rPr>
        <w:t xml:space="preserve">חומרת מעשי הנאשם ברורה מאליה. מדובר ברצף של מעשי אלימות </w:t>
      </w:r>
      <w:r>
        <w:rPr>
          <w:rFonts w:ascii="David" w:hAnsi="David" w:hint="cs"/>
          <w:rtl/>
        </w:rPr>
        <w:t>קשים</w:t>
      </w:r>
      <w:r>
        <w:rPr>
          <w:rFonts w:ascii="David" w:hAnsi="David"/>
          <w:rtl/>
        </w:rPr>
        <w:t xml:space="preserve"> שהוא ביצע </w:t>
      </w:r>
      <w:r>
        <w:rPr>
          <w:rFonts w:ascii="David" w:hAnsi="David" w:hint="cs"/>
          <w:rtl/>
        </w:rPr>
        <w:t>ב</w:t>
      </w:r>
      <w:r>
        <w:rPr>
          <w:rFonts w:ascii="David" w:hAnsi="David"/>
          <w:rtl/>
        </w:rPr>
        <w:t xml:space="preserve">מתלונן, למרות יחסי החברות </w:t>
      </w:r>
      <w:r>
        <w:rPr>
          <w:rFonts w:ascii="David" w:hAnsi="David" w:hint="cs"/>
          <w:rtl/>
        </w:rPr>
        <w:t xml:space="preserve">והקירבה המשפחתית </w:t>
      </w:r>
      <w:r>
        <w:rPr>
          <w:rFonts w:ascii="David" w:hAnsi="David"/>
          <w:rtl/>
        </w:rPr>
        <w:t>ביניהם</w:t>
      </w:r>
      <w:r>
        <w:rPr>
          <w:rFonts w:ascii="David" w:hAnsi="David" w:hint="cs"/>
          <w:rtl/>
        </w:rPr>
        <w:t xml:space="preserve">, </w:t>
      </w:r>
      <w:r>
        <w:rPr>
          <w:rFonts w:ascii="David" w:hAnsi="David"/>
          <w:rtl/>
        </w:rPr>
        <w:t>ו</w:t>
      </w:r>
      <w:r>
        <w:rPr>
          <w:rFonts w:ascii="David" w:hAnsi="David" w:hint="cs"/>
          <w:rtl/>
        </w:rPr>
        <w:t xml:space="preserve">הכל </w:t>
      </w:r>
      <w:r>
        <w:rPr>
          <w:rFonts w:ascii="David" w:hAnsi="David"/>
          <w:rtl/>
        </w:rPr>
        <w:t xml:space="preserve">רק </w:t>
      </w:r>
      <w:r>
        <w:rPr>
          <w:rFonts w:ascii="David" w:hAnsi="David" w:hint="cs"/>
          <w:rtl/>
        </w:rPr>
        <w:t>על ס</w:t>
      </w:r>
      <w:r>
        <w:rPr>
          <w:rFonts w:ascii="David" w:hAnsi="David"/>
          <w:rtl/>
        </w:rPr>
        <w:t xml:space="preserve">מך </w:t>
      </w:r>
      <w:r>
        <w:rPr>
          <w:rFonts w:ascii="David" w:hAnsi="David" w:hint="cs"/>
          <w:rtl/>
        </w:rPr>
        <w:t>"</w:t>
      </w:r>
      <w:r>
        <w:rPr>
          <w:rFonts w:ascii="David" w:hAnsi="David"/>
          <w:rtl/>
        </w:rPr>
        <w:t>שמועות</w:t>
      </w:r>
      <w:r>
        <w:rPr>
          <w:rFonts w:ascii="David" w:hAnsi="David" w:hint="cs"/>
          <w:rtl/>
        </w:rPr>
        <w:t>"</w:t>
      </w:r>
      <w:r>
        <w:rPr>
          <w:rFonts w:ascii="David" w:hAnsi="David"/>
          <w:rtl/>
        </w:rPr>
        <w:t xml:space="preserve"> ששמע.  </w:t>
      </w:r>
    </w:p>
    <w:p w14:paraId="7873E204" w14:textId="77777777" w:rsidR="00EB75BB" w:rsidRDefault="00EB75BB" w:rsidP="00EB75BB">
      <w:pPr>
        <w:pStyle w:val="a"/>
        <w:numPr>
          <w:ilvl w:val="0"/>
          <w:numId w:val="0"/>
        </w:numPr>
        <w:tabs>
          <w:tab w:val="left" w:pos="720"/>
        </w:tabs>
        <w:ind w:left="720"/>
        <w:jc w:val="both"/>
        <w:rPr>
          <w:rFonts w:ascii="Times New Roman" w:hAnsi="Times New Roman"/>
          <w:rtl/>
        </w:rPr>
      </w:pPr>
      <w:r>
        <w:rPr>
          <w:rFonts w:hint="cs"/>
          <w:rtl/>
        </w:rPr>
        <w:t xml:space="preserve">כמתואר בכתב האישום המתוקן, אין מדובר באירוע ספונטני אלא במהלך מתוכנן של הנאשם. הנאשם קבע פגישה עם המתלונן והגיע אליה מצויד בחפץ חד. הנאשם הוביל את המתלונן ממקום המפגש לשטח פתוח, ומיד לאחר שהטיח בו כי אמר עליו שהוא "סמוי" ובעוד המתלונן מכחיש את הדברים, יצא הנאשם מהרכב, תקף ופצע אותו. כל אלה, בצירוף למניע שבמעשי הנאשם - הפגיעה בכבודו, מצביעים על כוונה שהבשילה </w:t>
      </w:r>
      <w:r>
        <w:rPr>
          <w:rFonts w:ascii="Times New Roman" w:hAnsi="Times New Roman" w:hint="cs"/>
          <w:rtl/>
        </w:rPr>
        <w:t xml:space="preserve">בלבו של הנאשם לפגוע במתלונן ולא על פרץ כעס רגעי או ספונטני. </w:t>
      </w:r>
    </w:p>
    <w:p w14:paraId="10B2B276" w14:textId="77777777" w:rsidR="00EB75BB" w:rsidRDefault="00EB75BB" w:rsidP="00EB75BB">
      <w:pPr>
        <w:pStyle w:val="a"/>
        <w:numPr>
          <w:ilvl w:val="0"/>
          <w:numId w:val="0"/>
        </w:numPr>
        <w:tabs>
          <w:tab w:val="left" w:pos="720"/>
        </w:tabs>
        <w:ind w:left="720"/>
        <w:jc w:val="both"/>
        <w:rPr>
          <w:rtl/>
        </w:rPr>
      </w:pPr>
      <w:r>
        <w:rPr>
          <w:rFonts w:hint="cs"/>
          <w:rtl/>
        </w:rPr>
        <w:t xml:space="preserve">יודגש, כי הנאשם לא הסתפק במעשה תקיפה אחד ובשני החתכים בבטנו ובחזהו של המתלונן, אלא המשיך ברצף המעשים ותקף את המתלונן שוב ושוב,  בעוד זה נאבק בו ומנסה להוציא את החפץ מידו, דקר אותו הנאשם שתי דקירות עמוקות נוספות בירך שמאל. גם כשהצליח המתלונן להוציא את החפץ החד מידי הנאשם, לא חדל האחרון ממעשיו והמשיך להכות את המתלונן במכות ואגרופים, ולבסוף נמלט – תחילה בנסיעה ואחר כך ברגל - בהותירו את המתלונן במקום פצוע ומדמם ללא כל סיוע. </w:t>
      </w:r>
    </w:p>
    <w:p w14:paraId="327507D9" w14:textId="77777777" w:rsidR="00EB75BB" w:rsidRDefault="00EB75BB" w:rsidP="00EB75BB">
      <w:pPr>
        <w:pStyle w:val="a"/>
        <w:numPr>
          <w:ilvl w:val="0"/>
          <w:numId w:val="0"/>
        </w:numPr>
        <w:tabs>
          <w:tab w:val="left" w:pos="720"/>
        </w:tabs>
        <w:ind w:left="720"/>
        <w:jc w:val="both"/>
        <w:rPr>
          <w:rtl/>
        </w:rPr>
      </w:pPr>
      <w:r w:rsidRPr="000F4165">
        <w:rPr>
          <w:rtl/>
        </w:rPr>
        <w:t xml:space="preserve">חומרה נוספת במעשי הנאשם עולה מהשימוש בחפץ החד שהביא עמו למפגש, שנועד להחמיר את הפגיעה ושהיה עלול לגרום לפגיעות נוספות וקשות יותר מאלו שנגרמו בפועל.  </w:t>
      </w:r>
    </w:p>
    <w:p w14:paraId="4EBAE566" w14:textId="77777777" w:rsidR="00EB75BB" w:rsidRDefault="00EB75BB" w:rsidP="00EB75BB">
      <w:pPr>
        <w:pStyle w:val="a"/>
        <w:numPr>
          <w:ilvl w:val="0"/>
          <w:numId w:val="0"/>
        </w:numPr>
        <w:tabs>
          <w:tab w:val="left" w:pos="720"/>
        </w:tabs>
        <w:ind w:left="720"/>
        <w:jc w:val="both"/>
        <w:rPr>
          <w:rtl/>
        </w:rPr>
      </w:pPr>
      <w:r>
        <w:rPr>
          <w:rFonts w:hint="cs"/>
          <w:rtl/>
        </w:rPr>
        <w:t xml:space="preserve">הנאשם הבין היטב את מעשיו ויכול היה לחדול מהם בכל רגע, אך הוא התעלם מהפגיעות שגרם למתלונן ובחר להמשיך לפגוע בו, ולבסוף להימלט ללא שהושיט לו עזרה כלשהי. </w:t>
      </w:r>
    </w:p>
    <w:p w14:paraId="72FF6486" w14:textId="77777777" w:rsidR="00EB75BB" w:rsidRDefault="00EB75BB" w:rsidP="00EB75BB">
      <w:pPr>
        <w:pStyle w:val="a"/>
        <w:numPr>
          <w:ilvl w:val="0"/>
          <w:numId w:val="0"/>
        </w:numPr>
        <w:tabs>
          <w:tab w:val="left" w:pos="720"/>
        </w:tabs>
        <w:ind w:left="720"/>
        <w:jc w:val="both"/>
        <w:rPr>
          <w:rtl/>
        </w:rPr>
      </w:pPr>
      <w:r>
        <w:rPr>
          <w:rFonts w:hint="cs"/>
          <w:rtl/>
        </w:rPr>
        <w:t xml:space="preserve">אין ספק כי מעשי הנאשם גרמו למתלונן פגיעה גופנית קשה, כמתואר בכתב האישום המתוקן וכעולה מהתיעוד הרפואי שהוגש (ת/40, ת/35-ת/37), כשהוא נזקק לניתוח והיה מאושפז מספר ימים בבית החולים. </w:t>
      </w:r>
    </w:p>
    <w:p w14:paraId="4AC06D27" w14:textId="77777777" w:rsidR="00EB75BB" w:rsidRDefault="00EB75BB" w:rsidP="00EB75BB">
      <w:pPr>
        <w:pStyle w:val="a"/>
        <w:numPr>
          <w:ilvl w:val="0"/>
          <w:numId w:val="0"/>
        </w:numPr>
        <w:tabs>
          <w:tab w:val="left" w:pos="720"/>
        </w:tabs>
        <w:ind w:left="720"/>
        <w:jc w:val="both"/>
        <w:rPr>
          <w:rtl/>
        </w:rPr>
      </w:pPr>
      <w:r>
        <w:rPr>
          <w:rFonts w:hint="cs"/>
          <w:rtl/>
        </w:rPr>
        <w:t>לטעמי, תיאור השתלשלות מעשי הנאשם והנזקים שגרם למתלונן מלמדים כי מדובר בפגיעה משמעותית בערכים החברתיים המוגנים.</w:t>
      </w:r>
    </w:p>
    <w:p w14:paraId="53285067" w14:textId="77777777" w:rsidR="00EB75BB" w:rsidRDefault="00EB75BB" w:rsidP="00EB75BB">
      <w:pPr>
        <w:suppressLineNumbers/>
        <w:spacing w:line="360" w:lineRule="auto"/>
        <w:jc w:val="both"/>
        <w:rPr>
          <w:rFonts w:ascii="David" w:hAnsi="David"/>
          <w:b/>
          <w:bCs/>
          <w:u w:val="single"/>
          <w:rtl/>
        </w:rPr>
      </w:pPr>
    </w:p>
    <w:p w14:paraId="4CA15416" w14:textId="77777777" w:rsidR="00EB75BB" w:rsidRDefault="00EB75BB" w:rsidP="00EB75BB">
      <w:pPr>
        <w:suppressLineNumbers/>
        <w:spacing w:line="360" w:lineRule="auto"/>
        <w:ind w:firstLine="720"/>
        <w:jc w:val="both"/>
        <w:rPr>
          <w:rFonts w:ascii="David" w:hAnsi="David"/>
          <w:b/>
          <w:bCs/>
          <w:u w:val="single"/>
          <w:rtl/>
        </w:rPr>
      </w:pPr>
      <w:r>
        <w:rPr>
          <w:rFonts w:ascii="David" w:hAnsi="David"/>
          <w:b/>
          <w:bCs/>
          <w:u w:val="single"/>
          <w:rtl/>
        </w:rPr>
        <w:t>מדיניות הענישה הנוהגת</w:t>
      </w:r>
    </w:p>
    <w:p w14:paraId="6423B392" w14:textId="77777777" w:rsidR="00EB75BB" w:rsidRPr="00F17BB3" w:rsidRDefault="00EB75BB" w:rsidP="00EB75BB">
      <w:pPr>
        <w:suppressLineNumbers/>
        <w:spacing w:line="360" w:lineRule="auto"/>
        <w:ind w:firstLine="720"/>
        <w:jc w:val="both"/>
        <w:rPr>
          <w:rFonts w:ascii="David" w:hAnsi="David"/>
          <w:rtl/>
        </w:rPr>
      </w:pPr>
    </w:p>
    <w:p w14:paraId="48ACD13D" w14:textId="77777777" w:rsidR="00EB75BB" w:rsidRDefault="00EB75BB" w:rsidP="00EB75BB">
      <w:pPr>
        <w:pStyle w:val="a"/>
        <w:numPr>
          <w:ilvl w:val="0"/>
          <w:numId w:val="3"/>
        </w:numPr>
        <w:tabs>
          <w:tab w:val="left" w:pos="720"/>
        </w:tabs>
        <w:jc w:val="both"/>
        <w:rPr>
          <w:rtl/>
        </w:rPr>
      </w:pPr>
      <w:r>
        <w:rPr>
          <w:rFonts w:hint="cs"/>
          <w:rtl/>
        </w:rPr>
        <w:t>פעמים רבות עמד בית המשפט על החומרה הרבה הטמונה בעבירות אלימות, ובשנים האחרונות ניכרת מגמת החמרה בענישה בגין עבירות אלה בכלל ובעבירת החבלה החמורה בנסיבות מחמירות בפרט, בעיקר כשאלה מבוצעות כאמצעי לפתרון סכסוכים ותוך שימוש בנשק קר:</w:t>
      </w:r>
    </w:p>
    <w:p w14:paraId="28E3EBE6" w14:textId="77777777" w:rsidR="00EB75BB" w:rsidRDefault="00EB75BB" w:rsidP="00EB75BB">
      <w:pPr>
        <w:pStyle w:val="a"/>
        <w:numPr>
          <w:ilvl w:val="0"/>
          <w:numId w:val="0"/>
        </w:numPr>
        <w:tabs>
          <w:tab w:val="left" w:pos="720"/>
        </w:tabs>
        <w:ind w:left="720"/>
        <w:jc w:val="both"/>
        <w:rPr>
          <w:rtl/>
        </w:rPr>
      </w:pPr>
      <w:r>
        <w:rPr>
          <w:rFonts w:hint="cs"/>
          <w:b/>
          <w:bCs/>
          <w:rtl/>
        </w:rPr>
        <w:t>"על מדיניות הענישה לשקף חומרה זו, שמא עבריינים ימשיכו לעשות דין לעצמם ולנקוט באלימות כמענה לפתרון סכסוכיהם. באופן זה, על העונש שנגזר לבטא את הסלידה שיש ממעשי אלימות ואכזריות כמתואר בכתב האישום שבפנינו".</w:t>
      </w:r>
      <w:r>
        <w:rPr>
          <w:rFonts w:hint="cs"/>
          <w:rtl/>
        </w:rPr>
        <w:t xml:space="preserve"> </w:t>
      </w:r>
    </w:p>
    <w:p w14:paraId="4ADDAF1F" w14:textId="77777777" w:rsidR="00EB75BB" w:rsidRDefault="00EB75BB" w:rsidP="00EB75BB">
      <w:pPr>
        <w:pStyle w:val="a"/>
        <w:numPr>
          <w:ilvl w:val="0"/>
          <w:numId w:val="0"/>
        </w:numPr>
        <w:tabs>
          <w:tab w:val="left" w:pos="720"/>
        </w:tabs>
        <w:ind w:firstLine="720"/>
        <w:jc w:val="both"/>
        <w:rPr>
          <w:rtl/>
        </w:rPr>
      </w:pPr>
      <w:r>
        <w:rPr>
          <w:rFonts w:hint="cs"/>
          <w:rtl/>
        </w:rPr>
        <w:t xml:space="preserve">(ראו: </w:t>
      </w:r>
      <w:hyperlink r:id="rId24" w:history="1">
        <w:r w:rsidR="000F5A41" w:rsidRPr="000F5A41">
          <w:rPr>
            <w:color w:val="0000FF"/>
            <w:u w:val="single"/>
            <w:rtl/>
          </w:rPr>
          <w:t>ע"פ 8381/17</w:t>
        </w:r>
      </w:hyperlink>
      <w:r>
        <w:rPr>
          <w:rFonts w:hint="cs"/>
          <w:rtl/>
        </w:rPr>
        <w:t xml:space="preserve"> </w:t>
      </w:r>
      <w:r>
        <w:rPr>
          <w:rFonts w:hint="cs"/>
          <w:b/>
          <w:bCs/>
          <w:rtl/>
        </w:rPr>
        <w:t>מדינת ישראל נ' טל איכילוב</w:t>
      </w:r>
      <w:r>
        <w:rPr>
          <w:rFonts w:hint="cs"/>
          <w:rtl/>
        </w:rPr>
        <w:t xml:space="preserve"> (24.04.18),  פסקה 16).</w:t>
      </w:r>
    </w:p>
    <w:p w14:paraId="35940690" w14:textId="77777777" w:rsidR="00EB75BB" w:rsidRDefault="00EB75BB" w:rsidP="00EB75BB">
      <w:pPr>
        <w:pStyle w:val="a"/>
        <w:numPr>
          <w:ilvl w:val="0"/>
          <w:numId w:val="0"/>
        </w:numPr>
        <w:tabs>
          <w:tab w:val="left" w:pos="720"/>
        </w:tabs>
        <w:jc w:val="both"/>
        <w:rPr>
          <w:rtl/>
        </w:rPr>
      </w:pPr>
    </w:p>
    <w:p w14:paraId="0ACC9509" w14:textId="77777777" w:rsidR="00EB75BB" w:rsidRDefault="00EB75BB" w:rsidP="00EB75BB">
      <w:pPr>
        <w:pStyle w:val="a"/>
        <w:numPr>
          <w:ilvl w:val="0"/>
          <w:numId w:val="0"/>
        </w:numPr>
        <w:tabs>
          <w:tab w:val="left" w:pos="720"/>
        </w:tabs>
        <w:ind w:firstLine="720"/>
        <w:jc w:val="both"/>
        <w:rPr>
          <w:rtl/>
        </w:rPr>
      </w:pPr>
      <w:r>
        <w:rPr>
          <w:rFonts w:hint="cs"/>
          <w:rtl/>
        </w:rPr>
        <w:t>ב</w:t>
      </w:r>
      <w:hyperlink r:id="rId25" w:history="1">
        <w:r w:rsidR="000F5A41" w:rsidRPr="000F5A41">
          <w:rPr>
            <w:color w:val="0000FF"/>
            <w:u w:val="single"/>
            <w:rtl/>
          </w:rPr>
          <w:t>ע"פ 7475/14</w:t>
        </w:r>
      </w:hyperlink>
      <w:r>
        <w:rPr>
          <w:rFonts w:hint="cs"/>
          <w:rtl/>
        </w:rPr>
        <w:t xml:space="preserve"> </w:t>
      </w:r>
      <w:r>
        <w:rPr>
          <w:rFonts w:hint="cs"/>
          <w:b/>
          <w:bCs/>
          <w:rtl/>
        </w:rPr>
        <w:t xml:space="preserve">קבהא מהדי נ' מדינת ישראל </w:t>
      </w:r>
      <w:r>
        <w:rPr>
          <w:rFonts w:hint="cs"/>
          <w:rtl/>
        </w:rPr>
        <w:t>(25.12.14), צוין:</w:t>
      </w:r>
    </w:p>
    <w:p w14:paraId="657E4220" w14:textId="77777777" w:rsidR="00EB75BB" w:rsidRDefault="00EB75BB" w:rsidP="00EB75BB">
      <w:pPr>
        <w:pStyle w:val="a"/>
        <w:numPr>
          <w:ilvl w:val="0"/>
          <w:numId w:val="0"/>
        </w:numPr>
        <w:tabs>
          <w:tab w:val="left" w:pos="720"/>
        </w:tabs>
        <w:ind w:left="720"/>
        <w:jc w:val="both"/>
        <w:rPr>
          <w:b/>
          <w:bCs/>
        </w:rPr>
      </w:pPr>
      <w:r>
        <w:rPr>
          <w:rFonts w:hint="cs"/>
          <w:b/>
          <w:bCs/>
          <w:rtl/>
        </w:rPr>
        <w:t xml:space="preserve">"בפסיקת בית משפט זה ניכרת בשנים האחרונות מגמה ברורה של החמרה בענישה בעבירות אלימות באופן כללי ובעבירת החבלה החמורה בנסיבות מחמירות באופן ספציפי. בית משפט זה ציין לא אחת כי יש להילחם בנגע האלימות שפשט בארצנו וכי תרומתו של בית המשפט למלחמה זו הינה בהטלת עונשים מרתיעים ומשמעותיים שישקפו מסר מרתיע לעבריינים ולחברה כולה. לפיכך נקבע כי ככלל ענישה זו צריכה </w:t>
      </w:r>
      <w:r>
        <w:rPr>
          <w:rFonts w:hint="cs"/>
          <w:b/>
          <w:bCs/>
          <w:u w:val="single"/>
          <w:rtl/>
        </w:rPr>
        <w:t>לכלול רכיב משמעותי של מאסר בפועל מאחורי סורג ובריח</w:t>
      </w:r>
      <w:r>
        <w:rPr>
          <w:rFonts w:hint="cs"/>
          <w:b/>
          <w:bCs/>
          <w:rtl/>
        </w:rPr>
        <w:t xml:space="preserve">..." </w:t>
      </w:r>
      <w:r>
        <w:rPr>
          <w:rFonts w:hint="cs"/>
          <w:rtl/>
        </w:rPr>
        <w:t xml:space="preserve">(בפסקה 13, ההדגשה שלי- ג.צ.). </w:t>
      </w:r>
    </w:p>
    <w:p w14:paraId="37BBA6E2" w14:textId="77777777" w:rsidR="00EB75BB" w:rsidRDefault="00EB75BB" w:rsidP="00EB75BB">
      <w:pPr>
        <w:pStyle w:val="a"/>
        <w:numPr>
          <w:ilvl w:val="0"/>
          <w:numId w:val="0"/>
        </w:numPr>
        <w:tabs>
          <w:tab w:val="left" w:pos="720"/>
        </w:tabs>
        <w:ind w:left="720"/>
        <w:jc w:val="both"/>
        <w:rPr>
          <w:rtl/>
        </w:rPr>
      </w:pPr>
    </w:p>
    <w:p w14:paraId="34FDFD1A" w14:textId="77777777" w:rsidR="00EB75BB" w:rsidRDefault="00EB75BB" w:rsidP="00EB75BB">
      <w:pPr>
        <w:pStyle w:val="a"/>
        <w:numPr>
          <w:ilvl w:val="0"/>
          <w:numId w:val="0"/>
        </w:numPr>
        <w:tabs>
          <w:tab w:val="left" w:pos="720"/>
        </w:tabs>
        <w:ind w:left="720"/>
        <w:jc w:val="both"/>
        <w:rPr>
          <w:b/>
          <w:bCs/>
          <w:rtl/>
        </w:rPr>
      </w:pPr>
      <w:r>
        <w:rPr>
          <w:rFonts w:hint="cs"/>
          <w:rtl/>
        </w:rPr>
        <w:t>עם זאת לא אחת נקבע, שגם בעבירות כאלה קיים מנעד ענישה רחב והעונשים השונים המצויים על הרצף נקבעים בהתאם לנסיבות הקונקרטיות של כל מקרה:</w:t>
      </w:r>
    </w:p>
    <w:p w14:paraId="0EE38F7D" w14:textId="77777777" w:rsidR="00EB75BB" w:rsidRPr="00C14D3F" w:rsidRDefault="00EB75BB" w:rsidP="00EB75BB">
      <w:pPr>
        <w:pStyle w:val="a"/>
        <w:numPr>
          <w:ilvl w:val="0"/>
          <w:numId w:val="0"/>
        </w:numPr>
        <w:tabs>
          <w:tab w:val="left" w:pos="720"/>
        </w:tabs>
        <w:ind w:left="720"/>
        <w:jc w:val="both"/>
        <w:rPr>
          <w:b/>
          <w:bCs/>
          <w:rtl/>
        </w:rPr>
      </w:pPr>
      <w:r w:rsidRPr="00C14D3F">
        <w:rPr>
          <w:b/>
          <w:bCs/>
          <w:rtl/>
        </w:rPr>
        <w:t xml:space="preserve">"מטבע הדברים שאירועי אלימות המגולמים בעבירה של "חבלה חמורה בנסיבות מחמירות", שהיא העבירה העיקרית בה הורשע המשיב בענייננו, עשויים להתרחש במגוון רחב מאוד של מצבים, נסיבות ביצוע ורמות חומרה. ואכן, הפסיקה בתחום זה כוללת מנעד רחב של רמות ענישה, כאשר לצד מקרים של ענישה מקילה, הוטלו במקרים אחרים עונשים חמורים של שנות מאסר ארוכות, הכול בהתאם לנסיבות הספציפיות של כל מקרה לגופו </w:t>
      </w:r>
      <w:r w:rsidRPr="007052B9">
        <w:rPr>
          <w:b/>
          <w:bCs/>
          <w:sz w:val="22"/>
          <w:szCs w:val="22"/>
          <w:rtl/>
        </w:rPr>
        <w:t xml:space="preserve">(ענין אבו שנב, פסקה 20; ענין לביא, פסקה 12; </w:t>
      </w:r>
      <w:hyperlink r:id="rId26" w:history="1">
        <w:r w:rsidR="000F5A41" w:rsidRPr="000F5A41">
          <w:rPr>
            <w:b/>
            <w:bCs/>
            <w:color w:val="0000FF"/>
            <w:sz w:val="22"/>
            <w:szCs w:val="22"/>
            <w:u w:val="single"/>
            <w:rtl/>
          </w:rPr>
          <w:t>ע"פ 1554/13</w:t>
        </w:r>
      </w:hyperlink>
      <w:r w:rsidRPr="007052B9">
        <w:rPr>
          <w:b/>
          <w:bCs/>
          <w:sz w:val="22"/>
          <w:szCs w:val="22"/>
          <w:rtl/>
        </w:rPr>
        <w:t xml:space="preserve"> פלוני נ' מדינת ישראל, [פורסם בנבו] פסקה 25 (19.5.2015); </w:t>
      </w:r>
      <w:hyperlink r:id="rId27" w:history="1">
        <w:r w:rsidR="000F5A41" w:rsidRPr="000F5A41">
          <w:rPr>
            <w:b/>
            <w:bCs/>
            <w:color w:val="0000FF"/>
            <w:sz w:val="22"/>
            <w:szCs w:val="22"/>
            <w:u w:val="single"/>
            <w:rtl/>
          </w:rPr>
          <w:t>ע"פ 5415/13</w:t>
        </w:r>
      </w:hyperlink>
      <w:r w:rsidRPr="007052B9">
        <w:rPr>
          <w:b/>
          <w:bCs/>
          <w:sz w:val="22"/>
          <w:szCs w:val="22"/>
          <w:rtl/>
        </w:rPr>
        <w:t xml:space="preserve"> פלוני נ' מדינת ישראל [פורסם בנבו] (16.2.2015)).</w:t>
      </w:r>
      <w:r w:rsidRPr="00C14D3F">
        <w:rPr>
          <w:b/>
          <w:bCs/>
          <w:rtl/>
        </w:rPr>
        <w:t xml:space="preserve"> בקביעת מתחם העונש ההולם ובגזירת הדין בגדרו אין די כמובן בהתייחסות לסעיף העבירה בו הורשע הנאשם, אלא העיקר הוא בעובדות ובנסיבות האירועים הספציפיים בגינן הורשע הנאשם (</w:t>
      </w:r>
      <w:hyperlink r:id="rId28" w:history="1">
        <w:r w:rsidR="000F5A41" w:rsidRPr="000F5A41">
          <w:rPr>
            <w:b/>
            <w:bCs/>
            <w:color w:val="0000FF"/>
            <w:u w:val="single"/>
            <w:rtl/>
          </w:rPr>
          <w:t>ע"פ 1997/13</w:t>
        </w:r>
      </w:hyperlink>
      <w:r w:rsidRPr="00C14D3F">
        <w:rPr>
          <w:b/>
          <w:bCs/>
          <w:rtl/>
        </w:rPr>
        <w:t xml:space="preserve"> פלוני נ' מדינת ישראל [פורסם בנבו] (29.8.2013))."</w:t>
      </w:r>
    </w:p>
    <w:p w14:paraId="4B0454FF" w14:textId="77777777" w:rsidR="00EB75BB" w:rsidRPr="00452B85" w:rsidRDefault="00EB75BB" w:rsidP="00EB75BB">
      <w:pPr>
        <w:pStyle w:val="a"/>
        <w:numPr>
          <w:ilvl w:val="0"/>
          <w:numId w:val="0"/>
        </w:numPr>
        <w:tabs>
          <w:tab w:val="left" w:pos="720"/>
        </w:tabs>
        <w:ind w:left="720"/>
        <w:rPr>
          <w:rtl/>
        </w:rPr>
      </w:pPr>
      <w:r>
        <w:rPr>
          <w:rFonts w:hint="cs"/>
          <w:rtl/>
        </w:rPr>
        <w:t>(</w:t>
      </w:r>
      <w:hyperlink r:id="rId29" w:history="1">
        <w:r w:rsidR="000F5A41" w:rsidRPr="000F5A41">
          <w:rPr>
            <w:color w:val="0000FF"/>
            <w:u w:val="single"/>
            <w:rtl/>
          </w:rPr>
          <w:t>ע"פ 5980/15</w:t>
        </w:r>
      </w:hyperlink>
      <w:r w:rsidRPr="00C14D3F">
        <w:rPr>
          <w:b/>
          <w:bCs/>
          <w:rtl/>
        </w:rPr>
        <w:t xml:space="preserve"> מדינת ישראל נ' מאיר פרי זדה </w:t>
      </w:r>
      <w:r w:rsidRPr="00452B85">
        <w:rPr>
          <w:rtl/>
        </w:rPr>
        <w:t>(23.03.16</w:t>
      </w:r>
      <w:r>
        <w:rPr>
          <w:rFonts w:hint="cs"/>
          <w:rtl/>
        </w:rPr>
        <w:t>),</w:t>
      </w:r>
      <w:r w:rsidRPr="00452B85">
        <w:rPr>
          <w:rFonts w:hint="cs"/>
          <w:rtl/>
        </w:rPr>
        <w:t xml:space="preserve"> </w:t>
      </w:r>
      <w:r w:rsidRPr="00452B85">
        <w:rPr>
          <w:rtl/>
        </w:rPr>
        <w:t>פסקה 8)</w:t>
      </w:r>
      <w:r>
        <w:rPr>
          <w:rFonts w:hint="cs"/>
          <w:rtl/>
        </w:rPr>
        <w:t>.</w:t>
      </w:r>
    </w:p>
    <w:p w14:paraId="003DA963" w14:textId="77777777" w:rsidR="00EB75BB" w:rsidRDefault="00EB75BB" w:rsidP="00EB75BB">
      <w:pPr>
        <w:pStyle w:val="aa"/>
        <w:spacing w:line="360" w:lineRule="auto"/>
        <w:jc w:val="both"/>
        <w:rPr>
          <w:rFonts w:ascii="David" w:hAnsi="David" w:cs="David"/>
          <w:sz w:val="24"/>
          <w:szCs w:val="24"/>
          <w:rtl/>
        </w:rPr>
      </w:pPr>
    </w:p>
    <w:p w14:paraId="5897D9E9"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ב"כ המאשימה הפנתה לפסיקה ממנה ביקשה ללמוד על מדיניות הענישה הנהוגה, ועל אף שבחלק מהמקרים מדובר בנסיבות הדומות לענייננו, היתה עתירתה למתחם ענישה גבוה יותר;</w:t>
      </w:r>
    </w:p>
    <w:p w14:paraId="548F9A29" w14:textId="77777777" w:rsidR="00EB75BB" w:rsidRDefault="00EB75BB" w:rsidP="00EB75BB">
      <w:pPr>
        <w:spacing w:line="360" w:lineRule="auto"/>
        <w:ind w:left="644"/>
        <w:jc w:val="both"/>
        <w:rPr>
          <w:rFonts w:ascii="David" w:hAnsi="David"/>
        </w:rPr>
      </w:pPr>
      <w:r>
        <w:rPr>
          <w:rFonts w:ascii="David" w:hAnsi="David"/>
          <w:rtl/>
        </w:rPr>
        <w:t>ב</w:t>
      </w:r>
      <w:hyperlink r:id="rId30" w:history="1">
        <w:r w:rsidR="000F5A41" w:rsidRPr="000F5A41">
          <w:rPr>
            <w:rFonts w:ascii="David" w:hAnsi="David"/>
            <w:color w:val="0000FF"/>
            <w:u w:val="single"/>
            <w:rtl/>
          </w:rPr>
          <w:t>ע"פ 6924/09</w:t>
        </w:r>
      </w:hyperlink>
      <w:r>
        <w:rPr>
          <w:rFonts w:ascii="David" w:hAnsi="David"/>
          <w:rtl/>
        </w:rPr>
        <w:t xml:space="preserve"> </w:t>
      </w:r>
      <w:r>
        <w:rPr>
          <w:rFonts w:ascii="David" w:hAnsi="David"/>
          <w:b/>
          <w:bCs/>
          <w:rtl/>
        </w:rPr>
        <w:t>ארקדי מגרלשווילי נ' מדינת ישראל</w:t>
      </w:r>
      <w:r>
        <w:rPr>
          <w:rFonts w:ascii="David" w:hAnsi="David"/>
          <w:rtl/>
        </w:rPr>
        <w:t xml:space="preserve"> (15.03.10) נגזרו על המערער 30 חודשי מאסר בפועל, לאחר שהורשע על פי הודאתו, בעבירה של חבלה </w:t>
      </w:r>
      <w:r>
        <w:rPr>
          <w:rFonts w:ascii="David" w:hAnsi="David" w:hint="cs"/>
          <w:rtl/>
        </w:rPr>
        <w:t xml:space="preserve">חמורה </w:t>
      </w:r>
      <w:r>
        <w:rPr>
          <w:rFonts w:ascii="David" w:hAnsi="David"/>
          <w:rtl/>
        </w:rPr>
        <w:t xml:space="preserve">בנסיבות מחמירות. מדובר במערער ובמתלונן שהיו שכנים, ובעת שנפגשו שלף המערער סכין מטבח שהייתה ברשותו ודקר את המתלונן בבטנו. כתוצאה מהדקירה נאלץ המתלונן לעבור ניתוח בכבד. המערער ללא עבר פלילי, </w:t>
      </w:r>
      <w:r>
        <w:rPr>
          <w:rFonts w:ascii="David" w:hAnsi="David" w:hint="cs"/>
          <w:rtl/>
        </w:rPr>
        <w:t>ה</w:t>
      </w:r>
      <w:r>
        <w:rPr>
          <w:rFonts w:ascii="David" w:hAnsi="David"/>
          <w:rtl/>
        </w:rPr>
        <w:t xml:space="preserve">לוקה בפגם אורגני ורמתו השכלית נמוכה. הערעור שהגיש על חומרת העונש נדחה. </w:t>
      </w:r>
    </w:p>
    <w:p w14:paraId="2419E8F1" w14:textId="77777777" w:rsidR="00EB75BB" w:rsidRDefault="00EB75BB" w:rsidP="00EB75BB">
      <w:pPr>
        <w:pStyle w:val="aa"/>
        <w:spacing w:line="360" w:lineRule="auto"/>
        <w:ind w:left="644"/>
        <w:jc w:val="both"/>
        <w:rPr>
          <w:rFonts w:ascii="David" w:hAnsi="David" w:cs="David"/>
          <w:sz w:val="24"/>
          <w:szCs w:val="24"/>
          <w:rtl/>
        </w:rPr>
      </w:pPr>
      <w:r>
        <w:rPr>
          <w:rFonts w:ascii="David" w:hAnsi="David" w:cs="David"/>
          <w:sz w:val="24"/>
          <w:szCs w:val="24"/>
          <w:rtl/>
        </w:rPr>
        <w:t>ב</w:t>
      </w:r>
      <w:hyperlink r:id="rId31" w:history="1">
        <w:r w:rsidR="000F5A41" w:rsidRPr="000F5A41">
          <w:rPr>
            <w:rFonts w:ascii="David" w:hAnsi="David" w:cs="David"/>
            <w:color w:val="0000FF"/>
            <w:sz w:val="24"/>
            <w:szCs w:val="24"/>
            <w:u w:val="single"/>
            <w:rtl/>
          </w:rPr>
          <w:t>ע"פ 935/14</w:t>
        </w:r>
      </w:hyperlink>
      <w:r>
        <w:rPr>
          <w:rFonts w:ascii="David" w:hAnsi="David" w:cs="David"/>
          <w:sz w:val="24"/>
          <w:szCs w:val="24"/>
          <w:rtl/>
        </w:rPr>
        <w:t xml:space="preserve"> </w:t>
      </w:r>
      <w:r>
        <w:rPr>
          <w:rFonts w:ascii="David" w:hAnsi="David" w:cs="David"/>
          <w:b/>
          <w:bCs/>
          <w:sz w:val="24"/>
          <w:szCs w:val="24"/>
          <w:rtl/>
        </w:rPr>
        <w:t>איגור אוסטרחוביץ נ' מדינת ישראל</w:t>
      </w:r>
      <w:r>
        <w:rPr>
          <w:rFonts w:ascii="David" w:hAnsi="David" w:cs="David"/>
          <w:sz w:val="24"/>
          <w:szCs w:val="24"/>
          <w:rtl/>
        </w:rPr>
        <w:t xml:space="preserve"> (30.11.14), הורשע המערער, על פי הודאתו, בעבירה של גרימת חבלה חמורה בנסיבות מחמירות</w:t>
      </w:r>
      <w:r>
        <w:rPr>
          <w:rFonts w:ascii="David" w:hAnsi="David" w:cs="David" w:hint="cs"/>
          <w:sz w:val="24"/>
          <w:szCs w:val="24"/>
          <w:rtl/>
        </w:rPr>
        <w:t>,</w:t>
      </w:r>
      <w:r>
        <w:rPr>
          <w:rFonts w:ascii="David" w:hAnsi="David" w:cs="David"/>
          <w:sz w:val="24"/>
          <w:szCs w:val="24"/>
          <w:rtl/>
        </w:rPr>
        <w:t xml:space="preserve"> לאחר שבינו לבין המתלונן התפתח ויכוח בעקבותיו דקר המערער את המתלונן בסכין מטבח (תחילה שלף שני סכינים והטיח במתלונן שלא "יתחיל איתו"). בית המשפט המחוזי קבע כי מתחם העונש ההולם נע בין 3.5 ל- 5 שנות מאסר בפועל,  והטיל על המערער (בן 29, בעל עבר פלילי בעבירות רכוש ואלימות שביצע מאז היותו קטין) - 50 חודשי מאסר בפועל.</w:t>
      </w:r>
    </w:p>
    <w:p w14:paraId="110A3B6C" w14:textId="77777777" w:rsidR="00EB75BB" w:rsidRDefault="00EB75BB" w:rsidP="00EB75BB">
      <w:pPr>
        <w:pStyle w:val="aa"/>
        <w:spacing w:line="360" w:lineRule="auto"/>
        <w:ind w:left="644"/>
        <w:jc w:val="both"/>
        <w:rPr>
          <w:rFonts w:ascii="David" w:hAnsi="David" w:cs="David"/>
          <w:sz w:val="24"/>
          <w:szCs w:val="24"/>
          <w:rtl/>
        </w:rPr>
      </w:pPr>
      <w:r>
        <w:rPr>
          <w:rFonts w:ascii="David" w:hAnsi="David" w:cs="David"/>
          <w:sz w:val="24"/>
          <w:szCs w:val="24"/>
          <w:rtl/>
        </w:rPr>
        <w:t>בית המשפט העליון דחה את ערעור המערער על חומרת העונש תוך שקבע כי העונש שהוטל עליו, אף שמצוי הוא ברף העליון של מתחם הענישה, ראוי בנסיבות העניין.</w:t>
      </w:r>
    </w:p>
    <w:p w14:paraId="509657DB" w14:textId="77777777" w:rsidR="00EB75BB" w:rsidRDefault="00EB75BB" w:rsidP="00EB75BB">
      <w:pPr>
        <w:spacing w:line="360" w:lineRule="auto"/>
        <w:ind w:left="720"/>
        <w:jc w:val="both"/>
        <w:rPr>
          <w:rFonts w:ascii="David" w:hAnsi="David"/>
          <w:rtl/>
        </w:rPr>
      </w:pPr>
      <w:r>
        <w:rPr>
          <w:rFonts w:ascii="David" w:hAnsi="David"/>
          <w:rtl/>
        </w:rPr>
        <w:t>ב</w:t>
      </w:r>
      <w:hyperlink r:id="rId32" w:history="1">
        <w:r w:rsidR="000F5A41" w:rsidRPr="000F5A41">
          <w:rPr>
            <w:rFonts w:ascii="David" w:hAnsi="David"/>
            <w:color w:val="0000FF"/>
            <w:u w:val="single"/>
            <w:rtl/>
          </w:rPr>
          <w:t>ע"פ 9630/09</w:t>
        </w:r>
      </w:hyperlink>
      <w:r>
        <w:rPr>
          <w:rFonts w:ascii="David" w:hAnsi="David"/>
          <w:rtl/>
        </w:rPr>
        <w:t xml:space="preserve"> </w:t>
      </w:r>
      <w:r>
        <w:rPr>
          <w:rFonts w:ascii="David" w:hAnsi="David"/>
          <w:b/>
          <w:bCs/>
          <w:rtl/>
        </w:rPr>
        <w:t>רותם זוהר נ' מדינת ישראל</w:t>
      </w:r>
      <w:r>
        <w:rPr>
          <w:rFonts w:ascii="David" w:hAnsi="David"/>
          <w:rtl/>
        </w:rPr>
        <w:t xml:space="preserve"> (20.07.10)  הורשע המערער בעבירה של חבלה חמורה בנסיבות מחמירות ובעבירה של </w:t>
      </w:r>
      <w:r>
        <w:rPr>
          <w:rFonts w:ascii="David" w:hAnsi="David" w:hint="cs"/>
          <w:rtl/>
        </w:rPr>
        <w:t>ה</w:t>
      </w:r>
      <w:r>
        <w:rPr>
          <w:rFonts w:ascii="David" w:hAnsi="David"/>
          <w:rtl/>
        </w:rPr>
        <w:t xml:space="preserve">חזקת סכין שלא כדין ונגזרו עליו 42 חודשי מאסר בפועל (בנוסף </w:t>
      </w:r>
      <w:r>
        <w:rPr>
          <w:rFonts w:ascii="David" w:hAnsi="David" w:hint="cs"/>
          <w:rtl/>
        </w:rPr>
        <w:t xml:space="preserve">הופעל </w:t>
      </w:r>
      <w:r>
        <w:rPr>
          <w:rFonts w:ascii="David" w:hAnsi="David"/>
          <w:rtl/>
        </w:rPr>
        <w:t xml:space="preserve">מאסר מותנה בן 12 חודשים), לאחר שדקר את המתלונן דקירה עמוקה בבטנו, שבעקבותיה נאלץ המתלונן לעבור ניתוח. למערער עבר פלילי וערעורו על חומרת </w:t>
      </w:r>
      <w:r>
        <w:rPr>
          <w:rFonts w:ascii="David" w:hAnsi="David" w:hint="cs"/>
          <w:rtl/>
        </w:rPr>
        <w:t xml:space="preserve">העונש נדחה. </w:t>
      </w:r>
    </w:p>
    <w:p w14:paraId="32B53A2F" w14:textId="77777777" w:rsidR="00EB75BB" w:rsidRDefault="00EB75BB" w:rsidP="00EB75BB">
      <w:pPr>
        <w:spacing w:line="360" w:lineRule="auto"/>
        <w:ind w:left="720"/>
        <w:jc w:val="both"/>
        <w:rPr>
          <w:rFonts w:ascii="David" w:hAnsi="David"/>
        </w:rPr>
      </w:pPr>
    </w:p>
    <w:p w14:paraId="6D85FDCE" w14:textId="77777777" w:rsidR="00EB75BB" w:rsidRDefault="00EB75BB" w:rsidP="00EB75BB">
      <w:pPr>
        <w:pStyle w:val="aa"/>
        <w:numPr>
          <w:ilvl w:val="0"/>
          <w:numId w:val="3"/>
        </w:numPr>
        <w:spacing w:line="360" w:lineRule="auto"/>
        <w:jc w:val="both"/>
        <w:rPr>
          <w:rFonts w:ascii="David" w:hAnsi="David" w:cs="David"/>
          <w:sz w:val="24"/>
          <w:szCs w:val="24"/>
          <w:rtl/>
        </w:rPr>
      </w:pPr>
      <w:r>
        <w:rPr>
          <w:rFonts w:ascii="David" w:hAnsi="David" w:cs="David"/>
          <w:sz w:val="24"/>
          <w:szCs w:val="24"/>
          <w:rtl/>
        </w:rPr>
        <w:t>נתתי דעתי למקרים נוספים, והגם שברור שנסיבותיהם אינ</w:t>
      </w:r>
      <w:r>
        <w:rPr>
          <w:rFonts w:ascii="David" w:hAnsi="David" w:cs="David" w:hint="cs"/>
          <w:sz w:val="24"/>
          <w:szCs w:val="24"/>
          <w:rtl/>
        </w:rPr>
        <w:t>ן</w:t>
      </w:r>
      <w:r>
        <w:rPr>
          <w:rFonts w:ascii="David" w:hAnsi="David" w:cs="David"/>
          <w:sz w:val="24"/>
          <w:szCs w:val="24"/>
          <w:rtl/>
        </w:rPr>
        <w:t xml:space="preserve"> זהות במדויק לאלה שבענייננו, יש בהם כדי לשקף את מדיניות הענישה הנהוגה במקרים דומים:</w:t>
      </w:r>
    </w:p>
    <w:p w14:paraId="4866B4C8" w14:textId="77777777" w:rsidR="00EB75BB" w:rsidRDefault="00EB75BB" w:rsidP="00EB75BB">
      <w:pPr>
        <w:spacing w:line="360" w:lineRule="auto"/>
        <w:ind w:left="644"/>
        <w:jc w:val="both"/>
        <w:rPr>
          <w:rFonts w:ascii="David" w:hAnsi="David"/>
          <w:rtl/>
        </w:rPr>
      </w:pPr>
      <w:r w:rsidRPr="002D6EF4">
        <w:rPr>
          <w:rFonts w:ascii="David" w:hAnsi="David"/>
          <w:rtl/>
        </w:rPr>
        <w:t>ב</w:t>
      </w:r>
      <w:hyperlink r:id="rId33" w:history="1">
        <w:r w:rsidR="000F5A41" w:rsidRPr="000F5A41">
          <w:rPr>
            <w:rFonts w:ascii="David" w:hAnsi="David"/>
            <w:color w:val="0000FF"/>
            <w:u w:val="single"/>
            <w:rtl/>
          </w:rPr>
          <w:t>ע"פ 8381/17</w:t>
        </w:r>
      </w:hyperlink>
      <w:r w:rsidRPr="002D6EF4">
        <w:rPr>
          <w:rFonts w:ascii="David" w:hAnsi="David"/>
          <w:rtl/>
        </w:rPr>
        <w:t xml:space="preserve"> </w:t>
      </w:r>
      <w:r w:rsidRPr="002D6EF4">
        <w:rPr>
          <w:rFonts w:ascii="David" w:hAnsi="David"/>
          <w:b/>
          <w:bCs/>
          <w:rtl/>
        </w:rPr>
        <w:t>מדינת ישראל נ' טל איכילוב</w:t>
      </w:r>
      <w:r w:rsidRPr="002D6EF4">
        <w:rPr>
          <w:rFonts w:ascii="David" w:hAnsi="David"/>
          <w:rtl/>
        </w:rPr>
        <w:t xml:space="preserve"> (24.04.18) הורשע המשיב על פי הודייתו בעבירה של חבלה חמורה בנסיבות מחמירות, לאחר שדקר את המתלונן (ביניהם התגלע בעבר סכסוך) בעיניו ובראשו באמצעות חפץ חד, בעת שהמתלונן ניסה להתגונן ולהדוף אותו. המשיב בעל עבר פלילי מכביד הכולל הרשעות בעבירות אלימות והחזקת סכין. בית המשפט המחוזי קבע כי מתחם הענישה ההולם במקרה זה נע בין 18 ל-40 חודשי מאסר וגזר על המשיב 22 חודשי מאסר (בהתחשב בנכונותו להשתלב בהליך טיפולי, בנסיבותיו האישיות ומצבו הבריאותי הקשה). בית המשפט העליון קיבל את ערעור המדינה על קולת העונש, ודחה את ערעור המערער על חומרתו, והעמיד את עונש המאסר על 34 חודשים</w:t>
      </w:r>
      <w:r>
        <w:rPr>
          <w:rFonts w:ascii="David" w:hAnsi="David" w:hint="cs"/>
          <w:rtl/>
        </w:rPr>
        <w:t>,</w:t>
      </w:r>
      <w:r w:rsidRPr="002D6EF4">
        <w:rPr>
          <w:rFonts w:ascii="David" w:hAnsi="David"/>
          <w:rtl/>
        </w:rPr>
        <w:t xml:space="preserve"> תוך שקבע כי העונש שהוטל בערכאה הקודמת אינו משקף את חומרת המעשים והשלכותיהם על המתלונן.</w:t>
      </w:r>
    </w:p>
    <w:p w14:paraId="27323AB1" w14:textId="77777777" w:rsidR="00EB75BB" w:rsidRDefault="00EB75BB" w:rsidP="00EB75BB">
      <w:pPr>
        <w:spacing w:line="360" w:lineRule="auto"/>
        <w:ind w:left="644"/>
        <w:jc w:val="both"/>
        <w:rPr>
          <w:rFonts w:ascii="David" w:hAnsi="David"/>
          <w:rtl/>
        </w:rPr>
      </w:pPr>
    </w:p>
    <w:p w14:paraId="4D027091" w14:textId="77777777" w:rsidR="00EB75BB" w:rsidRPr="002D6EF4" w:rsidRDefault="00EB75BB" w:rsidP="00EB75BB">
      <w:pPr>
        <w:spacing w:line="360" w:lineRule="auto"/>
        <w:ind w:left="644"/>
        <w:jc w:val="both"/>
        <w:rPr>
          <w:rFonts w:ascii="David" w:hAnsi="David"/>
          <w:rtl/>
        </w:rPr>
      </w:pPr>
      <w:r w:rsidRPr="002D6EF4">
        <w:rPr>
          <w:rFonts w:ascii="David" w:hAnsi="David"/>
          <w:rtl/>
        </w:rPr>
        <w:t>ב</w:t>
      </w:r>
      <w:hyperlink r:id="rId34" w:history="1">
        <w:r w:rsidR="000F5A41" w:rsidRPr="000F5A41">
          <w:rPr>
            <w:rFonts w:ascii="David" w:hAnsi="David"/>
            <w:color w:val="0000FF"/>
            <w:u w:val="single"/>
            <w:rtl/>
          </w:rPr>
          <w:t>ע"פ 5200/16</w:t>
        </w:r>
      </w:hyperlink>
      <w:r w:rsidRPr="002D6EF4">
        <w:rPr>
          <w:rFonts w:ascii="David" w:hAnsi="David"/>
          <w:b/>
          <w:bCs/>
          <w:rtl/>
        </w:rPr>
        <w:t xml:space="preserve"> חליל כבוב נ' מדינת ישראל</w:t>
      </w:r>
      <w:r w:rsidRPr="002D6EF4">
        <w:rPr>
          <w:rFonts w:ascii="David" w:hAnsi="David"/>
          <w:rtl/>
        </w:rPr>
        <w:t xml:space="preserve"> (03.11.16), נדחה ערעור המערער על עונש של 24 חודשי מאסר שהוטל עליו בגין הרשעתו בביצוע עבירת חבלה חמורה בנסיבות מחמירות. המערער הודה בביצוע העבירה עפ"י הסדר טיעון </w:t>
      </w:r>
      <w:r>
        <w:rPr>
          <w:rFonts w:ascii="David" w:hAnsi="David" w:hint="cs"/>
          <w:rtl/>
        </w:rPr>
        <w:t>-</w:t>
      </w:r>
      <w:r w:rsidRPr="002D6EF4">
        <w:rPr>
          <w:rFonts w:ascii="David" w:hAnsi="David"/>
          <w:rtl/>
        </w:rPr>
        <w:t xml:space="preserve"> התביעה עתרה לעונש מקסימלי של 40 חודשי מאסר ואילו ההגנה ביקשה להסתפק בעונש של 12 חודשי מאסר. בין המערער למתלונן הייתה היכרות קודמת והתגלע ביניהם סכסוך</w:t>
      </w:r>
      <w:r>
        <w:rPr>
          <w:rFonts w:ascii="David" w:hAnsi="David" w:hint="cs"/>
          <w:rtl/>
        </w:rPr>
        <w:t>,</w:t>
      </w:r>
      <w:r w:rsidRPr="002D6EF4">
        <w:rPr>
          <w:rFonts w:ascii="David" w:hAnsi="David"/>
          <w:rtl/>
        </w:rPr>
        <w:t xml:space="preserve"> שבעקבותיו תקף המערער את המתלונן באמצעות סכין מטבח בצווארו, לאחר שהאחרון הגיע למועדון בו שהה. בית המשפט המחוזי קבע את מתחם העונש בין 20 ל-48 חודשי מאסר והשית על המערער עונש של 24 חודשי מאסר בפועל, בהתחשב, בין היתר, בגילו הצעיר, עברו הפלילי הנקי, סיכויי שיקומו והתסקיר החיובי. </w:t>
      </w:r>
    </w:p>
    <w:p w14:paraId="71A54377" w14:textId="77777777" w:rsidR="00EB75BB" w:rsidRDefault="00EB75BB" w:rsidP="00EB75BB">
      <w:pPr>
        <w:spacing w:line="360" w:lineRule="auto"/>
        <w:ind w:left="644"/>
        <w:rPr>
          <w:rFonts w:ascii="David" w:hAnsi="David"/>
          <w:rtl/>
        </w:rPr>
      </w:pPr>
      <w:r w:rsidRPr="002D6EF4">
        <w:rPr>
          <w:rFonts w:ascii="David" w:hAnsi="David"/>
          <w:rtl/>
        </w:rPr>
        <w:t xml:space="preserve">ערעור המערער על גזר הדין נדחה. </w:t>
      </w:r>
    </w:p>
    <w:p w14:paraId="6C1A0F6F" w14:textId="77777777" w:rsidR="00EB75BB" w:rsidRPr="002D6EF4" w:rsidRDefault="00EB75BB" w:rsidP="00EB75BB">
      <w:pPr>
        <w:spacing w:line="360" w:lineRule="auto"/>
        <w:ind w:left="644"/>
        <w:rPr>
          <w:rFonts w:ascii="David" w:hAnsi="David"/>
          <w:rtl/>
        </w:rPr>
      </w:pPr>
    </w:p>
    <w:p w14:paraId="3ECF020C" w14:textId="77777777" w:rsidR="00EB75BB" w:rsidRDefault="00EB75BB" w:rsidP="00EB75BB">
      <w:pPr>
        <w:spacing w:line="360" w:lineRule="auto"/>
        <w:ind w:left="644"/>
        <w:jc w:val="both"/>
        <w:rPr>
          <w:rFonts w:ascii="David" w:hAnsi="David"/>
          <w:rtl/>
        </w:rPr>
      </w:pPr>
      <w:r w:rsidRPr="002D6EF4">
        <w:rPr>
          <w:rFonts w:ascii="David" w:hAnsi="David"/>
          <w:rtl/>
        </w:rPr>
        <w:t>ב</w:t>
      </w:r>
      <w:hyperlink r:id="rId35" w:history="1">
        <w:r w:rsidR="000F5A41" w:rsidRPr="000F5A41">
          <w:rPr>
            <w:rFonts w:ascii="David" w:hAnsi="David"/>
            <w:color w:val="0000FF"/>
            <w:u w:val="single"/>
            <w:rtl/>
          </w:rPr>
          <w:t>ת"פ (מחוזי-חיפה) 18525-10-17</w:t>
        </w:r>
      </w:hyperlink>
      <w:r w:rsidRPr="00C14D3F">
        <w:rPr>
          <w:rFonts w:ascii="David" w:hAnsi="David"/>
          <w:b/>
          <w:bCs/>
          <w:rtl/>
        </w:rPr>
        <w:t xml:space="preserve"> מדינת ישראל נ' ברטיק ואח'</w:t>
      </w:r>
      <w:r w:rsidRPr="002D6EF4">
        <w:rPr>
          <w:rFonts w:ascii="David" w:hAnsi="David"/>
          <w:rtl/>
        </w:rPr>
        <w:t xml:space="preserve"> (17.04.18) הורשע הנאשם, על פי הודאתו בביצוע עבירה של חבלה חמורה בנסיבות מחמירות והחזקת סכין. הנאשם הצטייד בסכין, ובסיוע של אחר דקר את המתלונן באמצעותה שתי דקירות עמוקות בירך ובבטן. בעקבות האירוע נאלץ המתלונן לעבור ניתוח חירום. בית המשפט קבע כי מתחם הענישה בנסיבות העניין נע בין 30 ל- 50 חודשי מאסר בפועל וגזר על הנאשם 30 חודשים. הנאשם ללא עבר פלילי.</w:t>
      </w:r>
    </w:p>
    <w:p w14:paraId="268E4F6B" w14:textId="77777777" w:rsidR="00EB75BB" w:rsidRDefault="00EB75BB" w:rsidP="00EB75BB">
      <w:pPr>
        <w:spacing w:line="360" w:lineRule="auto"/>
        <w:ind w:left="644"/>
        <w:jc w:val="both"/>
        <w:rPr>
          <w:rFonts w:ascii="David" w:hAnsi="David"/>
          <w:rtl/>
        </w:rPr>
      </w:pPr>
    </w:p>
    <w:p w14:paraId="3C89732B" w14:textId="77777777" w:rsidR="00EB75BB" w:rsidRDefault="00EB75BB" w:rsidP="00EB75BB">
      <w:pPr>
        <w:spacing w:line="360" w:lineRule="auto"/>
        <w:ind w:left="644"/>
        <w:jc w:val="both"/>
        <w:rPr>
          <w:rFonts w:ascii="David" w:hAnsi="David"/>
          <w:rtl/>
        </w:rPr>
      </w:pPr>
      <w:r>
        <w:rPr>
          <w:rFonts w:ascii="David" w:hAnsi="David"/>
          <w:rtl/>
        </w:rPr>
        <w:t>ב</w:t>
      </w:r>
      <w:hyperlink r:id="rId36" w:history="1">
        <w:r w:rsidR="000F5A41" w:rsidRPr="000F5A41">
          <w:rPr>
            <w:rFonts w:ascii="David" w:hAnsi="David"/>
            <w:color w:val="0000FF"/>
            <w:u w:val="single"/>
            <w:rtl/>
          </w:rPr>
          <w:t>ע"פ 8897/20</w:t>
        </w:r>
      </w:hyperlink>
      <w:r>
        <w:rPr>
          <w:rFonts w:ascii="David" w:hAnsi="David"/>
          <w:rtl/>
        </w:rPr>
        <w:t xml:space="preserve"> </w:t>
      </w:r>
      <w:r>
        <w:rPr>
          <w:rFonts w:ascii="David" w:hAnsi="David"/>
          <w:b/>
          <w:bCs/>
          <w:rtl/>
        </w:rPr>
        <w:t>גיא סקנדריון נ' מדינת ישראל</w:t>
      </w:r>
      <w:r>
        <w:rPr>
          <w:rFonts w:ascii="David" w:hAnsi="David"/>
          <w:rtl/>
        </w:rPr>
        <w:t xml:space="preserve"> (06.05.21) הושג הסדר טיעון, לפיו הורשע המערער בביצוע עבירה של חבלה חמורה בנסיבות מחמירות לאחר שהצטייד באלה טלסקופית ושוקר חשמלי והחליט לתקוף את המתלונן, בשל  ויכוח שהיה למתלונן עם אחיו. עפ"י ההסכמות עתרה התביעה למתחם ענישה הנע בין</w:t>
      </w:r>
      <w:r>
        <w:rPr>
          <w:rFonts w:ascii="David" w:hAnsi="David" w:hint="cs"/>
          <w:rtl/>
        </w:rPr>
        <w:t xml:space="preserve"> שלוש לחמש</w:t>
      </w:r>
      <w:r>
        <w:rPr>
          <w:rFonts w:ascii="David" w:hAnsi="David"/>
          <w:rtl/>
        </w:rPr>
        <w:t xml:space="preserve"> שנות מאסר ואילו ההגנה לא הייתה מוגבלת בטיעוניה לעונש</w:t>
      </w:r>
      <w:r>
        <w:rPr>
          <w:rtl/>
        </w:rPr>
        <w:t xml:space="preserve">. </w:t>
      </w:r>
      <w:r>
        <w:rPr>
          <w:rFonts w:ascii="David" w:hAnsi="David"/>
          <w:rtl/>
        </w:rPr>
        <w:t xml:space="preserve">המערער בעל עבר פלילי- לחובתו הרשעה אחת בעבירת אלימות. </w:t>
      </w:r>
    </w:p>
    <w:p w14:paraId="0014146A" w14:textId="77777777" w:rsidR="00EB75BB" w:rsidRDefault="00EB75BB" w:rsidP="00EB75BB">
      <w:pPr>
        <w:spacing w:line="360" w:lineRule="auto"/>
        <w:ind w:left="644"/>
        <w:jc w:val="both"/>
        <w:rPr>
          <w:rFonts w:ascii="David" w:hAnsi="David"/>
          <w:rtl/>
        </w:rPr>
      </w:pPr>
      <w:r>
        <w:rPr>
          <w:rFonts w:ascii="David" w:hAnsi="David"/>
          <w:rtl/>
        </w:rPr>
        <w:t>בית המשפט המחוזי קבע כי מתחם הענישה במקרה זה נע בין 18 ל- 36 חודשי מאסר בפועל, וגזר על המערער 20 חודשי מאסר. בית המשפט העליון דחה את ערעור המערער על גזר הדין, הגם שקבע כי בנסיבות העניין בית המשפט המחוזי הקל בעונש שהטיל עליו.</w:t>
      </w:r>
    </w:p>
    <w:p w14:paraId="1D5FC72E" w14:textId="77777777" w:rsidR="00EB75BB" w:rsidRDefault="00EB75BB" w:rsidP="00EB75BB">
      <w:pPr>
        <w:pStyle w:val="a"/>
        <w:numPr>
          <w:ilvl w:val="0"/>
          <w:numId w:val="0"/>
        </w:numPr>
        <w:tabs>
          <w:tab w:val="left" w:pos="720"/>
        </w:tabs>
        <w:ind w:left="644"/>
        <w:jc w:val="both"/>
        <w:rPr>
          <w:rtl/>
        </w:rPr>
      </w:pPr>
    </w:p>
    <w:p w14:paraId="7E68EAAD" w14:textId="77777777" w:rsidR="00EB75BB" w:rsidRDefault="00EB75BB" w:rsidP="00EB75BB">
      <w:pPr>
        <w:pStyle w:val="a"/>
        <w:numPr>
          <w:ilvl w:val="0"/>
          <w:numId w:val="0"/>
        </w:numPr>
        <w:tabs>
          <w:tab w:val="left" w:pos="720"/>
        </w:tabs>
        <w:ind w:left="644"/>
        <w:jc w:val="both"/>
        <w:rPr>
          <w:rtl/>
        </w:rPr>
      </w:pPr>
      <w:r>
        <w:rPr>
          <w:rFonts w:hint="cs"/>
          <w:rtl/>
        </w:rPr>
        <w:t>ב</w:t>
      </w:r>
      <w:hyperlink r:id="rId37" w:history="1">
        <w:r w:rsidR="000F5A41" w:rsidRPr="000F5A41">
          <w:rPr>
            <w:color w:val="0000FF"/>
            <w:u w:val="single"/>
            <w:rtl/>
          </w:rPr>
          <w:t>ע"פ 3249/19</w:t>
        </w:r>
      </w:hyperlink>
      <w:r>
        <w:rPr>
          <w:rFonts w:hint="cs"/>
          <w:b/>
          <w:bCs/>
          <w:rtl/>
        </w:rPr>
        <w:t xml:space="preserve"> סמרה פיסהיי נ' מדינת ישראל</w:t>
      </w:r>
      <w:r>
        <w:rPr>
          <w:rFonts w:hint="cs"/>
          <w:rtl/>
        </w:rPr>
        <w:t xml:space="preserve"> (05.08.19) הורשע המערער עפ"י הודייתו בעבירה של חבלה חמורה בנסיבות מחמירות. בין המערער והמתלונן הייתה היכרות קודמת אך הם נפגשו באקראי ובמהלך הפגישה נתגלע ויכוח ביניהם והחלו דחיפות הדדיות. בהמשך, על אף בקשת המתלונן להפסיק, הלך המערער והצטייד בסכין, חזר למתלונן ודקר אותו עד שנבלם על ידי עובר אורח. המערער בעל עבר פלילי. בית המשפט המחוזי קבע כי מתחם העונש ההולם בנסיבות העניין נע בי</w:t>
      </w:r>
      <w:r w:rsidRPr="00B005CE">
        <w:rPr>
          <w:rFonts w:hint="cs"/>
          <w:rtl/>
        </w:rPr>
        <w:t xml:space="preserve">ן 18-36  </w:t>
      </w:r>
      <w:r>
        <w:rPr>
          <w:rFonts w:hint="cs"/>
          <w:rtl/>
        </w:rPr>
        <w:t>חודשי מאסר בפועל, וגזר על המערער 24 חודשי מאסר. ערעור על חומרת העונש נדחה.</w:t>
      </w:r>
    </w:p>
    <w:p w14:paraId="19FFFAD1" w14:textId="77777777" w:rsidR="00EB75BB" w:rsidRDefault="00EB75BB" w:rsidP="00EB75BB">
      <w:pPr>
        <w:pStyle w:val="a"/>
        <w:numPr>
          <w:ilvl w:val="0"/>
          <w:numId w:val="0"/>
        </w:numPr>
        <w:tabs>
          <w:tab w:val="left" w:pos="720"/>
        </w:tabs>
        <w:ind w:left="644"/>
        <w:jc w:val="both"/>
        <w:rPr>
          <w:b/>
          <w:bCs/>
          <w:rtl/>
        </w:rPr>
      </w:pPr>
    </w:p>
    <w:p w14:paraId="0C45E318" w14:textId="77777777" w:rsidR="00EB75BB" w:rsidRDefault="00EB75BB" w:rsidP="00EB75BB">
      <w:pPr>
        <w:pStyle w:val="aa"/>
        <w:numPr>
          <w:ilvl w:val="0"/>
          <w:numId w:val="3"/>
        </w:numPr>
        <w:spacing w:after="120" w:line="360" w:lineRule="auto"/>
        <w:jc w:val="both"/>
        <w:rPr>
          <w:rFonts w:ascii="David" w:eastAsia="Times New Roman" w:hAnsi="David" w:cs="David"/>
          <w:color w:val="000000"/>
          <w:sz w:val="24"/>
          <w:szCs w:val="24"/>
          <w:u w:val="single"/>
          <w:rtl/>
        </w:rPr>
      </w:pPr>
      <w:r>
        <w:rPr>
          <w:rFonts w:ascii="David" w:eastAsia="Times New Roman" w:hAnsi="David" w:cs="David"/>
          <w:color w:val="000000"/>
          <w:sz w:val="24"/>
          <w:szCs w:val="24"/>
          <w:rtl/>
        </w:rPr>
        <w:t xml:space="preserve">בשים לב לנסיבות ביצוע העבירה כמפורט לעיל, הערכים החברתיים שנפגעו ומידת הפגיעה בהם, טיב ואופי מעשי הנאשם, כמו גם מדיניות הענישה הנוהגת במקרים דומים, </w:t>
      </w:r>
      <w:r>
        <w:rPr>
          <w:rFonts w:ascii="David" w:eastAsia="Times New Roman" w:hAnsi="David" w:cs="David"/>
          <w:color w:val="000000"/>
          <w:sz w:val="24"/>
          <w:szCs w:val="24"/>
          <w:u w:val="single"/>
          <w:rtl/>
        </w:rPr>
        <w:t xml:space="preserve">אני קובעת כי מתחם הענישה ההולם בנסיבות העניין נע בין </w:t>
      </w:r>
      <w:r>
        <w:rPr>
          <w:rFonts w:ascii="David" w:eastAsia="Times New Roman" w:hAnsi="David" w:cs="David" w:hint="cs"/>
          <w:color w:val="000000"/>
          <w:sz w:val="24"/>
          <w:szCs w:val="24"/>
          <w:u w:val="single"/>
          <w:rtl/>
        </w:rPr>
        <w:t xml:space="preserve">20 ועד 45 </w:t>
      </w:r>
      <w:r>
        <w:rPr>
          <w:rFonts w:ascii="David" w:eastAsia="Times New Roman" w:hAnsi="David" w:cs="David"/>
          <w:color w:val="000000"/>
          <w:sz w:val="24"/>
          <w:szCs w:val="24"/>
          <w:u w:val="single"/>
          <w:rtl/>
        </w:rPr>
        <w:t xml:space="preserve"> חודשי מאסר בפועל. </w:t>
      </w:r>
    </w:p>
    <w:p w14:paraId="7025C7EA" w14:textId="77777777" w:rsidR="00EB75BB" w:rsidRDefault="00EB75BB" w:rsidP="00EB75BB">
      <w:pPr>
        <w:spacing w:after="120" w:line="360" w:lineRule="auto"/>
        <w:ind w:left="-2" w:firstLine="646"/>
        <w:jc w:val="both"/>
        <w:rPr>
          <w:rFonts w:ascii="David" w:hAnsi="David"/>
          <w:b/>
          <w:bCs/>
          <w:color w:val="000000"/>
          <w:u w:val="single"/>
          <w:rtl/>
        </w:rPr>
      </w:pPr>
      <w:r>
        <w:rPr>
          <w:rFonts w:ascii="David" w:hAnsi="David"/>
          <w:b/>
          <w:bCs/>
          <w:color w:val="000000"/>
          <w:u w:val="single"/>
          <w:rtl/>
        </w:rPr>
        <w:t>העונש הראוי לנאשם</w:t>
      </w:r>
    </w:p>
    <w:p w14:paraId="74733EAF" w14:textId="77777777" w:rsidR="00EB75BB" w:rsidRDefault="00EB75BB" w:rsidP="00EB75BB">
      <w:pPr>
        <w:spacing w:after="120" w:line="360" w:lineRule="auto"/>
        <w:ind w:left="-2" w:firstLine="646"/>
        <w:jc w:val="both"/>
        <w:rPr>
          <w:rFonts w:ascii="David" w:hAnsi="David"/>
          <w:b/>
          <w:bCs/>
          <w:color w:val="000000"/>
          <w:u w:val="single"/>
          <w:rtl/>
        </w:rPr>
      </w:pPr>
    </w:p>
    <w:p w14:paraId="0438C853" w14:textId="77777777" w:rsidR="00EB75BB" w:rsidRDefault="00EB75BB" w:rsidP="00EB75BB">
      <w:pPr>
        <w:pStyle w:val="aa"/>
        <w:numPr>
          <w:ilvl w:val="0"/>
          <w:numId w:val="3"/>
        </w:numPr>
        <w:spacing w:after="120" w:line="360" w:lineRule="auto"/>
        <w:jc w:val="both"/>
        <w:rPr>
          <w:rFonts w:ascii="David" w:eastAsia="Times New Roman" w:hAnsi="David" w:cs="David"/>
          <w:color w:val="000000"/>
          <w:sz w:val="24"/>
          <w:szCs w:val="24"/>
          <w:rtl/>
        </w:rPr>
      </w:pPr>
      <w:r>
        <w:rPr>
          <w:rFonts w:ascii="David" w:eastAsia="Times New Roman" w:hAnsi="David" w:cs="David"/>
          <w:color w:val="000000"/>
          <w:sz w:val="24"/>
          <w:szCs w:val="24"/>
          <w:rtl/>
        </w:rPr>
        <w:t xml:space="preserve">לצורך קביעת העונש בתוך מתחם הענישה ההולם, בהתאם </w:t>
      </w:r>
      <w:hyperlink r:id="rId38" w:history="1">
        <w:r w:rsidR="00E5195C" w:rsidRPr="00E5195C">
          <w:rPr>
            <w:rStyle w:val="Hyperlink"/>
            <w:rFonts w:ascii="David" w:eastAsia="Times New Roman" w:hAnsi="David" w:cs="David"/>
            <w:sz w:val="24"/>
            <w:szCs w:val="24"/>
            <w:rtl/>
          </w:rPr>
          <w:t>לסעיף 40יא'</w:t>
        </w:r>
      </w:hyperlink>
      <w:r>
        <w:rPr>
          <w:rFonts w:ascii="David" w:eastAsia="Times New Roman" w:hAnsi="David" w:cs="David"/>
          <w:color w:val="000000"/>
          <w:sz w:val="24"/>
          <w:szCs w:val="24"/>
          <w:rtl/>
        </w:rPr>
        <w:t xml:space="preserve"> ל</w:t>
      </w:r>
      <w:hyperlink r:id="rId39" w:history="1">
        <w:r w:rsidR="000F5A41" w:rsidRPr="000F5A41">
          <w:rPr>
            <w:rFonts w:ascii="David" w:eastAsia="Times New Roman" w:hAnsi="David" w:cs="David"/>
            <w:color w:val="0000FF"/>
            <w:sz w:val="24"/>
            <w:szCs w:val="24"/>
            <w:u w:val="single"/>
            <w:rtl/>
          </w:rPr>
          <w:t>חוק העונשין</w:t>
        </w:r>
      </w:hyperlink>
      <w:r>
        <w:rPr>
          <w:rFonts w:ascii="David" w:eastAsia="Times New Roman" w:hAnsi="David" w:cs="David"/>
          <w:color w:val="000000"/>
          <w:sz w:val="24"/>
          <w:szCs w:val="24"/>
          <w:rtl/>
        </w:rPr>
        <w:t>, יש להתחשב בנסיבות שאינן קשורות בביצוע העבירה.</w:t>
      </w:r>
    </w:p>
    <w:p w14:paraId="1169B84D" w14:textId="77777777" w:rsidR="00EB75BB" w:rsidRDefault="00EB75BB" w:rsidP="00EB75BB">
      <w:pPr>
        <w:pStyle w:val="aa"/>
        <w:spacing w:after="120" w:line="360" w:lineRule="auto"/>
        <w:ind w:left="644"/>
        <w:jc w:val="both"/>
        <w:rPr>
          <w:rFonts w:ascii="David" w:eastAsia="Times New Roman" w:hAnsi="David" w:cs="David"/>
          <w:color w:val="000000"/>
          <w:sz w:val="24"/>
          <w:szCs w:val="24"/>
          <w:rtl/>
        </w:rPr>
      </w:pPr>
    </w:p>
    <w:p w14:paraId="1FD01287" w14:textId="77777777" w:rsidR="00EB75BB" w:rsidRDefault="00EB75BB" w:rsidP="00EB75BB">
      <w:pPr>
        <w:pStyle w:val="aa"/>
        <w:spacing w:after="120" w:line="360" w:lineRule="auto"/>
        <w:ind w:left="644"/>
        <w:jc w:val="both"/>
        <w:rPr>
          <w:rFonts w:ascii="David" w:eastAsia="Times New Roman" w:hAnsi="David" w:cs="David"/>
          <w:color w:val="000000"/>
          <w:sz w:val="24"/>
          <w:szCs w:val="24"/>
          <w:rtl/>
        </w:rPr>
      </w:pPr>
      <w:r>
        <w:rPr>
          <w:rFonts w:ascii="David" w:eastAsia="Times New Roman" w:hAnsi="David" w:cs="David"/>
          <w:color w:val="000000"/>
          <w:sz w:val="24"/>
          <w:szCs w:val="24"/>
          <w:rtl/>
        </w:rPr>
        <w:t xml:space="preserve">לצורך כך נתתי דעתי להודאת הנאשם במעשיו ונטילת האחריות </w:t>
      </w:r>
      <w:r>
        <w:rPr>
          <w:rFonts w:ascii="David" w:eastAsia="Times New Roman" w:hAnsi="David" w:cs="David" w:hint="cs"/>
          <w:color w:val="000000"/>
          <w:sz w:val="24"/>
          <w:szCs w:val="24"/>
          <w:rtl/>
        </w:rPr>
        <w:t xml:space="preserve">המפורשת </w:t>
      </w:r>
      <w:r>
        <w:rPr>
          <w:rFonts w:ascii="David" w:eastAsia="Times New Roman" w:hAnsi="David" w:cs="David"/>
          <w:color w:val="000000"/>
          <w:sz w:val="24"/>
          <w:szCs w:val="24"/>
          <w:rtl/>
        </w:rPr>
        <w:t>עליהם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כמו גם לדבריו אודות החרטה, הבעת הצער ורצונו להשתקם. עוד לקחתי בחשבון את העובדה שהודאתו הביאה </w:t>
      </w:r>
      <w:r>
        <w:rPr>
          <w:rFonts w:ascii="David" w:eastAsia="Times New Roman" w:hAnsi="David" w:cs="David"/>
          <w:color w:val="000000"/>
          <w:sz w:val="24"/>
          <w:szCs w:val="24"/>
          <w:rtl/>
        </w:rPr>
        <w:t xml:space="preserve">חסכון זמן </w:t>
      </w:r>
      <w:r>
        <w:rPr>
          <w:rFonts w:ascii="David" w:eastAsia="Times New Roman" w:hAnsi="David" w:cs="David" w:hint="cs"/>
          <w:color w:val="000000"/>
          <w:sz w:val="24"/>
          <w:szCs w:val="24"/>
          <w:rtl/>
        </w:rPr>
        <w:t>ממשי לכלל המעורבים בהליך, ואלו יעמ</w:t>
      </w:r>
      <w:r>
        <w:rPr>
          <w:rFonts w:ascii="David" w:eastAsia="Times New Roman" w:hAnsi="David" w:cs="David"/>
          <w:color w:val="000000"/>
          <w:sz w:val="24"/>
          <w:szCs w:val="24"/>
          <w:rtl/>
        </w:rPr>
        <w:t xml:space="preserve">דו לזכותו. </w:t>
      </w:r>
    </w:p>
    <w:p w14:paraId="0C63937F" w14:textId="77777777" w:rsidR="00EB75BB" w:rsidRDefault="00EB75BB" w:rsidP="00EB75BB">
      <w:pPr>
        <w:pStyle w:val="a"/>
        <w:numPr>
          <w:ilvl w:val="0"/>
          <w:numId w:val="0"/>
        </w:numPr>
        <w:tabs>
          <w:tab w:val="left" w:pos="720"/>
        </w:tabs>
        <w:ind w:left="720"/>
        <w:jc w:val="both"/>
        <w:rPr>
          <w:rtl/>
        </w:rPr>
      </w:pPr>
      <w:r>
        <w:rPr>
          <w:rFonts w:hint="cs"/>
          <w:rtl/>
        </w:rPr>
        <w:t xml:space="preserve">גם הסולחה שנערכה בין משפחת הנאשם למשפחת המתלונן, כפי שאישרו העדים מטעם הנאשם וכפי שאישר המתלונן עצמו (הרוצה בטובתו של הנאשם ובשחרורו המהיר מהכלא), היא שיקול לטובת הנאשם, אם כי אציין שההסכם עצמו לא הוצג והמתלונן אף לא קיבל פיצוי על הפגיעות שספג מידי הנאשם, כמקובל בהסכמים מסוג זה (השוו לדוגמה: </w:t>
      </w:r>
      <w:hyperlink r:id="rId40" w:history="1">
        <w:r w:rsidR="000F5A41" w:rsidRPr="000F5A41">
          <w:rPr>
            <w:color w:val="0000FF"/>
            <w:u w:val="single"/>
            <w:rtl/>
          </w:rPr>
          <w:t>ע"פ 3381/16</w:t>
        </w:r>
      </w:hyperlink>
      <w:r>
        <w:rPr>
          <w:rFonts w:hint="cs"/>
          <w:rtl/>
        </w:rPr>
        <w:t xml:space="preserve"> </w:t>
      </w:r>
      <w:r w:rsidRPr="005B37EC">
        <w:rPr>
          <w:rFonts w:hint="cs"/>
          <w:b/>
          <w:bCs/>
          <w:rtl/>
        </w:rPr>
        <w:t>חליל אלקרינאוי נ' מדינת ישראל (</w:t>
      </w:r>
      <w:r>
        <w:rPr>
          <w:rFonts w:hint="cs"/>
          <w:rtl/>
        </w:rPr>
        <w:t xml:space="preserve">10.7.16 פסקה 12 לפסק הדין).   </w:t>
      </w:r>
    </w:p>
    <w:p w14:paraId="631E296E" w14:textId="77777777" w:rsidR="00EB75BB" w:rsidRDefault="00EB75BB" w:rsidP="00EB75BB">
      <w:pPr>
        <w:spacing w:after="120" w:line="360" w:lineRule="auto"/>
        <w:ind w:left="644"/>
        <w:jc w:val="both"/>
        <w:rPr>
          <w:rFonts w:ascii="David" w:hAnsi="David"/>
          <w:rtl/>
        </w:rPr>
      </w:pPr>
    </w:p>
    <w:p w14:paraId="172846F1" w14:textId="77777777" w:rsidR="00EB75BB" w:rsidRDefault="00EB75BB" w:rsidP="00EB75BB">
      <w:pPr>
        <w:spacing w:after="120" w:line="360" w:lineRule="auto"/>
        <w:ind w:left="644"/>
        <w:jc w:val="both"/>
        <w:rPr>
          <w:rFonts w:ascii="David" w:hAnsi="David"/>
          <w:rtl/>
        </w:rPr>
      </w:pPr>
      <w:r>
        <w:rPr>
          <w:rFonts w:ascii="David" w:hAnsi="David" w:hint="cs"/>
          <w:rtl/>
        </w:rPr>
        <w:t xml:space="preserve">מנגד, </w:t>
      </w:r>
      <w:r>
        <w:rPr>
          <w:rFonts w:ascii="David" w:hAnsi="David"/>
          <w:rtl/>
        </w:rPr>
        <w:t>לא ניתן להתעלם מכך שהודאת הנאשם באה לאחר שהחלה פרשת התביעה ונשמעה עדותו של המתלונן</w:t>
      </w:r>
      <w:r>
        <w:rPr>
          <w:rFonts w:ascii="David" w:hAnsi="David" w:hint="cs"/>
          <w:rtl/>
        </w:rPr>
        <w:t xml:space="preserve"> על מה שאירע</w:t>
      </w:r>
      <w:r>
        <w:rPr>
          <w:rFonts w:ascii="David" w:hAnsi="David"/>
          <w:rtl/>
        </w:rPr>
        <w:t>,</w:t>
      </w:r>
      <w:r>
        <w:rPr>
          <w:rFonts w:ascii="David" w:hAnsi="David" w:hint="cs"/>
          <w:rtl/>
        </w:rPr>
        <w:t xml:space="preserve"> כך </w:t>
      </w:r>
      <w:r>
        <w:rPr>
          <w:rFonts w:ascii="David" w:hAnsi="David"/>
          <w:rtl/>
        </w:rPr>
        <w:t xml:space="preserve">שלא נחסכה ממנו החוויה הבלתי נעימה שיש בכך. </w:t>
      </w:r>
    </w:p>
    <w:p w14:paraId="7F364731" w14:textId="77777777" w:rsidR="00EB75BB" w:rsidRDefault="00EB75BB" w:rsidP="00EB75BB">
      <w:pPr>
        <w:spacing w:after="120" w:line="360" w:lineRule="auto"/>
        <w:ind w:left="644"/>
        <w:jc w:val="both"/>
        <w:rPr>
          <w:rFonts w:ascii="David" w:hAnsi="David"/>
          <w:color w:val="000000"/>
          <w:rtl/>
        </w:rPr>
      </w:pPr>
      <w:r>
        <w:rPr>
          <w:rFonts w:ascii="David" w:hAnsi="David" w:hint="cs"/>
          <w:rtl/>
        </w:rPr>
        <w:t xml:space="preserve">עוד יש לזכור </w:t>
      </w:r>
      <w:r>
        <w:rPr>
          <w:rFonts w:ascii="David" w:hAnsi="David"/>
          <w:rtl/>
        </w:rPr>
        <w:t xml:space="preserve">שנטילת האחריות של הנאשם על מעשיו </w:t>
      </w:r>
      <w:r>
        <w:rPr>
          <w:rFonts w:ascii="David" w:hAnsi="David" w:hint="cs"/>
          <w:rtl/>
        </w:rPr>
        <w:t xml:space="preserve">במובן מסוים </w:t>
      </w:r>
      <w:r>
        <w:rPr>
          <w:rFonts w:ascii="David" w:hAnsi="David"/>
          <w:rtl/>
        </w:rPr>
        <w:t xml:space="preserve">היתה חלקית, כעולה מהתסקיר, </w:t>
      </w:r>
      <w:r>
        <w:rPr>
          <w:rFonts w:ascii="David" w:hAnsi="David" w:hint="cs"/>
          <w:color w:val="000000"/>
          <w:rtl/>
        </w:rPr>
        <w:t xml:space="preserve">את הרקע שגרם להתנהגות האלימה והקשה כלפי חברו המתלונן - </w:t>
      </w:r>
      <w:r>
        <w:rPr>
          <w:rFonts w:ascii="David" w:hAnsi="David"/>
          <w:color w:val="000000"/>
          <w:rtl/>
        </w:rPr>
        <w:t>הפגיעה בכבוד</w:t>
      </w:r>
      <w:r>
        <w:rPr>
          <w:rFonts w:ascii="David" w:hAnsi="David" w:hint="cs"/>
          <w:color w:val="000000"/>
          <w:rtl/>
        </w:rPr>
        <w:t>ו,</w:t>
      </w:r>
      <w:r>
        <w:rPr>
          <w:rFonts w:ascii="David" w:hAnsi="David"/>
          <w:color w:val="000000"/>
          <w:rtl/>
        </w:rPr>
        <w:t xml:space="preserve"> </w:t>
      </w:r>
      <w:r>
        <w:rPr>
          <w:rFonts w:ascii="David" w:hAnsi="David" w:hint="cs"/>
          <w:color w:val="000000"/>
          <w:rtl/>
        </w:rPr>
        <w:t xml:space="preserve">ואף </w:t>
      </w:r>
      <w:r>
        <w:rPr>
          <w:rFonts w:ascii="David" w:hAnsi="David"/>
          <w:color w:val="000000"/>
          <w:rtl/>
        </w:rPr>
        <w:t xml:space="preserve">את </w:t>
      </w:r>
      <w:r>
        <w:rPr>
          <w:rFonts w:ascii="David" w:hAnsi="David"/>
          <w:rtl/>
        </w:rPr>
        <w:t xml:space="preserve">המסוכנות </w:t>
      </w:r>
      <w:r>
        <w:rPr>
          <w:rFonts w:ascii="David" w:hAnsi="David" w:hint="cs"/>
          <w:rtl/>
        </w:rPr>
        <w:t xml:space="preserve">הגבוהה </w:t>
      </w:r>
      <w:r>
        <w:rPr>
          <w:rFonts w:ascii="David" w:hAnsi="David"/>
          <w:rtl/>
        </w:rPr>
        <w:t xml:space="preserve">שנמצאה </w:t>
      </w:r>
      <w:r>
        <w:rPr>
          <w:rFonts w:ascii="David" w:hAnsi="David" w:hint="cs"/>
          <w:rtl/>
        </w:rPr>
        <w:t xml:space="preserve">בנאשם </w:t>
      </w:r>
      <w:r>
        <w:rPr>
          <w:rFonts w:ascii="David" w:hAnsi="David"/>
          <w:rtl/>
        </w:rPr>
        <w:t>להישנות עבירות דומות בעתיד.</w:t>
      </w:r>
      <w:r w:rsidRPr="000D7E78">
        <w:rPr>
          <w:rtl/>
        </w:rPr>
        <w:t xml:space="preserve"> </w:t>
      </w:r>
    </w:p>
    <w:p w14:paraId="6056131E" w14:textId="77777777" w:rsidR="00EB75BB" w:rsidRDefault="00EB75BB" w:rsidP="00EB75BB">
      <w:pPr>
        <w:spacing w:after="120" w:line="360" w:lineRule="auto"/>
        <w:ind w:left="644"/>
        <w:jc w:val="both"/>
        <w:rPr>
          <w:rFonts w:ascii="David" w:hAnsi="David"/>
          <w:color w:val="000000"/>
          <w:rtl/>
        </w:rPr>
      </w:pPr>
      <w:r w:rsidRPr="000D7E78">
        <w:rPr>
          <w:rFonts w:ascii="David" w:hAnsi="David"/>
          <w:color w:val="000000"/>
          <w:rtl/>
        </w:rPr>
        <w:t xml:space="preserve">לחובת הנאשם עומד גם עברו הפלילי המכביד הכולל בחובו הרשעות לא מעטות בעבירות מגוונות, לרבות עבירות אלימות ורכוש, </w:t>
      </w:r>
      <w:r>
        <w:rPr>
          <w:rFonts w:ascii="David" w:hAnsi="David" w:hint="cs"/>
          <w:color w:val="000000"/>
          <w:rtl/>
        </w:rPr>
        <w:t>כשלכך מ</w:t>
      </w:r>
      <w:r w:rsidRPr="00592ECC">
        <w:rPr>
          <w:rFonts w:ascii="David" w:hAnsi="David"/>
          <w:color w:val="000000"/>
          <w:rtl/>
        </w:rPr>
        <w:t>צטרפת העובדה שהנאשם ביצע את העבירה הנוכחית חרף מאסר מותנה שריחף מעל ראשו ולא הרתיעו כלל</w:t>
      </w:r>
      <w:r>
        <w:rPr>
          <w:rFonts w:ascii="David" w:hAnsi="David" w:hint="cs"/>
          <w:color w:val="000000"/>
          <w:rtl/>
        </w:rPr>
        <w:t>,</w:t>
      </w:r>
      <w:r w:rsidRPr="00592ECC">
        <w:rPr>
          <w:rFonts w:ascii="David" w:hAnsi="David"/>
          <w:color w:val="000000"/>
          <w:rtl/>
        </w:rPr>
        <w:t xml:space="preserve"> </w:t>
      </w:r>
      <w:r w:rsidRPr="000D7E78">
        <w:rPr>
          <w:rFonts w:ascii="David" w:hAnsi="David"/>
          <w:color w:val="000000"/>
          <w:rtl/>
        </w:rPr>
        <w:t xml:space="preserve">וכתב אישום נוסף שתלוי ועומד כנגדו </w:t>
      </w:r>
      <w:r>
        <w:rPr>
          <w:rFonts w:ascii="David" w:hAnsi="David" w:hint="cs"/>
          <w:color w:val="000000"/>
          <w:rtl/>
        </w:rPr>
        <w:t xml:space="preserve">וטרם התברר.  </w:t>
      </w:r>
    </w:p>
    <w:p w14:paraId="61284A87" w14:textId="77777777" w:rsidR="00EB75BB" w:rsidRDefault="00EB75BB" w:rsidP="00EB75BB">
      <w:pPr>
        <w:spacing w:after="120" w:line="360" w:lineRule="auto"/>
        <w:ind w:left="644"/>
        <w:jc w:val="both"/>
        <w:rPr>
          <w:rFonts w:ascii="David" w:hAnsi="David"/>
          <w:color w:val="000000"/>
          <w:rtl/>
        </w:rPr>
      </w:pPr>
      <w:r>
        <w:rPr>
          <w:rFonts w:ascii="David" w:hAnsi="David" w:hint="cs"/>
          <w:color w:val="000000"/>
          <w:rtl/>
        </w:rPr>
        <w:t>בהקשר לתסקיר אציין, שא</w:t>
      </w:r>
      <w:r>
        <w:rPr>
          <w:rFonts w:ascii="David" w:hAnsi="David"/>
          <w:color w:val="000000"/>
          <w:rtl/>
        </w:rPr>
        <w:t xml:space="preserve">ינני מקבלת את טענות ב"כ הנאשם </w:t>
      </w:r>
      <w:r>
        <w:rPr>
          <w:rFonts w:ascii="David" w:hAnsi="David" w:hint="cs"/>
          <w:color w:val="000000"/>
          <w:rtl/>
        </w:rPr>
        <w:t xml:space="preserve">בקשר </w:t>
      </w:r>
      <w:r>
        <w:rPr>
          <w:rFonts w:ascii="David" w:hAnsi="David"/>
          <w:color w:val="000000"/>
          <w:rtl/>
        </w:rPr>
        <w:t>לאופן עריכת</w:t>
      </w:r>
      <w:r>
        <w:rPr>
          <w:rFonts w:ascii="David" w:hAnsi="David" w:hint="cs"/>
          <w:color w:val="000000"/>
          <w:rtl/>
        </w:rPr>
        <w:t>ו</w:t>
      </w:r>
      <w:r>
        <w:rPr>
          <w:rFonts w:ascii="David" w:hAnsi="David"/>
          <w:color w:val="000000"/>
          <w:rtl/>
        </w:rPr>
        <w:t xml:space="preserve"> </w:t>
      </w:r>
      <w:r>
        <w:rPr>
          <w:rFonts w:ascii="David" w:hAnsi="David" w:hint="cs"/>
          <w:color w:val="000000"/>
          <w:rtl/>
        </w:rPr>
        <w:t>א</w:t>
      </w:r>
      <w:r>
        <w:rPr>
          <w:rFonts w:ascii="David" w:hAnsi="David"/>
          <w:color w:val="000000"/>
          <w:rtl/>
        </w:rPr>
        <w:t>ו</w:t>
      </w:r>
      <w:r>
        <w:rPr>
          <w:rFonts w:ascii="David" w:hAnsi="David" w:hint="cs"/>
          <w:color w:val="000000"/>
          <w:rtl/>
        </w:rPr>
        <w:t xml:space="preserve"> ל</w:t>
      </w:r>
      <w:r>
        <w:rPr>
          <w:rFonts w:ascii="David" w:hAnsi="David"/>
          <w:color w:val="000000"/>
          <w:rtl/>
        </w:rPr>
        <w:t>קביעות שבמסגרתו, שכן לא רק שמדובר בטענות כלליות שאינן מבוססות, אלא שהתסקיר מפורט מאוד ו</w:t>
      </w:r>
      <w:r>
        <w:rPr>
          <w:rFonts w:ascii="David" w:hAnsi="David" w:hint="cs"/>
          <w:color w:val="000000"/>
          <w:rtl/>
        </w:rPr>
        <w:t>מ</w:t>
      </w:r>
      <w:r>
        <w:rPr>
          <w:rFonts w:ascii="David" w:hAnsi="David"/>
          <w:color w:val="000000"/>
          <w:rtl/>
        </w:rPr>
        <w:t xml:space="preserve">תייחס למכלול הנתונים והנסיבות הרלוונטיות לאירוע, לרבות שאלת שיקומו של הנאשם והפעלת המאסר המותנה שעומד כנגדו, כמפורט שם.  </w:t>
      </w:r>
    </w:p>
    <w:p w14:paraId="61BFF4B5" w14:textId="77777777" w:rsidR="00EB75BB" w:rsidRDefault="00EB75BB" w:rsidP="00EB75BB">
      <w:pPr>
        <w:pStyle w:val="a"/>
        <w:numPr>
          <w:ilvl w:val="0"/>
          <w:numId w:val="0"/>
        </w:numPr>
        <w:tabs>
          <w:tab w:val="left" w:pos="720"/>
        </w:tabs>
        <w:ind w:left="-2"/>
        <w:jc w:val="both"/>
        <w:rPr>
          <w:rtl/>
        </w:rPr>
      </w:pPr>
      <w:r>
        <w:rPr>
          <w:b/>
          <w:bCs/>
          <w:rtl/>
        </w:rPr>
        <w:tab/>
      </w:r>
    </w:p>
    <w:p w14:paraId="1C1BB187" w14:textId="77777777" w:rsidR="00EB75BB" w:rsidRDefault="00EB75BB" w:rsidP="00EB75BB">
      <w:pPr>
        <w:pStyle w:val="a"/>
        <w:numPr>
          <w:ilvl w:val="0"/>
          <w:numId w:val="3"/>
        </w:numPr>
        <w:tabs>
          <w:tab w:val="left" w:pos="720"/>
        </w:tabs>
        <w:jc w:val="both"/>
        <w:rPr>
          <w:rtl/>
        </w:rPr>
      </w:pPr>
      <w:r>
        <w:rPr>
          <w:rFonts w:hint="cs"/>
          <w:rtl/>
        </w:rPr>
        <w:t xml:space="preserve">לאור כל האמור לעיל ובהתחשב במכלול הנסיבות והנתונים שציינתי, אני גוזרת על הנאשם את העונשים הבאים: </w:t>
      </w:r>
    </w:p>
    <w:p w14:paraId="6D763F7D" w14:textId="77777777" w:rsidR="00EB75BB" w:rsidRDefault="00EB75BB" w:rsidP="00EB75BB">
      <w:pPr>
        <w:pStyle w:val="a"/>
        <w:numPr>
          <w:ilvl w:val="0"/>
          <w:numId w:val="4"/>
        </w:numPr>
        <w:tabs>
          <w:tab w:val="left" w:pos="720"/>
        </w:tabs>
        <w:jc w:val="both"/>
      </w:pPr>
      <w:r>
        <w:rPr>
          <w:rFonts w:hint="cs"/>
          <w:rtl/>
        </w:rPr>
        <w:t xml:space="preserve">מאסר בפועל לתקופה של  30 חודשים. </w:t>
      </w:r>
    </w:p>
    <w:p w14:paraId="6C6E8822" w14:textId="77777777" w:rsidR="00EB75BB" w:rsidRDefault="00EB75BB" w:rsidP="00EB75BB">
      <w:pPr>
        <w:pStyle w:val="a"/>
        <w:numPr>
          <w:ilvl w:val="0"/>
          <w:numId w:val="4"/>
        </w:numPr>
        <w:tabs>
          <w:tab w:val="left" w:pos="720"/>
        </w:tabs>
        <w:jc w:val="both"/>
        <w:rPr>
          <w:rtl/>
        </w:rPr>
      </w:pPr>
      <w:r>
        <w:rPr>
          <w:rFonts w:hint="cs"/>
          <w:rtl/>
        </w:rPr>
        <w:t xml:space="preserve">אני מפעילה את המאסר המותנה </w:t>
      </w:r>
      <w:r w:rsidRPr="00485345">
        <w:rPr>
          <w:rFonts w:hint="cs"/>
          <w:color w:val="auto"/>
          <w:rtl/>
        </w:rPr>
        <w:t>שהוטל על הנאשם ב</w:t>
      </w:r>
      <w:hyperlink r:id="rId41" w:history="1">
        <w:r w:rsidR="000F5A41" w:rsidRPr="000F5A41">
          <w:rPr>
            <w:color w:val="0000FF"/>
            <w:u w:val="single"/>
            <w:rtl/>
          </w:rPr>
          <w:t>ת"פ (שלום-עכו) 2020-10-17</w:t>
        </w:r>
      </w:hyperlink>
      <w:r w:rsidRPr="00485345">
        <w:rPr>
          <w:rFonts w:hint="cs"/>
          <w:color w:val="auto"/>
          <w:rtl/>
        </w:rPr>
        <w:t xml:space="preserve">, לתקופה של 8 חודשים. </w:t>
      </w:r>
      <w:r>
        <w:rPr>
          <w:rFonts w:hint="cs"/>
          <w:color w:val="auto"/>
          <w:rtl/>
        </w:rPr>
        <w:t>תקופת התנאי ת</w:t>
      </w:r>
      <w:r w:rsidRPr="00485345">
        <w:rPr>
          <w:rFonts w:hint="cs"/>
          <w:color w:val="auto"/>
          <w:rtl/>
        </w:rPr>
        <w:t xml:space="preserve">רוצה במצטבר למאסר שהוטל על הנאשם בתיק זה. </w:t>
      </w:r>
      <w:r w:rsidRPr="00485345">
        <w:rPr>
          <w:rFonts w:hint="cs"/>
          <w:color w:val="auto"/>
          <w:rtl/>
        </w:rPr>
        <w:br/>
      </w:r>
      <w:r>
        <w:rPr>
          <w:rFonts w:hint="cs"/>
          <w:rtl/>
        </w:rPr>
        <w:t xml:space="preserve">סך הכל ירצה הנאשם 38 חודשי מאסר בפועל. </w:t>
      </w:r>
    </w:p>
    <w:p w14:paraId="67696594" w14:textId="77777777" w:rsidR="00EB75BB" w:rsidRDefault="00EB75BB" w:rsidP="00EB75BB">
      <w:pPr>
        <w:pStyle w:val="a"/>
        <w:numPr>
          <w:ilvl w:val="0"/>
          <w:numId w:val="4"/>
        </w:numPr>
        <w:tabs>
          <w:tab w:val="left" w:pos="720"/>
        </w:tabs>
        <w:jc w:val="both"/>
        <w:rPr>
          <w:rtl/>
        </w:rPr>
      </w:pPr>
      <w:r>
        <w:rPr>
          <w:rFonts w:hint="cs"/>
          <w:rtl/>
        </w:rPr>
        <w:t xml:space="preserve">תקופת המאסר תחושב מיום מעצרו של הנאשם - 29.05.20, ואולם לא תנוכה ממנה תקופת מאסרו הנוכחית בגין </w:t>
      </w:r>
      <w:hyperlink r:id="rId42" w:history="1">
        <w:r w:rsidR="000F5A41" w:rsidRPr="000F5A41">
          <w:rPr>
            <w:color w:val="0000FF"/>
            <w:u w:val="single"/>
            <w:rtl/>
          </w:rPr>
          <w:t>ת"פ (קרית שמונה) 51306-08-19</w:t>
        </w:r>
      </w:hyperlink>
      <w:r>
        <w:rPr>
          <w:rFonts w:hint="cs"/>
          <w:rtl/>
        </w:rPr>
        <w:t xml:space="preserve"> שהחלה ביום 8.3.21. </w:t>
      </w:r>
    </w:p>
    <w:p w14:paraId="516AC7E4" w14:textId="77777777" w:rsidR="00EB75BB" w:rsidRDefault="00EB75BB" w:rsidP="00EB75BB">
      <w:pPr>
        <w:pStyle w:val="a"/>
        <w:numPr>
          <w:ilvl w:val="0"/>
          <w:numId w:val="4"/>
        </w:numPr>
        <w:tabs>
          <w:tab w:val="left" w:pos="720"/>
        </w:tabs>
        <w:rPr>
          <w:rtl/>
        </w:rPr>
      </w:pPr>
      <w:r>
        <w:rPr>
          <w:rFonts w:hint="cs"/>
          <w:rtl/>
        </w:rPr>
        <w:t>9  חודשי מאסר על תנאי לתקופה של 3 שנים מיום שחרורו, והתנאי הוא כי לא יעבור עבירת אלימות מסוג פשע.</w:t>
      </w:r>
    </w:p>
    <w:p w14:paraId="0883499A" w14:textId="77777777" w:rsidR="00EB75BB" w:rsidRDefault="00EB75BB" w:rsidP="00EB75BB">
      <w:pPr>
        <w:pStyle w:val="a"/>
        <w:numPr>
          <w:ilvl w:val="0"/>
          <w:numId w:val="4"/>
        </w:numPr>
        <w:tabs>
          <w:tab w:val="left" w:pos="720"/>
        </w:tabs>
      </w:pPr>
      <w:r>
        <w:rPr>
          <w:rFonts w:hint="cs"/>
          <w:rtl/>
        </w:rPr>
        <w:t>5 חודשי מאסר על תנאי לתקופה של 3 שנים מיום שחרורו, והתנאי הוא כי לא יעבור עבירת אלימות מסוג עוון.</w:t>
      </w:r>
    </w:p>
    <w:p w14:paraId="2FAB4F45" w14:textId="77777777" w:rsidR="00EB75BB" w:rsidRDefault="00EB75BB" w:rsidP="00EB75BB">
      <w:pPr>
        <w:pStyle w:val="a"/>
        <w:numPr>
          <w:ilvl w:val="0"/>
          <w:numId w:val="4"/>
        </w:numPr>
        <w:tabs>
          <w:tab w:val="left" w:pos="720"/>
        </w:tabs>
      </w:pPr>
      <w:r>
        <w:rPr>
          <w:rFonts w:hint="cs"/>
          <w:rtl/>
        </w:rPr>
        <w:t xml:space="preserve">הנאשם ישלם למתלונן פיצוי בסך 10,000 ₪. </w:t>
      </w:r>
    </w:p>
    <w:p w14:paraId="5A0CD7FE" w14:textId="77777777" w:rsidR="00EB75BB" w:rsidRDefault="00EB75BB" w:rsidP="00EB75BB">
      <w:pPr>
        <w:pStyle w:val="a"/>
        <w:numPr>
          <w:ilvl w:val="0"/>
          <w:numId w:val="0"/>
        </w:numPr>
        <w:tabs>
          <w:tab w:val="left" w:pos="720"/>
        </w:tabs>
        <w:ind w:left="1080"/>
        <w:jc w:val="both"/>
        <w:rPr>
          <w:rtl/>
        </w:rPr>
      </w:pPr>
      <w:r>
        <w:rPr>
          <w:rFonts w:hint="cs"/>
          <w:rtl/>
        </w:rPr>
        <w:t xml:space="preserve">התשלום יבוצע בעשרה תשלומים שווים ורצופים החל ביום 10.7.21 ובכל 10 לכל חודש אחריו.  </w:t>
      </w:r>
      <w:r w:rsidRPr="007478ED">
        <w:rPr>
          <w:rtl/>
        </w:rPr>
        <w:t xml:space="preserve">התשלומים יבוצעו אך ורק באמצעות מזכירות בית המשפט או המרכז לגביית קנסות הוצאות ואגרות. אי תשלום של אחד מהתשלומים, מעבר ל 3 ימי עיכוב </w:t>
      </w:r>
      <w:r>
        <w:rPr>
          <w:rFonts w:hint="cs"/>
          <w:rtl/>
        </w:rPr>
        <w:t>ב</w:t>
      </w:r>
      <w:r w:rsidRPr="007478ED">
        <w:rPr>
          <w:rtl/>
        </w:rPr>
        <w:t xml:space="preserve">תשלום, יעמיד את החוב במלואו לפירעון מידי. </w:t>
      </w:r>
      <w:r>
        <w:rPr>
          <w:rFonts w:hint="cs"/>
          <w:rtl/>
        </w:rPr>
        <w:t xml:space="preserve">חל איסור </w:t>
      </w:r>
      <w:r w:rsidRPr="007478ED">
        <w:rPr>
          <w:rtl/>
        </w:rPr>
        <w:t>על הנאשם או מי  מטעמו ליצור קשר, במישרין או עקיפין, עם המתלונ</w:t>
      </w:r>
      <w:r>
        <w:rPr>
          <w:rFonts w:hint="cs"/>
          <w:rtl/>
        </w:rPr>
        <w:t>ן</w:t>
      </w:r>
      <w:r w:rsidRPr="007478ED">
        <w:rPr>
          <w:rtl/>
        </w:rPr>
        <w:t xml:space="preserve"> בנוגע לתשלום הפיצויים. </w:t>
      </w:r>
    </w:p>
    <w:p w14:paraId="39C70184" w14:textId="77777777" w:rsidR="00EB75BB" w:rsidRDefault="00EB75BB" w:rsidP="00EB75BB">
      <w:pPr>
        <w:suppressLineNumbers/>
        <w:spacing w:line="360" w:lineRule="auto"/>
        <w:jc w:val="both"/>
        <w:rPr>
          <w:rFonts w:ascii="David" w:hAnsi="David"/>
          <w:rtl/>
        </w:rPr>
      </w:pPr>
    </w:p>
    <w:p w14:paraId="2292016B" w14:textId="77777777" w:rsidR="00EB75BB" w:rsidRDefault="00EB75BB" w:rsidP="00EB75BB">
      <w:pPr>
        <w:suppressLineNumbers/>
        <w:spacing w:line="360" w:lineRule="auto"/>
        <w:jc w:val="both"/>
        <w:rPr>
          <w:rFonts w:ascii="David" w:hAnsi="David"/>
          <w:rtl/>
        </w:rPr>
      </w:pPr>
    </w:p>
    <w:p w14:paraId="564D1EE4" w14:textId="77777777" w:rsidR="00EB75BB" w:rsidRDefault="00EB75BB" w:rsidP="00EB75BB">
      <w:pPr>
        <w:suppressLineNumbers/>
        <w:spacing w:line="360" w:lineRule="auto"/>
        <w:jc w:val="both"/>
        <w:rPr>
          <w:rFonts w:ascii="David" w:hAnsi="David"/>
          <w:rtl/>
        </w:rPr>
      </w:pPr>
    </w:p>
    <w:p w14:paraId="67A6F36F" w14:textId="77777777" w:rsidR="00EB75BB" w:rsidRDefault="00EB75BB" w:rsidP="00EB75BB">
      <w:pPr>
        <w:suppressLineNumbers/>
        <w:spacing w:line="360" w:lineRule="auto"/>
        <w:jc w:val="both"/>
        <w:rPr>
          <w:rFonts w:ascii="David" w:hAnsi="David"/>
          <w:rtl/>
        </w:rPr>
      </w:pPr>
      <w:r>
        <w:rPr>
          <w:rFonts w:ascii="David" w:hAnsi="David" w:hint="cs"/>
          <w:rtl/>
        </w:rPr>
        <w:t>ז</w:t>
      </w:r>
      <w:r>
        <w:rPr>
          <w:rFonts w:ascii="David" w:hAnsi="David"/>
          <w:rtl/>
        </w:rPr>
        <w:t xml:space="preserve">כות ערעור תוך 45 יום לבית המשפט העליון. </w:t>
      </w:r>
    </w:p>
    <w:p w14:paraId="0AD5C4AA" w14:textId="77777777" w:rsidR="00EB75BB" w:rsidRDefault="00EB75BB" w:rsidP="00EB75BB">
      <w:pPr>
        <w:spacing w:after="120" w:line="360" w:lineRule="auto"/>
        <w:jc w:val="both"/>
        <w:rPr>
          <w:rFonts w:ascii="David" w:hAnsi="David"/>
          <w:color w:val="000000"/>
          <w:rtl/>
        </w:rPr>
      </w:pPr>
    </w:p>
    <w:p w14:paraId="45E67158" w14:textId="77777777" w:rsidR="00EB75BB" w:rsidRPr="000F5A41" w:rsidRDefault="000F5A41" w:rsidP="00EB75BB">
      <w:pPr>
        <w:rPr>
          <w:rFonts w:ascii="David" w:hAnsi="David"/>
          <w:color w:val="FFFFFF"/>
          <w:sz w:val="2"/>
          <w:szCs w:val="2"/>
          <w:rtl/>
        </w:rPr>
      </w:pPr>
      <w:r w:rsidRPr="000F5A41">
        <w:rPr>
          <w:rFonts w:ascii="David" w:hAnsi="David"/>
          <w:color w:val="FFFFFF"/>
          <w:sz w:val="2"/>
          <w:szCs w:val="2"/>
          <w:rtl/>
        </w:rPr>
        <w:t>5129371</w:t>
      </w:r>
    </w:p>
    <w:p w14:paraId="349710AA" w14:textId="77777777" w:rsidR="00EB75BB" w:rsidRPr="000F5A41" w:rsidRDefault="000F5A41" w:rsidP="00EB75BB">
      <w:pPr>
        <w:rPr>
          <w:rFonts w:ascii="David" w:hAnsi="David"/>
          <w:color w:val="FFFFFF"/>
          <w:sz w:val="2"/>
          <w:szCs w:val="2"/>
          <w:rtl/>
        </w:rPr>
      </w:pPr>
      <w:r w:rsidRPr="000F5A41">
        <w:rPr>
          <w:rFonts w:ascii="David" w:hAnsi="David"/>
          <w:color w:val="FFFFFF"/>
          <w:sz w:val="2"/>
          <w:szCs w:val="2"/>
          <w:rtl/>
        </w:rPr>
        <w:t>54678313</w:t>
      </w:r>
    </w:p>
    <w:p w14:paraId="22671F7A" w14:textId="77777777" w:rsidR="00EB75BB" w:rsidRPr="002B7D23" w:rsidRDefault="00EB75BB" w:rsidP="00EB75BB">
      <w:pPr>
        <w:rPr>
          <w:rFonts w:ascii="David" w:hAnsi="David"/>
          <w:sz w:val="26"/>
          <w:szCs w:val="26"/>
          <w:rtl/>
        </w:rPr>
      </w:pPr>
    </w:p>
    <w:p w14:paraId="692F5D5D" w14:textId="77777777" w:rsidR="00EB75BB" w:rsidRPr="002B7D23" w:rsidRDefault="000F5A41" w:rsidP="00EB75BB">
      <w:pPr>
        <w:rPr>
          <w:rFonts w:ascii="David" w:hAnsi="David" w:hint="cs"/>
          <w:sz w:val="26"/>
          <w:szCs w:val="26"/>
          <w:rtl/>
        </w:rPr>
      </w:pPr>
      <w:bookmarkStart w:id="7" w:name="Nitan"/>
      <w:r>
        <w:rPr>
          <w:rFonts w:ascii="David" w:hAnsi="David"/>
          <w:sz w:val="26"/>
          <w:szCs w:val="26"/>
          <w:rtl/>
        </w:rPr>
        <w:t xml:space="preserve">ניתן היום,  כ"ו סיוון תשפ"א, 06 יוני 2021, בהעדר הצדדים. </w:t>
      </w:r>
      <w:bookmarkEnd w:id="7"/>
      <w:r w:rsidR="00A71B84">
        <w:rPr>
          <w:rFonts w:ascii="David" w:hAnsi="David" w:hint="cs"/>
          <w:sz w:val="26"/>
          <w:szCs w:val="26"/>
          <w:rtl/>
        </w:rPr>
        <w:t xml:space="preserve">   </w:t>
      </w:r>
    </w:p>
    <w:p w14:paraId="591DB504" w14:textId="77777777" w:rsidR="00EB75BB" w:rsidRPr="002B7D23" w:rsidRDefault="00EB75BB" w:rsidP="000F5A4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3B63A6F" w14:textId="77777777" w:rsidR="00EB75BB" w:rsidRPr="002B7D23" w:rsidRDefault="00EB75BB" w:rsidP="00EB75BB">
      <w:pPr>
        <w:jc w:val="center"/>
        <w:rPr>
          <w:rFonts w:ascii="David" w:hAnsi="David"/>
          <w:sz w:val="26"/>
          <w:szCs w:val="26"/>
          <w:rtl/>
        </w:rPr>
      </w:pPr>
    </w:p>
    <w:p w14:paraId="60ECA850" w14:textId="77777777" w:rsidR="00AD2BC4" w:rsidRPr="000F5A41" w:rsidRDefault="00AD2BC4" w:rsidP="000F5A41">
      <w:pPr>
        <w:keepNext/>
        <w:rPr>
          <w:rFonts w:ascii="David" w:hAnsi="David"/>
          <w:color w:val="000000"/>
          <w:sz w:val="22"/>
          <w:szCs w:val="22"/>
          <w:rtl/>
        </w:rPr>
      </w:pPr>
    </w:p>
    <w:p w14:paraId="7201E5CB" w14:textId="77777777" w:rsidR="000F5A41" w:rsidRPr="000F5A41" w:rsidRDefault="000F5A41" w:rsidP="000F5A41">
      <w:pPr>
        <w:keepNext/>
        <w:rPr>
          <w:rFonts w:ascii="David" w:hAnsi="David"/>
          <w:color w:val="000000"/>
          <w:sz w:val="22"/>
          <w:szCs w:val="22"/>
          <w:rtl/>
        </w:rPr>
      </w:pPr>
      <w:r w:rsidRPr="000F5A41">
        <w:rPr>
          <w:rFonts w:ascii="David" w:hAnsi="David"/>
          <w:color w:val="000000"/>
          <w:sz w:val="22"/>
          <w:szCs w:val="22"/>
          <w:rtl/>
        </w:rPr>
        <w:t>גלית ציגלר 54678313</w:t>
      </w:r>
    </w:p>
    <w:p w14:paraId="4DD989B1" w14:textId="77777777" w:rsidR="000F5A41" w:rsidRDefault="000F5A41" w:rsidP="000F5A41">
      <w:r w:rsidRPr="000F5A41">
        <w:rPr>
          <w:color w:val="000000"/>
          <w:rtl/>
        </w:rPr>
        <w:t>נוסח מסמך זה כפוף לשינויי ניסוח ועריכה</w:t>
      </w:r>
    </w:p>
    <w:p w14:paraId="2D842956" w14:textId="77777777" w:rsidR="000F5A41" w:rsidRDefault="000F5A41" w:rsidP="000F5A41">
      <w:pPr>
        <w:rPr>
          <w:rtl/>
        </w:rPr>
      </w:pPr>
    </w:p>
    <w:p w14:paraId="4232A082" w14:textId="77777777" w:rsidR="000F5A41" w:rsidRDefault="000F5A41" w:rsidP="000F5A4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B447405" w14:textId="77777777" w:rsidR="000F5A41" w:rsidRPr="000F5A41" w:rsidRDefault="000F5A41" w:rsidP="000F5A41">
      <w:pPr>
        <w:jc w:val="center"/>
        <w:rPr>
          <w:color w:val="0000FF"/>
          <w:u w:val="single"/>
        </w:rPr>
      </w:pPr>
    </w:p>
    <w:sectPr w:rsidR="000F5A41" w:rsidRPr="000F5A41" w:rsidSect="000F5A41">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57ED7" w14:textId="77777777" w:rsidR="0082206A" w:rsidRDefault="0082206A" w:rsidP="006F01D3">
      <w:r>
        <w:separator/>
      </w:r>
    </w:p>
  </w:endnote>
  <w:endnote w:type="continuationSeparator" w:id="0">
    <w:p w14:paraId="22BA4539" w14:textId="77777777" w:rsidR="0082206A" w:rsidRDefault="0082206A" w:rsidP="006F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A68D" w14:textId="77777777" w:rsidR="000F5A41" w:rsidRDefault="000F5A41" w:rsidP="000F5A4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D66BE8" w14:textId="77777777" w:rsidR="000A0DC9" w:rsidRPr="000F5A41" w:rsidRDefault="000F5A41" w:rsidP="000F5A41">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B1199" w14:textId="77777777" w:rsidR="000F5A41" w:rsidRDefault="000F5A41" w:rsidP="000F5A4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668E">
      <w:rPr>
        <w:rFonts w:ascii="FrankRuehl" w:hAnsi="FrankRuehl" w:cs="FrankRuehl"/>
        <w:noProof/>
        <w:rtl/>
      </w:rPr>
      <w:t>1</w:t>
    </w:r>
    <w:r>
      <w:rPr>
        <w:rFonts w:ascii="FrankRuehl" w:hAnsi="FrankRuehl" w:cs="FrankRuehl"/>
        <w:rtl/>
      </w:rPr>
      <w:fldChar w:fldCharType="end"/>
    </w:r>
  </w:p>
  <w:p w14:paraId="293ED733" w14:textId="77777777" w:rsidR="000A0DC9" w:rsidRPr="000F5A41" w:rsidRDefault="000F5A41" w:rsidP="000F5A41">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90A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739C0" w14:textId="77777777" w:rsidR="0082206A" w:rsidRDefault="0082206A" w:rsidP="006F01D3">
      <w:r>
        <w:separator/>
      </w:r>
    </w:p>
  </w:footnote>
  <w:footnote w:type="continuationSeparator" w:id="0">
    <w:p w14:paraId="6428D15B" w14:textId="77777777" w:rsidR="0082206A" w:rsidRDefault="0082206A" w:rsidP="006F0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400CD" w14:textId="77777777" w:rsidR="000F5A41" w:rsidRPr="000F5A41" w:rsidRDefault="000F5A41" w:rsidP="000F5A4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25530-06-20</w:t>
    </w:r>
    <w:r>
      <w:rPr>
        <w:rFonts w:ascii="David" w:hAnsi="David"/>
        <w:color w:val="000000"/>
        <w:sz w:val="22"/>
        <w:szCs w:val="22"/>
        <w:rtl/>
      </w:rPr>
      <w:tab/>
      <w:t xml:space="preserve"> מדינת ישראל נ' עלא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3920" w14:textId="77777777" w:rsidR="000F5A41" w:rsidRPr="000F5A41" w:rsidRDefault="000F5A41" w:rsidP="000F5A4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25530-06-20</w:t>
    </w:r>
    <w:r>
      <w:rPr>
        <w:rFonts w:ascii="David" w:hAnsi="David"/>
        <w:color w:val="000000"/>
        <w:sz w:val="22"/>
        <w:szCs w:val="22"/>
        <w:rtl/>
      </w:rPr>
      <w:tab/>
      <w:t xml:space="preserve"> מדינת ישראל נ' עלא סואעד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154"/>
    <w:multiLevelType w:val="hybridMultilevel"/>
    <w:tmpl w:val="C262CBD2"/>
    <w:lvl w:ilvl="0" w:tplc="BAC6E44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23B18"/>
    <w:multiLevelType w:val="hybridMultilevel"/>
    <w:tmpl w:val="5F34DF16"/>
    <w:lvl w:ilvl="0" w:tplc="25CC7AD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E6DF5"/>
    <w:multiLevelType w:val="hybridMultilevel"/>
    <w:tmpl w:val="8B861232"/>
    <w:lvl w:ilvl="0" w:tplc="800A5CAC">
      <w:start w:val="1"/>
      <w:numFmt w:val="decimal"/>
      <w:pStyle w:val="a"/>
      <w:lvlText w:val="%1."/>
      <w:lvlJc w:val="left"/>
      <w:pPr>
        <w:tabs>
          <w:tab w:val="num" w:pos="2160"/>
        </w:tabs>
        <w:ind w:left="2160" w:hanging="720"/>
      </w:pPr>
      <w:rPr>
        <w:b w:val="0"/>
        <w:bCs w:val="0"/>
      </w:rPr>
    </w:lvl>
    <w:lvl w:ilvl="1" w:tplc="FEB4E978">
      <w:start w:val="1"/>
      <w:numFmt w:val="hebrew1"/>
      <w:lvlText w:val="%2."/>
      <w:lvlJc w:val="left"/>
      <w:pPr>
        <w:tabs>
          <w:tab w:val="num" w:pos="3060"/>
        </w:tabs>
        <w:ind w:left="3060" w:hanging="360"/>
      </w:pPr>
      <w:rPr>
        <w:b w:val="0"/>
        <w:bCs w:val="0"/>
      </w:rPr>
    </w:lvl>
    <w:lvl w:ilvl="2" w:tplc="C3B0CB38">
      <w:start w:val="1"/>
      <w:numFmt w:val="decimal"/>
      <w:lvlText w:val="(%3)"/>
      <w:lvlJc w:val="left"/>
      <w:pPr>
        <w:tabs>
          <w:tab w:val="num" w:pos="3780"/>
        </w:tabs>
        <w:ind w:left="3780" w:hanging="36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3" w15:restartNumberingAfterBreak="0">
    <w:nsid w:val="4781662B"/>
    <w:multiLevelType w:val="hybridMultilevel"/>
    <w:tmpl w:val="7DA0E960"/>
    <w:lvl w:ilvl="0" w:tplc="BEF42AC0">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599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019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694904">
    <w:abstractNumId w:val="3"/>
  </w:num>
  <w:num w:numId="4" w16cid:durableId="144704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75BB"/>
    <w:rsid w:val="000A0DC9"/>
    <w:rsid w:val="000F5A41"/>
    <w:rsid w:val="000F7DA7"/>
    <w:rsid w:val="00112AF8"/>
    <w:rsid w:val="005B21F3"/>
    <w:rsid w:val="006C668E"/>
    <w:rsid w:val="006F01D3"/>
    <w:rsid w:val="00801C99"/>
    <w:rsid w:val="0082206A"/>
    <w:rsid w:val="009A4E4C"/>
    <w:rsid w:val="00A71B84"/>
    <w:rsid w:val="00AA09AD"/>
    <w:rsid w:val="00AD2BC4"/>
    <w:rsid w:val="00B40C35"/>
    <w:rsid w:val="00C377BB"/>
    <w:rsid w:val="00E5195C"/>
    <w:rsid w:val="00EB75BB"/>
    <w:rsid w:val="00F42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D2A182"/>
  <w15:chartTrackingRefBased/>
  <w15:docId w15:val="{77E793E1-B94B-42B3-90BE-D7BE5D01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B75B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B75BB"/>
    <w:pPr>
      <w:tabs>
        <w:tab w:val="center" w:pos="4153"/>
        <w:tab w:val="right" w:pos="8306"/>
      </w:tabs>
    </w:pPr>
  </w:style>
  <w:style w:type="character" w:customStyle="1" w:styleId="a5">
    <w:name w:val="כותרת עליונה תו"/>
    <w:link w:val="a4"/>
    <w:rsid w:val="00EB75BB"/>
    <w:rPr>
      <w:rFonts w:ascii="Times New Roman" w:eastAsia="Times New Roman" w:hAnsi="Times New Roman" w:cs="David"/>
      <w:sz w:val="24"/>
      <w:szCs w:val="24"/>
    </w:rPr>
  </w:style>
  <w:style w:type="paragraph" w:styleId="a6">
    <w:name w:val="footer"/>
    <w:basedOn w:val="a0"/>
    <w:link w:val="a7"/>
    <w:rsid w:val="00EB75BB"/>
    <w:pPr>
      <w:tabs>
        <w:tab w:val="center" w:pos="4153"/>
        <w:tab w:val="right" w:pos="8306"/>
      </w:tabs>
    </w:pPr>
  </w:style>
  <w:style w:type="character" w:customStyle="1" w:styleId="a7">
    <w:name w:val="כותרת תחתונה תו"/>
    <w:link w:val="a6"/>
    <w:rsid w:val="00EB75BB"/>
    <w:rPr>
      <w:rFonts w:ascii="Times New Roman" w:eastAsia="Times New Roman" w:hAnsi="Times New Roman" w:cs="David"/>
      <w:sz w:val="24"/>
      <w:szCs w:val="24"/>
    </w:rPr>
  </w:style>
  <w:style w:type="table" w:styleId="a8">
    <w:name w:val="Table Grid"/>
    <w:basedOn w:val="a2"/>
    <w:rsid w:val="00EB75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EB75BB"/>
  </w:style>
  <w:style w:type="paragraph" w:styleId="aa">
    <w:name w:val="List Paragraph"/>
    <w:basedOn w:val="a0"/>
    <w:qFormat/>
    <w:rsid w:val="00EB75BB"/>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EB75BB"/>
    <w:pPr>
      <w:numPr>
        <w:numId w:val="1"/>
      </w:numPr>
      <w:spacing w:after="120" w:line="360" w:lineRule="auto"/>
    </w:pPr>
    <w:rPr>
      <w:rFonts w:ascii="David" w:hAnsi="David"/>
      <w:color w:val="000000"/>
    </w:rPr>
  </w:style>
  <w:style w:type="character" w:styleId="Hyperlink">
    <w:name w:val="Hyperlink"/>
    <w:rsid w:val="000F5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case/20000750"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880417" TargetMode="External"/><Relationship Id="rId34" Type="http://schemas.openxmlformats.org/officeDocument/2006/relationships/hyperlink" Target="http://www.nevo.co.il/case/21475914" TargetMode="External"/><Relationship Id="rId42" Type="http://schemas.openxmlformats.org/officeDocument/2006/relationships/hyperlink" Target="http://www.nevo.co.il/case/2598485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055809"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3833066" TargetMode="External"/><Relationship Id="rId32" Type="http://schemas.openxmlformats.org/officeDocument/2006/relationships/hyperlink" Target="http://www.nevo.co.il/case/6156981" TargetMode="External"/><Relationship Id="rId37" Type="http://schemas.openxmlformats.org/officeDocument/2006/relationships/hyperlink" Target="http://www.nevo.co.il/case/25694670" TargetMode="External"/><Relationship Id="rId40" Type="http://schemas.openxmlformats.org/officeDocument/2006/relationships/hyperlink" Target="http://www.nevo.co.il/case/2147356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7977312" TargetMode="External"/><Relationship Id="rId36" Type="http://schemas.openxmlformats.org/officeDocument/2006/relationships/hyperlink" Target="http://www.nevo.co.il/case/27252843" TargetMode="External"/><Relationship Id="rId49" Type="http://schemas.openxmlformats.org/officeDocument/2006/relationships/theme" Target="theme/theme1.xml"/><Relationship Id="rId10" Type="http://schemas.openxmlformats.org/officeDocument/2006/relationships/hyperlink" Target="http://www.nevo.co.il/law/70301/335.a.1" TargetMode="External"/><Relationship Id="rId19" Type="http://schemas.openxmlformats.org/officeDocument/2006/relationships/hyperlink" Target="http://www.nevo.co.il/case/23132042" TargetMode="External"/><Relationship Id="rId31" Type="http://schemas.openxmlformats.org/officeDocument/2006/relationships/hyperlink" Target="http://www.nevo.co.il/case/1865382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33"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0031941" TargetMode="External"/><Relationship Id="rId30" Type="http://schemas.openxmlformats.org/officeDocument/2006/relationships/hyperlink" Target="http://www.nevo.co.il/case/6089961" TargetMode="External"/><Relationship Id="rId35" Type="http://schemas.openxmlformats.org/officeDocument/2006/relationships/hyperlink" Target="http://www.nevo.co.il/case/2314023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5984855" TargetMode="External"/><Relationship Id="rId25" Type="http://schemas.openxmlformats.org/officeDocument/2006/relationships/hyperlink" Target="http://www.nevo.co.il/case/18653755" TargetMode="External"/><Relationship Id="rId33" Type="http://schemas.openxmlformats.org/officeDocument/2006/relationships/hyperlink" Target="http://www.nevo.co.il/case/23833066"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case/17941073" TargetMode="External"/><Relationship Id="rId41" Type="http://schemas.openxmlformats.org/officeDocument/2006/relationships/hyperlink" Target="http://www.nevo.co.il/case/2313204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4201</Words>
  <Characters>21005</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25156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3801201</vt:i4>
      </vt:variant>
      <vt:variant>
        <vt:i4>105</vt:i4>
      </vt:variant>
      <vt:variant>
        <vt:i4>0</vt:i4>
      </vt:variant>
      <vt:variant>
        <vt:i4>5</vt:i4>
      </vt:variant>
      <vt:variant>
        <vt:lpwstr>http://www.nevo.co.il/case/25984855</vt:lpwstr>
      </vt:variant>
      <vt:variant>
        <vt:lpwstr/>
      </vt:variant>
      <vt:variant>
        <vt:i4>3473524</vt:i4>
      </vt:variant>
      <vt:variant>
        <vt:i4>102</vt:i4>
      </vt:variant>
      <vt:variant>
        <vt:i4>0</vt:i4>
      </vt:variant>
      <vt:variant>
        <vt:i4>5</vt:i4>
      </vt:variant>
      <vt:variant>
        <vt:lpwstr>http://www.nevo.co.il/case/23132042</vt:lpwstr>
      </vt:variant>
      <vt:variant>
        <vt:lpwstr/>
      </vt:variant>
      <vt:variant>
        <vt:i4>3342455</vt:i4>
      </vt:variant>
      <vt:variant>
        <vt:i4>99</vt:i4>
      </vt:variant>
      <vt:variant>
        <vt:i4>0</vt:i4>
      </vt:variant>
      <vt:variant>
        <vt:i4>5</vt:i4>
      </vt:variant>
      <vt:variant>
        <vt:lpwstr>http://www.nevo.co.il/case/21473565</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3604606</vt:i4>
      </vt:variant>
      <vt:variant>
        <vt:i4>90</vt:i4>
      </vt:variant>
      <vt:variant>
        <vt:i4>0</vt:i4>
      </vt:variant>
      <vt:variant>
        <vt:i4>5</vt:i4>
      </vt:variant>
      <vt:variant>
        <vt:lpwstr>http://www.nevo.co.il/case/25694670</vt:lpwstr>
      </vt:variant>
      <vt:variant>
        <vt:lpwstr/>
      </vt:variant>
      <vt:variant>
        <vt:i4>3539070</vt:i4>
      </vt:variant>
      <vt:variant>
        <vt:i4>87</vt:i4>
      </vt:variant>
      <vt:variant>
        <vt:i4>0</vt:i4>
      </vt:variant>
      <vt:variant>
        <vt:i4>5</vt:i4>
      </vt:variant>
      <vt:variant>
        <vt:lpwstr>http://www.nevo.co.il/case/27252843</vt:lpwstr>
      </vt:variant>
      <vt:variant>
        <vt:lpwstr/>
      </vt:variant>
      <vt:variant>
        <vt:i4>3145841</vt:i4>
      </vt:variant>
      <vt:variant>
        <vt:i4>84</vt:i4>
      </vt:variant>
      <vt:variant>
        <vt:i4>0</vt:i4>
      </vt:variant>
      <vt:variant>
        <vt:i4>5</vt:i4>
      </vt:variant>
      <vt:variant>
        <vt:lpwstr>http://www.nevo.co.il/case/23140232</vt:lpwstr>
      </vt:variant>
      <vt:variant>
        <vt:lpwstr/>
      </vt:variant>
      <vt:variant>
        <vt:i4>3276923</vt:i4>
      </vt:variant>
      <vt:variant>
        <vt:i4>81</vt:i4>
      </vt:variant>
      <vt:variant>
        <vt:i4>0</vt:i4>
      </vt:variant>
      <vt:variant>
        <vt:i4>5</vt:i4>
      </vt:variant>
      <vt:variant>
        <vt:lpwstr>http://www.nevo.co.il/case/21475914</vt:lpwstr>
      </vt:variant>
      <vt:variant>
        <vt:lpwstr/>
      </vt:variant>
      <vt:variant>
        <vt:i4>4128884</vt:i4>
      </vt:variant>
      <vt:variant>
        <vt:i4>78</vt:i4>
      </vt:variant>
      <vt:variant>
        <vt:i4>0</vt:i4>
      </vt:variant>
      <vt:variant>
        <vt:i4>5</vt:i4>
      </vt:variant>
      <vt:variant>
        <vt:lpwstr>http://www.nevo.co.il/case/23833066</vt:lpwstr>
      </vt:variant>
      <vt:variant>
        <vt:lpwstr/>
      </vt:variant>
      <vt:variant>
        <vt:i4>3866747</vt:i4>
      </vt:variant>
      <vt:variant>
        <vt:i4>75</vt:i4>
      </vt:variant>
      <vt:variant>
        <vt:i4>0</vt:i4>
      </vt:variant>
      <vt:variant>
        <vt:i4>5</vt:i4>
      </vt:variant>
      <vt:variant>
        <vt:lpwstr>http://www.nevo.co.il/case/6156981</vt:lpwstr>
      </vt:variant>
      <vt:variant>
        <vt:lpwstr/>
      </vt:variant>
      <vt:variant>
        <vt:i4>3539057</vt:i4>
      </vt:variant>
      <vt:variant>
        <vt:i4>72</vt:i4>
      </vt:variant>
      <vt:variant>
        <vt:i4>0</vt:i4>
      </vt:variant>
      <vt:variant>
        <vt:i4>5</vt:i4>
      </vt:variant>
      <vt:variant>
        <vt:lpwstr>http://www.nevo.co.il/case/18653821</vt:lpwstr>
      </vt:variant>
      <vt:variant>
        <vt:lpwstr/>
      </vt:variant>
      <vt:variant>
        <vt:i4>3539067</vt:i4>
      </vt:variant>
      <vt:variant>
        <vt:i4>69</vt:i4>
      </vt:variant>
      <vt:variant>
        <vt:i4>0</vt:i4>
      </vt:variant>
      <vt:variant>
        <vt:i4>5</vt:i4>
      </vt:variant>
      <vt:variant>
        <vt:lpwstr>http://www.nevo.co.il/case/6089961</vt:lpwstr>
      </vt:variant>
      <vt:variant>
        <vt:lpwstr/>
      </vt:variant>
      <vt:variant>
        <vt:i4>3604600</vt:i4>
      </vt:variant>
      <vt:variant>
        <vt:i4>66</vt:i4>
      </vt:variant>
      <vt:variant>
        <vt:i4>0</vt:i4>
      </vt:variant>
      <vt:variant>
        <vt:i4>5</vt:i4>
      </vt:variant>
      <vt:variant>
        <vt:lpwstr>http://www.nevo.co.il/case/21055809</vt:lpwstr>
      </vt:variant>
      <vt:variant>
        <vt:lpwstr/>
      </vt:variant>
      <vt:variant>
        <vt:i4>3211387</vt:i4>
      </vt:variant>
      <vt:variant>
        <vt:i4>63</vt:i4>
      </vt:variant>
      <vt:variant>
        <vt:i4>0</vt:i4>
      </vt:variant>
      <vt:variant>
        <vt:i4>5</vt:i4>
      </vt:variant>
      <vt:variant>
        <vt:lpwstr>http://www.nevo.co.il/case/7977312</vt:lpwstr>
      </vt:variant>
      <vt:variant>
        <vt:lpwstr/>
      </vt:variant>
      <vt:variant>
        <vt:i4>3604606</vt:i4>
      </vt:variant>
      <vt:variant>
        <vt:i4>60</vt:i4>
      </vt:variant>
      <vt:variant>
        <vt:i4>0</vt:i4>
      </vt:variant>
      <vt:variant>
        <vt:i4>5</vt:i4>
      </vt:variant>
      <vt:variant>
        <vt:lpwstr>http://www.nevo.co.il/case/20031941</vt:lpwstr>
      </vt:variant>
      <vt:variant>
        <vt:lpwstr/>
      </vt:variant>
      <vt:variant>
        <vt:i4>3604595</vt:i4>
      </vt:variant>
      <vt:variant>
        <vt:i4>57</vt:i4>
      </vt:variant>
      <vt:variant>
        <vt:i4>0</vt:i4>
      </vt:variant>
      <vt:variant>
        <vt:i4>5</vt:i4>
      </vt:variant>
      <vt:variant>
        <vt:lpwstr>http://www.nevo.co.il/case/20000750</vt:lpwstr>
      </vt:variant>
      <vt:variant>
        <vt:lpwstr/>
      </vt:variant>
      <vt:variant>
        <vt:i4>3211390</vt:i4>
      </vt:variant>
      <vt:variant>
        <vt:i4>54</vt:i4>
      </vt:variant>
      <vt:variant>
        <vt:i4>0</vt:i4>
      </vt:variant>
      <vt:variant>
        <vt:i4>5</vt:i4>
      </vt:variant>
      <vt:variant>
        <vt:lpwstr>http://www.nevo.co.il/case/18653755</vt:lpwstr>
      </vt:variant>
      <vt:variant>
        <vt:lpwstr/>
      </vt:variant>
      <vt:variant>
        <vt:i4>4128884</vt:i4>
      </vt:variant>
      <vt:variant>
        <vt:i4>51</vt:i4>
      </vt:variant>
      <vt:variant>
        <vt:i4>0</vt:i4>
      </vt:variant>
      <vt:variant>
        <vt:i4>5</vt:i4>
      </vt:variant>
      <vt:variant>
        <vt:lpwstr>http://www.nevo.co.il/case/23833066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4063357</vt:i4>
      </vt:variant>
      <vt:variant>
        <vt:i4>42</vt:i4>
      </vt:variant>
      <vt:variant>
        <vt:i4>0</vt:i4>
      </vt:variant>
      <vt:variant>
        <vt:i4>5</vt:i4>
      </vt:variant>
      <vt:variant>
        <vt:lpwstr>http://www.nevo.co.il/case/5880417</vt:lpwstr>
      </vt:variant>
      <vt:variant>
        <vt:lpwstr/>
      </vt:variant>
      <vt:variant>
        <vt:i4>4063351</vt:i4>
      </vt:variant>
      <vt:variant>
        <vt:i4>39</vt:i4>
      </vt:variant>
      <vt:variant>
        <vt:i4>0</vt:i4>
      </vt:variant>
      <vt:variant>
        <vt:i4>5</vt:i4>
      </vt:variant>
      <vt:variant>
        <vt:lpwstr>http://www.nevo.co.il/case/17941073</vt:lpwstr>
      </vt:variant>
      <vt:variant>
        <vt:lpwstr/>
      </vt:variant>
      <vt:variant>
        <vt:i4>3473524</vt:i4>
      </vt:variant>
      <vt:variant>
        <vt:i4>36</vt:i4>
      </vt:variant>
      <vt:variant>
        <vt:i4>0</vt:i4>
      </vt:variant>
      <vt:variant>
        <vt:i4>5</vt:i4>
      </vt:variant>
      <vt:variant>
        <vt:lpwstr>http://www.nevo.co.il/case/23132042</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3801201</vt:i4>
      </vt:variant>
      <vt:variant>
        <vt:i4>30</vt:i4>
      </vt:variant>
      <vt:variant>
        <vt:i4>0</vt:i4>
      </vt:variant>
      <vt:variant>
        <vt:i4>5</vt:i4>
      </vt:variant>
      <vt:variant>
        <vt:lpwstr>http://www.nevo.co.il/case/25984855</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25530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עלא סואעד</vt:lpwstr>
  </property>
  <property fmtid="{D5CDD505-2E9C-101B-9397-08002B2CF9AE}" pid="10" name="JUDGE">
    <vt:lpwstr>גלית ציגלר</vt:lpwstr>
  </property>
  <property fmtid="{D5CDD505-2E9C-101B-9397-08002B2CF9AE}" pid="11" name="CITY">
    <vt:lpwstr>חי'</vt:lpwstr>
  </property>
  <property fmtid="{D5CDD505-2E9C-101B-9397-08002B2CF9AE}" pid="12" name="DATE">
    <vt:lpwstr>20210606</vt:lpwstr>
  </property>
  <property fmtid="{D5CDD505-2E9C-101B-9397-08002B2CF9AE}" pid="13" name="TYPE_N_DATE">
    <vt:lpwstr>39020210606</vt:lpwstr>
  </property>
  <property fmtid="{D5CDD505-2E9C-101B-9397-08002B2CF9AE}" pid="14" name="WORDNUMPAGES">
    <vt:lpwstr>14</vt:lpwstr>
  </property>
  <property fmtid="{D5CDD505-2E9C-101B-9397-08002B2CF9AE}" pid="15" name="TYPE_ABS_DATE">
    <vt:lpwstr>390020210606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25984855:2;23132042:2;17941073;5880417;23833066:2;18653755;20000750;20031941;7977312;21055809;6089961;18653821;6156981;21475914;23140232;27252843;25694670;21473565</vt:lpwstr>
  </property>
  <property fmtid="{D5CDD505-2E9C-101B-9397-08002B2CF9AE}" pid="36" name="LAWLISTTMP1">
    <vt:lpwstr>70301/333;335.a.1:2;040i;40ja</vt:lpwstr>
  </property>
  <property fmtid="{D5CDD505-2E9C-101B-9397-08002B2CF9AE}" pid="37" name="LAWLISTTMP2">
    <vt:lpwstr>4216</vt:lpwstr>
  </property>
</Properties>
</file>